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12C7D" w14:textId="0FE9F60B" w:rsidR="00BB2AFF" w:rsidRPr="00120CC6" w:rsidRDefault="30E21F4A" w:rsidP="30E21F4A">
      <w:pPr>
        <w:pStyle w:val="NormalWeb"/>
        <w:spacing w:before="0" w:beforeAutospacing="0" w:after="0" w:afterAutospacing="0"/>
        <w:jc w:val="both"/>
        <w:rPr>
          <w:rFonts w:ascii="Arial" w:hAnsi="Arial" w:cs="Arial"/>
          <w:b/>
          <w:bCs/>
          <w:color w:val="000000" w:themeColor="text1"/>
        </w:rPr>
      </w:pPr>
      <w:r w:rsidRPr="30E21F4A">
        <w:rPr>
          <w:rFonts w:ascii="Arial" w:hAnsi="Arial" w:cs="Arial"/>
          <w:b/>
          <w:bCs/>
          <w:color w:val="000000" w:themeColor="text1"/>
        </w:rPr>
        <w:t>Table S</w:t>
      </w:r>
      <w:r w:rsidR="00F4504D">
        <w:rPr>
          <w:rFonts w:ascii="Arial" w:hAnsi="Arial" w:cs="Arial"/>
          <w:b/>
          <w:bCs/>
          <w:color w:val="000000" w:themeColor="text1"/>
        </w:rPr>
        <w:t>1</w:t>
      </w:r>
      <w:r w:rsidRPr="30E21F4A">
        <w:rPr>
          <w:rFonts w:ascii="Arial" w:hAnsi="Arial" w:cs="Arial"/>
          <w:b/>
          <w:bCs/>
          <w:color w:val="000000" w:themeColor="text1"/>
        </w:rPr>
        <w:t xml:space="preserve">: X-ray crystallographic statistics for co structures between </w:t>
      </w:r>
      <w:r w:rsidRPr="30E21F4A">
        <w:rPr>
          <w:rFonts w:ascii="Arial" w:hAnsi="Arial" w:cs="Arial"/>
          <w:b/>
          <w:bCs/>
          <w:i/>
          <w:iCs/>
          <w:color w:val="000000" w:themeColor="text1"/>
        </w:rPr>
        <w:t>C. albicans</w:t>
      </w:r>
      <w:r w:rsidRPr="30E21F4A">
        <w:rPr>
          <w:rFonts w:ascii="Arial" w:hAnsi="Arial" w:cs="Arial"/>
          <w:b/>
          <w:bCs/>
          <w:color w:val="000000" w:themeColor="text1"/>
        </w:rPr>
        <w:t xml:space="preserve"> Yck2</w:t>
      </w:r>
      <w:r w:rsidR="0084665A">
        <w:rPr>
          <w:rFonts w:ascii="Arial" w:hAnsi="Arial" w:cs="Arial"/>
          <w:b/>
          <w:bCs/>
          <w:color w:val="000000" w:themeColor="text1"/>
        </w:rPr>
        <w:t xml:space="preserve"> and </w:t>
      </w:r>
      <w:r w:rsidR="00EA6019">
        <w:rPr>
          <w:rFonts w:ascii="Arial" w:eastAsia="Calibri" w:hAnsi="Arial" w:cs="Arial"/>
          <w:b/>
          <w:bCs/>
          <w:color w:val="000000" w:themeColor="text1"/>
          <w:kern w:val="2"/>
          <w:lang w:val="en-US"/>
        </w:rPr>
        <w:t>1e, 1f, 2a and 2b</w:t>
      </w:r>
    </w:p>
    <w:tbl>
      <w:tblPr>
        <w:tblStyle w:val="TableGrid"/>
        <w:tblW w:w="9920" w:type="dxa"/>
        <w:tblLayout w:type="fixed"/>
        <w:tblLook w:val="0600" w:firstRow="0" w:lastRow="0" w:firstColumn="0" w:lastColumn="0" w:noHBand="1" w:noVBand="1"/>
      </w:tblPr>
      <w:tblGrid>
        <w:gridCol w:w="1984"/>
        <w:gridCol w:w="1984"/>
        <w:gridCol w:w="1984"/>
        <w:gridCol w:w="1984"/>
        <w:gridCol w:w="1984"/>
      </w:tblGrid>
      <w:tr w:rsidR="00E42DC8" w:rsidRPr="00E42DC8" w14:paraId="2887DC82" w14:textId="6733FA42" w:rsidTr="009C4CF5">
        <w:trPr>
          <w:trHeight w:val="317"/>
        </w:trPr>
        <w:tc>
          <w:tcPr>
            <w:tcW w:w="1984" w:type="dxa"/>
            <w:shd w:val="clear" w:color="auto" w:fill="CAEDFB" w:themeFill="accent4" w:themeFillTint="33"/>
            <w:vAlign w:val="center"/>
          </w:tcPr>
          <w:p w14:paraId="5DB4A0FC" w14:textId="77777777" w:rsidR="00E42DC8" w:rsidRPr="009C4CF5" w:rsidRDefault="00E42DC8" w:rsidP="008518D4">
            <w:pPr>
              <w:jc w:val="center"/>
              <w:rPr>
                <w:rFonts w:ascii="Arial" w:hAnsi="Arial" w:cs="Arial"/>
                <w:b/>
                <w:sz w:val="20"/>
                <w:szCs w:val="20"/>
              </w:rPr>
            </w:pPr>
            <w:r w:rsidRPr="009C4CF5">
              <w:rPr>
                <w:rFonts w:ascii="Arial" w:hAnsi="Arial" w:cs="Arial"/>
                <w:b/>
                <w:sz w:val="20"/>
                <w:szCs w:val="20"/>
              </w:rPr>
              <w:t>Structure</w:t>
            </w:r>
          </w:p>
        </w:tc>
        <w:tc>
          <w:tcPr>
            <w:tcW w:w="1984" w:type="dxa"/>
            <w:shd w:val="clear" w:color="auto" w:fill="CAEDFB" w:themeFill="accent4" w:themeFillTint="33"/>
            <w:vAlign w:val="center"/>
          </w:tcPr>
          <w:p w14:paraId="7590BAC3" w14:textId="2FC5E796" w:rsidR="00E42DC8" w:rsidRPr="009C4CF5" w:rsidRDefault="00E42DC8" w:rsidP="008518D4">
            <w:pPr>
              <w:jc w:val="center"/>
              <w:rPr>
                <w:rFonts w:ascii="Arial" w:hAnsi="Arial" w:cs="Arial"/>
                <w:b/>
                <w:sz w:val="20"/>
                <w:szCs w:val="20"/>
              </w:rPr>
            </w:pPr>
            <w:r w:rsidRPr="009C4CF5">
              <w:rPr>
                <w:rFonts w:ascii="Arial" w:hAnsi="Arial" w:cs="Arial"/>
                <w:b/>
                <w:sz w:val="20"/>
                <w:szCs w:val="20"/>
              </w:rPr>
              <w:t>Yck2 + 1e</w:t>
            </w:r>
          </w:p>
        </w:tc>
        <w:tc>
          <w:tcPr>
            <w:tcW w:w="1984" w:type="dxa"/>
            <w:shd w:val="clear" w:color="auto" w:fill="CAEDFB" w:themeFill="accent4" w:themeFillTint="33"/>
          </w:tcPr>
          <w:p w14:paraId="75B57DEB" w14:textId="343AEC48" w:rsidR="00E42DC8" w:rsidRPr="00E42DC8" w:rsidRDefault="00E42DC8" w:rsidP="008518D4">
            <w:pPr>
              <w:jc w:val="center"/>
              <w:rPr>
                <w:rFonts w:ascii="Arial" w:hAnsi="Arial" w:cs="Arial"/>
                <w:b/>
                <w:sz w:val="20"/>
                <w:szCs w:val="20"/>
              </w:rPr>
            </w:pPr>
            <w:r w:rsidRPr="005C6C56">
              <w:rPr>
                <w:rFonts w:ascii="Arial" w:hAnsi="Arial" w:cs="Arial"/>
                <w:b/>
                <w:sz w:val="20"/>
                <w:szCs w:val="20"/>
              </w:rPr>
              <w:t>Yck2 + 1</w:t>
            </w:r>
            <w:r>
              <w:rPr>
                <w:rFonts w:ascii="Arial" w:hAnsi="Arial" w:cs="Arial"/>
                <w:b/>
                <w:sz w:val="20"/>
                <w:szCs w:val="20"/>
              </w:rPr>
              <w:t>f</w:t>
            </w:r>
          </w:p>
        </w:tc>
        <w:tc>
          <w:tcPr>
            <w:tcW w:w="1984" w:type="dxa"/>
            <w:shd w:val="clear" w:color="auto" w:fill="CAEDFB" w:themeFill="accent4" w:themeFillTint="33"/>
            <w:vAlign w:val="center"/>
          </w:tcPr>
          <w:p w14:paraId="4C59B52A" w14:textId="7A6E54BB" w:rsidR="00E42DC8" w:rsidRPr="009C4CF5" w:rsidRDefault="00E42DC8" w:rsidP="008518D4">
            <w:pPr>
              <w:jc w:val="center"/>
              <w:rPr>
                <w:rFonts w:ascii="Arial" w:hAnsi="Arial" w:cs="Arial"/>
                <w:b/>
                <w:sz w:val="20"/>
                <w:szCs w:val="20"/>
              </w:rPr>
            </w:pPr>
            <w:r w:rsidRPr="009C4CF5">
              <w:rPr>
                <w:rFonts w:ascii="Arial" w:hAnsi="Arial" w:cs="Arial"/>
                <w:b/>
                <w:sz w:val="20"/>
                <w:szCs w:val="20"/>
              </w:rPr>
              <w:t>Yck2 + 2a</w:t>
            </w:r>
          </w:p>
        </w:tc>
        <w:tc>
          <w:tcPr>
            <w:tcW w:w="1984" w:type="dxa"/>
            <w:shd w:val="clear" w:color="auto" w:fill="CAEDFB" w:themeFill="accent4" w:themeFillTint="33"/>
          </w:tcPr>
          <w:p w14:paraId="5014AD56" w14:textId="11764B94" w:rsidR="00E42DC8" w:rsidRPr="00E42DC8" w:rsidRDefault="00E42DC8" w:rsidP="008518D4">
            <w:pPr>
              <w:jc w:val="center"/>
              <w:rPr>
                <w:rFonts w:ascii="Arial" w:hAnsi="Arial" w:cs="Arial"/>
                <w:b/>
                <w:sz w:val="20"/>
                <w:szCs w:val="20"/>
              </w:rPr>
            </w:pPr>
            <w:r w:rsidRPr="005C6C56">
              <w:rPr>
                <w:rFonts w:ascii="Arial" w:hAnsi="Arial" w:cs="Arial"/>
                <w:b/>
                <w:sz w:val="20"/>
                <w:szCs w:val="20"/>
              </w:rPr>
              <w:t xml:space="preserve">Yck2 + </w:t>
            </w:r>
            <w:r>
              <w:rPr>
                <w:rFonts w:ascii="Arial" w:hAnsi="Arial" w:cs="Arial"/>
                <w:b/>
                <w:sz w:val="20"/>
                <w:szCs w:val="20"/>
              </w:rPr>
              <w:t>2b</w:t>
            </w:r>
          </w:p>
        </w:tc>
      </w:tr>
      <w:tr w:rsidR="00240C6E" w:rsidRPr="00E42DC8" w14:paraId="3AD9F87C" w14:textId="77777777" w:rsidTr="00E42DC8">
        <w:trPr>
          <w:trHeight w:val="317"/>
        </w:trPr>
        <w:tc>
          <w:tcPr>
            <w:tcW w:w="1984" w:type="dxa"/>
            <w:shd w:val="clear" w:color="auto" w:fill="CAEDFB" w:themeFill="accent4" w:themeFillTint="33"/>
            <w:vAlign w:val="center"/>
          </w:tcPr>
          <w:p w14:paraId="712EBC77" w14:textId="614DA0C6" w:rsidR="00240C6E" w:rsidRPr="007E48C1" w:rsidRDefault="00240C6E" w:rsidP="008518D4">
            <w:pPr>
              <w:jc w:val="center"/>
              <w:rPr>
                <w:rFonts w:ascii="Arial" w:hAnsi="Arial" w:cs="Arial"/>
                <w:b/>
                <w:sz w:val="20"/>
                <w:szCs w:val="20"/>
              </w:rPr>
            </w:pPr>
            <w:r w:rsidRPr="007E48C1">
              <w:rPr>
                <w:rFonts w:ascii="Arial" w:hAnsi="Arial" w:cs="Arial"/>
                <w:b/>
                <w:sz w:val="20"/>
                <w:szCs w:val="20"/>
              </w:rPr>
              <w:t>PDB code</w:t>
            </w:r>
          </w:p>
        </w:tc>
        <w:tc>
          <w:tcPr>
            <w:tcW w:w="1984" w:type="dxa"/>
            <w:shd w:val="clear" w:color="auto" w:fill="CAEDFB" w:themeFill="accent4" w:themeFillTint="33"/>
            <w:vAlign w:val="center"/>
          </w:tcPr>
          <w:p w14:paraId="29011572" w14:textId="690FCA62" w:rsidR="00240C6E" w:rsidRPr="007E48C1" w:rsidRDefault="00ED5662" w:rsidP="008518D4">
            <w:pPr>
              <w:jc w:val="center"/>
              <w:rPr>
                <w:rFonts w:ascii="Arial" w:hAnsi="Arial" w:cs="Arial"/>
                <w:b/>
                <w:sz w:val="20"/>
                <w:szCs w:val="20"/>
              </w:rPr>
            </w:pPr>
            <w:r w:rsidRPr="007E48C1">
              <w:rPr>
                <w:rFonts w:ascii="Arial" w:hAnsi="Arial" w:cs="Arial"/>
                <w:b/>
                <w:sz w:val="20"/>
                <w:szCs w:val="20"/>
              </w:rPr>
              <w:t>9EDV</w:t>
            </w:r>
          </w:p>
        </w:tc>
        <w:tc>
          <w:tcPr>
            <w:tcW w:w="1984" w:type="dxa"/>
            <w:shd w:val="clear" w:color="auto" w:fill="CAEDFB" w:themeFill="accent4" w:themeFillTint="33"/>
          </w:tcPr>
          <w:p w14:paraId="29A085C4" w14:textId="4682CF50" w:rsidR="00240C6E" w:rsidRPr="005C6C56" w:rsidRDefault="00485CCE" w:rsidP="008518D4">
            <w:pPr>
              <w:jc w:val="center"/>
              <w:rPr>
                <w:rFonts w:ascii="Arial" w:hAnsi="Arial" w:cs="Arial"/>
                <w:b/>
                <w:sz w:val="20"/>
                <w:szCs w:val="20"/>
              </w:rPr>
            </w:pPr>
            <w:r>
              <w:rPr>
                <w:rFonts w:ascii="Arial" w:hAnsi="Arial" w:cs="Arial"/>
                <w:b/>
                <w:sz w:val="20"/>
                <w:szCs w:val="20"/>
              </w:rPr>
              <w:t>9EDW</w:t>
            </w:r>
          </w:p>
        </w:tc>
        <w:tc>
          <w:tcPr>
            <w:tcW w:w="1984" w:type="dxa"/>
            <w:shd w:val="clear" w:color="auto" w:fill="CAEDFB" w:themeFill="accent4" w:themeFillTint="33"/>
            <w:vAlign w:val="center"/>
          </w:tcPr>
          <w:p w14:paraId="0E387165" w14:textId="633A402A" w:rsidR="00240C6E" w:rsidRPr="00240C6E" w:rsidRDefault="00485CCE" w:rsidP="008518D4">
            <w:pPr>
              <w:jc w:val="center"/>
              <w:rPr>
                <w:rFonts w:ascii="Arial" w:hAnsi="Arial" w:cs="Arial"/>
                <w:b/>
                <w:sz w:val="20"/>
                <w:szCs w:val="20"/>
              </w:rPr>
            </w:pPr>
            <w:r>
              <w:rPr>
                <w:rFonts w:ascii="Arial" w:hAnsi="Arial" w:cs="Arial"/>
                <w:b/>
                <w:sz w:val="20"/>
                <w:szCs w:val="20"/>
              </w:rPr>
              <w:t>9EDX</w:t>
            </w:r>
          </w:p>
        </w:tc>
        <w:tc>
          <w:tcPr>
            <w:tcW w:w="1984" w:type="dxa"/>
            <w:shd w:val="clear" w:color="auto" w:fill="CAEDFB" w:themeFill="accent4" w:themeFillTint="33"/>
          </w:tcPr>
          <w:p w14:paraId="2662E438" w14:textId="533297D7" w:rsidR="00240C6E" w:rsidRPr="005C6C56" w:rsidRDefault="00485CCE" w:rsidP="008518D4">
            <w:pPr>
              <w:jc w:val="center"/>
              <w:rPr>
                <w:rFonts w:ascii="Arial" w:hAnsi="Arial" w:cs="Arial"/>
                <w:b/>
                <w:sz w:val="20"/>
                <w:szCs w:val="20"/>
              </w:rPr>
            </w:pPr>
            <w:r>
              <w:rPr>
                <w:rFonts w:ascii="Arial" w:hAnsi="Arial" w:cs="Arial"/>
                <w:b/>
                <w:sz w:val="20"/>
                <w:szCs w:val="20"/>
              </w:rPr>
              <w:t>9EDY</w:t>
            </w:r>
          </w:p>
        </w:tc>
      </w:tr>
      <w:tr w:rsidR="00E42DC8" w:rsidRPr="00E42DC8" w14:paraId="77A0951C" w14:textId="77777777" w:rsidTr="004F3FB2">
        <w:trPr>
          <w:trHeight w:val="20"/>
        </w:trPr>
        <w:tc>
          <w:tcPr>
            <w:tcW w:w="9920" w:type="dxa"/>
            <w:gridSpan w:val="5"/>
          </w:tcPr>
          <w:p w14:paraId="6B50036E" w14:textId="15D4E07A" w:rsidR="00E42DC8" w:rsidRPr="00E42DC8" w:rsidRDefault="00E42DC8" w:rsidP="008518D4">
            <w:pPr>
              <w:jc w:val="both"/>
              <w:rPr>
                <w:rFonts w:ascii="Arial" w:hAnsi="Arial" w:cs="Arial"/>
                <w:sz w:val="20"/>
                <w:szCs w:val="20"/>
              </w:rPr>
            </w:pPr>
            <w:r w:rsidRPr="009C4CF5">
              <w:rPr>
                <w:rFonts w:ascii="Arial" w:hAnsi="Arial" w:cs="Arial"/>
                <w:i/>
                <w:iCs/>
                <w:sz w:val="20"/>
                <w:szCs w:val="20"/>
              </w:rPr>
              <w:t>Data collection</w:t>
            </w:r>
          </w:p>
        </w:tc>
      </w:tr>
      <w:tr w:rsidR="00E42DC8" w:rsidRPr="00E42DC8" w14:paraId="7BF60D1E" w14:textId="5FA5C292" w:rsidTr="009C4CF5">
        <w:trPr>
          <w:trHeight w:val="20"/>
        </w:trPr>
        <w:tc>
          <w:tcPr>
            <w:tcW w:w="1984" w:type="dxa"/>
          </w:tcPr>
          <w:p w14:paraId="790B2835"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Space group</w:t>
            </w:r>
          </w:p>
        </w:tc>
        <w:tc>
          <w:tcPr>
            <w:tcW w:w="1984" w:type="dxa"/>
          </w:tcPr>
          <w:p w14:paraId="3C1268BF"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R 3</w:t>
            </w:r>
          </w:p>
        </w:tc>
        <w:tc>
          <w:tcPr>
            <w:tcW w:w="1984" w:type="dxa"/>
          </w:tcPr>
          <w:p w14:paraId="17DB7305" w14:textId="5C5A18C8" w:rsidR="00E42DC8" w:rsidRPr="00E42DC8" w:rsidRDefault="00372386" w:rsidP="008518D4">
            <w:pPr>
              <w:jc w:val="both"/>
              <w:rPr>
                <w:rFonts w:ascii="Arial" w:hAnsi="Arial" w:cs="Arial"/>
                <w:sz w:val="20"/>
                <w:szCs w:val="20"/>
              </w:rPr>
            </w:pPr>
            <w:r>
              <w:rPr>
                <w:rFonts w:ascii="Arial" w:hAnsi="Arial" w:cs="Arial"/>
                <w:sz w:val="20"/>
                <w:szCs w:val="20"/>
              </w:rPr>
              <w:t>R 3</w:t>
            </w:r>
          </w:p>
        </w:tc>
        <w:tc>
          <w:tcPr>
            <w:tcW w:w="1984" w:type="dxa"/>
          </w:tcPr>
          <w:p w14:paraId="29494C04" w14:textId="5BE9151A" w:rsidR="00E42DC8" w:rsidRPr="009C4CF5" w:rsidRDefault="00E42DC8" w:rsidP="008518D4">
            <w:pPr>
              <w:jc w:val="both"/>
              <w:rPr>
                <w:rFonts w:ascii="Arial" w:hAnsi="Arial" w:cs="Arial"/>
                <w:sz w:val="20"/>
                <w:szCs w:val="20"/>
              </w:rPr>
            </w:pPr>
            <w:r w:rsidRPr="009C4CF5">
              <w:rPr>
                <w:rFonts w:ascii="Arial" w:hAnsi="Arial" w:cs="Arial"/>
                <w:sz w:val="20"/>
                <w:szCs w:val="20"/>
              </w:rPr>
              <w:t>R 3</w:t>
            </w:r>
          </w:p>
        </w:tc>
        <w:tc>
          <w:tcPr>
            <w:tcW w:w="1984" w:type="dxa"/>
          </w:tcPr>
          <w:p w14:paraId="752646B5" w14:textId="0497D6D6" w:rsidR="00E42DC8" w:rsidRPr="00E42DC8" w:rsidRDefault="00866F30" w:rsidP="008518D4">
            <w:pPr>
              <w:jc w:val="both"/>
              <w:rPr>
                <w:rFonts w:ascii="Arial" w:hAnsi="Arial" w:cs="Arial"/>
                <w:sz w:val="20"/>
                <w:szCs w:val="20"/>
              </w:rPr>
            </w:pPr>
            <w:r>
              <w:rPr>
                <w:rFonts w:ascii="Arial" w:hAnsi="Arial" w:cs="Arial"/>
                <w:sz w:val="20"/>
                <w:szCs w:val="20"/>
              </w:rPr>
              <w:t>R 3</w:t>
            </w:r>
          </w:p>
        </w:tc>
      </w:tr>
      <w:tr w:rsidR="00E42DC8" w:rsidRPr="00E42DC8" w14:paraId="1E279238" w14:textId="58738EA1" w:rsidTr="009C4CF5">
        <w:trPr>
          <w:trHeight w:val="503"/>
        </w:trPr>
        <w:tc>
          <w:tcPr>
            <w:tcW w:w="1984" w:type="dxa"/>
          </w:tcPr>
          <w:p w14:paraId="296225AC"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Cell dimensions</w:t>
            </w:r>
          </w:p>
          <w:p w14:paraId="354BEF02" w14:textId="77777777" w:rsidR="00E42DC8" w:rsidRPr="009C4CF5" w:rsidRDefault="00E42DC8" w:rsidP="008518D4">
            <w:pPr>
              <w:jc w:val="both"/>
              <w:rPr>
                <w:rFonts w:ascii="Arial" w:hAnsi="Arial" w:cs="Arial"/>
                <w:sz w:val="20"/>
                <w:szCs w:val="20"/>
              </w:rPr>
            </w:pPr>
            <w:r w:rsidRPr="009C4CF5">
              <w:rPr>
                <w:rFonts w:ascii="Arial" w:hAnsi="Arial" w:cs="Arial"/>
                <w:i/>
                <w:sz w:val="20"/>
                <w:szCs w:val="20"/>
              </w:rPr>
              <w:t xml:space="preserve"> a</w:t>
            </w:r>
            <w:r w:rsidRPr="009C4CF5">
              <w:rPr>
                <w:rFonts w:ascii="Arial" w:hAnsi="Arial" w:cs="Arial"/>
                <w:sz w:val="20"/>
                <w:szCs w:val="20"/>
              </w:rPr>
              <w:t xml:space="preserve">, </w:t>
            </w:r>
            <w:r w:rsidRPr="009C4CF5">
              <w:rPr>
                <w:rFonts w:ascii="Arial" w:hAnsi="Arial" w:cs="Arial"/>
                <w:i/>
                <w:sz w:val="20"/>
                <w:szCs w:val="20"/>
              </w:rPr>
              <w:t xml:space="preserve">b, c </w:t>
            </w:r>
            <w:r w:rsidRPr="009C4CF5">
              <w:rPr>
                <w:rFonts w:ascii="Arial" w:hAnsi="Arial" w:cs="Arial"/>
                <w:sz w:val="20"/>
                <w:szCs w:val="20"/>
              </w:rPr>
              <w:t>(Å)</w:t>
            </w:r>
          </w:p>
          <w:p w14:paraId="3D1CEA0E"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α, β, γ, (°)</w:t>
            </w:r>
          </w:p>
        </w:tc>
        <w:tc>
          <w:tcPr>
            <w:tcW w:w="1984" w:type="dxa"/>
          </w:tcPr>
          <w:p w14:paraId="194BFC1F"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 xml:space="preserve"> </w:t>
            </w:r>
          </w:p>
          <w:p w14:paraId="1313ED5B" w14:textId="53C18FCB"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9</w:t>
            </w:r>
            <w:r w:rsidR="00CE2513">
              <w:rPr>
                <w:rFonts w:ascii="Arial" w:hAnsi="Arial" w:cs="Arial"/>
                <w:sz w:val="20"/>
                <w:szCs w:val="20"/>
                <w:shd w:val="clear" w:color="auto" w:fill="FAFAFA"/>
              </w:rPr>
              <w:t>1.99, 91.99</w:t>
            </w:r>
            <w:r w:rsidRPr="009C4CF5">
              <w:rPr>
                <w:rFonts w:ascii="Arial" w:hAnsi="Arial" w:cs="Arial"/>
                <w:sz w:val="20"/>
                <w:szCs w:val="20"/>
                <w:shd w:val="clear" w:color="auto" w:fill="FAFAFA"/>
              </w:rPr>
              <w:t>, 11</w:t>
            </w:r>
            <w:r w:rsidR="00CE2513">
              <w:rPr>
                <w:rFonts w:ascii="Arial" w:hAnsi="Arial" w:cs="Arial"/>
                <w:sz w:val="20"/>
                <w:szCs w:val="20"/>
                <w:shd w:val="clear" w:color="auto" w:fill="FAFAFA"/>
              </w:rPr>
              <w:t>7.96</w:t>
            </w:r>
          </w:p>
          <w:p w14:paraId="7E858975"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90, 90, 120</w:t>
            </w:r>
          </w:p>
        </w:tc>
        <w:tc>
          <w:tcPr>
            <w:tcW w:w="1984" w:type="dxa"/>
          </w:tcPr>
          <w:p w14:paraId="6E8055BC" w14:textId="77777777" w:rsidR="00E42DC8" w:rsidRDefault="00E42DC8" w:rsidP="008518D4">
            <w:pPr>
              <w:jc w:val="both"/>
              <w:rPr>
                <w:rFonts w:ascii="Arial" w:hAnsi="Arial" w:cs="Arial"/>
                <w:sz w:val="20"/>
                <w:szCs w:val="20"/>
              </w:rPr>
            </w:pPr>
          </w:p>
          <w:p w14:paraId="07B270CE" w14:textId="77777777" w:rsidR="00372386" w:rsidRDefault="00372386" w:rsidP="008518D4">
            <w:pPr>
              <w:jc w:val="both"/>
              <w:rPr>
                <w:rFonts w:ascii="Arial" w:hAnsi="Arial" w:cs="Arial"/>
                <w:sz w:val="20"/>
                <w:szCs w:val="20"/>
              </w:rPr>
            </w:pPr>
            <w:r>
              <w:rPr>
                <w:rFonts w:ascii="Arial" w:hAnsi="Arial" w:cs="Arial"/>
                <w:sz w:val="20"/>
                <w:szCs w:val="20"/>
              </w:rPr>
              <w:t>92.18, 92.18, 118.2</w:t>
            </w:r>
          </w:p>
          <w:p w14:paraId="7B6373DA" w14:textId="3B5B19C0" w:rsidR="00372386" w:rsidRPr="00E42DC8" w:rsidRDefault="00372386" w:rsidP="008518D4">
            <w:pPr>
              <w:jc w:val="both"/>
              <w:rPr>
                <w:rFonts w:ascii="Arial" w:hAnsi="Arial" w:cs="Arial"/>
                <w:sz w:val="20"/>
                <w:szCs w:val="20"/>
              </w:rPr>
            </w:pPr>
            <w:r>
              <w:rPr>
                <w:rFonts w:ascii="Arial" w:hAnsi="Arial" w:cs="Arial"/>
                <w:sz w:val="20"/>
                <w:szCs w:val="20"/>
              </w:rPr>
              <w:t>90, 90, 120</w:t>
            </w:r>
          </w:p>
        </w:tc>
        <w:tc>
          <w:tcPr>
            <w:tcW w:w="1984" w:type="dxa"/>
          </w:tcPr>
          <w:p w14:paraId="63F73FB1" w14:textId="58D841DC"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1F53629D"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91.71, 91.71, 118.95</w:t>
            </w:r>
          </w:p>
          <w:p w14:paraId="5CFAD76F"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90, 90, 120</w:t>
            </w:r>
          </w:p>
        </w:tc>
        <w:tc>
          <w:tcPr>
            <w:tcW w:w="1984" w:type="dxa"/>
          </w:tcPr>
          <w:p w14:paraId="6E5838E6" w14:textId="77777777" w:rsidR="00E42DC8" w:rsidRDefault="00E42DC8" w:rsidP="008518D4">
            <w:pPr>
              <w:jc w:val="both"/>
              <w:rPr>
                <w:rFonts w:ascii="Arial" w:hAnsi="Arial" w:cs="Arial"/>
                <w:sz w:val="20"/>
                <w:szCs w:val="20"/>
              </w:rPr>
            </w:pPr>
          </w:p>
          <w:p w14:paraId="380DF3DD" w14:textId="77777777" w:rsidR="00866F30" w:rsidRDefault="00866F30" w:rsidP="008518D4">
            <w:pPr>
              <w:jc w:val="both"/>
              <w:rPr>
                <w:rFonts w:ascii="Arial" w:hAnsi="Arial" w:cs="Arial"/>
                <w:sz w:val="20"/>
                <w:szCs w:val="20"/>
              </w:rPr>
            </w:pPr>
            <w:r>
              <w:rPr>
                <w:rFonts w:ascii="Arial" w:hAnsi="Arial" w:cs="Arial"/>
                <w:sz w:val="20"/>
                <w:szCs w:val="20"/>
              </w:rPr>
              <w:t>91.49, 91.49, 119.17</w:t>
            </w:r>
          </w:p>
          <w:p w14:paraId="6433A083" w14:textId="4AB60162" w:rsidR="00866F30" w:rsidRPr="00E42DC8" w:rsidRDefault="00866F30" w:rsidP="008518D4">
            <w:pPr>
              <w:jc w:val="both"/>
              <w:rPr>
                <w:rFonts w:ascii="Arial" w:hAnsi="Arial" w:cs="Arial"/>
                <w:sz w:val="20"/>
                <w:szCs w:val="20"/>
              </w:rPr>
            </w:pPr>
            <w:r>
              <w:rPr>
                <w:rFonts w:ascii="Arial" w:hAnsi="Arial" w:cs="Arial"/>
                <w:sz w:val="20"/>
                <w:szCs w:val="20"/>
              </w:rPr>
              <w:t>90, 90, 120</w:t>
            </w:r>
          </w:p>
        </w:tc>
      </w:tr>
      <w:tr w:rsidR="00E42DC8" w:rsidRPr="00E42DC8" w14:paraId="6143F781" w14:textId="2BA19C41" w:rsidTr="009C4CF5">
        <w:trPr>
          <w:trHeight w:val="185"/>
        </w:trPr>
        <w:tc>
          <w:tcPr>
            <w:tcW w:w="1984" w:type="dxa"/>
          </w:tcPr>
          <w:p w14:paraId="6F214076"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Resolution, Å</w:t>
            </w:r>
          </w:p>
        </w:tc>
        <w:tc>
          <w:tcPr>
            <w:tcW w:w="1984" w:type="dxa"/>
          </w:tcPr>
          <w:p w14:paraId="69B2F210" w14:textId="43B636DD"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29.</w:t>
            </w:r>
            <w:r w:rsidR="00CE2513">
              <w:rPr>
                <w:rFonts w:ascii="Arial" w:hAnsi="Arial" w:cs="Arial"/>
                <w:sz w:val="20"/>
                <w:szCs w:val="20"/>
                <w:shd w:val="clear" w:color="auto" w:fill="FAFAFA"/>
              </w:rPr>
              <w:t xml:space="preserve">18 </w:t>
            </w:r>
            <w:r w:rsidRPr="009C4CF5">
              <w:rPr>
                <w:rFonts w:ascii="Arial" w:hAnsi="Arial" w:cs="Arial"/>
                <w:sz w:val="20"/>
                <w:szCs w:val="20"/>
                <w:shd w:val="clear" w:color="auto" w:fill="FAFAFA"/>
              </w:rPr>
              <w:t>– 2.42</w:t>
            </w:r>
          </w:p>
        </w:tc>
        <w:tc>
          <w:tcPr>
            <w:tcW w:w="1984" w:type="dxa"/>
          </w:tcPr>
          <w:p w14:paraId="5CDD9B8B" w14:textId="222A8A4E" w:rsidR="00E42DC8" w:rsidRPr="00E42DC8" w:rsidRDefault="00372386" w:rsidP="008518D4">
            <w:pPr>
              <w:jc w:val="both"/>
              <w:rPr>
                <w:rFonts w:ascii="Arial" w:hAnsi="Arial" w:cs="Arial"/>
                <w:sz w:val="20"/>
                <w:szCs w:val="20"/>
              </w:rPr>
            </w:pPr>
            <w:r>
              <w:rPr>
                <w:rFonts w:ascii="Arial" w:hAnsi="Arial" w:cs="Arial"/>
                <w:sz w:val="20"/>
                <w:szCs w:val="20"/>
              </w:rPr>
              <w:t>66.14 – 2.33</w:t>
            </w:r>
          </w:p>
        </w:tc>
        <w:tc>
          <w:tcPr>
            <w:tcW w:w="1984" w:type="dxa"/>
          </w:tcPr>
          <w:p w14:paraId="10FD521E" w14:textId="316077B8" w:rsidR="00E42DC8" w:rsidRPr="009C4CF5" w:rsidRDefault="00E42DC8" w:rsidP="008518D4">
            <w:pPr>
              <w:jc w:val="both"/>
              <w:rPr>
                <w:rFonts w:ascii="Arial" w:hAnsi="Arial" w:cs="Arial"/>
                <w:sz w:val="20"/>
                <w:szCs w:val="20"/>
              </w:rPr>
            </w:pPr>
            <w:r w:rsidRPr="009C4CF5">
              <w:rPr>
                <w:rFonts w:ascii="Arial" w:hAnsi="Arial" w:cs="Arial"/>
                <w:sz w:val="20"/>
                <w:szCs w:val="20"/>
              </w:rPr>
              <w:t>29.11 – 2.03</w:t>
            </w:r>
          </w:p>
        </w:tc>
        <w:tc>
          <w:tcPr>
            <w:tcW w:w="1984" w:type="dxa"/>
          </w:tcPr>
          <w:p w14:paraId="71F43B35" w14:textId="6ABB1BCE" w:rsidR="00E42DC8" w:rsidRPr="00E42DC8" w:rsidRDefault="00866F30" w:rsidP="008518D4">
            <w:pPr>
              <w:jc w:val="both"/>
              <w:rPr>
                <w:rFonts w:ascii="Arial" w:hAnsi="Arial" w:cs="Arial"/>
                <w:sz w:val="20"/>
                <w:szCs w:val="20"/>
              </w:rPr>
            </w:pPr>
            <w:r>
              <w:rPr>
                <w:rFonts w:ascii="Arial" w:hAnsi="Arial" w:cs="Arial"/>
                <w:sz w:val="20"/>
                <w:szCs w:val="20"/>
              </w:rPr>
              <w:t>47.64 – 2.30</w:t>
            </w:r>
          </w:p>
        </w:tc>
      </w:tr>
      <w:tr w:rsidR="00E42DC8" w:rsidRPr="00E42DC8" w14:paraId="506D7926" w14:textId="4190590A" w:rsidTr="009C4CF5">
        <w:trPr>
          <w:trHeight w:val="315"/>
        </w:trPr>
        <w:tc>
          <w:tcPr>
            <w:tcW w:w="1984" w:type="dxa"/>
          </w:tcPr>
          <w:p w14:paraId="1147B15C" w14:textId="0E2981AD" w:rsidR="00E42DC8" w:rsidRPr="009C4CF5" w:rsidRDefault="00E42DC8" w:rsidP="008518D4">
            <w:pPr>
              <w:jc w:val="both"/>
              <w:rPr>
                <w:rFonts w:ascii="Arial" w:hAnsi="Arial" w:cs="Arial"/>
                <w:i/>
                <w:sz w:val="20"/>
                <w:szCs w:val="20"/>
                <w:vertAlign w:val="subscript"/>
              </w:rPr>
            </w:pPr>
            <w:proofErr w:type="spellStart"/>
            <w:r w:rsidRPr="009C4CF5">
              <w:rPr>
                <w:rFonts w:ascii="Arial" w:hAnsi="Arial" w:cs="Arial"/>
                <w:sz w:val="20"/>
                <w:szCs w:val="20"/>
              </w:rPr>
              <w:t>R</w:t>
            </w:r>
            <w:r w:rsidRPr="009C4CF5">
              <w:rPr>
                <w:rFonts w:ascii="Arial" w:hAnsi="Arial" w:cs="Arial"/>
                <w:i/>
                <w:sz w:val="20"/>
                <w:szCs w:val="20"/>
                <w:vertAlign w:val="subscript"/>
              </w:rPr>
              <w:t>merge</w:t>
            </w:r>
            <w:r w:rsidRPr="009C4CF5">
              <w:rPr>
                <w:rFonts w:ascii="Arial" w:hAnsi="Arial" w:cs="Arial"/>
                <w:sz w:val="20"/>
                <w:szCs w:val="20"/>
                <w:vertAlign w:val="superscript"/>
              </w:rPr>
              <w:t>a</w:t>
            </w:r>
            <w:proofErr w:type="spellEnd"/>
          </w:p>
        </w:tc>
        <w:tc>
          <w:tcPr>
            <w:tcW w:w="1984" w:type="dxa"/>
          </w:tcPr>
          <w:p w14:paraId="70894A16" w14:textId="0DC85E8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0.</w:t>
            </w:r>
            <w:r w:rsidR="00CE2513">
              <w:rPr>
                <w:rFonts w:ascii="Arial" w:hAnsi="Arial" w:cs="Arial"/>
                <w:sz w:val="20"/>
                <w:szCs w:val="20"/>
                <w:shd w:val="clear" w:color="auto" w:fill="FAFAFA"/>
              </w:rPr>
              <w:t>065</w:t>
            </w:r>
            <w:r w:rsidRPr="009C4CF5">
              <w:rPr>
                <w:rFonts w:ascii="Arial" w:hAnsi="Arial" w:cs="Arial"/>
                <w:sz w:val="20"/>
                <w:szCs w:val="20"/>
                <w:shd w:val="clear" w:color="auto" w:fill="FAFAFA"/>
              </w:rPr>
              <w:t xml:space="preserve"> (</w:t>
            </w:r>
            <w:proofErr w:type="gramStart"/>
            <w:r w:rsidR="00CE2513">
              <w:rPr>
                <w:rFonts w:ascii="Arial" w:hAnsi="Arial" w:cs="Arial"/>
                <w:sz w:val="20"/>
                <w:szCs w:val="20"/>
                <w:shd w:val="clear" w:color="auto" w:fill="FAFAFA"/>
              </w:rPr>
              <w:t>2.903</w:t>
            </w:r>
            <w:r w:rsidRPr="009C4CF5">
              <w:rPr>
                <w:rFonts w:ascii="Arial" w:hAnsi="Arial" w:cs="Arial"/>
                <w:sz w:val="20"/>
                <w:szCs w:val="20"/>
                <w:shd w:val="clear" w:color="auto" w:fill="FAFAFA"/>
              </w:rPr>
              <w:t>)*</w:t>
            </w:r>
            <w:proofErr w:type="gramEnd"/>
          </w:p>
        </w:tc>
        <w:tc>
          <w:tcPr>
            <w:tcW w:w="1984" w:type="dxa"/>
          </w:tcPr>
          <w:p w14:paraId="22AB65FE" w14:textId="5F04B050" w:rsidR="00372386" w:rsidRPr="00E42DC8" w:rsidRDefault="00372386" w:rsidP="008518D4">
            <w:pPr>
              <w:jc w:val="both"/>
              <w:rPr>
                <w:rFonts w:ascii="Arial" w:hAnsi="Arial" w:cs="Arial"/>
                <w:sz w:val="20"/>
                <w:szCs w:val="20"/>
              </w:rPr>
            </w:pPr>
            <w:r>
              <w:rPr>
                <w:rFonts w:ascii="Arial" w:hAnsi="Arial" w:cs="Arial"/>
                <w:sz w:val="20"/>
                <w:szCs w:val="20"/>
              </w:rPr>
              <w:t>0.094 (2.113)</w:t>
            </w:r>
          </w:p>
        </w:tc>
        <w:tc>
          <w:tcPr>
            <w:tcW w:w="1984" w:type="dxa"/>
          </w:tcPr>
          <w:p w14:paraId="461FE3A8" w14:textId="1E24A415" w:rsidR="00E42DC8" w:rsidRPr="009C4CF5" w:rsidRDefault="00E42DC8" w:rsidP="008518D4">
            <w:pPr>
              <w:jc w:val="both"/>
              <w:rPr>
                <w:rFonts w:ascii="Arial" w:hAnsi="Arial" w:cs="Arial"/>
                <w:sz w:val="20"/>
                <w:szCs w:val="20"/>
              </w:rPr>
            </w:pPr>
            <w:r w:rsidRPr="009C4CF5">
              <w:rPr>
                <w:rFonts w:ascii="Arial" w:hAnsi="Arial" w:cs="Arial"/>
                <w:sz w:val="20"/>
                <w:szCs w:val="20"/>
              </w:rPr>
              <w:t>0.0</w:t>
            </w:r>
            <w:r w:rsidR="00707C47">
              <w:rPr>
                <w:rFonts w:ascii="Arial" w:hAnsi="Arial" w:cs="Arial"/>
                <w:sz w:val="20"/>
                <w:szCs w:val="20"/>
              </w:rPr>
              <w:t>59</w:t>
            </w:r>
            <w:r w:rsidRPr="009C4CF5">
              <w:rPr>
                <w:rFonts w:ascii="Arial" w:hAnsi="Arial" w:cs="Arial"/>
                <w:sz w:val="20"/>
                <w:szCs w:val="20"/>
              </w:rPr>
              <w:t xml:space="preserve"> (2.</w:t>
            </w:r>
            <w:r w:rsidR="00707C47">
              <w:rPr>
                <w:rFonts w:ascii="Arial" w:hAnsi="Arial" w:cs="Arial"/>
                <w:sz w:val="20"/>
                <w:szCs w:val="20"/>
              </w:rPr>
              <w:t>138</w:t>
            </w:r>
            <w:r w:rsidRPr="009C4CF5">
              <w:rPr>
                <w:rFonts w:ascii="Arial" w:hAnsi="Arial" w:cs="Arial"/>
                <w:sz w:val="20"/>
                <w:szCs w:val="20"/>
              </w:rPr>
              <w:t>)</w:t>
            </w:r>
          </w:p>
        </w:tc>
        <w:tc>
          <w:tcPr>
            <w:tcW w:w="1984" w:type="dxa"/>
          </w:tcPr>
          <w:p w14:paraId="59B4A6FA" w14:textId="7BFAC5CE" w:rsidR="00E42DC8" w:rsidRPr="00E42DC8" w:rsidRDefault="00866F30" w:rsidP="008518D4">
            <w:pPr>
              <w:jc w:val="both"/>
              <w:rPr>
                <w:rFonts w:ascii="Arial" w:hAnsi="Arial" w:cs="Arial"/>
                <w:sz w:val="20"/>
                <w:szCs w:val="20"/>
              </w:rPr>
            </w:pPr>
            <w:r>
              <w:rPr>
                <w:rFonts w:ascii="Arial" w:hAnsi="Arial" w:cs="Arial"/>
                <w:sz w:val="20"/>
                <w:szCs w:val="20"/>
              </w:rPr>
              <w:t>0.117 (1.341)</w:t>
            </w:r>
          </w:p>
        </w:tc>
      </w:tr>
      <w:tr w:rsidR="00372386" w:rsidRPr="00E42DC8" w14:paraId="4E92D8FC" w14:textId="77777777" w:rsidTr="00E42DC8">
        <w:trPr>
          <w:trHeight w:val="90"/>
        </w:trPr>
        <w:tc>
          <w:tcPr>
            <w:tcW w:w="1984" w:type="dxa"/>
          </w:tcPr>
          <w:p w14:paraId="1A2DF18E" w14:textId="43FCB33C" w:rsidR="00372386" w:rsidRPr="00372386" w:rsidRDefault="00372386" w:rsidP="008518D4">
            <w:pPr>
              <w:jc w:val="both"/>
              <w:rPr>
                <w:rFonts w:ascii="Arial" w:hAnsi="Arial" w:cs="Arial"/>
                <w:sz w:val="20"/>
                <w:szCs w:val="20"/>
              </w:rPr>
            </w:pPr>
            <w:proofErr w:type="spellStart"/>
            <w:r w:rsidRPr="001E2826">
              <w:rPr>
                <w:rFonts w:ascii="Arial" w:hAnsi="Arial" w:cs="Arial"/>
                <w:sz w:val="20"/>
                <w:szCs w:val="20"/>
              </w:rPr>
              <w:t>R</w:t>
            </w:r>
            <w:r w:rsidRPr="001E2826">
              <w:rPr>
                <w:rFonts w:ascii="Arial" w:hAnsi="Arial" w:cs="Arial"/>
                <w:i/>
                <w:sz w:val="20"/>
                <w:szCs w:val="20"/>
                <w:vertAlign w:val="subscript"/>
              </w:rPr>
              <w:t>pim</w:t>
            </w:r>
            <w:r w:rsidRPr="001E2826">
              <w:rPr>
                <w:rFonts w:ascii="Arial" w:hAnsi="Arial" w:cs="Arial"/>
                <w:sz w:val="20"/>
                <w:szCs w:val="20"/>
                <w:vertAlign w:val="superscript"/>
              </w:rPr>
              <w:t>b</w:t>
            </w:r>
            <w:proofErr w:type="spellEnd"/>
          </w:p>
        </w:tc>
        <w:tc>
          <w:tcPr>
            <w:tcW w:w="1984" w:type="dxa"/>
          </w:tcPr>
          <w:p w14:paraId="6F989E3D" w14:textId="4A8C71BB" w:rsidR="00372386" w:rsidRPr="00372386" w:rsidRDefault="00372386" w:rsidP="008518D4">
            <w:pPr>
              <w:jc w:val="both"/>
              <w:rPr>
                <w:rFonts w:ascii="Arial" w:hAnsi="Arial" w:cs="Arial"/>
                <w:sz w:val="20"/>
                <w:szCs w:val="20"/>
                <w:shd w:val="clear" w:color="auto" w:fill="FAFAFA"/>
              </w:rPr>
            </w:pPr>
            <w:r w:rsidRPr="001E2826">
              <w:rPr>
                <w:rFonts w:ascii="Arial" w:hAnsi="Arial" w:cs="Arial"/>
                <w:sz w:val="20"/>
                <w:szCs w:val="20"/>
                <w:shd w:val="clear" w:color="auto" w:fill="FAFAFA"/>
              </w:rPr>
              <w:t>0.0</w:t>
            </w:r>
            <w:r>
              <w:rPr>
                <w:rFonts w:ascii="Arial" w:hAnsi="Arial" w:cs="Arial"/>
                <w:sz w:val="20"/>
                <w:szCs w:val="20"/>
                <w:shd w:val="clear" w:color="auto" w:fill="FAFAFA"/>
              </w:rPr>
              <w:t>32</w:t>
            </w:r>
            <w:r w:rsidRPr="001E2826">
              <w:rPr>
                <w:rFonts w:ascii="Arial" w:hAnsi="Arial" w:cs="Arial"/>
                <w:sz w:val="20"/>
                <w:szCs w:val="20"/>
                <w:shd w:val="clear" w:color="auto" w:fill="FAFAFA"/>
              </w:rPr>
              <w:t xml:space="preserve"> (</w:t>
            </w:r>
            <w:r>
              <w:rPr>
                <w:rFonts w:ascii="Arial" w:hAnsi="Arial" w:cs="Arial"/>
                <w:sz w:val="20"/>
                <w:szCs w:val="20"/>
                <w:shd w:val="clear" w:color="auto" w:fill="FAFAFA"/>
              </w:rPr>
              <w:t>1.437</w:t>
            </w:r>
            <w:r w:rsidRPr="001E2826">
              <w:rPr>
                <w:rFonts w:ascii="Arial" w:hAnsi="Arial" w:cs="Arial"/>
                <w:sz w:val="20"/>
                <w:szCs w:val="20"/>
                <w:shd w:val="clear" w:color="auto" w:fill="FAFAFA"/>
              </w:rPr>
              <w:t>)*</w:t>
            </w:r>
          </w:p>
        </w:tc>
        <w:tc>
          <w:tcPr>
            <w:tcW w:w="1984" w:type="dxa"/>
          </w:tcPr>
          <w:p w14:paraId="4CFB7934" w14:textId="6D36F06A" w:rsidR="00372386" w:rsidRPr="00E42DC8" w:rsidRDefault="00372386" w:rsidP="008518D4">
            <w:pPr>
              <w:jc w:val="both"/>
              <w:rPr>
                <w:rFonts w:ascii="Arial" w:hAnsi="Arial" w:cs="Arial"/>
                <w:sz w:val="20"/>
                <w:szCs w:val="20"/>
              </w:rPr>
            </w:pPr>
            <w:r>
              <w:rPr>
                <w:rFonts w:ascii="Arial" w:hAnsi="Arial" w:cs="Arial"/>
                <w:sz w:val="20"/>
                <w:szCs w:val="20"/>
              </w:rPr>
              <w:t>0.050 (</w:t>
            </w:r>
            <w:r w:rsidR="008D26ED">
              <w:rPr>
                <w:rFonts w:ascii="Arial" w:hAnsi="Arial" w:cs="Arial"/>
                <w:sz w:val="20"/>
                <w:szCs w:val="20"/>
              </w:rPr>
              <w:t>1.277)</w:t>
            </w:r>
          </w:p>
        </w:tc>
        <w:tc>
          <w:tcPr>
            <w:tcW w:w="1984" w:type="dxa"/>
          </w:tcPr>
          <w:p w14:paraId="6665A112" w14:textId="0EA43A6A" w:rsidR="00372386" w:rsidRPr="00372386" w:rsidRDefault="00372386" w:rsidP="008518D4">
            <w:pPr>
              <w:jc w:val="both"/>
              <w:rPr>
                <w:rFonts w:ascii="Arial" w:hAnsi="Arial" w:cs="Arial"/>
                <w:sz w:val="20"/>
                <w:szCs w:val="20"/>
              </w:rPr>
            </w:pPr>
            <w:r w:rsidRPr="001E2826">
              <w:rPr>
                <w:rFonts w:ascii="Arial" w:hAnsi="Arial" w:cs="Arial"/>
                <w:sz w:val="20"/>
                <w:szCs w:val="20"/>
              </w:rPr>
              <w:t>0.02</w:t>
            </w:r>
            <w:r w:rsidR="00707C47">
              <w:rPr>
                <w:rFonts w:ascii="Arial" w:hAnsi="Arial" w:cs="Arial"/>
                <w:sz w:val="20"/>
                <w:szCs w:val="20"/>
              </w:rPr>
              <w:t>9</w:t>
            </w:r>
            <w:r w:rsidRPr="001E2826">
              <w:rPr>
                <w:rFonts w:ascii="Arial" w:hAnsi="Arial" w:cs="Arial"/>
                <w:sz w:val="20"/>
                <w:szCs w:val="20"/>
              </w:rPr>
              <w:t xml:space="preserve"> (</w:t>
            </w:r>
            <w:r w:rsidR="00707C47">
              <w:rPr>
                <w:rFonts w:ascii="Arial" w:hAnsi="Arial" w:cs="Arial"/>
                <w:sz w:val="20"/>
                <w:szCs w:val="20"/>
              </w:rPr>
              <w:t>1.044</w:t>
            </w:r>
            <w:r w:rsidRPr="001E2826">
              <w:rPr>
                <w:rFonts w:ascii="Arial" w:hAnsi="Arial" w:cs="Arial"/>
                <w:sz w:val="20"/>
                <w:szCs w:val="20"/>
              </w:rPr>
              <w:t>)</w:t>
            </w:r>
          </w:p>
        </w:tc>
        <w:tc>
          <w:tcPr>
            <w:tcW w:w="1984" w:type="dxa"/>
          </w:tcPr>
          <w:p w14:paraId="63E11FEE" w14:textId="0539CA15" w:rsidR="00372386" w:rsidRPr="00E42DC8" w:rsidRDefault="00866F30" w:rsidP="008518D4">
            <w:pPr>
              <w:jc w:val="both"/>
              <w:rPr>
                <w:rFonts w:ascii="Arial" w:hAnsi="Arial" w:cs="Arial"/>
                <w:sz w:val="20"/>
                <w:szCs w:val="20"/>
              </w:rPr>
            </w:pPr>
            <w:r>
              <w:rPr>
                <w:rFonts w:ascii="Arial" w:hAnsi="Arial" w:cs="Arial"/>
                <w:sz w:val="20"/>
                <w:szCs w:val="20"/>
              </w:rPr>
              <w:t>0.090 (1.138)</w:t>
            </w:r>
          </w:p>
        </w:tc>
      </w:tr>
      <w:tr w:rsidR="00E42DC8" w:rsidRPr="00E42DC8" w14:paraId="4927CA96" w14:textId="0276B691" w:rsidTr="009C4CF5">
        <w:trPr>
          <w:trHeight w:val="90"/>
        </w:trPr>
        <w:tc>
          <w:tcPr>
            <w:tcW w:w="1984" w:type="dxa"/>
          </w:tcPr>
          <w:p w14:paraId="12CD8DD6" w14:textId="77777777" w:rsidR="00E42DC8" w:rsidRPr="009C4CF5" w:rsidRDefault="00E42DC8" w:rsidP="008518D4">
            <w:pPr>
              <w:jc w:val="both"/>
              <w:rPr>
                <w:rFonts w:ascii="Arial" w:hAnsi="Arial" w:cs="Arial"/>
                <w:sz w:val="20"/>
                <w:szCs w:val="20"/>
                <w:vertAlign w:val="superscript"/>
              </w:rPr>
            </w:pPr>
            <w:r w:rsidRPr="009C4CF5">
              <w:rPr>
                <w:rFonts w:ascii="Arial" w:hAnsi="Arial" w:cs="Arial"/>
                <w:sz w:val="20"/>
                <w:szCs w:val="20"/>
              </w:rPr>
              <w:t>CC</w:t>
            </w:r>
            <w:r w:rsidRPr="009C4CF5">
              <w:rPr>
                <w:rFonts w:ascii="Arial" w:hAnsi="Arial" w:cs="Arial"/>
                <w:sz w:val="20"/>
                <w:szCs w:val="20"/>
                <w:vertAlign w:val="subscript"/>
              </w:rPr>
              <w:t>1/2</w:t>
            </w:r>
            <w:r w:rsidRPr="009C4CF5">
              <w:rPr>
                <w:rFonts w:ascii="Arial" w:hAnsi="Arial" w:cs="Arial"/>
                <w:sz w:val="20"/>
                <w:szCs w:val="20"/>
                <w:vertAlign w:val="superscript"/>
              </w:rPr>
              <w:t>*</w:t>
            </w:r>
          </w:p>
        </w:tc>
        <w:tc>
          <w:tcPr>
            <w:tcW w:w="1984" w:type="dxa"/>
          </w:tcPr>
          <w:p w14:paraId="72C6F4D9"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0.999 (0.374)</w:t>
            </w:r>
          </w:p>
        </w:tc>
        <w:tc>
          <w:tcPr>
            <w:tcW w:w="1984" w:type="dxa"/>
          </w:tcPr>
          <w:p w14:paraId="235953CB" w14:textId="1A977524" w:rsidR="00E42DC8" w:rsidRPr="00E42DC8" w:rsidRDefault="008D26ED" w:rsidP="008518D4">
            <w:pPr>
              <w:jc w:val="both"/>
              <w:rPr>
                <w:rFonts w:ascii="Arial" w:hAnsi="Arial" w:cs="Arial"/>
                <w:sz w:val="20"/>
                <w:szCs w:val="20"/>
              </w:rPr>
            </w:pPr>
            <w:r>
              <w:rPr>
                <w:rFonts w:ascii="Arial" w:hAnsi="Arial" w:cs="Arial"/>
                <w:sz w:val="20"/>
                <w:szCs w:val="20"/>
              </w:rPr>
              <w:t>0.980 (0.265)</w:t>
            </w:r>
          </w:p>
        </w:tc>
        <w:tc>
          <w:tcPr>
            <w:tcW w:w="1984" w:type="dxa"/>
          </w:tcPr>
          <w:p w14:paraId="55AC2C2E" w14:textId="2474792C" w:rsidR="00E42DC8" w:rsidRPr="009C4CF5" w:rsidRDefault="00E42DC8" w:rsidP="008518D4">
            <w:pPr>
              <w:jc w:val="both"/>
              <w:rPr>
                <w:rFonts w:ascii="Arial" w:hAnsi="Arial" w:cs="Arial"/>
                <w:sz w:val="20"/>
                <w:szCs w:val="20"/>
              </w:rPr>
            </w:pPr>
            <w:r w:rsidRPr="009C4CF5">
              <w:rPr>
                <w:rFonts w:ascii="Arial" w:hAnsi="Arial" w:cs="Arial"/>
                <w:sz w:val="20"/>
                <w:szCs w:val="20"/>
              </w:rPr>
              <w:t>1.00 (0.439)</w:t>
            </w:r>
          </w:p>
        </w:tc>
        <w:tc>
          <w:tcPr>
            <w:tcW w:w="1984" w:type="dxa"/>
          </w:tcPr>
          <w:p w14:paraId="1F4681D0" w14:textId="5D3BA3BE" w:rsidR="00E42DC8" w:rsidRPr="00E42DC8" w:rsidRDefault="00866F30" w:rsidP="008518D4">
            <w:pPr>
              <w:jc w:val="both"/>
              <w:rPr>
                <w:rFonts w:ascii="Arial" w:hAnsi="Arial" w:cs="Arial"/>
                <w:sz w:val="20"/>
                <w:szCs w:val="20"/>
              </w:rPr>
            </w:pPr>
            <w:r>
              <w:rPr>
                <w:rFonts w:ascii="Arial" w:hAnsi="Arial" w:cs="Arial"/>
                <w:sz w:val="20"/>
                <w:szCs w:val="20"/>
              </w:rPr>
              <w:t>0.988 (0.321)</w:t>
            </w:r>
          </w:p>
        </w:tc>
      </w:tr>
      <w:tr w:rsidR="00E42DC8" w:rsidRPr="00E42DC8" w14:paraId="30665FC7" w14:textId="6EEED7B0" w:rsidTr="009C4CF5">
        <w:trPr>
          <w:trHeight w:val="23"/>
        </w:trPr>
        <w:tc>
          <w:tcPr>
            <w:tcW w:w="1984" w:type="dxa"/>
          </w:tcPr>
          <w:p w14:paraId="1693A939" w14:textId="77777777" w:rsidR="00E42DC8" w:rsidRPr="009C4CF5" w:rsidRDefault="00E42DC8" w:rsidP="008518D4">
            <w:pPr>
              <w:jc w:val="both"/>
              <w:rPr>
                <w:rFonts w:ascii="Arial" w:hAnsi="Arial" w:cs="Arial"/>
                <w:i/>
                <w:sz w:val="20"/>
                <w:szCs w:val="20"/>
              </w:rPr>
            </w:pPr>
            <w:r w:rsidRPr="009C4CF5">
              <w:rPr>
                <w:rFonts w:ascii="Arial" w:hAnsi="Arial" w:cs="Arial"/>
                <w:i/>
                <w:sz w:val="20"/>
                <w:szCs w:val="20"/>
              </w:rPr>
              <w:t>I</w:t>
            </w:r>
            <w:r w:rsidRPr="009C4CF5">
              <w:rPr>
                <w:rFonts w:ascii="Arial" w:hAnsi="Arial" w:cs="Arial"/>
                <w:sz w:val="20"/>
                <w:szCs w:val="20"/>
              </w:rPr>
              <w:t xml:space="preserve"> / </w:t>
            </w:r>
            <w:r w:rsidRPr="009C4CF5">
              <w:rPr>
                <w:rFonts w:ascii="Arial" w:eastAsia="MS Gothic" w:hAnsi="Arial" w:cs="Arial"/>
                <w:sz w:val="20"/>
                <w:szCs w:val="20"/>
              </w:rPr>
              <w:t>σ</w:t>
            </w:r>
            <w:r w:rsidRPr="009C4CF5">
              <w:rPr>
                <w:rFonts w:ascii="Arial" w:hAnsi="Arial" w:cs="Arial"/>
                <w:sz w:val="20"/>
                <w:szCs w:val="20"/>
              </w:rPr>
              <w:t>(</w:t>
            </w:r>
            <w:r w:rsidRPr="009C4CF5">
              <w:rPr>
                <w:rFonts w:ascii="Arial" w:hAnsi="Arial" w:cs="Arial"/>
                <w:i/>
                <w:sz w:val="20"/>
                <w:szCs w:val="20"/>
              </w:rPr>
              <w:t>I)</w:t>
            </w:r>
          </w:p>
        </w:tc>
        <w:tc>
          <w:tcPr>
            <w:tcW w:w="1984" w:type="dxa"/>
          </w:tcPr>
          <w:p w14:paraId="39CFA32F" w14:textId="5D407DB9"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1</w:t>
            </w:r>
            <w:r w:rsidR="00CE2513">
              <w:rPr>
                <w:rFonts w:ascii="Arial" w:hAnsi="Arial" w:cs="Arial"/>
                <w:sz w:val="20"/>
                <w:szCs w:val="20"/>
                <w:shd w:val="clear" w:color="auto" w:fill="FAFAFA"/>
              </w:rPr>
              <w:t>5,1</w:t>
            </w:r>
            <w:r w:rsidRPr="009C4CF5">
              <w:rPr>
                <w:rFonts w:ascii="Arial" w:hAnsi="Arial" w:cs="Arial"/>
                <w:sz w:val="20"/>
                <w:szCs w:val="20"/>
                <w:shd w:val="clear" w:color="auto" w:fill="FAFAFA"/>
              </w:rPr>
              <w:t xml:space="preserve"> (</w:t>
            </w:r>
            <w:r w:rsidR="00CE2513">
              <w:rPr>
                <w:rFonts w:ascii="Arial" w:hAnsi="Arial" w:cs="Arial"/>
                <w:sz w:val="20"/>
                <w:szCs w:val="20"/>
                <w:shd w:val="clear" w:color="auto" w:fill="FAFAFA"/>
              </w:rPr>
              <w:t>0.7</w:t>
            </w:r>
            <w:r w:rsidRPr="009C4CF5">
              <w:rPr>
                <w:rFonts w:ascii="Arial" w:hAnsi="Arial" w:cs="Arial"/>
                <w:sz w:val="20"/>
                <w:szCs w:val="20"/>
                <w:shd w:val="clear" w:color="auto" w:fill="FAFAFA"/>
              </w:rPr>
              <w:t>)</w:t>
            </w:r>
          </w:p>
        </w:tc>
        <w:tc>
          <w:tcPr>
            <w:tcW w:w="1984" w:type="dxa"/>
          </w:tcPr>
          <w:p w14:paraId="047FFF51" w14:textId="427E2262" w:rsidR="00E42DC8" w:rsidRPr="00E42DC8" w:rsidRDefault="008D26ED" w:rsidP="008518D4">
            <w:pPr>
              <w:jc w:val="both"/>
              <w:rPr>
                <w:rFonts w:ascii="Arial" w:hAnsi="Arial" w:cs="Arial"/>
                <w:sz w:val="20"/>
                <w:szCs w:val="20"/>
              </w:rPr>
            </w:pPr>
            <w:r>
              <w:rPr>
                <w:rFonts w:ascii="Arial" w:hAnsi="Arial" w:cs="Arial"/>
                <w:sz w:val="20"/>
                <w:szCs w:val="20"/>
              </w:rPr>
              <w:t>8.0 (0.9)</w:t>
            </w:r>
          </w:p>
        </w:tc>
        <w:tc>
          <w:tcPr>
            <w:tcW w:w="1984" w:type="dxa"/>
          </w:tcPr>
          <w:p w14:paraId="6DB413BE" w14:textId="34F05F2D" w:rsidR="00E42DC8" w:rsidRPr="009C4CF5" w:rsidRDefault="00E42DC8" w:rsidP="008518D4">
            <w:pPr>
              <w:jc w:val="both"/>
              <w:rPr>
                <w:rFonts w:ascii="Arial" w:hAnsi="Arial" w:cs="Arial"/>
                <w:sz w:val="20"/>
                <w:szCs w:val="20"/>
              </w:rPr>
            </w:pPr>
            <w:r w:rsidRPr="009C4CF5">
              <w:rPr>
                <w:rFonts w:ascii="Arial" w:hAnsi="Arial" w:cs="Arial"/>
                <w:sz w:val="20"/>
                <w:szCs w:val="20"/>
              </w:rPr>
              <w:t>19.2 (1.0)</w:t>
            </w:r>
          </w:p>
        </w:tc>
        <w:tc>
          <w:tcPr>
            <w:tcW w:w="1984" w:type="dxa"/>
          </w:tcPr>
          <w:p w14:paraId="5BD56496" w14:textId="2EF0C240" w:rsidR="00E42DC8" w:rsidRPr="00E42DC8" w:rsidRDefault="00866F30" w:rsidP="008518D4">
            <w:pPr>
              <w:jc w:val="both"/>
              <w:rPr>
                <w:rFonts w:ascii="Arial" w:hAnsi="Arial" w:cs="Arial"/>
                <w:sz w:val="20"/>
                <w:szCs w:val="20"/>
              </w:rPr>
            </w:pPr>
            <w:r>
              <w:rPr>
                <w:rFonts w:ascii="Arial" w:hAnsi="Arial" w:cs="Arial"/>
                <w:sz w:val="20"/>
                <w:szCs w:val="20"/>
              </w:rPr>
              <w:t>5.3 (0.7)</w:t>
            </w:r>
          </w:p>
        </w:tc>
      </w:tr>
      <w:tr w:rsidR="00E42DC8" w:rsidRPr="00E42DC8" w14:paraId="4467780A" w14:textId="2480ACAE" w:rsidTr="009C4CF5">
        <w:trPr>
          <w:trHeight w:val="23"/>
        </w:trPr>
        <w:tc>
          <w:tcPr>
            <w:tcW w:w="1984" w:type="dxa"/>
          </w:tcPr>
          <w:p w14:paraId="62752397"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Completeness, %</w:t>
            </w:r>
          </w:p>
        </w:tc>
        <w:tc>
          <w:tcPr>
            <w:tcW w:w="1984" w:type="dxa"/>
          </w:tcPr>
          <w:p w14:paraId="42E350F1"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99.9 (99.9)</w:t>
            </w:r>
          </w:p>
        </w:tc>
        <w:tc>
          <w:tcPr>
            <w:tcW w:w="1984" w:type="dxa"/>
          </w:tcPr>
          <w:p w14:paraId="6CFA763B" w14:textId="486C4D61" w:rsidR="00E42DC8" w:rsidRPr="00E42DC8" w:rsidRDefault="008D26ED" w:rsidP="008518D4">
            <w:pPr>
              <w:jc w:val="both"/>
              <w:rPr>
                <w:rFonts w:ascii="Arial" w:hAnsi="Arial" w:cs="Arial"/>
                <w:sz w:val="20"/>
                <w:szCs w:val="20"/>
              </w:rPr>
            </w:pPr>
            <w:r>
              <w:rPr>
                <w:rFonts w:ascii="Arial" w:hAnsi="Arial" w:cs="Arial"/>
                <w:sz w:val="20"/>
                <w:szCs w:val="20"/>
              </w:rPr>
              <w:t>99.9 (100)</w:t>
            </w:r>
          </w:p>
        </w:tc>
        <w:tc>
          <w:tcPr>
            <w:tcW w:w="1984" w:type="dxa"/>
          </w:tcPr>
          <w:p w14:paraId="25A4F569" w14:textId="3D728238" w:rsidR="00E42DC8" w:rsidRPr="009C4CF5" w:rsidRDefault="00E42DC8" w:rsidP="008518D4">
            <w:pPr>
              <w:jc w:val="both"/>
              <w:rPr>
                <w:rFonts w:ascii="Arial" w:hAnsi="Arial" w:cs="Arial"/>
                <w:sz w:val="20"/>
                <w:szCs w:val="20"/>
              </w:rPr>
            </w:pPr>
            <w:r w:rsidRPr="009C4CF5">
              <w:rPr>
                <w:rFonts w:ascii="Arial" w:hAnsi="Arial" w:cs="Arial"/>
                <w:sz w:val="20"/>
                <w:szCs w:val="20"/>
              </w:rPr>
              <w:t>100 (99.9)</w:t>
            </w:r>
          </w:p>
        </w:tc>
        <w:tc>
          <w:tcPr>
            <w:tcW w:w="1984" w:type="dxa"/>
          </w:tcPr>
          <w:p w14:paraId="776D4F0C" w14:textId="74320F41" w:rsidR="00E42DC8" w:rsidRPr="00E42DC8" w:rsidRDefault="00866F30" w:rsidP="008518D4">
            <w:pPr>
              <w:jc w:val="both"/>
              <w:rPr>
                <w:rFonts w:ascii="Arial" w:hAnsi="Arial" w:cs="Arial"/>
                <w:sz w:val="20"/>
                <w:szCs w:val="20"/>
              </w:rPr>
            </w:pPr>
            <w:r>
              <w:rPr>
                <w:rFonts w:ascii="Arial" w:hAnsi="Arial" w:cs="Arial"/>
                <w:sz w:val="20"/>
                <w:szCs w:val="20"/>
              </w:rPr>
              <w:t>99.9 (99.2)</w:t>
            </w:r>
          </w:p>
        </w:tc>
      </w:tr>
      <w:tr w:rsidR="00E42DC8" w:rsidRPr="00E42DC8" w14:paraId="72AA8309" w14:textId="377E7645" w:rsidTr="009C4CF5">
        <w:trPr>
          <w:trHeight w:val="23"/>
        </w:trPr>
        <w:tc>
          <w:tcPr>
            <w:tcW w:w="1984" w:type="dxa"/>
          </w:tcPr>
          <w:p w14:paraId="5074E8A1"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Redundancy</w:t>
            </w:r>
          </w:p>
        </w:tc>
        <w:tc>
          <w:tcPr>
            <w:tcW w:w="1984" w:type="dxa"/>
          </w:tcPr>
          <w:p w14:paraId="300D4FE4" w14:textId="77777777" w:rsidR="00E42DC8" w:rsidRPr="009C4CF5" w:rsidRDefault="00E42DC8" w:rsidP="008518D4">
            <w:pPr>
              <w:jc w:val="both"/>
              <w:rPr>
                <w:rFonts w:ascii="Arial" w:hAnsi="Arial" w:cs="Arial"/>
                <w:sz w:val="20"/>
                <w:szCs w:val="20"/>
                <w:shd w:val="clear" w:color="auto" w:fill="FAFAFA"/>
              </w:rPr>
            </w:pPr>
            <w:r w:rsidRPr="009C4CF5">
              <w:rPr>
                <w:rFonts w:ascii="Arial" w:hAnsi="Arial" w:cs="Arial"/>
                <w:sz w:val="20"/>
                <w:szCs w:val="20"/>
                <w:shd w:val="clear" w:color="auto" w:fill="FAFAFA"/>
              </w:rPr>
              <w:t>14.7 (10.1)</w:t>
            </w:r>
          </w:p>
        </w:tc>
        <w:tc>
          <w:tcPr>
            <w:tcW w:w="1984" w:type="dxa"/>
          </w:tcPr>
          <w:p w14:paraId="3421DB9F" w14:textId="37AF18AD" w:rsidR="00E42DC8" w:rsidRPr="00E42DC8" w:rsidRDefault="008D26ED" w:rsidP="008518D4">
            <w:pPr>
              <w:jc w:val="both"/>
              <w:rPr>
                <w:rFonts w:ascii="Arial" w:hAnsi="Arial" w:cs="Arial"/>
                <w:sz w:val="20"/>
                <w:szCs w:val="20"/>
              </w:rPr>
            </w:pPr>
            <w:r>
              <w:rPr>
                <w:rFonts w:ascii="Arial" w:hAnsi="Arial" w:cs="Arial"/>
                <w:sz w:val="20"/>
                <w:szCs w:val="20"/>
              </w:rPr>
              <w:t>8.9 (7.4)</w:t>
            </w:r>
          </w:p>
        </w:tc>
        <w:tc>
          <w:tcPr>
            <w:tcW w:w="1984" w:type="dxa"/>
          </w:tcPr>
          <w:p w14:paraId="09BEAAC8" w14:textId="0E23FC33" w:rsidR="00E42DC8" w:rsidRPr="009C4CF5" w:rsidRDefault="00707C47" w:rsidP="008518D4">
            <w:pPr>
              <w:jc w:val="both"/>
              <w:rPr>
                <w:rFonts w:ascii="Arial" w:hAnsi="Arial" w:cs="Arial"/>
                <w:sz w:val="20"/>
                <w:szCs w:val="20"/>
              </w:rPr>
            </w:pPr>
            <w:r>
              <w:rPr>
                <w:rFonts w:ascii="Arial" w:hAnsi="Arial" w:cs="Arial"/>
                <w:sz w:val="20"/>
                <w:szCs w:val="20"/>
              </w:rPr>
              <w:t>10.2 (10.4)</w:t>
            </w:r>
          </w:p>
        </w:tc>
        <w:tc>
          <w:tcPr>
            <w:tcW w:w="1984" w:type="dxa"/>
          </w:tcPr>
          <w:p w14:paraId="098C1919" w14:textId="0C82FD16" w:rsidR="00E42DC8" w:rsidRPr="00E42DC8" w:rsidRDefault="00866F30" w:rsidP="008518D4">
            <w:pPr>
              <w:jc w:val="both"/>
              <w:rPr>
                <w:rFonts w:ascii="Arial" w:hAnsi="Arial" w:cs="Arial"/>
                <w:sz w:val="20"/>
                <w:szCs w:val="20"/>
              </w:rPr>
            </w:pPr>
            <w:r>
              <w:rPr>
                <w:rFonts w:ascii="Arial" w:hAnsi="Arial" w:cs="Arial"/>
                <w:sz w:val="20"/>
                <w:szCs w:val="20"/>
              </w:rPr>
              <w:t>4.5 (3.3)</w:t>
            </w:r>
          </w:p>
        </w:tc>
      </w:tr>
      <w:tr w:rsidR="00E42DC8" w:rsidRPr="00E42DC8" w14:paraId="5C279943" w14:textId="77777777" w:rsidTr="0041739F">
        <w:trPr>
          <w:trHeight w:val="23"/>
        </w:trPr>
        <w:tc>
          <w:tcPr>
            <w:tcW w:w="9920" w:type="dxa"/>
            <w:gridSpan w:val="5"/>
          </w:tcPr>
          <w:p w14:paraId="7AA9B8E8" w14:textId="7745B712" w:rsidR="00E42DC8" w:rsidRPr="00E42DC8" w:rsidRDefault="00E42DC8" w:rsidP="008518D4">
            <w:pPr>
              <w:jc w:val="both"/>
              <w:rPr>
                <w:rFonts w:ascii="Arial" w:hAnsi="Arial" w:cs="Arial"/>
                <w:sz w:val="20"/>
                <w:szCs w:val="20"/>
              </w:rPr>
            </w:pPr>
            <w:r w:rsidRPr="009C4CF5">
              <w:rPr>
                <w:rFonts w:ascii="Arial" w:hAnsi="Arial" w:cs="Arial"/>
                <w:i/>
                <w:iCs/>
                <w:sz w:val="20"/>
                <w:szCs w:val="20"/>
              </w:rPr>
              <w:t>Refinement</w:t>
            </w:r>
          </w:p>
        </w:tc>
      </w:tr>
      <w:tr w:rsidR="00E42DC8" w:rsidRPr="00E42DC8" w14:paraId="51DBAC07" w14:textId="5B5161B5" w:rsidTr="009C4CF5">
        <w:trPr>
          <w:trHeight w:val="23"/>
        </w:trPr>
        <w:tc>
          <w:tcPr>
            <w:tcW w:w="1984" w:type="dxa"/>
          </w:tcPr>
          <w:p w14:paraId="2FC03AB5"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Resolution, Å</w:t>
            </w:r>
          </w:p>
        </w:tc>
        <w:tc>
          <w:tcPr>
            <w:tcW w:w="1984" w:type="dxa"/>
          </w:tcPr>
          <w:p w14:paraId="7C99084B" w14:textId="158EE9C7" w:rsidR="00E42DC8" w:rsidRPr="009C4CF5" w:rsidRDefault="00E42DC8" w:rsidP="008518D4">
            <w:pPr>
              <w:jc w:val="both"/>
              <w:rPr>
                <w:rFonts w:ascii="Arial" w:hAnsi="Arial" w:cs="Arial"/>
                <w:sz w:val="20"/>
                <w:szCs w:val="20"/>
              </w:rPr>
            </w:pPr>
            <w:r w:rsidRPr="009C4CF5">
              <w:rPr>
                <w:rFonts w:ascii="Arial" w:hAnsi="Arial" w:cs="Arial"/>
                <w:sz w:val="20"/>
                <w:szCs w:val="20"/>
              </w:rPr>
              <w:t>29.</w:t>
            </w:r>
            <w:r w:rsidR="00CE2513">
              <w:rPr>
                <w:rFonts w:ascii="Arial" w:hAnsi="Arial" w:cs="Arial"/>
                <w:sz w:val="20"/>
                <w:szCs w:val="20"/>
              </w:rPr>
              <w:t>18</w:t>
            </w:r>
            <w:r w:rsidRPr="009C4CF5">
              <w:rPr>
                <w:rFonts w:ascii="Arial" w:hAnsi="Arial" w:cs="Arial"/>
                <w:sz w:val="20"/>
                <w:szCs w:val="20"/>
              </w:rPr>
              <w:t xml:space="preserve"> – 2.42</w:t>
            </w:r>
          </w:p>
        </w:tc>
        <w:tc>
          <w:tcPr>
            <w:tcW w:w="1984" w:type="dxa"/>
          </w:tcPr>
          <w:p w14:paraId="363E70D2" w14:textId="53CC531E" w:rsidR="00E42DC8" w:rsidRPr="00E42DC8" w:rsidRDefault="008D26ED" w:rsidP="008518D4">
            <w:pPr>
              <w:jc w:val="both"/>
              <w:rPr>
                <w:rFonts w:ascii="Arial" w:hAnsi="Arial" w:cs="Arial"/>
                <w:sz w:val="20"/>
                <w:szCs w:val="20"/>
              </w:rPr>
            </w:pPr>
            <w:r>
              <w:rPr>
                <w:rFonts w:ascii="Arial" w:hAnsi="Arial" w:cs="Arial"/>
                <w:sz w:val="20"/>
                <w:szCs w:val="20"/>
              </w:rPr>
              <w:t>66.14 – 2.33</w:t>
            </w:r>
          </w:p>
        </w:tc>
        <w:tc>
          <w:tcPr>
            <w:tcW w:w="1984" w:type="dxa"/>
          </w:tcPr>
          <w:p w14:paraId="15E01D95" w14:textId="760EF0F2" w:rsidR="00E42DC8" w:rsidRPr="009C4CF5" w:rsidRDefault="00E42DC8" w:rsidP="008518D4">
            <w:pPr>
              <w:jc w:val="both"/>
              <w:rPr>
                <w:rFonts w:ascii="Arial" w:hAnsi="Arial" w:cs="Arial"/>
                <w:sz w:val="20"/>
                <w:szCs w:val="20"/>
              </w:rPr>
            </w:pPr>
            <w:r w:rsidRPr="009C4CF5">
              <w:rPr>
                <w:rFonts w:ascii="Arial" w:hAnsi="Arial" w:cs="Arial"/>
                <w:sz w:val="20"/>
                <w:szCs w:val="20"/>
              </w:rPr>
              <w:t>29.11 – 2.03</w:t>
            </w:r>
          </w:p>
        </w:tc>
        <w:tc>
          <w:tcPr>
            <w:tcW w:w="1984" w:type="dxa"/>
          </w:tcPr>
          <w:p w14:paraId="5C1E3C49" w14:textId="61D47859" w:rsidR="00E42DC8" w:rsidRPr="00E42DC8" w:rsidRDefault="00866F30" w:rsidP="008518D4">
            <w:pPr>
              <w:jc w:val="both"/>
              <w:rPr>
                <w:rFonts w:ascii="Arial" w:hAnsi="Arial" w:cs="Arial"/>
                <w:sz w:val="20"/>
                <w:szCs w:val="20"/>
              </w:rPr>
            </w:pPr>
            <w:r>
              <w:rPr>
                <w:rFonts w:ascii="Arial" w:hAnsi="Arial" w:cs="Arial"/>
                <w:sz w:val="20"/>
                <w:szCs w:val="20"/>
              </w:rPr>
              <w:t>47.62 – 2.30</w:t>
            </w:r>
          </w:p>
        </w:tc>
      </w:tr>
      <w:tr w:rsidR="00E42DC8" w:rsidRPr="00E42DC8" w14:paraId="2E9A832A" w14:textId="0EFBAD11" w:rsidTr="009C4CF5">
        <w:trPr>
          <w:trHeight w:val="253"/>
        </w:trPr>
        <w:tc>
          <w:tcPr>
            <w:tcW w:w="1984" w:type="dxa"/>
          </w:tcPr>
          <w:p w14:paraId="73636CA5"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No. unique reflections: working, test</w:t>
            </w:r>
          </w:p>
        </w:tc>
        <w:tc>
          <w:tcPr>
            <w:tcW w:w="1984" w:type="dxa"/>
          </w:tcPr>
          <w:p w14:paraId="484BE98E" w14:textId="0E47283E" w:rsidR="00E42DC8" w:rsidRPr="009C4CF5" w:rsidRDefault="00E42DC8" w:rsidP="008518D4">
            <w:pPr>
              <w:jc w:val="both"/>
              <w:rPr>
                <w:rFonts w:ascii="Arial" w:hAnsi="Arial" w:cs="Arial"/>
                <w:sz w:val="20"/>
                <w:szCs w:val="20"/>
              </w:rPr>
            </w:pPr>
            <w:r w:rsidRPr="009C4CF5">
              <w:rPr>
                <w:rFonts w:ascii="Arial" w:hAnsi="Arial" w:cs="Arial"/>
                <w:sz w:val="20"/>
                <w:szCs w:val="20"/>
              </w:rPr>
              <w:t>142</w:t>
            </w:r>
            <w:r w:rsidR="00CE2513">
              <w:rPr>
                <w:rFonts w:ascii="Arial" w:hAnsi="Arial" w:cs="Arial"/>
                <w:sz w:val="20"/>
                <w:szCs w:val="20"/>
              </w:rPr>
              <w:t>02</w:t>
            </w:r>
            <w:r w:rsidRPr="009C4CF5">
              <w:rPr>
                <w:rFonts w:ascii="Arial" w:hAnsi="Arial" w:cs="Arial"/>
                <w:sz w:val="20"/>
                <w:szCs w:val="20"/>
              </w:rPr>
              <w:t>, 62</w:t>
            </w:r>
            <w:r w:rsidR="00CE2513">
              <w:rPr>
                <w:rFonts w:ascii="Arial" w:hAnsi="Arial" w:cs="Arial"/>
                <w:sz w:val="20"/>
                <w:szCs w:val="20"/>
              </w:rPr>
              <w:t>5</w:t>
            </w:r>
          </w:p>
        </w:tc>
        <w:tc>
          <w:tcPr>
            <w:tcW w:w="1984" w:type="dxa"/>
          </w:tcPr>
          <w:p w14:paraId="4CE28B1C" w14:textId="0855E764" w:rsidR="00E42DC8" w:rsidRPr="00E42DC8" w:rsidRDefault="008D26ED" w:rsidP="008518D4">
            <w:pPr>
              <w:jc w:val="both"/>
              <w:rPr>
                <w:rFonts w:ascii="Arial" w:hAnsi="Arial" w:cs="Arial"/>
                <w:sz w:val="20"/>
                <w:szCs w:val="20"/>
              </w:rPr>
            </w:pPr>
            <w:r>
              <w:rPr>
                <w:rFonts w:ascii="Arial" w:hAnsi="Arial" w:cs="Arial"/>
                <w:sz w:val="20"/>
                <w:szCs w:val="20"/>
              </w:rPr>
              <w:t>15954, 822</w:t>
            </w:r>
          </w:p>
        </w:tc>
        <w:tc>
          <w:tcPr>
            <w:tcW w:w="1984" w:type="dxa"/>
          </w:tcPr>
          <w:p w14:paraId="234BD0EB" w14:textId="147AFA57" w:rsidR="00E42DC8" w:rsidRPr="009C4CF5" w:rsidRDefault="00E42DC8" w:rsidP="008518D4">
            <w:pPr>
              <w:jc w:val="both"/>
              <w:rPr>
                <w:rFonts w:ascii="Arial" w:hAnsi="Arial" w:cs="Arial"/>
                <w:sz w:val="20"/>
                <w:szCs w:val="20"/>
              </w:rPr>
            </w:pPr>
            <w:r w:rsidRPr="009C4CF5">
              <w:rPr>
                <w:rFonts w:ascii="Arial" w:hAnsi="Arial" w:cs="Arial"/>
                <w:sz w:val="20"/>
                <w:szCs w:val="20"/>
              </w:rPr>
              <w:t>24095, 1205</w:t>
            </w:r>
          </w:p>
        </w:tc>
        <w:tc>
          <w:tcPr>
            <w:tcW w:w="1984" w:type="dxa"/>
          </w:tcPr>
          <w:p w14:paraId="682B11E8" w14:textId="56F12B35" w:rsidR="00E42DC8" w:rsidRPr="00E42DC8" w:rsidRDefault="00866F30" w:rsidP="008518D4">
            <w:pPr>
              <w:jc w:val="both"/>
              <w:rPr>
                <w:rFonts w:ascii="Arial" w:hAnsi="Arial" w:cs="Arial"/>
                <w:sz w:val="20"/>
                <w:szCs w:val="20"/>
              </w:rPr>
            </w:pPr>
            <w:r>
              <w:rPr>
                <w:rFonts w:ascii="Arial" w:hAnsi="Arial" w:cs="Arial"/>
                <w:sz w:val="20"/>
                <w:szCs w:val="20"/>
              </w:rPr>
              <w:t>16481, 976</w:t>
            </w:r>
          </w:p>
        </w:tc>
      </w:tr>
      <w:tr w:rsidR="00E42DC8" w:rsidRPr="00E42DC8" w14:paraId="533D4AD1" w14:textId="575ADBFA" w:rsidTr="009C4CF5">
        <w:trPr>
          <w:trHeight w:val="23"/>
        </w:trPr>
        <w:tc>
          <w:tcPr>
            <w:tcW w:w="1984" w:type="dxa"/>
          </w:tcPr>
          <w:p w14:paraId="78A6BA25" w14:textId="77777777" w:rsidR="00E42DC8" w:rsidRPr="009C4CF5" w:rsidRDefault="00E42DC8" w:rsidP="008518D4">
            <w:pPr>
              <w:jc w:val="both"/>
              <w:rPr>
                <w:rFonts w:ascii="Arial" w:hAnsi="Arial" w:cs="Arial"/>
                <w:sz w:val="20"/>
                <w:szCs w:val="20"/>
                <w:vertAlign w:val="superscript"/>
              </w:rPr>
            </w:pPr>
            <w:proofErr w:type="spellStart"/>
            <w:r w:rsidRPr="009C4CF5">
              <w:rPr>
                <w:rFonts w:ascii="Arial" w:hAnsi="Arial" w:cs="Arial"/>
                <w:i/>
                <w:sz w:val="20"/>
                <w:szCs w:val="20"/>
              </w:rPr>
              <w:t>R</w:t>
            </w:r>
            <w:r w:rsidRPr="009C4CF5">
              <w:rPr>
                <w:rFonts w:ascii="Arial" w:hAnsi="Arial" w:cs="Arial"/>
                <w:sz w:val="20"/>
                <w:szCs w:val="20"/>
                <w:vertAlign w:val="subscript"/>
              </w:rPr>
              <w:t>work</w:t>
            </w:r>
            <w:proofErr w:type="spellEnd"/>
            <w:r w:rsidRPr="009C4CF5">
              <w:rPr>
                <w:rFonts w:ascii="Arial" w:hAnsi="Arial" w:cs="Arial"/>
                <w:sz w:val="20"/>
                <w:szCs w:val="20"/>
              </w:rPr>
              <w:t>/</w:t>
            </w:r>
            <w:proofErr w:type="spellStart"/>
            <w:r w:rsidRPr="009C4CF5">
              <w:rPr>
                <w:rFonts w:ascii="Arial" w:hAnsi="Arial" w:cs="Arial"/>
                <w:i/>
                <w:sz w:val="20"/>
                <w:szCs w:val="20"/>
              </w:rPr>
              <w:t>R</w:t>
            </w:r>
            <w:r w:rsidRPr="009C4CF5">
              <w:rPr>
                <w:rFonts w:ascii="Arial" w:hAnsi="Arial" w:cs="Arial"/>
                <w:sz w:val="20"/>
                <w:szCs w:val="20"/>
                <w:vertAlign w:val="subscript"/>
              </w:rPr>
              <w:t>free</w:t>
            </w:r>
            <w:r w:rsidRPr="009C4CF5">
              <w:rPr>
                <w:rFonts w:ascii="Arial" w:hAnsi="Arial" w:cs="Arial"/>
                <w:sz w:val="20"/>
                <w:szCs w:val="20"/>
                <w:vertAlign w:val="superscript"/>
              </w:rPr>
              <w:t>c</w:t>
            </w:r>
            <w:proofErr w:type="spellEnd"/>
          </w:p>
        </w:tc>
        <w:tc>
          <w:tcPr>
            <w:tcW w:w="1984" w:type="dxa"/>
          </w:tcPr>
          <w:p w14:paraId="2F40201E" w14:textId="4EB9A1ED" w:rsidR="00E42DC8" w:rsidRPr="009C4CF5" w:rsidRDefault="00CE2513" w:rsidP="008518D4">
            <w:pPr>
              <w:jc w:val="both"/>
              <w:rPr>
                <w:rFonts w:ascii="Arial" w:hAnsi="Arial" w:cs="Arial"/>
                <w:sz w:val="20"/>
                <w:szCs w:val="20"/>
              </w:rPr>
            </w:pPr>
            <w:r>
              <w:rPr>
                <w:rFonts w:ascii="Arial" w:hAnsi="Arial" w:cs="Arial"/>
                <w:sz w:val="20"/>
                <w:szCs w:val="20"/>
              </w:rPr>
              <w:t>23.9/29.4</w:t>
            </w:r>
            <w:r w:rsidR="00E42DC8" w:rsidRPr="009C4CF5">
              <w:rPr>
                <w:rFonts w:ascii="Arial" w:hAnsi="Arial" w:cs="Arial"/>
                <w:sz w:val="20"/>
                <w:szCs w:val="20"/>
              </w:rPr>
              <w:t xml:space="preserve"> (</w:t>
            </w:r>
            <w:r>
              <w:rPr>
                <w:rFonts w:ascii="Arial" w:hAnsi="Arial" w:cs="Arial"/>
                <w:sz w:val="20"/>
                <w:szCs w:val="20"/>
              </w:rPr>
              <w:t>43.9/49.0</w:t>
            </w:r>
            <w:r w:rsidR="00E42DC8" w:rsidRPr="009C4CF5">
              <w:rPr>
                <w:rFonts w:ascii="Arial" w:hAnsi="Arial" w:cs="Arial"/>
                <w:sz w:val="20"/>
                <w:szCs w:val="20"/>
              </w:rPr>
              <w:t>)</w:t>
            </w:r>
          </w:p>
        </w:tc>
        <w:tc>
          <w:tcPr>
            <w:tcW w:w="1984" w:type="dxa"/>
          </w:tcPr>
          <w:p w14:paraId="4C707928" w14:textId="676FC6B5" w:rsidR="00E42DC8" w:rsidRPr="00E42DC8" w:rsidRDefault="008D26ED" w:rsidP="008518D4">
            <w:pPr>
              <w:jc w:val="both"/>
              <w:rPr>
                <w:rFonts w:ascii="Arial" w:hAnsi="Arial" w:cs="Arial"/>
                <w:sz w:val="20"/>
                <w:szCs w:val="20"/>
              </w:rPr>
            </w:pPr>
            <w:r>
              <w:rPr>
                <w:rFonts w:ascii="Arial" w:hAnsi="Arial" w:cs="Arial"/>
                <w:sz w:val="20"/>
                <w:szCs w:val="20"/>
              </w:rPr>
              <w:t>27.0/29.0 (43.2/44.5)</w:t>
            </w:r>
          </w:p>
        </w:tc>
        <w:tc>
          <w:tcPr>
            <w:tcW w:w="1984" w:type="dxa"/>
          </w:tcPr>
          <w:p w14:paraId="4A1CF058" w14:textId="743C3390" w:rsidR="00E42DC8" w:rsidRPr="009C4CF5" w:rsidRDefault="00E42DC8" w:rsidP="008518D4">
            <w:pPr>
              <w:jc w:val="both"/>
              <w:rPr>
                <w:rFonts w:ascii="Arial" w:hAnsi="Arial" w:cs="Arial"/>
                <w:sz w:val="20"/>
                <w:szCs w:val="20"/>
              </w:rPr>
            </w:pPr>
            <w:r w:rsidRPr="009C4CF5">
              <w:rPr>
                <w:rFonts w:ascii="Arial" w:hAnsi="Arial" w:cs="Arial"/>
                <w:sz w:val="20"/>
                <w:szCs w:val="20"/>
              </w:rPr>
              <w:t>2</w:t>
            </w:r>
            <w:r w:rsidR="002C461A">
              <w:rPr>
                <w:rFonts w:ascii="Arial" w:hAnsi="Arial" w:cs="Arial"/>
                <w:sz w:val="20"/>
                <w:szCs w:val="20"/>
              </w:rPr>
              <w:t>1.7</w:t>
            </w:r>
            <w:r w:rsidRPr="009C4CF5">
              <w:rPr>
                <w:rFonts w:ascii="Arial" w:hAnsi="Arial" w:cs="Arial"/>
                <w:sz w:val="20"/>
                <w:szCs w:val="20"/>
              </w:rPr>
              <w:t>/</w:t>
            </w:r>
            <w:r w:rsidR="002C461A">
              <w:rPr>
                <w:rFonts w:ascii="Arial" w:hAnsi="Arial" w:cs="Arial"/>
                <w:sz w:val="20"/>
                <w:szCs w:val="20"/>
              </w:rPr>
              <w:t>23.9</w:t>
            </w:r>
            <w:r w:rsidRPr="009C4CF5">
              <w:rPr>
                <w:rFonts w:ascii="Arial" w:hAnsi="Arial" w:cs="Arial"/>
                <w:sz w:val="20"/>
                <w:szCs w:val="20"/>
              </w:rPr>
              <w:t xml:space="preserve"> </w:t>
            </w:r>
            <w:r w:rsidR="002C461A">
              <w:rPr>
                <w:rFonts w:ascii="Arial" w:hAnsi="Arial" w:cs="Arial"/>
                <w:sz w:val="20"/>
                <w:szCs w:val="20"/>
              </w:rPr>
              <w:t>(35.6/34.5</w:t>
            </w:r>
            <w:r w:rsidRPr="009C4CF5">
              <w:rPr>
                <w:rFonts w:ascii="Arial" w:hAnsi="Arial" w:cs="Arial"/>
                <w:sz w:val="20"/>
                <w:szCs w:val="20"/>
              </w:rPr>
              <w:t>)</w:t>
            </w:r>
          </w:p>
        </w:tc>
        <w:tc>
          <w:tcPr>
            <w:tcW w:w="1984" w:type="dxa"/>
          </w:tcPr>
          <w:p w14:paraId="53B5F8D6" w14:textId="7181589C" w:rsidR="00E42DC8" w:rsidRPr="00E42DC8" w:rsidRDefault="00866F30" w:rsidP="008518D4">
            <w:pPr>
              <w:jc w:val="both"/>
              <w:rPr>
                <w:rFonts w:ascii="Arial" w:hAnsi="Arial" w:cs="Arial"/>
                <w:sz w:val="20"/>
                <w:szCs w:val="20"/>
              </w:rPr>
            </w:pPr>
            <w:r>
              <w:rPr>
                <w:rFonts w:ascii="Arial" w:hAnsi="Arial" w:cs="Arial"/>
                <w:sz w:val="20"/>
                <w:szCs w:val="20"/>
              </w:rPr>
              <w:t>20.5/23.8 (34.1/37.0)</w:t>
            </w:r>
          </w:p>
        </w:tc>
      </w:tr>
      <w:tr w:rsidR="00E42DC8" w:rsidRPr="00E42DC8" w14:paraId="013A3DA5" w14:textId="0717FC9E" w:rsidTr="009C4CF5">
        <w:trPr>
          <w:trHeight w:val="730"/>
        </w:trPr>
        <w:tc>
          <w:tcPr>
            <w:tcW w:w="1984" w:type="dxa"/>
          </w:tcPr>
          <w:p w14:paraId="716C0E83"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No. atoms</w:t>
            </w:r>
          </w:p>
          <w:p w14:paraId="5975A895"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Protein</w:t>
            </w:r>
          </w:p>
          <w:p w14:paraId="11D132AD"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Inhibitor</w:t>
            </w:r>
          </w:p>
          <w:p w14:paraId="2191C275"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Solvent</w:t>
            </w:r>
          </w:p>
          <w:p w14:paraId="6FDDD167"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Water</w:t>
            </w:r>
          </w:p>
        </w:tc>
        <w:tc>
          <w:tcPr>
            <w:tcW w:w="1984" w:type="dxa"/>
          </w:tcPr>
          <w:p w14:paraId="2BB74086"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303321EF"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2469</w:t>
            </w:r>
          </w:p>
          <w:p w14:paraId="34A98BB7"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24</w:t>
            </w:r>
          </w:p>
          <w:p w14:paraId="6761C6AB" w14:textId="44931F7C" w:rsidR="00E42DC8" w:rsidRPr="009C4CF5" w:rsidRDefault="00E42DC8" w:rsidP="008518D4">
            <w:pPr>
              <w:jc w:val="both"/>
              <w:rPr>
                <w:rFonts w:ascii="Arial" w:hAnsi="Arial" w:cs="Arial"/>
                <w:sz w:val="20"/>
                <w:szCs w:val="20"/>
              </w:rPr>
            </w:pPr>
            <w:r w:rsidRPr="009C4CF5">
              <w:rPr>
                <w:rFonts w:ascii="Arial" w:hAnsi="Arial" w:cs="Arial"/>
                <w:sz w:val="20"/>
                <w:szCs w:val="20"/>
              </w:rPr>
              <w:t>1</w:t>
            </w:r>
          </w:p>
          <w:p w14:paraId="2D0F6A22" w14:textId="5B2BC1C5" w:rsidR="00E42DC8" w:rsidRPr="009C4CF5" w:rsidRDefault="00CE2513" w:rsidP="008518D4">
            <w:pPr>
              <w:jc w:val="both"/>
              <w:rPr>
                <w:rFonts w:ascii="Arial" w:hAnsi="Arial" w:cs="Arial"/>
                <w:sz w:val="20"/>
                <w:szCs w:val="20"/>
              </w:rPr>
            </w:pPr>
            <w:r>
              <w:rPr>
                <w:rFonts w:ascii="Arial" w:hAnsi="Arial" w:cs="Arial"/>
                <w:sz w:val="20"/>
                <w:szCs w:val="20"/>
              </w:rPr>
              <w:t>0</w:t>
            </w:r>
          </w:p>
        </w:tc>
        <w:tc>
          <w:tcPr>
            <w:tcW w:w="1984" w:type="dxa"/>
          </w:tcPr>
          <w:p w14:paraId="53EAA12C" w14:textId="77777777" w:rsidR="00E42DC8" w:rsidRDefault="00E42DC8" w:rsidP="008518D4">
            <w:pPr>
              <w:jc w:val="both"/>
              <w:rPr>
                <w:rFonts w:ascii="Arial" w:hAnsi="Arial" w:cs="Arial"/>
                <w:sz w:val="20"/>
                <w:szCs w:val="20"/>
              </w:rPr>
            </w:pPr>
          </w:p>
          <w:p w14:paraId="6B1104DD" w14:textId="77777777" w:rsidR="008D26ED" w:rsidRDefault="008D26ED" w:rsidP="008518D4">
            <w:pPr>
              <w:jc w:val="both"/>
              <w:rPr>
                <w:rFonts w:ascii="Arial" w:hAnsi="Arial" w:cs="Arial"/>
                <w:sz w:val="20"/>
                <w:szCs w:val="20"/>
              </w:rPr>
            </w:pPr>
            <w:r>
              <w:rPr>
                <w:rFonts w:ascii="Arial" w:hAnsi="Arial" w:cs="Arial"/>
                <w:sz w:val="20"/>
                <w:szCs w:val="20"/>
              </w:rPr>
              <w:t>2469</w:t>
            </w:r>
          </w:p>
          <w:p w14:paraId="14C1A7C4" w14:textId="77777777" w:rsidR="008D26ED" w:rsidRDefault="008D26ED" w:rsidP="008518D4">
            <w:pPr>
              <w:jc w:val="both"/>
              <w:rPr>
                <w:rFonts w:ascii="Arial" w:hAnsi="Arial" w:cs="Arial"/>
                <w:sz w:val="20"/>
                <w:szCs w:val="20"/>
              </w:rPr>
            </w:pPr>
            <w:r>
              <w:rPr>
                <w:rFonts w:ascii="Arial" w:hAnsi="Arial" w:cs="Arial"/>
                <w:sz w:val="20"/>
                <w:szCs w:val="20"/>
              </w:rPr>
              <w:t>23</w:t>
            </w:r>
          </w:p>
          <w:p w14:paraId="4F6A974B" w14:textId="77777777" w:rsidR="008D26ED" w:rsidRDefault="008D26ED" w:rsidP="008518D4">
            <w:pPr>
              <w:jc w:val="both"/>
              <w:rPr>
                <w:rFonts w:ascii="Arial" w:hAnsi="Arial" w:cs="Arial"/>
                <w:sz w:val="20"/>
                <w:szCs w:val="20"/>
              </w:rPr>
            </w:pPr>
            <w:r>
              <w:rPr>
                <w:rFonts w:ascii="Arial" w:hAnsi="Arial" w:cs="Arial"/>
                <w:sz w:val="20"/>
                <w:szCs w:val="20"/>
              </w:rPr>
              <w:t>1</w:t>
            </w:r>
          </w:p>
          <w:p w14:paraId="12AFFB4A" w14:textId="45D71C4A" w:rsidR="008D26ED" w:rsidRPr="00E42DC8" w:rsidRDefault="008D26ED" w:rsidP="008518D4">
            <w:pPr>
              <w:jc w:val="both"/>
              <w:rPr>
                <w:rFonts w:ascii="Arial" w:hAnsi="Arial" w:cs="Arial"/>
                <w:sz w:val="20"/>
                <w:szCs w:val="20"/>
              </w:rPr>
            </w:pPr>
            <w:r>
              <w:rPr>
                <w:rFonts w:ascii="Arial" w:hAnsi="Arial" w:cs="Arial"/>
                <w:sz w:val="20"/>
                <w:szCs w:val="20"/>
              </w:rPr>
              <w:t>7</w:t>
            </w:r>
          </w:p>
        </w:tc>
        <w:tc>
          <w:tcPr>
            <w:tcW w:w="1984" w:type="dxa"/>
          </w:tcPr>
          <w:p w14:paraId="4367764A" w14:textId="11E4D444" w:rsidR="00E42DC8" w:rsidRPr="009C4CF5" w:rsidRDefault="00E42DC8" w:rsidP="008518D4">
            <w:pPr>
              <w:jc w:val="both"/>
              <w:rPr>
                <w:rFonts w:ascii="Arial" w:hAnsi="Arial" w:cs="Arial"/>
                <w:sz w:val="20"/>
                <w:szCs w:val="20"/>
              </w:rPr>
            </w:pPr>
          </w:p>
          <w:p w14:paraId="7331C9D9"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2469</w:t>
            </w:r>
          </w:p>
          <w:p w14:paraId="58198949"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24</w:t>
            </w:r>
          </w:p>
          <w:p w14:paraId="66B48E4F" w14:textId="38B587B8" w:rsidR="00E42DC8" w:rsidRPr="009C4CF5" w:rsidRDefault="00144C2C" w:rsidP="008518D4">
            <w:pPr>
              <w:jc w:val="both"/>
              <w:rPr>
                <w:rFonts w:ascii="Arial" w:hAnsi="Arial" w:cs="Arial"/>
                <w:sz w:val="20"/>
                <w:szCs w:val="20"/>
              </w:rPr>
            </w:pPr>
            <w:r>
              <w:rPr>
                <w:rFonts w:ascii="Arial" w:hAnsi="Arial" w:cs="Arial"/>
                <w:sz w:val="20"/>
                <w:szCs w:val="20"/>
              </w:rPr>
              <w:t>2</w:t>
            </w:r>
          </w:p>
          <w:p w14:paraId="37C44FE8" w14:textId="27247FED" w:rsidR="00E42DC8" w:rsidRPr="009C4CF5" w:rsidRDefault="00144C2C" w:rsidP="008518D4">
            <w:pPr>
              <w:jc w:val="both"/>
              <w:rPr>
                <w:rFonts w:ascii="Arial" w:hAnsi="Arial" w:cs="Arial"/>
                <w:sz w:val="20"/>
                <w:szCs w:val="20"/>
              </w:rPr>
            </w:pPr>
            <w:r>
              <w:rPr>
                <w:rFonts w:ascii="Arial" w:hAnsi="Arial" w:cs="Arial"/>
                <w:sz w:val="20"/>
                <w:szCs w:val="20"/>
              </w:rPr>
              <w:t>77</w:t>
            </w:r>
          </w:p>
        </w:tc>
        <w:tc>
          <w:tcPr>
            <w:tcW w:w="1984" w:type="dxa"/>
          </w:tcPr>
          <w:p w14:paraId="33284831" w14:textId="77777777" w:rsidR="00E42DC8" w:rsidRDefault="00E42DC8" w:rsidP="008518D4">
            <w:pPr>
              <w:jc w:val="both"/>
              <w:rPr>
                <w:rFonts w:ascii="Arial" w:hAnsi="Arial" w:cs="Arial"/>
                <w:sz w:val="20"/>
                <w:szCs w:val="20"/>
              </w:rPr>
            </w:pPr>
          </w:p>
          <w:p w14:paraId="023FCEC6" w14:textId="77777777" w:rsidR="00866F30" w:rsidRDefault="00866F30" w:rsidP="008518D4">
            <w:pPr>
              <w:jc w:val="both"/>
              <w:rPr>
                <w:rFonts w:ascii="Arial" w:hAnsi="Arial" w:cs="Arial"/>
                <w:sz w:val="20"/>
                <w:szCs w:val="20"/>
              </w:rPr>
            </w:pPr>
            <w:r>
              <w:rPr>
                <w:rFonts w:ascii="Arial" w:hAnsi="Arial" w:cs="Arial"/>
                <w:sz w:val="20"/>
                <w:szCs w:val="20"/>
              </w:rPr>
              <w:t>2460</w:t>
            </w:r>
          </w:p>
          <w:p w14:paraId="27E3C1E3" w14:textId="77777777" w:rsidR="00866F30" w:rsidRDefault="00866F30" w:rsidP="008518D4">
            <w:pPr>
              <w:jc w:val="both"/>
              <w:rPr>
                <w:rFonts w:ascii="Arial" w:hAnsi="Arial" w:cs="Arial"/>
                <w:sz w:val="20"/>
                <w:szCs w:val="20"/>
              </w:rPr>
            </w:pPr>
            <w:r>
              <w:rPr>
                <w:rFonts w:ascii="Arial" w:hAnsi="Arial" w:cs="Arial"/>
                <w:sz w:val="20"/>
                <w:szCs w:val="20"/>
              </w:rPr>
              <w:t>23</w:t>
            </w:r>
          </w:p>
          <w:p w14:paraId="1A09304F" w14:textId="77777777" w:rsidR="00866F30" w:rsidRDefault="00866F30" w:rsidP="008518D4">
            <w:pPr>
              <w:jc w:val="both"/>
              <w:rPr>
                <w:rFonts w:ascii="Arial" w:hAnsi="Arial" w:cs="Arial"/>
                <w:sz w:val="20"/>
                <w:szCs w:val="20"/>
              </w:rPr>
            </w:pPr>
            <w:r>
              <w:rPr>
                <w:rFonts w:ascii="Arial" w:hAnsi="Arial" w:cs="Arial"/>
                <w:sz w:val="20"/>
                <w:szCs w:val="20"/>
              </w:rPr>
              <w:t>3</w:t>
            </w:r>
          </w:p>
          <w:p w14:paraId="3E42E8D4" w14:textId="4BA889A2" w:rsidR="00866F30" w:rsidRPr="00E42DC8" w:rsidRDefault="00866F30" w:rsidP="008518D4">
            <w:pPr>
              <w:jc w:val="both"/>
              <w:rPr>
                <w:rFonts w:ascii="Arial" w:hAnsi="Arial" w:cs="Arial"/>
                <w:sz w:val="20"/>
                <w:szCs w:val="20"/>
              </w:rPr>
            </w:pPr>
            <w:r>
              <w:rPr>
                <w:rFonts w:ascii="Arial" w:hAnsi="Arial" w:cs="Arial"/>
                <w:sz w:val="20"/>
                <w:szCs w:val="20"/>
              </w:rPr>
              <w:t>76</w:t>
            </w:r>
          </w:p>
        </w:tc>
      </w:tr>
      <w:tr w:rsidR="00E42DC8" w:rsidRPr="00E42DC8" w14:paraId="15CF793B" w14:textId="27EAE608" w:rsidTr="009C4CF5">
        <w:trPr>
          <w:trHeight w:val="929"/>
        </w:trPr>
        <w:tc>
          <w:tcPr>
            <w:tcW w:w="1984" w:type="dxa"/>
          </w:tcPr>
          <w:p w14:paraId="325B858F" w14:textId="77777777" w:rsidR="00E42DC8" w:rsidRPr="009C4CF5" w:rsidRDefault="00E42DC8" w:rsidP="008518D4">
            <w:pPr>
              <w:jc w:val="both"/>
              <w:rPr>
                <w:rFonts w:ascii="Arial" w:hAnsi="Arial" w:cs="Arial"/>
                <w:sz w:val="20"/>
                <w:szCs w:val="20"/>
              </w:rPr>
            </w:pPr>
            <w:r w:rsidRPr="009C4CF5">
              <w:rPr>
                <w:rFonts w:ascii="Arial" w:hAnsi="Arial" w:cs="Arial"/>
                <w:i/>
                <w:sz w:val="20"/>
                <w:szCs w:val="20"/>
              </w:rPr>
              <w:t>B</w:t>
            </w:r>
            <w:r w:rsidRPr="009C4CF5">
              <w:rPr>
                <w:rFonts w:ascii="Arial" w:hAnsi="Arial" w:cs="Arial"/>
                <w:sz w:val="20"/>
                <w:szCs w:val="20"/>
              </w:rPr>
              <w:t>-factors</w:t>
            </w:r>
          </w:p>
          <w:p w14:paraId="7C1F95A4"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Protein</w:t>
            </w:r>
          </w:p>
          <w:p w14:paraId="62BC9FFC"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Inhibitor</w:t>
            </w:r>
          </w:p>
          <w:p w14:paraId="79528240"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Solvent</w:t>
            </w:r>
          </w:p>
          <w:p w14:paraId="6D5BCD2E"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Water</w:t>
            </w:r>
          </w:p>
        </w:tc>
        <w:tc>
          <w:tcPr>
            <w:tcW w:w="1984" w:type="dxa"/>
          </w:tcPr>
          <w:p w14:paraId="75DB482E"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786D1142" w14:textId="3E4C7805" w:rsidR="00E42DC8" w:rsidRPr="009C4CF5" w:rsidRDefault="00E42DC8" w:rsidP="008518D4">
            <w:pPr>
              <w:jc w:val="both"/>
              <w:rPr>
                <w:rFonts w:ascii="Arial" w:hAnsi="Arial" w:cs="Arial"/>
                <w:sz w:val="20"/>
                <w:szCs w:val="20"/>
              </w:rPr>
            </w:pPr>
            <w:r w:rsidRPr="009C4CF5">
              <w:rPr>
                <w:rFonts w:ascii="Arial" w:hAnsi="Arial" w:cs="Arial"/>
                <w:sz w:val="20"/>
                <w:szCs w:val="20"/>
              </w:rPr>
              <w:t>1</w:t>
            </w:r>
            <w:r w:rsidR="00CE2513">
              <w:rPr>
                <w:rFonts w:ascii="Arial" w:hAnsi="Arial" w:cs="Arial"/>
                <w:sz w:val="20"/>
                <w:szCs w:val="20"/>
              </w:rPr>
              <w:t>19.1</w:t>
            </w:r>
          </w:p>
          <w:p w14:paraId="0B3BF742" w14:textId="16A53841" w:rsidR="00E42DC8" w:rsidRPr="009C4CF5" w:rsidRDefault="00CE2513" w:rsidP="008518D4">
            <w:pPr>
              <w:jc w:val="both"/>
              <w:rPr>
                <w:rFonts w:ascii="Arial" w:hAnsi="Arial" w:cs="Arial"/>
                <w:sz w:val="20"/>
                <w:szCs w:val="20"/>
              </w:rPr>
            </w:pPr>
            <w:r>
              <w:rPr>
                <w:rFonts w:ascii="Arial" w:hAnsi="Arial" w:cs="Arial"/>
                <w:sz w:val="20"/>
                <w:szCs w:val="20"/>
              </w:rPr>
              <w:t>102.9</w:t>
            </w:r>
          </w:p>
          <w:p w14:paraId="16895035" w14:textId="5B6BC052" w:rsidR="00E42DC8" w:rsidRPr="009C4CF5" w:rsidRDefault="00CE2513" w:rsidP="008518D4">
            <w:pPr>
              <w:jc w:val="both"/>
              <w:rPr>
                <w:rFonts w:ascii="Arial" w:hAnsi="Arial" w:cs="Arial"/>
                <w:sz w:val="20"/>
                <w:szCs w:val="20"/>
              </w:rPr>
            </w:pPr>
            <w:r>
              <w:rPr>
                <w:rFonts w:ascii="Arial" w:hAnsi="Arial" w:cs="Arial"/>
                <w:sz w:val="20"/>
                <w:szCs w:val="20"/>
              </w:rPr>
              <w:t>106.0</w:t>
            </w:r>
          </w:p>
          <w:p w14:paraId="2CD6C1B2" w14:textId="4FBDF828" w:rsidR="00E42DC8" w:rsidRPr="009C4CF5" w:rsidRDefault="00CE2513" w:rsidP="008518D4">
            <w:pPr>
              <w:jc w:val="both"/>
              <w:rPr>
                <w:rFonts w:ascii="Arial" w:hAnsi="Arial" w:cs="Arial"/>
                <w:sz w:val="20"/>
                <w:szCs w:val="20"/>
              </w:rPr>
            </w:pPr>
            <w:r>
              <w:rPr>
                <w:rFonts w:ascii="Arial" w:hAnsi="Arial" w:cs="Arial"/>
                <w:sz w:val="20"/>
                <w:szCs w:val="20"/>
              </w:rPr>
              <w:t>N/A</w:t>
            </w:r>
          </w:p>
        </w:tc>
        <w:tc>
          <w:tcPr>
            <w:tcW w:w="1984" w:type="dxa"/>
          </w:tcPr>
          <w:p w14:paraId="1B73A620" w14:textId="77777777" w:rsidR="00E42DC8" w:rsidRDefault="00E42DC8" w:rsidP="008518D4">
            <w:pPr>
              <w:jc w:val="both"/>
              <w:rPr>
                <w:rFonts w:ascii="Arial" w:hAnsi="Arial" w:cs="Arial"/>
                <w:sz w:val="20"/>
                <w:szCs w:val="20"/>
              </w:rPr>
            </w:pPr>
          </w:p>
          <w:p w14:paraId="4B73316D" w14:textId="77777777" w:rsidR="008D26ED" w:rsidRDefault="008D26ED" w:rsidP="008518D4">
            <w:pPr>
              <w:jc w:val="both"/>
              <w:rPr>
                <w:rFonts w:ascii="Arial" w:hAnsi="Arial" w:cs="Arial"/>
                <w:sz w:val="20"/>
                <w:szCs w:val="20"/>
              </w:rPr>
            </w:pPr>
            <w:r>
              <w:rPr>
                <w:rFonts w:ascii="Arial" w:hAnsi="Arial" w:cs="Arial"/>
                <w:sz w:val="20"/>
                <w:szCs w:val="20"/>
              </w:rPr>
              <w:t>99.1</w:t>
            </w:r>
          </w:p>
          <w:p w14:paraId="0A1A1601" w14:textId="77777777" w:rsidR="008D26ED" w:rsidRDefault="008D26ED" w:rsidP="008518D4">
            <w:pPr>
              <w:jc w:val="both"/>
              <w:rPr>
                <w:rFonts w:ascii="Arial" w:hAnsi="Arial" w:cs="Arial"/>
                <w:sz w:val="20"/>
                <w:szCs w:val="20"/>
              </w:rPr>
            </w:pPr>
            <w:r>
              <w:rPr>
                <w:rFonts w:ascii="Arial" w:hAnsi="Arial" w:cs="Arial"/>
                <w:sz w:val="20"/>
                <w:szCs w:val="20"/>
              </w:rPr>
              <w:t>89.3</w:t>
            </w:r>
          </w:p>
          <w:p w14:paraId="6B6E76E6" w14:textId="46FDA81A" w:rsidR="008D26ED" w:rsidRDefault="008D26ED" w:rsidP="008518D4">
            <w:pPr>
              <w:jc w:val="both"/>
              <w:rPr>
                <w:rFonts w:ascii="Arial" w:hAnsi="Arial" w:cs="Arial"/>
                <w:sz w:val="20"/>
                <w:szCs w:val="20"/>
              </w:rPr>
            </w:pPr>
            <w:r>
              <w:rPr>
                <w:rFonts w:ascii="Arial" w:hAnsi="Arial" w:cs="Arial"/>
                <w:sz w:val="20"/>
                <w:szCs w:val="20"/>
              </w:rPr>
              <w:t>93.9</w:t>
            </w:r>
          </w:p>
          <w:p w14:paraId="58D1491C" w14:textId="01F360B7" w:rsidR="008D26ED" w:rsidRPr="00E42DC8" w:rsidRDefault="008D26ED" w:rsidP="008D26ED">
            <w:pPr>
              <w:jc w:val="both"/>
              <w:rPr>
                <w:rFonts w:ascii="Arial" w:hAnsi="Arial" w:cs="Arial"/>
                <w:sz w:val="20"/>
                <w:szCs w:val="20"/>
              </w:rPr>
            </w:pPr>
            <w:r>
              <w:rPr>
                <w:rFonts w:ascii="Arial" w:hAnsi="Arial" w:cs="Arial"/>
                <w:sz w:val="20"/>
                <w:szCs w:val="20"/>
              </w:rPr>
              <w:t>72.0</w:t>
            </w:r>
          </w:p>
        </w:tc>
        <w:tc>
          <w:tcPr>
            <w:tcW w:w="1984" w:type="dxa"/>
          </w:tcPr>
          <w:p w14:paraId="45D1853B" w14:textId="0447FD69"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11F111C9" w14:textId="45E605BA" w:rsidR="00E42DC8" w:rsidRPr="009C4CF5" w:rsidRDefault="00737732" w:rsidP="008518D4">
            <w:pPr>
              <w:jc w:val="both"/>
              <w:rPr>
                <w:rFonts w:ascii="Arial" w:hAnsi="Arial" w:cs="Arial"/>
                <w:sz w:val="20"/>
                <w:szCs w:val="20"/>
              </w:rPr>
            </w:pPr>
            <w:r>
              <w:rPr>
                <w:rFonts w:ascii="Arial" w:hAnsi="Arial" w:cs="Arial"/>
                <w:sz w:val="20"/>
                <w:szCs w:val="20"/>
              </w:rPr>
              <w:t>71.9</w:t>
            </w:r>
          </w:p>
          <w:p w14:paraId="68440E54" w14:textId="24767954" w:rsidR="00E42DC8" w:rsidRPr="009C4CF5" w:rsidRDefault="00E42DC8" w:rsidP="008518D4">
            <w:pPr>
              <w:jc w:val="both"/>
              <w:rPr>
                <w:rFonts w:ascii="Arial" w:hAnsi="Arial" w:cs="Arial"/>
                <w:sz w:val="20"/>
                <w:szCs w:val="20"/>
              </w:rPr>
            </w:pPr>
            <w:r w:rsidRPr="009C4CF5">
              <w:rPr>
                <w:rFonts w:ascii="Arial" w:hAnsi="Arial" w:cs="Arial"/>
                <w:sz w:val="20"/>
                <w:szCs w:val="20"/>
              </w:rPr>
              <w:t>8</w:t>
            </w:r>
            <w:r w:rsidR="00144C2C">
              <w:rPr>
                <w:rFonts w:ascii="Arial" w:hAnsi="Arial" w:cs="Arial"/>
                <w:sz w:val="20"/>
                <w:szCs w:val="20"/>
              </w:rPr>
              <w:t>2.1</w:t>
            </w:r>
          </w:p>
          <w:p w14:paraId="15E6A334" w14:textId="70194D4D" w:rsidR="00E42DC8" w:rsidRPr="009C4CF5" w:rsidRDefault="00144C2C" w:rsidP="008518D4">
            <w:pPr>
              <w:jc w:val="both"/>
              <w:rPr>
                <w:rFonts w:ascii="Arial" w:hAnsi="Arial" w:cs="Arial"/>
                <w:sz w:val="20"/>
                <w:szCs w:val="20"/>
              </w:rPr>
            </w:pPr>
            <w:r>
              <w:rPr>
                <w:rFonts w:ascii="Arial" w:hAnsi="Arial" w:cs="Arial"/>
                <w:sz w:val="20"/>
                <w:szCs w:val="20"/>
              </w:rPr>
              <w:t>88.5</w:t>
            </w:r>
          </w:p>
          <w:p w14:paraId="4C0FD0F1" w14:textId="15B76F3F" w:rsidR="00E42DC8" w:rsidRPr="009C4CF5" w:rsidRDefault="00144C2C" w:rsidP="008518D4">
            <w:pPr>
              <w:jc w:val="both"/>
              <w:rPr>
                <w:rFonts w:ascii="Arial" w:hAnsi="Arial" w:cs="Arial"/>
                <w:sz w:val="20"/>
                <w:szCs w:val="20"/>
              </w:rPr>
            </w:pPr>
            <w:r>
              <w:rPr>
                <w:rFonts w:ascii="Arial" w:hAnsi="Arial" w:cs="Arial"/>
                <w:sz w:val="20"/>
                <w:szCs w:val="20"/>
              </w:rPr>
              <w:t>69.7</w:t>
            </w:r>
          </w:p>
        </w:tc>
        <w:tc>
          <w:tcPr>
            <w:tcW w:w="1984" w:type="dxa"/>
          </w:tcPr>
          <w:p w14:paraId="6C48529E" w14:textId="77777777" w:rsidR="00E42DC8" w:rsidRDefault="00E42DC8" w:rsidP="008518D4">
            <w:pPr>
              <w:jc w:val="both"/>
              <w:rPr>
                <w:rFonts w:ascii="Arial" w:hAnsi="Arial" w:cs="Arial"/>
                <w:sz w:val="20"/>
                <w:szCs w:val="20"/>
              </w:rPr>
            </w:pPr>
          </w:p>
          <w:p w14:paraId="291C863A" w14:textId="77777777" w:rsidR="00866F30" w:rsidRDefault="00866F30" w:rsidP="008518D4">
            <w:pPr>
              <w:jc w:val="both"/>
              <w:rPr>
                <w:rFonts w:ascii="Arial" w:hAnsi="Arial" w:cs="Arial"/>
                <w:sz w:val="20"/>
                <w:szCs w:val="20"/>
              </w:rPr>
            </w:pPr>
            <w:r>
              <w:rPr>
                <w:rFonts w:ascii="Arial" w:hAnsi="Arial" w:cs="Arial"/>
                <w:sz w:val="20"/>
                <w:szCs w:val="20"/>
              </w:rPr>
              <w:t>69.7</w:t>
            </w:r>
          </w:p>
          <w:p w14:paraId="5D8B77B6" w14:textId="77777777" w:rsidR="00866F30" w:rsidRDefault="00866F30" w:rsidP="008518D4">
            <w:pPr>
              <w:jc w:val="both"/>
              <w:rPr>
                <w:rFonts w:ascii="Arial" w:hAnsi="Arial" w:cs="Arial"/>
                <w:sz w:val="20"/>
                <w:szCs w:val="20"/>
              </w:rPr>
            </w:pPr>
            <w:r>
              <w:rPr>
                <w:rFonts w:ascii="Arial" w:hAnsi="Arial" w:cs="Arial"/>
                <w:sz w:val="20"/>
                <w:szCs w:val="20"/>
              </w:rPr>
              <w:t>61.8</w:t>
            </w:r>
          </w:p>
          <w:p w14:paraId="08FBCB05" w14:textId="77777777" w:rsidR="00866F30" w:rsidRDefault="00866F30" w:rsidP="008518D4">
            <w:pPr>
              <w:jc w:val="both"/>
              <w:rPr>
                <w:rFonts w:ascii="Arial" w:hAnsi="Arial" w:cs="Arial"/>
                <w:sz w:val="20"/>
                <w:szCs w:val="20"/>
              </w:rPr>
            </w:pPr>
            <w:r>
              <w:rPr>
                <w:rFonts w:ascii="Arial" w:hAnsi="Arial" w:cs="Arial"/>
                <w:sz w:val="20"/>
                <w:szCs w:val="20"/>
              </w:rPr>
              <w:t>80.6</w:t>
            </w:r>
          </w:p>
          <w:p w14:paraId="798792A6" w14:textId="5EAF73E8" w:rsidR="00866F30" w:rsidRPr="00E42DC8" w:rsidRDefault="00866F30" w:rsidP="008518D4">
            <w:pPr>
              <w:jc w:val="both"/>
              <w:rPr>
                <w:rFonts w:ascii="Arial" w:hAnsi="Arial" w:cs="Arial"/>
                <w:sz w:val="20"/>
                <w:szCs w:val="20"/>
              </w:rPr>
            </w:pPr>
            <w:r>
              <w:rPr>
                <w:rFonts w:ascii="Arial" w:hAnsi="Arial" w:cs="Arial"/>
                <w:sz w:val="20"/>
                <w:szCs w:val="20"/>
              </w:rPr>
              <w:t>65.9</w:t>
            </w:r>
          </w:p>
        </w:tc>
      </w:tr>
      <w:tr w:rsidR="00E42DC8" w:rsidRPr="00E42DC8" w14:paraId="3ABD08C4" w14:textId="6111F106" w:rsidTr="009C4CF5">
        <w:trPr>
          <w:trHeight w:val="591"/>
        </w:trPr>
        <w:tc>
          <w:tcPr>
            <w:tcW w:w="1984" w:type="dxa"/>
          </w:tcPr>
          <w:p w14:paraId="536A9171" w14:textId="77777777" w:rsidR="00E42DC8" w:rsidRPr="009C4CF5" w:rsidRDefault="00E42DC8" w:rsidP="008518D4">
            <w:pPr>
              <w:jc w:val="both"/>
              <w:rPr>
                <w:rFonts w:ascii="Arial" w:hAnsi="Arial" w:cs="Arial"/>
                <w:sz w:val="20"/>
                <w:szCs w:val="20"/>
              </w:rPr>
            </w:pPr>
            <w:proofErr w:type="spellStart"/>
            <w:r w:rsidRPr="009C4CF5">
              <w:rPr>
                <w:rFonts w:ascii="Arial" w:hAnsi="Arial" w:cs="Arial"/>
                <w:sz w:val="20"/>
                <w:szCs w:val="20"/>
              </w:rPr>
              <w:t>R.m.s.</w:t>
            </w:r>
            <w:proofErr w:type="spellEnd"/>
            <w:r w:rsidRPr="009C4CF5">
              <w:rPr>
                <w:rFonts w:ascii="Arial" w:hAnsi="Arial" w:cs="Arial"/>
                <w:sz w:val="20"/>
                <w:szCs w:val="20"/>
              </w:rPr>
              <w:t xml:space="preserve"> deviations</w:t>
            </w:r>
          </w:p>
          <w:p w14:paraId="3A5A810E"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Bond lengths, Å</w:t>
            </w:r>
          </w:p>
          <w:p w14:paraId="3D15CA3B"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Bond angles, °</w:t>
            </w:r>
          </w:p>
        </w:tc>
        <w:tc>
          <w:tcPr>
            <w:tcW w:w="1984" w:type="dxa"/>
          </w:tcPr>
          <w:p w14:paraId="07FC129A"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6C625743"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0.003</w:t>
            </w:r>
          </w:p>
          <w:p w14:paraId="13BAA3D2" w14:textId="3933897F" w:rsidR="00E42DC8" w:rsidRPr="009C4CF5" w:rsidRDefault="00E42DC8" w:rsidP="008518D4">
            <w:pPr>
              <w:jc w:val="both"/>
              <w:rPr>
                <w:rFonts w:ascii="Arial" w:hAnsi="Arial" w:cs="Arial"/>
                <w:sz w:val="20"/>
                <w:szCs w:val="20"/>
              </w:rPr>
            </w:pPr>
            <w:r w:rsidRPr="009C4CF5">
              <w:rPr>
                <w:rFonts w:ascii="Arial" w:hAnsi="Arial" w:cs="Arial"/>
                <w:sz w:val="20"/>
                <w:szCs w:val="20"/>
              </w:rPr>
              <w:t>0</w:t>
            </w:r>
            <w:r w:rsidR="00CE2513">
              <w:rPr>
                <w:rFonts w:ascii="Arial" w:hAnsi="Arial" w:cs="Arial"/>
                <w:sz w:val="20"/>
                <w:szCs w:val="20"/>
              </w:rPr>
              <w:t>.587</w:t>
            </w:r>
          </w:p>
        </w:tc>
        <w:tc>
          <w:tcPr>
            <w:tcW w:w="1984" w:type="dxa"/>
          </w:tcPr>
          <w:p w14:paraId="2FE0B4D6" w14:textId="77777777" w:rsidR="00E42DC8" w:rsidRDefault="00E42DC8" w:rsidP="008518D4">
            <w:pPr>
              <w:jc w:val="both"/>
              <w:rPr>
                <w:rFonts w:ascii="Arial" w:hAnsi="Arial" w:cs="Arial"/>
                <w:sz w:val="20"/>
                <w:szCs w:val="20"/>
              </w:rPr>
            </w:pPr>
          </w:p>
          <w:p w14:paraId="3B6965E0" w14:textId="77777777" w:rsidR="008D26ED" w:rsidRDefault="008D26ED" w:rsidP="008518D4">
            <w:pPr>
              <w:jc w:val="both"/>
              <w:rPr>
                <w:rFonts w:ascii="Arial" w:hAnsi="Arial" w:cs="Arial"/>
                <w:sz w:val="20"/>
                <w:szCs w:val="20"/>
              </w:rPr>
            </w:pPr>
            <w:r>
              <w:rPr>
                <w:rFonts w:ascii="Arial" w:hAnsi="Arial" w:cs="Arial"/>
                <w:sz w:val="20"/>
                <w:szCs w:val="20"/>
              </w:rPr>
              <w:t>0.003</w:t>
            </w:r>
          </w:p>
          <w:p w14:paraId="2F51E559" w14:textId="1475C7C2" w:rsidR="008D26ED" w:rsidRPr="00E42DC8" w:rsidRDefault="008D26ED" w:rsidP="008518D4">
            <w:pPr>
              <w:jc w:val="both"/>
              <w:rPr>
                <w:rFonts w:ascii="Arial" w:hAnsi="Arial" w:cs="Arial"/>
                <w:sz w:val="20"/>
                <w:szCs w:val="20"/>
              </w:rPr>
            </w:pPr>
            <w:r>
              <w:rPr>
                <w:rFonts w:ascii="Arial" w:hAnsi="Arial" w:cs="Arial"/>
                <w:sz w:val="20"/>
                <w:szCs w:val="20"/>
              </w:rPr>
              <w:t>0.553</w:t>
            </w:r>
          </w:p>
        </w:tc>
        <w:tc>
          <w:tcPr>
            <w:tcW w:w="1984" w:type="dxa"/>
          </w:tcPr>
          <w:p w14:paraId="7A2B7A24" w14:textId="6FEE9834"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70F9A286" w14:textId="092E9D2A" w:rsidR="00E42DC8" w:rsidRPr="009C4CF5" w:rsidRDefault="00E42DC8" w:rsidP="008518D4">
            <w:pPr>
              <w:jc w:val="both"/>
              <w:rPr>
                <w:rFonts w:ascii="Arial" w:hAnsi="Arial" w:cs="Arial"/>
                <w:sz w:val="20"/>
                <w:szCs w:val="20"/>
              </w:rPr>
            </w:pPr>
            <w:r w:rsidRPr="009C4CF5">
              <w:rPr>
                <w:rFonts w:ascii="Arial" w:hAnsi="Arial" w:cs="Arial"/>
                <w:sz w:val="20"/>
                <w:szCs w:val="20"/>
              </w:rPr>
              <w:t>0.00</w:t>
            </w:r>
            <w:r w:rsidR="00144C2C">
              <w:rPr>
                <w:rFonts w:ascii="Arial" w:hAnsi="Arial" w:cs="Arial"/>
                <w:sz w:val="20"/>
                <w:szCs w:val="20"/>
              </w:rPr>
              <w:t>3</w:t>
            </w:r>
          </w:p>
          <w:p w14:paraId="33DCDAA7" w14:textId="5C50076F" w:rsidR="00E42DC8" w:rsidRPr="009C4CF5" w:rsidRDefault="00E42DC8" w:rsidP="008518D4">
            <w:pPr>
              <w:jc w:val="both"/>
              <w:rPr>
                <w:rFonts w:ascii="Arial" w:hAnsi="Arial" w:cs="Arial"/>
                <w:sz w:val="20"/>
                <w:szCs w:val="20"/>
              </w:rPr>
            </w:pPr>
            <w:r w:rsidRPr="009C4CF5">
              <w:rPr>
                <w:rFonts w:ascii="Arial" w:hAnsi="Arial" w:cs="Arial"/>
                <w:sz w:val="20"/>
                <w:szCs w:val="20"/>
              </w:rPr>
              <w:t>0</w:t>
            </w:r>
            <w:r w:rsidR="00144C2C">
              <w:rPr>
                <w:rFonts w:ascii="Arial" w:hAnsi="Arial" w:cs="Arial"/>
                <w:sz w:val="20"/>
                <w:szCs w:val="20"/>
              </w:rPr>
              <w:t>.513</w:t>
            </w:r>
          </w:p>
        </w:tc>
        <w:tc>
          <w:tcPr>
            <w:tcW w:w="1984" w:type="dxa"/>
          </w:tcPr>
          <w:p w14:paraId="68295770" w14:textId="77777777" w:rsidR="00E42DC8" w:rsidRDefault="00E42DC8" w:rsidP="008518D4">
            <w:pPr>
              <w:jc w:val="both"/>
              <w:rPr>
                <w:rFonts w:ascii="Arial" w:hAnsi="Arial" w:cs="Arial"/>
                <w:sz w:val="20"/>
                <w:szCs w:val="20"/>
              </w:rPr>
            </w:pPr>
          </w:p>
          <w:p w14:paraId="19FE12B7" w14:textId="77777777" w:rsidR="00866F30" w:rsidRDefault="00866F30" w:rsidP="008518D4">
            <w:pPr>
              <w:jc w:val="both"/>
              <w:rPr>
                <w:rFonts w:ascii="Arial" w:hAnsi="Arial" w:cs="Arial"/>
                <w:sz w:val="20"/>
                <w:szCs w:val="20"/>
              </w:rPr>
            </w:pPr>
            <w:r>
              <w:rPr>
                <w:rFonts w:ascii="Arial" w:hAnsi="Arial" w:cs="Arial"/>
                <w:sz w:val="20"/>
                <w:szCs w:val="20"/>
              </w:rPr>
              <w:t>0.002</w:t>
            </w:r>
          </w:p>
          <w:p w14:paraId="085863A7" w14:textId="7D3582E8" w:rsidR="00866F30" w:rsidRPr="00E42DC8" w:rsidRDefault="00866F30" w:rsidP="008518D4">
            <w:pPr>
              <w:jc w:val="both"/>
              <w:rPr>
                <w:rFonts w:ascii="Arial" w:hAnsi="Arial" w:cs="Arial"/>
                <w:sz w:val="20"/>
                <w:szCs w:val="20"/>
              </w:rPr>
            </w:pPr>
            <w:r>
              <w:rPr>
                <w:rFonts w:ascii="Arial" w:hAnsi="Arial" w:cs="Arial"/>
                <w:sz w:val="20"/>
                <w:szCs w:val="20"/>
              </w:rPr>
              <w:t>0.476</w:t>
            </w:r>
          </w:p>
        </w:tc>
      </w:tr>
      <w:tr w:rsidR="00E42DC8" w:rsidRPr="00E42DC8" w14:paraId="7B00FCC0" w14:textId="41F3A36F" w:rsidTr="009C4CF5">
        <w:trPr>
          <w:trHeight w:val="762"/>
        </w:trPr>
        <w:tc>
          <w:tcPr>
            <w:tcW w:w="1984" w:type="dxa"/>
          </w:tcPr>
          <w:p w14:paraId="010627B7"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Ramachandran plot</w:t>
            </w:r>
          </w:p>
          <w:p w14:paraId="642E4928"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Favored, %</w:t>
            </w:r>
          </w:p>
          <w:p w14:paraId="5EB96DC7"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Allowed, %</w:t>
            </w:r>
          </w:p>
          <w:p w14:paraId="0AB56654"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Outliers, %</w:t>
            </w:r>
          </w:p>
        </w:tc>
        <w:tc>
          <w:tcPr>
            <w:tcW w:w="1984" w:type="dxa"/>
          </w:tcPr>
          <w:p w14:paraId="6C2361BB" w14:textId="77777777"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24692C23" w14:textId="053A097D" w:rsidR="00E42DC8" w:rsidRPr="009C4CF5" w:rsidRDefault="00CE2513" w:rsidP="008518D4">
            <w:pPr>
              <w:jc w:val="both"/>
              <w:rPr>
                <w:rFonts w:ascii="Arial" w:hAnsi="Arial" w:cs="Arial"/>
                <w:sz w:val="20"/>
                <w:szCs w:val="20"/>
              </w:rPr>
            </w:pPr>
            <w:r>
              <w:rPr>
                <w:rFonts w:ascii="Arial" w:hAnsi="Arial" w:cs="Arial"/>
                <w:sz w:val="20"/>
                <w:szCs w:val="20"/>
              </w:rPr>
              <w:t>92.8</w:t>
            </w:r>
          </w:p>
          <w:p w14:paraId="71CEEF16" w14:textId="1E8AC3EC" w:rsidR="00E42DC8" w:rsidRPr="009C4CF5" w:rsidRDefault="00CE2513" w:rsidP="008518D4">
            <w:pPr>
              <w:jc w:val="both"/>
              <w:rPr>
                <w:rFonts w:ascii="Arial" w:hAnsi="Arial" w:cs="Arial"/>
                <w:sz w:val="20"/>
                <w:szCs w:val="20"/>
              </w:rPr>
            </w:pPr>
            <w:r>
              <w:rPr>
                <w:rFonts w:ascii="Arial" w:hAnsi="Arial" w:cs="Arial"/>
                <w:sz w:val="20"/>
                <w:szCs w:val="20"/>
              </w:rPr>
              <w:t>7.2</w:t>
            </w:r>
          </w:p>
          <w:p w14:paraId="2AB71DEC" w14:textId="4C8B0176" w:rsidR="00E42DC8" w:rsidRPr="009C4CF5" w:rsidRDefault="00CE2513" w:rsidP="008518D4">
            <w:pPr>
              <w:jc w:val="both"/>
              <w:rPr>
                <w:rFonts w:ascii="Arial" w:hAnsi="Arial" w:cs="Arial"/>
                <w:sz w:val="20"/>
                <w:szCs w:val="20"/>
              </w:rPr>
            </w:pPr>
            <w:r>
              <w:rPr>
                <w:rFonts w:ascii="Arial" w:hAnsi="Arial" w:cs="Arial"/>
                <w:sz w:val="20"/>
                <w:szCs w:val="20"/>
              </w:rPr>
              <w:t>0</w:t>
            </w:r>
          </w:p>
        </w:tc>
        <w:tc>
          <w:tcPr>
            <w:tcW w:w="1984" w:type="dxa"/>
          </w:tcPr>
          <w:p w14:paraId="17D5DDE8" w14:textId="77777777" w:rsidR="00E42DC8" w:rsidRDefault="00E42DC8" w:rsidP="008518D4">
            <w:pPr>
              <w:jc w:val="both"/>
              <w:rPr>
                <w:rFonts w:ascii="Arial" w:hAnsi="Arial" w:cs="Arial"/>
                <w:sz w:val="20"/>
                <w:szCs w:val="20"/>
              </w:rPr>
            </w:pPr>
          </w:p>
          <w:p w14:paraId="325103DC" w14:textId="386DCC1B" w:rsidR="008D26ED" w:rsidRDefault="008D26ED" w:rsidP="008518D4">
            <w:pPr>
              <w:jc w:val="both"/>
              <w:rPr>
                <w:rFonts w:ascii="Arial" w:hAnsi="Arial" w:cs="Arial"/>
                <w:sz w:val="20"/>
                <w:szCs w:val="20"/>
              </w:rPr>
            </w:pPr>
            <w:r>
              <w:rPr>
                <w:rFonts w:ascii="Arial" w:hAnsi="Arial" w:cs="Arial"/>
                <w:sz w:val="20"/>
                <w:szCs w:val="20"/>
              </w:rPr>
              <w:t>94.8</w:t>
            </w:r>
          </w:p>
          <w:p w14:paraId="075DBADA" w14:textId="77777777" w:rsidR="008D26ED" w:rsidRDefault="008D26ED" w:rsidP="008518D4">
            <w:pPr>
              <w:jc w:val="both"/>
              <w:rPr>
                <w:rFonts w:ascii="Arial" w:hAnsi="Arial" w:cs="Arial"/>
                <w:sz w:val="20"/>
                <w:szCs w:val="20"/>
              </w:rPr>
            </w:pPr>
            <w:r>
              <w:rPr>
                <w:rFonts w:ascii="Arial" w:hAnsi="Arial" w:cs="Arial"/>
                <w:sz w:val="20"/>
                <w:szCs w:val="20"/>
              </w:rPr>
              <w:t>4.9</w:t>
            </w:r>
          </w:p>
          <w:p w14:paraId="4D377C20" w14:textId="1502E61E" w:rsidR="008D26ED" w:rsidRPr="00E42DC8" w:rsidRDefault="008D26ED" w:rsidP="008518D4">
            <w:pPr>
              <w:jc w:val="both"/>
              <w:rPr>
                <w:rFonts w:ascii="Arial" w:hAnsi="Arial" w:cs="Arial"/>
                <w:sz w:val="20"/>
                <w:szCs w:val="20"/>
              </w:rPr>
            </w:pPr>
            <w:r>
              <w:rPr>
                <w:rFonts w:ascii="Arial" w:hAnsi="Arial" w:cs="Arial"/>
                <w:sz w:val="20"/>
                <w:szCs w:val="20"/>
              </w:rPr>
              <w:t>0.3</w:t>
            </w:r>
          </w:p>
        </w:tc>
        <w:tc>
          <w:tcPr>
            <w:tcW w:w="1984" w:type="dxa"/>
          </w:tcPr>
          <w:p w14:paraId="4E03B509" w14:textId="73D854BB" w:rsidR="00E42DC8" w:rsidRPr="009C4CF5" w:rsidRDefault="00E42DC8" w:rsidP="008518D4">
            <w:pPr>
              <w:jc w:val="both"/>
              <w:rPr>
                <w:rFonts w:ascii="Arial" w:hAnsi="Arial" w:cs="Arial"/>
                <w:sz w:val="20"/>
                <w:szCs w:val="20"/>
              </w:rPr>
            </w:pPr>
            <w:r w:rsidRPr="009C4CF5">
              <w:rPr>
                <w:rFonts w:ascii="Arial" w:hAnsi="Arial" w:cs="Arial"/>
                <w:sz w:val="20"/>
                <w:szCs w:val="20"/>
              </w:rPr>
              <w:t xml:space="preserve"> </w:t>
            </w:r>
          </w:p>
          <w:p w14:paraId="7F44ECFD" w14:textId="0BC3E5B6" w:rsidR="00E42DC8" w:rsidRPr="009C4CF5" w:rsidRDefault="00144C2C" w:rsidP="008518D4">
            <w:pPr>
              <w:jc w:val="both"/>
              <w:rPr>
                <w:rFonts w:ascii="Arial" w:hAnsi="Arial" w:cs="Arial"/>
                <w:sz w:val="20"/>
                <w:szCs w:val="20"/>
              </w:rPr>
            </w:pPr>
            <w:r>
              <w:rPr>
                <w:rFonts w:ascii="Arial" w:hAnsi="Arial" w:cs="Arial"/>
                <w:sz w:val="20"/>
                <w:szCs w:val="20"/>
              </w:rPr>
              <w:t>90.5</w:t>
            </w:r>
          </w:p>
          <w:p w14:paraId="12449422" w14:textId="7550226C" w:rsidR="00E42DC8" w:rsidRPr="009C4CF5" w:rsidRDefault="00144C2C" w:rsidP="008518D4">
            <w:pPr>
              <w:jc w:val="both"/>
              <w:rPr>
                <w:rFonts w:ascii="Arial" w:hAnsi="Arial" w:cs="Arial"/>
                <w:sz w:val="20"/>
                <w:szCs w:val="20"/>
              </w:rPr>
            </w:pPr>
            <w:r>
              <w:rPr>
                <w:rFonts w:ascii="Arial" w:hAnsi="Arial" w:cs="Arial"/>
                <w:sz w:val="20"/>
                <w:szCs w:val="20"/>
              </w:rPr>
              <w:t>9.1</w:t>
            </w:r>
          </w:p>
          <w:p w14:paraId="6BF39751" w14:textId="1E4588FD" w:rsidR="00E42DC8" w:rsidRPr="009C4CF5" w:rsidRDefault="00144C2C" w:rsidP="008518D4">
            <w:pPr>
              <w:jc w:val="both"/>
              <w:rPr>
                <w:rFonts w:ascii="Arial" w:hAnsi="Arial" w:cs="Arial"/>
                <w:sz w:val="20"/>
                <w:szCs w:val="20"/>
              </w:rPr>
            </w:pPr>
            <w:r>
              <w:rPr>
                <w:rFonts w:ascii="Arial" w:hAnsi="Arial" w:cs="Arial"/>
                <w:sz w:val="20"/>
                <w:szCs w:val="20"/>
              </w:rPr>
              <w:t>0.4</w:t>
            </w:r>
          </w:p>
        </w:tc>
        <w:tc>
          <w:tcPr>
            <w:tcW w:w="1984" w:type="dxa"/>
          </w:tcPr>
          <w:p w14:paraId="1A907118" w14:textId="77777777" w:rsidR="00E42DC8" w:rsidRDefault="00E42DC8" w:rsidP="008518D4">
            <w:pPr>
              <w:jc w:val="both"/>
              <w:rPr>
                <w:rFonts w:ascii="Arial" w:hAnsi="Arial" w:cs="Arial"/>
                <w:sz w:val="20"/>
                <w:szCs w:val="20"/>
              </w:rPr>
            </w:pPr>
          </w:p>
          <w:p w14:paraId="273C7DC6" w14:textId="77777777" w:rsidR="00866F30" w:rsidRDefault="00866F30" w:rsidP="008518D4">
            <w:pPr>
              <w:jc w:val="both"/>
              <w:rPr>
                <w:rFonts w:ascii="Arial" w:hAnsi="Arial" w:cs="Arial"/>
                <w:sz w:val="20"/>
                <w:szCs w:val="20"/>
              </w:rPr>
            </w:pPr>
            <w:r>
              <w:rPr>
                <w:rFonts w:ascii="Arial" w:hAnsi="Arial" w:cs="Arial"/>
                <w:sz w:val="20"/>
                <w:szCs w:val="20"/>
              </w:rPr>
              <w:t>94.4</w:t>
            </w:r>
          </w:p>
          <w:p w14:paraId="0714AD66" w14:textId="77777777" w:rsidR="00866F30" w:rsidRDefault="00866F30" w:rsidP="008518D4">
            <w:pPr>
              <w:jc w:val="both"/>
              <w:rPr>
                <w:rFonts w:ascii="Arial" w:hAnsi="Arial" w:cs="Arial"/>
                <w:sz w:val="20"/>
                <w:szCs w:val="20"/>
              </w:rPr>
            </w:pPr>
            <w:r>
              <w:rPr>
                <w:rFonts w:ascii="Arial" w:hAnsi="Arial" w:cs="Arial"/>
                <w:sz w:val="20"/>
                <w:szCs w:val="20"/>
              </w:rPr>
              <w:t>5.6</w:t>
            </w:r>
          </w:p>
          <w:p w14:paraId="3AD1A1C8" w14:textId="3F4CDED2" w:rsidR="00866F30" w:rsidRPr="00E42DC8" w:rsidRDefault="00866F30" w:rsidP="008518D4">
            <w:pPr>
              <w:jc w:val="both"/>
              <w:rPr>
                <w:rFonts w:ascii="Arial" w:hAnsi="Arial" w:cs="Arial"/>
                <w:sz w:val="20"/>
                <w:szCs w:val="20"/>
              </w:rPr>
            </w:pPr>
            <w:r>
              <w:rPr>
                <w:rFonts w:ascii="Arial" w:hAnsi="Arial" w:cs="Arial"/>
                <w:sz w:val="20"/>
                <w:szCs w:val="20"/>
              </w:rPr>
              <w:t>0</w:t>
            </w:r>
          </w:p>
        </w:tc>
      </w:tr>
    </w:tbl>
    <w:p w14:paraId="6FED5B64" w14:textId="77777777" w:rsidR="00BB2AFF" w:rsidRPr="00120CC6" w:rsidRDefault="00BB2AFF" w:rsidP="00BB2AFF">
      <w:pPr>
        <w:jc w:val="both"/>
        <w:rPr>
          <w:rFonts w:ascii="Arial" w:hAnsi="Arial" w:cs="Arial"/>
          <w:sz w:val="22"/>
          <w:szCs w:val="22"/>
        </w:rPr>
      </w:pPr>
      <w:r w:rsidRPr="00120CC6">
        <w:rPr>
          <w:rFonts w:ascii="Arial" w:hAnsi="Arial" w:cs="Arial"/>
          <w:sz w:val="22"/>
          <w:szCs w:val="22"/>
          <w:vertAlign w:val="superscript"/>
        </w:rPr>
        <w:t>*</w:t>
      </w:r>
      <w:r w:rsidRPr="00120CC6">
        <w:rPr>
          <w:rFonts w:ascii="Arial" w:hAnsi="Arial" w:cs="Arial"/>
          <w:sz w:val="22"/>
          <w:szCs w:val="22"/>
        </w:rPr>
        <w:t>All values in brackets refer to highest resolution shells.</w:t>
      </w:r>
    </w:p>
    <w:p w14:paraId="7FD7FF17" w14:textId="77777777" w:rsidR="00BB2AFF" w:rsidRPr="00120CC6" w:rsidRDefault="00BB2AFF" w:rsidP="00BB2AFF">
      <w:pPr>
        <w:ind w:right="560"/>
        <w:jc w:val="both"/>
        <w:rPr>
          <w:rFonts w:ascii="Arial" w:hAnsi="Arial" w:cs="Arial"/>
          <w:sz w:val="22"/>
          <w:szCs w:val="22"/>
        </w:rPr>
      </w:pPr>
      <w:proofErr w:type="spellStart"/>
      <w:r w:rsidRPr="00120CC6">
        <w:rPr>
          <w:rFonts w:ascii="Arial" w:hAnsi="Arial" w:cs="Arial"/>
          <w:sz w:val="22"/>
          <w:szCs w:val="22"/>
          <w:vertAlign w:val="superscript"/>
        </w:rPr>
        <w:t>a</w:t>
      </w:r>
      <w:r w:rsidRPr="00120CC6">
        <w:rPr>
          <w:rFonts w:ascii="Arial" w:hAnsi="Arial" w:cs="Arial"/>
          <w:i/>
          <w:sz w:val="22"/>
          <w:szCs w:val="22"/>
        </w:rPr>
        <w:t>R</w:t>
      </w:r>
      <w:r w:rsidRPr="00120CC6">
        <w:rPr>
          <w:rFonts w:ascii="Arial" w:hAnsi="Arial" w:cs="Arial"/>
          <w:sz w:val="22"/>
          <w:szCs w:val="22"/>
          <w:vertAlign w:val="subscript"/>
        </w:rPr>
        <w:t>merge</w:t>
      </w:r>
      <w:proofErr w:type="spellEnd"/>
      <w:r w:rsidRPr="00120CC6">
        <w:rPr>
          <w:rFonts w:ascii="Arial" w:hAnsi="Arial" w:cs="Arial"/>
          <w:sz w:val="22"/>
          <w:szCs w:val="22"/>
        </w:rPr>
        <w:t xml:space="preserve"> = </w:t>
      </w:r>
      <w:proofErr w:type="spellStart"/>
      <w:r w:rsidRPr="00120CC6">
        <w:rPr>
          <w:rFonts w:ascii="Arial" w:eastAsia="Calibri" w:hAnsi="Arial" w:cs="Arial"/>
          <w:sz w:val="22"/>
          <w:szCs w:val="22"/>
        </w:rPr>
        <w:t>Σ</w:t>
      </w:r>
      <w:r w:rsidRPr="00120CC6">
        <w:rPr>
          <w:rFonts w:ascii="Arial" w:hAnsi="Arial" w:cs="Arial"/>
          <w:sz w:val="22"/>
          <w:szCs w:val="22"/>
          <w:vertAlign w:val="subscript"/>
        </w:rPr>
        <w:t>hkl</w:t>
      </w:r>
      <w:r w:rsidRPr="00120CC6">
        <w:rPr>
          <w:rFonts w:ascii="Arial" w:eastAsia="Calibri" w:hAnsi="Arial" w:cs="Arial"/>
          <w:sz w:val="22"/>
          <w:szCs w:val="22"/>
        </w:rPr>
        <w:t>Σ</w:t>
      </w:r>
      <w:r w:rsidRPr="00120CC6">
        <w:rPr>
          <w:rFonts w:ascii="Arial" w:hAnsi="Arial" w:cs="Arial"/>
          <w:sz w:val="22"/>
          <w:szCs w:val="22"/>
          <w:vertAlign w:val="subscript"/>
        </w:rPr>
        <w:t>j</w:t>
      </w:r>
      <w:r w:rsidRPr="00120CC6">
        <w:rPr>
          <w:rFonts w:ascii="Arial" w:hAnsi="Arial" w:cs="Arial"/>
          <w:sz w:val="22"/>
          <w:szCs w:val="22"/>
        </w:rPr>
        <w:t>|</w:t>
      </w:r>
      <w:r w:rsidRPr="00120CC6">
        <w:rPr>
          <w:rFonts w:ascii="Arial" w:hAnsi="Arial" w:cs="Arial"/>
          <w:i/>
          <w:sz w:val="22"/>
          <w:szCs w:val="22"/>
        </w:rPr>
        <w:t>I</w:t>
      </w:r>
      <w:r w:rsidRPr="00120CC6">
        <w:rPr>
          <w:rFonts w:ascii="Arial" w:hAnsi="Arial" w:cs="Arial"/>
          <w:sz w:val="22"/>
          <w:szCs w:val="22"/>
          <w:vertAlign w:val="subscript"/>
        </w:rPr>
        <w:t>hkl.j</w:t>
      </w:r>
      <w:r w:rsidRPr="00120CC6">
        <w:rPr>
          <w:rFonts w:ascii="Arial" w:hAnsi="Arial" w:cs="Arial"/>
          <w:sz w:val="22"/>
          <w:szCs w:val="22"/>
        </w:rPr>
        <w:t>-</w:t>
      </w:r>
      <w:r w:rsidRPr="00120CC6">
        <w:rPr>
          <w:rFonts w:ascii="Arial" w:hAnsi="Arial" w:cs="Arial"/>
          <w:i/>
          <w:sz w:val="22"/>
          <w:szCs w:val="22"/>
        </w:rPr>
        <w:t>I</w:t>
      </w:r>
      <w:r w:rsidRPr="00120CC6">
        <w:rPr>
          <w:rFonts w:ascii="Arial" w:hAnsi="Arial" w:cs="Arial"/>
          <w:sz w:val="22"/>
          <w:szCs w:val="22"/>
          <w:vertAlign w:val="subscript"/>
        </w:rPr>
        <w:t>hkl</w:t>
      </w:r>
      <w:proofErr w:type="spellEnd"/>
      <w:r w:rsidRPr="00120CC6">
        <w:rPr>
          <w:rFonts w:ascii="Arial" w:hAnsi="Arial" w:cs="Arial"/>
          <w:sz w:val="22"/>
          <w:szCs w:val="22"/>
        </w:rPr>
        <w:t>|/</w:t>
      </w:r>
      <w:proofErr w:type="spellStart"/>
      <w:r w:rsidRPr="00120CC6">
        <w:rPr>
          <w:rFonts w:ascii="Arial" w:eastAsia="Calibri" w:hAnsi="Arial" w:cs="Arial"/>
          <w:sz w:val="22"/>
          <w:szCs w:val="22"/>
        </w:rPr>
        <w:t>Σ</w:t>
      </w:r>
      <w:r w:rsidRPr="00120CC6">
        <w:rPr>
          <w:rFonts w:ascii="Arial" w:hAnsi="Arial" w:cs="Arial"/>
          <w:sz w:val="22"/>
          <w:szCs w:val="22"/>
          <w:vertAlign w:val="subscript"/>
        </w:rPr>
        <w:t>hkl</w:t>
      </w:r>
      <w:r w:rsidRPr="00120CC6">
        <w:rPr>
          <w:rFonts w:ascii="Arial" w:eastAsia="Calibri" w:hAnsi="Arial" w:cs="Arial"/>
          <w:sz w:val="22"/>
          <w:szCs w:val="22"/>
        </w:rPr>
        <w:t>Σ</w:t>
      </w:r>
      <w:r w:rsidRPr="00120CC6">
        <w:rPr>
          <w:rFonts w:ascii="Arial" w:hAnsi="Arial" w:cs="Arial"/>
          <w:sz w:val="22"/>
          <w:szCs w:val="22"/>
          <w:vertAlign w:val="subscript"/>
        </w:rPr>
        <w:t>j</w:t>
      </w:r>
      <w:r w:rsidRPr="00120CC6">
        <w:rPr>
          <w:rFonts w:ascii="Arial" w:hAnsi="Arial" w:cs="Arial"/>
          <w:i/>
          <w:sz w:val="22"/>
          <w:szCs w:val="22"/>
        </w:rPr>
        <w:t>I</w:t>
      </w:r>
      <w:r w:rsidRPr="00120CC6">
        <w:rPr>
          <w:rFonts w:ascii="Arial" w:hAnsi="Arial" w:cs="Arial"/>
          <w:sz w:val="22"/>
          <w:szCs w:val="22"/>
          <w:vertAlign w:val="subscript"/>
        </w:rPr>
        <w:t>hk,j</w:t>
      </w:r>
      <w:proofErr w:type="spellEnd"/>
      <w:r w:rsidRPr="00120CC6">
        <w:rPr>
          <w:rFonts w:ascii="Arial" w:hAnsi="Arial" w:cs="Arial"/>
          <w:sz w:val="22"/>
          <w:szCs w:val="22"/>
        </w:rPr>
        <w:t xml:space="preserve">, where </w:t>
      </w:r>
      <w:proofErr w:type="spellStart"/>
      <w:r w:rsidRPr="00120CC6">
        <w:rPr>
          <w:rFonts w:ascii="Arial" w:hAnsi="Arial" w:cs="Arial"/>
          <w:i/>
          <w:sz w:val="22"/>
          <w:szCs w:val="22"/>
        </w:rPr>
        <w:t>I</w:t>
      </w:r>
      <w:r w:rsidRPr="00120CC6">
        <w:rPr>
          <w:rFonts w:ascii="Arial" w:hAnsi="Arial" w:cs="Arial"/>
          <w:sz w:val="22"/>
          <w:szCs w:val="22"/>
          <w:vertAlign w:val="subscript"/>
        </w:rPr>
        <w:t>hkl,j</w:t>
      </w:r>
      <w:proofErr w:type="spellEnd"/>
      <w:r w:rsidRPr="00120CC6">
        <w:rPr>
          <w:rFonts w:ascii="Arial" w:hAnsi="Arial" w:cs="Arial"/>
          <w:sz w:val="22"/>
          <w:szCs w:val="22"/>
        </w:rPr>
        <w:t xml:space="preserve"> and</w:t>
      </w:r>
      <w:r w:rsidRPr="00120CC6">
        <w:rPr>
          <w:rFonts w:ascii="Arial" w:eastAsia="MS Gothic" w:hAnsi="Arial" w:cs="Arial"/>
          <w:sz w:val="22"/>
          <w:szCs w:val="22"/>
        </w:rPr>
        <w:t>〈</w:t>
      </w:r>
      <w:proofErr w:type="spellStart"/>
      <w:r w:rsidRPr="00120CC6">
        <w:rPr>
          <w:rFonts w:ascii="Arial" w:hAnsi="Arial" w:cs="Arial"/>
          <w:i/>
          <w:sz w:val="22"/>
          <w:szCs w:val="22"/>
        </w:rPr>
        <w:t>I</w:t>
      </w:r>
      <w:r w:rsidRPr="00120CC6">
        <w:rPr>
          <w:rFonts w:ascii="Arial" w:hAnsi="Arial" w:cs="Arial"/>
          <w:sz w:val="22"/>
          <w:szCs w:val="22"/>
          <w:vertAlign w:val="subscript"/>
        </w:rPr>
        <w:t>hk,j</w:t>
      </w:r>
      <w:proofErr w:type="spellEnd"/>
      <w:r w:rsidRPr="00120CC6">
        <w:rPr>
          <w:rFonts w:ascii="Arial" w:eastAsia="MS Gothic" w:hAnsi="Arial" w:cs="Arial"/>
          <w:sz w:val="22"/>
          <w:szCs w:val="22"/>
        </w:rPr>
        <w:t>〉</w:t>
      </w:r>
      <w:r w:rsidRPr="00120CC6">
        <w:rPr>
          <w:rFonts w:ascii="Arial" w:hAnsi="Arial" w:cs="Arial"/>
          <w:sz w:val="22"/>
          <w:szCs w:val="22"/>
        </w:rPr>
        <w:t xml:space="preserve">are the </w:t>
      </w:r>
      <w:proofErr w:type="spellStart"/>
      <w:r w:rsidRPr="00120CC6">
        <w:rPr>
          <w:rFonts w:ascii="Arial" w:hAnsi="Arial" w:cs="Arial"/>
          <w:i/>
          <w:sz w:val="22"/>
          <w:szCs w:val="22"/>
        </w:rPr>
        <w:t>j</w:t>
      </w:r>
      <w:r w:rsidRPr="00120CC6">
        <w:rPr>
          <w:rFonts w:ascii="Arial" w:hAnsi="Arial" w:cs="Arial"/>
          <w:sz w:val="22"/>
          <w:szCs w:val="22"/>
        </w:rPr>
        <w:t>th</w:t>
      </w:r>
      <w:proofErr w:type="spellEnd"/>
      <w:r w:rsidRPr="00120CC6">
        <w:rPr>
          <w:rFonts w:ascii="Arial" w:hAnsi="Arial" w:cs="Arial"/>
          <w:sz w:val="22"/>
          <w:szCs w:val="22"/>
        </w:rPr>
        <w:t xml:space="preserve"> and mean measurement of the intensity of reflection </w:t>
      </w:r>
      <w:r w:rsidRPr="00120CC6">
        <w:rPr>
          <w:rFonts w:ascii="Arial" w:hAnsi="Arial" w:cs="Arial"/>
          <w:i/>
          <w:sz w:val="22"/>
          <w:szCs w:val="22"/>
        </w:rPr>
        <w:t>j</w:t>
      </w:r>
      <w:r w:rsidRPr="00120CC6">
        <w:rPr>
          <w:rFonts w:ascii="Arial" w:hAnsi="Arial" w:cs="Arial"/>
          <w:sz w:val="22"/>
          <w:szCs w:val="22"/>
        </w:rPr>
        <w:t>.</w:t>
      </w:r>
    </w:p>
    <w:p w14:paraId="1C6207A0" w14:textId="77777777" w:rsidR="00BB2AFF" w:rsidRPr="00120CC6" w:rsidRDefault="00BB2AFF" w:rsidP="00BB2AFF">
      <w:pPr>
        <w:jc w:val="both"/>
        <w:rPr>
          <w:rFonts w:ascii="Arial" w:hAnsi="Arial" w:cs="Arial"/>
          <w:sz w:val="22"/>
          <w:szCs w:val="22"/>
          <w:vertAlign w:val="subscript"/>
        </w:rPr>
      </w:pPr>
      <w:proofErr w:type="spellStart"/>
      <w:r w:rsidRPr="00120CC6">
        <w:rPr>
          <w:rFonts w:ascii="Arial" w:hAnsi="Arial" w:cs="Arial"/>
          <w:sz w:val="22"/>
          <w:szCs w:val="22"/>
          <w:vertAlign w:val="superscript"/>
        </w:rPr>
        <w:t>b</w:t>
      </w:r>
      <w:r w:rsidRPr="00120CC6">
        <w:rPr>
          <w:rFonts w:ascii="Arial" w:hAnsi="Arial" w:cs="Arial"/>
          <w:i/>
          <w:sz w:val="22"/>
          <w:szCs w:val="22"/>
        </w:rPr>
        <w:t>R</w:t>
      </w:r>
      <w:r w:rsidRPr="00120CC6">
        <w:rPr>
          <w:rFonts w:ascii="Arial" w:hAnsi="Arial" w:cs="Arial"/>
          <w:sz w:val="22"/>
          <w:szCs w:val="22"/>
          <w:vertAlign w:val="subscript"/>
        </w:rPr>
        <w:t>pim</w:t>
      </w:r>
      <w:proofErr w:type="spellEnd"/>
      <w:r w:rsidRPr="00120CC6">
        <w:rPr>
          <w:rFonts w:ascii="Arial" w:hAnsi="Arial" w:cs="Arial"/>
          <w:sz w:val="22"/>
          <w:szCs w:val="22"/>
        </w:rPr>
        <w:t xml:space="preserve"> = </w:t>
      </w:r>
      <w:proofErr w:type="spellStart"/>
      <w:r w:rsidRPr="00120CC6">
        <w:rPr>
          <w:rFonts w:ascii="Arial" w:eastAsia="Calibri" w:hAnsi="Arial" w:cs="Arial"/>
          <w:sz w:val="22"/>
          <w:szCs w:val="22"/>
        </w:rPr>
        <w:t>Σ</w:t>
      </w:r>
      <w:r w:rsidRPr="00120CC6">
        <w:rPr>
          <w:rFonts w:ascii="Arial" w:hAnsi="Arial" w:cs="Arial"/>
          <w:sz w:val="22"/>
          <w:szCs w:val="22"/>
          <w:vertAlign w:val="subscript"/>
        </w:rPr>
        <w:t>hkl</w:t>
      </w:r>
      <w:proofErr w:type="spellEnd"/>
      <w:r w:rsidRPr="00120CC6">
        <w:rPr>
          <w:rFonts w:ascii="Arial" w:eastAsia="Gungsuh" w:hAnsi="Arial" w:cs="Arial"/>
          <w:sz w:val="22"/>
          <w:szCs w:val="22"/>
        </w:rPr>
        <w:t xml:space="preserve">√(n/n-1) </w:t>
      </w:r>
      <w:proofErr w:type="spellStart"/>
      <w:r w:rsidRPr="00120CC6">
        <w:rPr>
          <w:rFonts w:ascii="Arial" w:eastAsia="Calibri" w:hAnsi="Arial" w:cs="Arial"/>
          <w:sz w:val="22"/>
          <w:szCs w:val="22"/>
        </w:rPr>
        <w:t>Σ</w:t>
      </w:r>
      <w:r w:rsidRPr="00120CC6">
        <w:rPr>
          <w:rFonts w:ascii="Arial" w:hAnsi="Arial" w:cs="Arial"/>
          <w:sz w:val="22"/>
          <w:szCs w:val="22"/>
          <w:vertAlign w:val="superscript"/>
        </w:rPr>
        <w:t>n</w:t>
      </w:r>
      <w:r w:rsidRPr="00120CC6">
        <w:rPr>
          <w:rFonts w:ascii="Arial" w:hAnsi="Arial" w:cs="Arial"/>
          <w:sz w:val="22"/>
          <w:szCs w:val="22"/>
          <w:vertAlign w:val="subscript"/>
        </w:rPr>
        <w:t>j</w:t>
      </w:r>
      <w:proofErr w:type="spellEnd"/>
      <w:r w:rsidRPr="00120CC6">
        <w:rPr>
          <w:rFonts w:ascii="Arial" w:hAnsi="Arial" w:cs="Arial"/>
          <w:sz w:val="22"/>
          <w:szCs w:val="22"/>
          <w:vertAlign w:val="subscript"/>
        </w:rPr>
        <w:t>=1</w:t>
      </w:r>
      <w:r w:rsidRPr="00120CC6">
        <w:rPr>
          <w:rFonts w:ascii="Arial" w:hAnsi="Arial" w:cs="Arial"/>
          <w:sz w:val="22"/>
          <w:szCs w:val="22"/>
        </w:rPr>
        <w:t>|</w:t>
      </w:r>
      <w:r w:rsidRPr="00120CC6">
        <w:rPr>
          <w:rFonts w:ascii="Arial" w:hAnsi="Arial" w:cs="Arial"/>
          <w:i/>
          <w:sz w:val="22"/>
          <w:szCs w:val="22"/>
        </w:rPr>
        <w:t>I</w:t>
      </w:r>
      <w:r w:rsidRPr="00120CC6">
        <w:rPr>
          <w:rFonts w:ascii="Arial" w:hAnsi="Arial" w:cs="Arial"/>
          <w:sz w:val="22"/>
          <w:szCs w:val="22"/>
          <w:vertAlign w:val="subscript"/>
        </w:rPr>
        <w:t>hkl.j</w:t>
      </w:r>
      <w:r w:rsidRPr="00120CC6">
        <w:rPr>
          <w:rFonts w:ascii="Arial" w:hAnsi="Arial" w:cs="Arial"/>
          <w:sz w:val="22"/>
          <w:szCs w:val="22"/>
        </w:rPr>
        <w:t>-</w:t>
      </w:r>
      <w:r w:rsidRPr="00120CC6">
        <w:rPr>
          <w:rFonts w:ascii="Arial" w:hAnsi="Arial" w:cs="Arial"/>
          <w:i/>
          <w:sz w:val="22"/>
          <w:szCs w:val="22"/>
        </w:rPr>
        <w:t>I</w:t>
      </w:r>
      <w:r w:rsidRPr="00120CC6">
        <w:rPr>
          <w:rFonts w:ascii="Arial" w:hAnsi="Arial" w:cs="Arial"/>
          <w:sz w:val="22"/>
          <w:szCs w:val="22"/>
          <w:vertAlign w:val="subscript"/>
        </w:rPr>
        <w:t>hkl</w:t>
      </w:r>
      <w:r w:rsidRPr="00120CC6">
        <w:rPr>
          <w:rFonts w:ascii="Arial" w:hAnsi="Arial" w:cs="Arial"/>
          <w:sz w:val="22"/>
          <w:szCs w:val="22"/>
        </w:rPr>
        <w:t>|/</w:t>
      </w:r>
      <w:proofErr w:type="spellStart"/>
      <w:r w:rsidRPr="00120CC6">
        <w:rPr>
          <w:rFonts w:ascii="Arial" w:eastAsia="Calibri" w:hAnsi="Arial" w:cs="Arial"/>
          <w:sz w:val="22"/>
          <w:szCs w:val="22"/>
        </w:rPr>
        <w:t>Σ</w:t>
      </w:r>
      <w:r w:rsidRPr="00120CC6">
        <w:rPr>
          <w:rFonts w:ascii="Arial" w:hAnsi="Arial" w:cs="Arial"/>
          <w:sz w:val="22"/>
          <w:szCs w:val="22"/>
          <w:vertAlign w:val="subscript"/>
        </w:rPr>
        <w:t>hkl</w:t>
      </w:r>
      <w:r w:rsidRPr="00120CC6">
        <w:rPr>
          <w:rFonts w:ascii="Arial" w:eastAsia="Calibri" w:hAnsi="Arial" w:cs="Arial"/>
          <w:sz w:val="22"/>
          <w:szCs w:val="22"/>
        </w:rPr>
        <w:t>Σ</w:t>
      </w:r>
      <w:r w:rsidRPr="00120CC6">
        <w:rPr>
          <w:rFonts w:ascii="Arial" w:hAnsi="Arial" w:cs="Arial"/>
          <w:sz w:val="22"/>
          <w:szCs w:val="22"/>
          <w:vertAlign w:val="subscript"/>
        </w:rPr>
        <w:t>j</w:t>
      </w:r>
      <w:r w:rsidRPr="00120CC6">
        <w:rPr>
          <w:rFonts w:ascii="Arial" w:hAnsi="Arial" w:cs="Arial"/>
          <w:sz w:val="22"/>
          <w:szCs w:val="22"/>
        </w:rPr>
        <w:t>I</w:t>
      </w:r>
      <w:r w:rsidRPr="00120CC6">
        <w:rPr>
          <w:rFonts w:ascii="Arial" w:hAnsi="Arial" w:cs="Arial"/>
          <w:sz w:val="22"/>
          <w:szCs w:val="22"/>
          <w:vertAlign w:val="subscript"/>
        </w:rPr>
        <w:t>hk,j</w:t>
      </w:r>
      <w:proofErr w:type="spellEnd"/>
    </w:p>
    <w:p w14:paraId="77CB38BF" w14:textId="77777777" w:rsidR="00BB2AFF" w:rsidRPr="00120CC6" w:rsidRDefault="00BB2AFF" w:rsidP="00BB2AFF">
      <w:pPr>
        <w:jc w:val="both"/>
        <w:rPr>
          <w:rFonts w:ascii="Arial" w:hAnsi="Arial" w:cs="Arial"/>
          <w:sz w:val="22"/>
          <w:szCs w:val="22"/>
        </w:rPr>
      </w:pPr>
      <w:proofErr w:type="spellStart"/>
      <w:r w:rsidRPr="00120CC6">
        <w:rPr>
          <w:rFonts w:ascii="Arial" w:hAnsi="Arial" w:cs="Arial"/>
          <w:sz w:val="22"/>
          <w:szCs w:val="22"/>
          <w:vertAlign w:val="superscript"/>
        </w:rPr>
        <w:t>c</w:t>
      </w:r>
      <w:r w:rsidRPr="00120CC6">
        <w:rPr>
          <w:rFonts w:ascii="Arial" w:hAnsi="Arial" w:cs="Arial"/>
          <w:i/>
          <w:sz w:val="22"/>
          <w:szCs w:val="22"/>
        </w:rPr>
        <w:t>R</w:t>
      </w:r>
      <w:proofErr w:type="spellEnd"/>
      <w:r w:rsidRPr="00120CC6">
        <w:rPr>
          <w:rFonts w:ascii="Arial" w:hAnsi="Arial" w:cs="Arial"/>
          <w:sz w:val="22"/>
          <w:szCs w:val="22"/>
        </w:rPr>
        <w:t xml:space="preserve"> = </w:t>
      </w:r>
      <w:proofErr w:type="spellStart"/>
      <w:r w:rsidRPr="00120CC6">
        <w:rPr>
          <w:rFonts w:ascii="Arial" w:eastAsia="Calibri" w:hAnsi="Arial" w:cs="Arial"/>
          <w:sz w:val="22"/>
          <w:szCs w:val="22"/>
        </w:rPr>
        <w:t>Σ</w:t>
      </w:r>
      <w:r w:rsidRPr="00120CC6">
        <w:rPr>
          <w:rFonts w:ascii="Arial" w:hAnsi="Arial" w:cs="Arial"/>
          <w:sz w:val="22"/>
          <w:szCs w:val="22"/>
        </w:rPr>
        <w:t>|F</w:t>
      </w:r>
      <w:r w:rsidRPr="00120CC6">
        <w:rPr>
          <w:rFonts w:ascii="Arial" w:hAnsi="Arial" w:cs="Arial"/>
          <w:sz w:val="22"/>
          <w:szCs w:val="22"/>
          <w:vertAlign w:val="subscript"/>
        </w:rPr>
        <w:t>p</w:t>
      </w:r>
      <w:r w:rsidRPr="00120CC6">
        <w:rPr>
          <w:rFonts w:ascii="Arial" w:hAnsi="Arial" w:cs="Arial"/>
          <w:sz w:val="22"/>
          <w:szCs w:val="22"/>
          <w:vertAlign w:val="superscript"/>
        </w:rPr>
        <w:t>obs</w:t>
      </w:r>
      <w:proofErr w:type="spellEnd"/>
      <w:r w:rsidRPr="00120CC6">
        <w:rPr>
          <w:rFonts w:ascii="Arial" w:hAnsi="Arial" w:cs="Arial"/>
          <w:sz w:val="22"/>
          <w:szCs w:val="22"/>
        </w:rPr>
        <w:t xml:space="preserve"> – </w:t>
      </w:r>
      <w:proofErr w:type="spellStart"/>
      <w:r w:rsidRPr="00120CC6">
        <w:rPr>
          <w:rFonts w:ascii="Arial" w:hAnsi="Arial" w:cs="Arial"/>
          <w:sz w:val="22"/>
          <w:szCs w:val="22"/>
        </w:rPr>
        <w:t>F</w:t>
      </w:r>
      <w:r w:rsidRPr="00120CC6">
        <w:rPr>
          <w:rFonts w:ascii="Arial" w:hAnsi="Arial" w:cs="Arial"/>
          <w:sz w:val="22"/>
          <w:szCs w:val="22"/>
          <w:vertAlign w:val="subscript"/>
        </w:rPr>
        <w:t>p</w:t>
      </w:r>
      <w:r w:rsidRPr="00120CC6">
        <w:rPr>
          <w:rFonts w:ascii="Arial" w:hAnsi="Arial" w:cs="Arial"/>
          <w:sz w:val="22"/>
          <w:szCs w:val="22"/>
          <w:vertAlign w:val="superscript"/>
        </w:rPr>
        <w:t>calc</w:t>
      </w:r>
      <w:proofErr w:type="spellEnd"/>
      <w:r w:rsidRPr="00120CC6">
        <w:rPr>
          <w:rFonts w:ascii="Arial" w:hAnsi="Arial" w:cs="Arial"/>
          <w:sz w:val="22"/>
          <w:szCs w:val="22"/>
        </w:rPr>
        <w:t>|/</w:t>
      </w:r>
      <w:proofErr w:type="spellStart"/>
      <w:r w:rsidRPr="00120CC6">
        <w:rPr>
          <w:rFonts w:ascii="Arial" w:eastAsia="Calibri" w:hAnsi="Arial" w:cs="Arial"/>
          <w:sz w:val="22"/>
          <w:szCs w:val="22"/>
        </w:rPr>
        <w:t>Σ</w:t>
      </w:r>
      <w:r w:rsidRPr="00120CC6">
        <w:rPr>
          <w:rFonts w:ascii="Arial" w:hAnsi="Arial" w:cs="Arial"/>
          <w:sz w:val="22"/>
          <w:szCs w:val="22"/>
        </w:rPr>
        <w:t>F</w:t>
      </w:r>
      <w:r w:rsidRPr="00120CC6">
        <w:rPr>
          <w:rFonts w:ascii="Arial" w:hAnsi="Arial" w:cs="Arial"/>
          <w:sz w:val="22"/>
          <w:szCs w:val="22"/>
          <w:vertAlign w:val="subscript"/>
        </w:rPr>
        <w:t>p</w:t>
      </w:r>
      <w:r w:rsidRPr="00120CC6">
        <w:rPr>
          <w:rFonts w:ascii="Arial" w:hAnsi="Arial" w:cs="Arial"/>
          <w:sz w:val="22"/>
          <w:szCs w:val="22"/>
          <w:vertAlign w:val="superscript"/>
        </w:rPr>
        <w:t>obs</w:t>
      </w:r>
      <w:proofErr w:type="spellEnd"/>
      <w:r w:rsidRPr="00120CC6">
        <w:rPr>
          <w:rFonts w:ascii="Arial" w:hAnsi="Arial" w:cs="Arial"/>
          <w:sz w:val="22"/>
          <w:szCs w:val="22"/>
        </w:rPr>
        <w:t xml:space="preserve">, where </w:t>
      </w:r>
      <w:proofErr w:type="spellStart"/>
      <w:r w:rsidRPr="00120CC6">
        <w:rPr>
          <w:rFonts w:ascii="Arial" w:hAnsi="Arial" w:cs="Arial"/>
          <w:sz w:val="22"/>
          <w:szCs w:val="22"/>
        </w:rPr>
        <w:t>F</w:t>
      </w:r>
      <w:r w:rsidRPr="00120CC6">
        <w:rPr>
          <w:rFonts w:ascii="Arial" w:hAnsi="Arial" w:cs="Arial"/>
          <w:sz w:val="22"/>
          <w:szCs w:val="22"/>
          <w:vertAlign w:val="subscript"/>
        </w:rPr>
        <w:t>p</w:t>
      </w:r>
      <w:r w:rsidRPr="00120CC6">
        <w:rPr>
          <w:rFonts w:ascii="Arial" w:hAnsi="Arial" w:cs="Arial"/>
          <w:sz w:val="22"/>
          <w:szCs w:val="22"/>
          <w:vertAlign w:val="superscript"/>
        </w:rPr>
        <w:t>obs</w:t>
      </w:r>
      <w:proofErr w:type="spellEnd"/>
      <w:r w:rsidRPr="00120CC6">
        <w:rPr>
          <w:rFonts w:ascii="Arial" w:hAnsi="Arial" w:cs="Arial"/>
          <w:sz w:val="22"/>
          <w:szCs w:val="22"/>
        </w:rPr>
        <w:t xml:space="preserve"> and </w:t>
      </w:r>
      <w:proofErr w:type="spellStart"/>
      <w:r w:rsidRPr="00120CC6">
        <w:rPr>
          <w:rFonts w:ascii="Arial" w:hAnsi="Arial" w:cs="Arial"/>
          <w:sz w:val="22"/>
          <w:szCs w:val="22"/>
        </w:rPr>
        <w:t>F</w:t>
      </w:r>
      <w:r w:rsidRPr="00120CC6">
        <w:rPr>
          <w:rFonts w:ascii="Arial" w:hAnsi="Arial" w:cs="Arial"/>
          <w:sz w:val="22"/>
          <w:szCs w:val="22"/>
          <w:vertAlign w:val="subscript"/>
        </w:rPr>
        <w:t>p</w:t>
      </w:r>
      <w:r w:rsidRPr="00120CC6">
        <w:rPr>
          <w:rFonts w:ascii="Arial" w:hAnsi="Arial" w:cs="Arial"/>
          <w:sz w:val="22"/>
          <w:szCs w:val="22"/>
          <w:vertAlign w:val="superscript"/>
        </w:rPr>
        <w:t>calc</w:t>
      </w:r>
      <w:proofErr w:type="spellEnd"/>
      <w:r w:rsidRPr="00120CC6">
        <w:rPr>
          <w:rFonts w:ascii="Arial" w:hAnsi="Arial" w:cs="Arial"/>
          <w:sz w:val="22"/>
          <w:szCs w:val="22"/>
        </w:rPr>
        <w:t xml:space="preserve"> are the observed and calculated structure factor amplitudes, respectively.</w:t>
      </w:r>
    </w:p>
    <w:p w14:paraId="0C9FD1C3" w14:textId="77777777" w:rsidR="00BB2AFF" w:rsidRPr="00120CC6" w:rsidRDefault="00BB2AFF" w:rsidP="009C3F74">
      <w:pPr>
        <w:spacing w:line="360" w:lineRule="auto"/>
        <w:jc w:val="both"/>
        <w:rPr>
          <w:rFonts w:ascii="Arial" w:hAnsi="Arial" w:cs="Arial"/>
          <w:b/>
          <w:bCs/>
        </w:rPr>
      </w:pPr>
    </w:p>
    <w:p w14:paraId="08F5A0A9" w14:textId="77777777" w:rsidR="00BB2AFF" w:rsidRDefault="00BB2AFF" w:rsidP="009C3F74">
      <w:pPr>
        <w:spacing w:line="360" w:lineRule="auto"/>
        <w:jc w:val="both"/>
        <w:rPr>
          <w:rFonts w:ascii="Times New Roman" w:hAnsi="Times New Roman" w:cs="Times New Roman"/>
          <w:b/>
          <w:bCs/>
        </w:rPr>
      </w:pPr>
    </w:p>
    <w:p w14:paraId="62E8A783" w14:textId="77777777" w:rsidR="00120CC6" w:rsidRDefault="00120CC6" w:rsidP="009C3F74">
      <w:pPr>
        <w:spacing w:line="360" w:lineRule="auto"/>
        <w:jc w:val="both"/>
        <w:rPr>
          <w:rFonts w:ascii="Times New Roman" w:hAnsi="Times New Roman" w:cs="Times New Roman"/>
          <w:b/>
          <w:bCs/>
        </w:rPr>
      </w:pPr>
    </w:p>
    <w:p w14:paraId="3696B6FE" w14:textId="77777777" w:rsidR="00FC2CD6" w:rsidRDefault="00FC2CD6" w:rsidP="00FC2CD6">
      <w:pPr>
        <w:rPr>
          <w:rFonts w:ascii="Arial" w:eastAsia="Calibri" w:hAnsi="Arial" w:cs="Arial"/>
          <w:b/>
          <w:bCs/>
          <w:color w:val="000000" w:themeColor="text1"/>
          <w:kern w:val="2"/>
          <w:lang w:val="en-US"/>
        </w:rPr>
      </w:pPr>
      <w:r>
        <w:rPr>
          <w:rFonts w:ascii="Arial" w:eastAsia="Calibri" w:hAnsi="Arial" w:cs="Arial"/>
          <w:b/>
          <w:bCs/>
          <w:color w:val="000000" w:themeColor="text1"/>
          <w:kern w:val="2"/>
          <w:lang w:val="en-US"/>
        </w:rPr>
        <w:lastRenderedPageBreak/>
        <w:t>Table S2: Pharmacokinetic parameters of GW, 1e, 1f, 2a and 2b.</w:t>
      </w:r>
    </w:p>
    <w:p w14:paraId="71BF6AF4" w14:textId="77777777" w:rsidR="00FC2CD6" w:rsidRDefault="00FC2CD6" w:rsidP="009C3F74">
      <w:pPr>
        <w:spacing w:line="360" w:lineRule="auto"/>
        <w:jc w:val="both"/>
        <w:rPr>
          <w:rFonts w:ascii="Times New Roman" w:hAnsi="Times New Roman" w:cs="Times New Roman"/>
          <w:b/>
          <w:bCs/>
        </w:rPr>
      </w:pPr>
    </w:p>
    <w:p w14:paraId="0CEFC7AB" w14:textId="77777777" w:rsidR="00FC2CD6" w:rsidRDefault="00FC2CD6" w:rsidP="009C3F74">
      <w:pPr>
        <w:spacing w:line="360" w:lineRule="auto"/>
        <w:jc w:val="both"/>
        <w:rPr>
          <w:rFonts w:ascii="Times New Roman" w:hAnsi="Times New Roman" w:cs="Times New Roman"/>
          <w:b/>
          <w:bCs/>
        </w:rPr>
      </w:pPr>
    </w:p>
    <w:p w14:paraId="51872E9F" w14:textId="0C54B013" w:rsidR="00FC2CD6" w:rsidRDefault="00FC2CD6" w:rsidP="009C3F74">
      <w:pPr>
        <w:spacing w:line="360" w:lineRule="auto"/>
        <w:jc w:val="both"/>
        <w:rPr>
          <w:rFonts w:ascii="Times New Roman" w:hAnsi="Times New Roman" w:cs="Times New Roman"/>
          <w:b/>
          <w:bCs/>
        </w:rPr>
      </w:pPr>
      <w:r w:rsidRPr="00BB34E4">
        <w:rPr>
          <w:rFonts w:ascii="Times New Roman" w:hAnsi="Times New Roman" w:cs="Times New Roman"/>
          <w:noProof/>
        </w:rPr>
        <w:drawing>
          <wp:anchor distT="0" distB="0" distL="114300" distR="114300" simplePos="0" relativeHeight="251667456" behindDoc="0" locked="0" layoutInCell="1" allowOverlap="1" wp14:anchorId="27F3922F" wp14:editId="463BE147">
            <wp:simplePos x="0" y="0"/>
            <wp:positionH relativeFrom="column">
              <wp:posOffset>101600</wp:posOffset>
            </wp:positionH>
            <wp:positionV relativeFrom="paragraph">
              <wp:posOffset>751205</wp:posOffset>
            </wp:positionV>
            <wp:extent cx="6543040" cy="2349500"/>
            <wp:effectExtent l="0" t="0" r="0" b="0"/>
            <wp:wrapNone/>
            <wp:docPr id="8" name="table" descr="A grid of white lines on a black background&#10;&#10;Description automatically generated">
              <a:extLst xmlns:a="http://schemas.openxmlformats.org/drawingml/2006/main">
                <a:ext uri="{FF2B5EF4-FFF2-40B4-BE49-F238E27FC236}">
                  <a16:creationId xmlns:a16="http://schemas.microsoft.com/office/drawing/2014/main" id="{A9293E93-BACA-D4B7-0D95-C1863FA2BC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 descr="A grid of white lines on a black background&#10;&#10;Description automatically generated">
                      <a:extLst>
                        <a:ext uri="{FF2B5EF4-FFF2-40B4-BE49-F238E27FC236}">
                          <a16:creationId xmlns:a16="http://schemas.microsoft.com/office/drawing/2014/main" id="{A9293E93-BACA-D4B7-0D95-C1863FA2BCC6}"/>
                        </a:ext>
                      </a:extLst>
                    </pic:cNvPr>
                    <pic:cNvPicPr>
                      <a:picLocks noChangeAspect="1"/>
                    </pic:cNvPicPr>
                  </pic:nvPicPr>
                  <pic:blipFill>
                    <a:blip r:embed="rId5"/>
                    <a:stretch>
                      <a:fillRect/>
                    </a:stretch>
                  </pic:blipFill>
                  <pic:spPr>
                    <a:xfrm>
                      <a:off x="0" y="0"/>
                      <a:ext cx="6543040" cy="2349500"/>
                    </a:xfrm>
                    <a:prstGeom prst="rect">
                      <a:avLst/>
                    </a:prstGeom>
                  </pic:spPr>
                </pic:pic>
              </a:graphicData>
            </a:graphic>
            <wp14:sizeRelH relativeFrom="margin">
              <wp14:pctWidth>0</wp14:pctWidth>
            </wp14:sizeRelH>
            <wp14:sizeRelV relativeFrom="margin">
              <wp14:pctHeight>0</wp14:pctHeight>
            </wp14:sizeRelV>
          </wp:anchor>
        </w:drawing>
      </w:r>
      <w:r w:rsidRPr="00BB34E4">
        <w:rPr>
          <w:rFonts w:ascii="Times New Roman" w:hAnsi="Times New Roman" w:cs="Times New Roman"/>
          <w:noProof/>
        </w:rPr>
        <w:drawing>
          <wp:anchor distT="0" distB="0" distL="114300" distR="114300" simplePos="0" relativeHeight="251668480" behindDoc="0" locked="0" layoutInCell="1" allowOverlap="1" wp14:anchorId="023E3039" wp14:editId="26CC9C80">
            <wp:simplePos x="0" y="0"/>
            <wp:positionH relativeFrom="column">
              <wp:posOffset>1054100</wp:posOffset>
            </wp:positionH>
            <wp:positionV relativeFrom="paragraph">
              <wp:posOffset>12065</wp:posOffset>
            </wp:positionV>
            <wp:extent cx="1051560" cy="652780"/>
            <wp:effectExtent l="0" t="0" r="0" b="0"/>
            <wp:wrapNone/>
            <wp:docPr id="2" name="Picture 1">
              <a:extLst xmlns:a="http://schemas.openxmlformats.org/drawingml/2006/main">
                <a:ext uri="{FF2B5EF4-FFF2-40B4-BE49-F238E27FC236}">
                  <a16:creationId xmlns:a16="http://schemas.microsoft.com/office/drawing/2014/main" id="{7AB68D9E-53E9-4DAD-CFEF-133853929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AB68D9E-53E9-4DAD-CFEF-133853929BCD}"/>
                        </a:ext>
                      </a:extLst>
                    </pic:cNvPr>
                    <pic:cNvPicPr>
                      <a:picLocks noChangeAspect="1"/>
                    </pic:cNvPicPr>
                  </pic:nvPicPr>
                  <pic:blipFill rotWithShape="1">
                    <a:blip r:embed="rId6"/>
                    <a:srcRect l="7187" t="-8438" r="5611" b="40712"/>
                    <a:stretch/>
                  </pic:blipFill>
                  <pic:spPr>
                    <a:xfrm>
                      <a:off x="0" y="0"/>
                      <a:ext cx="1051560" cy="652780"/>
                    </a:xfrm>
                    <a:prstGeom prst="rect">
                      <a:avLst/>
                    </a:prstGeom>
                    <a:ln>
                      <a:noFill/>
                    </a:ln>
                  </pic:spPr>
                </pic:pic>
              </a:graphicData>
            </a:graphic>
          </wp:anchor>
        </w:drawing>
      </w:r>
      <w:r w:rsidRPr="00BB34E4">
        <w:rPr>
          <w:rFonts w:ascii="Times New Roman" w:hAnsi="Times New Roman" w:cs="Times New Roman"/>
          <w:noProof/>
        </w:rPr>
        <w:drawing>
          <wp:anchor distT="0" distB="0" distL="114300" distR="114300" simplePos="0" relativeHeight="251669504" behindDoc="0" locked="0" layoutInCell="1" allowOverlap="1" wp14:anchorId="129CB146" wp14:editId="20497B96">
            <wp:simplePos x="0" y="0"/>
            <wp:positionH relativeFrom="column">
              <wp:posOffset>2260600</wp:posOffset>
            </wp:positionH>
            <wp:positionV relativeFrom="paragraph">
              <wp:posOffset>50165</wp:posOffset>
            </wp:positionV>
            <wp:extent cx="973455" cy="582295"/>
            <wp:effectExtent l="0" t="0" r="0" b="1905"/>
            <wp:wrapNone/>
            <wp:docPr id="3" name="Picture 2">
              <a:extLst xmlns:a="http://schemas.openxmlformats.org/drawingml/2006/main">
                <a:ext uri="{FF2B5EF4-FFF2-40B4-BE49-F238E27FC236}">
                  <a16:creationId xmlns:a16="http://schemas.microsoft.com/office/drawing/2014/main" id="{A4B37F14-83FB-E3DB-0226-A80B186F2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4B37F14-83FB-E3DB-0226-A80B186F2942}"/>
                        </a:ext>
                      </a:extLst>
                    </pic:cNvPr>
                    <pic:cNvPicPr>
                      <a:picLocks noChangeAspect="1"/>
                    </pic:cNvPicPr>
                  </pic:nvPicPr>
                  <pic:blipFill rotWithShape="1">
                    <a:blip r:embed="rId7">
                      <a:biLevel thresh="75000"/>
                    </a:blip>
                    <a:srcRect l="83474" r="-121" b="72839"/>
                    <a:stretch/>
                  </pic:blipFill>
                  <pic:spPr>
                    <a:xfrm>
                      <a:off x="0" y="0"/>
                      <a:ext cx="973455" cy="582295"/>
                    </a:xfrm>
                    <a:prstGeom prst="rect">
                      <a:avLst/>
                    </a:prstGeom>
                    <a:ln>
                      <a:noFill/>
                    </a:ln>
                  </pic:spPr>
                </pic:pic>
              </a:graphicData>
            </a:graphic>
          </wp:anchor>
        </w:drawing>
      </w:r>
      <w:r w:rsidRPr="00BB34E4">
        <w:rPr>
          <w:rFonts w:ascii="Times New Roman" w:hAnsi="Times New Roman" w:cs="Times New Roman"/>
          <w:noProof/>
        </w:rPr>
        <w:drawing>
          <wp:anchor distT="0" distB="0" distL="114300" distR="114300" simplePos="0" relativeHeight="251670528" behindDoc="0" locked="0" layoutInCell="1" allowOverlap="1" wp14:anchorId="3E16E2F6" wp14:editId="0F0DDD6C">
            <wp:simplePos x="0" y="0"/>
            <wp:positionH relativeFrom="column">
              <wp:posOffset>3314700</wp:posOffset>
            </wp:positionH>
            <wp:positionV relativeFrom="paragraph">
              <wp:posOffset>-635</wp:posOffset>
            </wp:positionV>
            <wp:extent cx="1005205" cy="622300"/>
            <wp:effectExtent l="0" t="0" r="0" b="0"/>
            <wp:wrapNone/>
            <wp:docPr id="4" name="Picture 3">
              <a:extLst xmlns:a="http://schemas.openxmlformats.org/drawingml/2006/main">
                <a:ext uri="{FF2B5EF4-FFF2-40B4-BE49-F238E27FC236}">
                  <a16:creationId xmlns:a16="http://schemas.microsoft.com/office/drawing/2014/main" id="{944CBC39-A211-EAEC-6457-FC5286BEC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44CBC39-A211-EAEC-6457-FC5286BECDE9}"/>
                        </a:ext>
                      </a:extLst>
                    </pic:cNvPr>
                    <pic:cNvPicPr>
                      <a:picLocks noChangeAspect="1"/>
                    </pic:cNvPicPr>
                  </pic:nvPicPr>
                  <pic:blipFill rotWithShape="1">
                    <a:blip r:embed="rId7">
                      <a:biLevel thresh="75000"/>
                    </a:blip>
                    <a:srcRect l="-91" t="50099" r="82781" b="21726"/>
                    <a:stretch/>
                  </pic:blipFill>
                  <pic:spPr>
                    <a:xfrm>
                      <a:off x="0" y="0"/>
                      <a:ext cx="1005205" cy="622300"/>
                    </a:xfrm>
                    <a:prstGeom prst="rect">
                      <a:avLst/>
                    </a:prstGeom>
                    <a:ln>
                      <a:noFill/>
                    </a:ln>
                  </pic:spPr>
                </pic:pic>
              </a:graphicData>
            </a:graphic>
          </wp:anchor>
        </w:drawing>
      </w:r>
      <w:r w:rsidRPr="00BB34E4">
        <w:rPr>
          <w:rFonts w:ascii="Times New Roman" w:hAnsi="Times New Roman" w:cs="Times New Roman"/>
          <w:noProof/>
        </w:rPr>
        <w:drawing>
          <wp:anchor distT="0" distB="0" distL="114300" distR="114300" simplePos="0" relativeHeight="251671552" behindDoc="0" locked="0" layoutInCell="1" allowOverlap="1" wp14:anchorId="21F43AD9" wp14:editId="31825CAB">
            <wp:simplePos x="0" y="0"/>
            <wp:positionH relativeFrom="column">
              <wp:posOffset>4470400</wp:posOffset>
            </wp:positionH>
            <wp:positionV relativeFrom="paragraph">
              <wp:posOffset>50165</wp:posOffset>
            </wp:positionV>
            <wp:extent cx="973455" cy="580390"/>
            <wp:effectExtent l="0" t="0" r="0" b="3810"/>
            <wp:wrapNone/>
            <wp:docPr id="6" name="Picture 5">
              <a:extLst xmlns:a="http://schemas.openxmlformats.org/drawingml/2006/main">
                <a:ext uri="{FF2B5EF4-FFF2-40B4-BE49-F238E27FC236}">
                  <a16:creationId xmlns:a16="http://schemas.microsoft.com/office/drawing/2014/main" id="{7B5902BE-8ED6-33F5-F288-8338C525A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B5902BE-8ED6-33F5-F288-8338C525A437}"/>
                        </a:ext>
                      </a:extLst>
                    </pic:cNvPr>
                    <pic:cNvPicPr>
                      <a:picLocks noChangeAspect="1"/>
                    </pic:cNvPicPr>
                  </pic:nvPicPr>
                  <pic:blipFill rotWithShape="1">
                    <a:blip r:embed="rId8"/>
                    <a:srcRect r="76269" b="20901"/>
                    <a:stretch/>
                  </pic:blipFill>
                  <pic:spPr>
                    <a:xfrm>
                      <a:off x="0" y="0"/>
                      <a:ext cx="973455" cy="580390"/>
                    </a:xfrm>
                    <a:prstGeom prst="rect">
                      <a:avLst/>
                    </a:prstGeom>
                    <a:ln>
                      <a:noFill/>
                    </a:ln>
                  </pic:spPr>
                </pic:pic>
              </a:graphicData>
            </a:graphic>
          </wp:anchor>
        </w:drawing>
      </w:r>
      <w:r w:rsidRPr="00BB34E4">
        <w:rPr>
          <w:rFonts w:ascii="Times New Roman" w:hAnsi="Times New Roman" w:cs="Times New Roman"/>
          <w:noProof/>
        </w:rPr>
        <w:drawing>
          <wp:anchor distT="0" distB="0" distL="114300" distR="114300" simplePos="0" relativeHeight="251672576" behindDoc="0" locked="0" layoutInCell="1" allowOverlap="1" wp14:anchorId="7129CAAF" wp14:editId="6B518F1C">
            <wp:simplePos x="0" y="0"/>
            <wp:positionH relativeFrom="column">
              <wp:posOffset>5588000</wp:posOffset>
            </wp:positionH>
            <wp:positionV relativeFrom="paragraph">
              <wp:posOffset>37465</wp:posOffset>
            </wp:positionV>
            <wp:extent cx="973455" cy="604520"/>
            <wp:effectExtent l="0" t="0" r="0" b="5080"/>
            <wp:wrapNone/>
            <wp:docPr id="7" name="Picture 6">
              <a:extLst xmlns:a="http://schemas.openxmlformats.org/drawingml/2006/main">
                <a:ext uri="{FF2B5EF4-FFF2-40B4-BE49-F238E27FC236}">
                  <a16:creationId xmlns:a16="http://schemas.microsoft.com/office/drawing/2014/main" id="{96D52CB5-3616-8718-FEED-96FFE343A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D52CB5-3616-8718-FEED-96FFE343A151}"/>
                        </a:ext>
                      </a:extLst>
                    </pic:cNvPr>
                    <pic:cNvPicPr>
                      <a:picLocks noChangeAspect="1"/>
                    </pic:cNvPicPr>
                  </pic:nvPicPr>
                  <pic:blipFill rotWithShape="1">
                    <a:blip r:embed="rId9"/>
                    <a:srcRect l="11173" t="-7996" r="7804" b="31891"/>
                    <a:stretch/>
                  </pic:blipFill>
                  <pic:spPr>
                    <a:xfrm>
                      <a:off x="0" y="0"/>
                      <a:ext cx="973455" cy="604520"/>
                    </a:xfrm>
                    <a:prstGeom prst="rect">
                      <a:avLst/>
                    </a:prstGeom>
                    <a:ln>
                      <a:noFill/>
                    </a:ln>
                  </pic:spPr>
                </pic:pic>
              </a:graphicData>
            </a:graphic>
          </wp:anchor>
        </w:drawing>
      </w:r>
      <w:r w:rsidRPr="00BB34E4">
        <w:rPr>
          <w:noProof/>
        </w:rPr>
        <mc:AlternateContent>
          <mc:Choice Requires="wps">
            <w:drawing>
              <wp:anchor distT="0" distB="0" distL="114300" distR="114300" simplePos="0" relativeHeight="251673600" behindDoc="0" locked="0" layoutInCell="1" allowOverlap="1" wp14:anchorId="32EC28D2" wp14:editId="28E6DFAD">
                <wp:simplePos x="0" y="0"/>
                <wp:positionH relativeFrom="column">
                  <wp:posOffset>0</wp:posOffset>
                </wp:positionH>
                <wp:positionV relativeFrom="paragraph">
                  <wp:posOffset>3415665</wp:posOffset>
                </wp:positionV>
                <wp:extent cx="6664960" cy="1384935"/>
                <wp:effectExtent l="0" t="0" r="0" b="0"/>
                <wp:wrapNone/>
                <wp:docPr id="35" name="TextBox 34">
                  <a:extLst xmlns:a="http://schemas.openxmlformats.org/drawingml/2006/main">
                    <a:ext uri="{FF2B5EF4-FFF2-40B4-BE49-F238E27FC236}">
                      <a16:creationId xmlns:a16="http://schemas.microsoft.com/office/drawing/2014/main" id="{86923602-7DFB-34BD-F697-B60FB87C2767}"/>
                    </a:ext>
                  </a:extLst>
                </wp:docPr>
                <wp:cNvGraphicFramePr/>
                <a:graphic xmlns:a="http://schemas.openxmlformats.org/drawingml/2006/main">
                  <a:graphicData uri="http://schemas.microsoft.com/office/word/2010/wordprocessingShape">
                    <wps:wsp>
                      <wps:cNvSpPr txBox="1"/>
                      <wps:spPr>
                        <a:xfrm>
                          <a:off x="0" y="0"/>
                          <a:ext cx="6664960" cy="1384935"/>
                        </a:xfrm>
                        <a:prstGeom prst="rect">
                          <a:avLst/>
                        </a:prstGeom>
                        <a:noFill/>
                      </wps:spPr>
                      <wps:txbx>
                        <w:txbxContent>
                          <w:p w14:paraId="4A146ADE" w14:textId="77777777" w:rsidR="00FC2CD6" w:rsidRDefault="00FC2CD6" w:rsidP="00FC2CD6">
                            <w:pPr>
                              <w:jc w:val="both"/>
                              <w:rPr>
                                <w:rFonts w:ascii="Arial" w:eastAsia="Calibri" w:hAnsi="Arial" w:cs="Arial"/>
                                <w:color w:val="000000" w:themeColor="text1"/>
                                <w:kern w:val="2"/>
                                <w:position w:val="7"/>
                                <w:vertAlign w:val="superscript"/>
                                <w:lang w:val="en-US"/>
                              </w:rPr>
                            </w:pPr>
                            <w:r>
                              <w:rPr>
                                <w:rFonts w:ascii="Arial" w:eastAsia="Calibri" w:hAnsi="Arial" w:cs="Arial"/>
                                <w:color w:val="000000" w:themeColor="text1"/>
                                <w:kern w:val="2"/>
                                <w:position w:val="7"/>
                                <w:vertAlign w:val="superscript"/>
                                <w:lang w:val="en-US"/>
                              </w:rPr>
                              <w:t xml:space="preserve">a Time required for the total concentration of molecule to be reduced in mouse plasma by one half. b Time required for drug to reach its maximal concentration. c Maximum drug concentration reached in the plasma. d Area under the time/plasma concentration curve representing total exposure to drug experienced by subjects at the end of the study. e Volume of drug distribution based on terminal elimination phase post-administration. f Total body clearance following administration. g  Median residence time. </w:t>
                            </w:r>
                            <w:r>
                              <w:rPr>
                                <w:rFonts w:ascii="Arial" w:eastAsia="Calibri" w:hAnsi="Arial" w:cs="Arial"/>
                                <w:color w:val="000000"/>
                                <w:kern w:val="24"/>
                                <w:position w:val="7"/>
                                <w:vertAlign w:val="superscript"/>
                              </w:rPr>
                              <w:t xml:space="preserve">Phoenix 64 </w:t>
                            </w:r>
                            <w:proofErr w:type="spellStart"/>
                            <w:r>
                              <w:rPr>
                                <w:rFonts w:ascii="Arial" w:eastAsia="Calibri" w:hAnsi="Arial" w:cs="Arial"/>
                                <w:color w:val="000000"/>
                                <w:kern w:val="24"/>
                                <w:position w:val="7"/>
                                <w:vertAlign w:val="superscript"/>
                              </w:rPr>
                              <w:t>WinNonlin</w:t>
                            </w:r>
                            <w:proofErr w:type="spellEnd"/>
                            <w:r>
                              <w:rPr>
                                <w:rFonts w:ascii="Arial" w:eastAsia="Calibri" w:hAnsi="Arial" w:cs="Arial"/>
                                <w:color w:val="000000"/>
                                <w:kern w:val="24"/>
                                <w:position w:val="7"/>
                                <w:vertAlign w:val="superscript"/>
                              </w:rPr>
                              <w:t xml:space="preserve"> 8.3.1.5014 was used to calculate PK parameters. </w:t>
                            </w:r>
                          </w:p>
                        </w:txbxContent>
                      </wps:txbx>
                      <wps:bodyPr wrap="square">
                        <a:spAutoFit/>
                      </wps:bodyPr>
                    </wps:wsp>
                  </a:graphicData>
                </a:graphic>
              </wp:anchor>
            </w:drawing>
          </mc:Choice>
          <mc:Fallback>
            <w:pict>
              <v:shapetype w14:anchorId="32EC28D2" id="_x0000_t202" coordsize="21600,21600" o:spt="202" path="m,l,21600r21600,l21600,xe">
                <v:stroke joinstyle="miter"/>
                <v:path gradientshapeok="t" o:connecttype="rect"/>
              </v:shapetype>
              <v:shape id="TextBox 34" o:spid="_x0000_s1026" type="#_x0000_t202" style="position:absolute;left:0;text-align:left;margin-left:0;margin-top:268.95pt;width:524.8pt;height:109.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" filled="f" stroked="f">
                <v:textbox style="mso-fit-shape-to-text:t">
                  <w:txbxContent>
                    <w:p w14:paraId="4A146ADE" w14:textId="77777777" w:rsidR="00FC2CD6" w:rsidRDefault="00FC2CD6" w:rsidP="00FC2CD6">
                      <w:pPr>
                        <w:jc w:val="both"/>
                        <w:rPr>
                          <w:rFonts w:ascii="Arial" w:eastAsia="Calibri" w:hAnsi="Arial" w:cs="Arial"/>
                          <w:color w:val="000000" w:themeColor="text1"/>
                          <w:kern w:val="2"/>
                          <w:position w:val="7"/>
                          <w:vertAlign w:val="superscript"/>
                          <w:lang w:val="en-US"/>
                        </w:rPr>
                      </w:pPr>
                      <w:r>
                        <w:rPr>
                          <w:rFonts w:ascii="Arial" w:eastAsia="Calibri" w:hAnsi="Arial" w:cs="Arial"/>
                          <w:color w:val="000000" w:themeColor="text1"/>
                          <w:kern w:val="2"/>
                          <w:position w:val="7"/>
                          <w:vertAlign w:val="superscript"/>
                          <w:lang w:val="en-US"/>
                        </w:rPr>
                        <w:t xml:space="preserve">a Time required for the total concentration of molecule to be reduced in mouse plasma by one half. b Time required for drug to reach its maximal concentration. c Maximum drug concentration reached in the plasma. d Area under the time/plasma concentration curve representing total exposure to drug experienced by subjects at the end of the study. e Volume of drug distribution based on terminal elimination phase post-administration. f Total body clearance following administration. </w:t>
                      </w:r>
                      <w:proofErr w:type="gramStart"/>
                      <w:r>
                        <w:rPr>
                          <w:rFonts w:ascii="Arial" w:eastAsia="Calibri" w:hAnsi="Arial" w:cs="Arial"/>
                          <w:color w:val="000000" w:themeColor="text1"/>
                          <w:kern w:val="2"/>
                          <w:position w:val="7"/>
                          <w:vertAlign w:val="superscript"/>
                          <w:lang w:val="en-US"/>
                        </w:rPr>
                        <w:t>g  Median</w:t>
                      </w:r>
                      <w:proofErr w:type="gramEnd"/>
                      <w:r>
                        <w:rPr>
                          <w:rFonts w:ascii="Arial" w:eastAsia="Calibri" w:hAnsi="Arial" w:cs="Arial"/>
                          <w:color w:val="000000" w:themeColor="text1"/>
                          <w:kern w:val="2"/>
                          <w:position w:val="7"/>
                          <w:vertAlign w:val="superscript"/>
                          <w:lang w:val="en-US"/>
                        </w:rPr>
                        <w:t xml:space="preserve"> residence time. </w:t>
                      </w:r>
                      <w:r>
                        <w:rPr>
                          <w:rFonts w:ascii="Arial" w:eastAsia="Calibri" w:hAnsi="Arial" w:cs="Arial"/>
                          <w:color w:val="000000"/>
                          <w:kern w:val="24"/>
                          <w:position w:val="7"/>
                          <w:vertAlign w:val="superscript"/>
                        </w:rPr>
                        <w:t xml:space="preserve">Phoenix 64 </w:t>
                      </w:r>
                      <w:proofErr w:type="spellStart"/>
                      <w:r>
                        <w:rPr>
                          <w:rFonts w:ascii="Arial" w:eastAsia="Calibri" w:hAnsi="Arial" w:cs="Arial"/>
                          <w:color w:val="000000"/>
                          <w:kern w:val="24"/>
                          <w:position w:val="7"/>
                          <w:vertAlign w:val="superscript"/>
                        </w:rPr>
                        <w:t>WinNonlin</w:t>
                      </w:r>
                      <w:proofErr w:type="spellEnd"/>
                      <w:r>
                        <w:rPr>
                          <w:rFonts w:ascii="Arial" w:eastAsia="Calibri" w:hAnsi="Arial" w:cs="Arial"/>
                          <w:color w:val="000000"/>
                          <w:kern w:val="24"/>
                          <w:position w:val="7"/>
                          <w:vertAlign w:val="superscript"/>
                        </w:rPr>
                        <w:t xml:space="preserve"> 8.3.1.5014 was used to calculate PK parameters. </w:t>
                      </w:r>
                    </w:p>
                  </w:txbxContent>
                </v:textbox>
              </v:shape>
            </w:pict>
          </mc:Fallback>
        </mc:AlternateContent>
      </w:r>
    </w:p>
    <w:p w14:paraId="5018F97D" w14:textId="77777777" w:rsidR="00120CC6" w:rsidRDefault="00120CC6" w:rsidP="009C3F74">
      <w:pPr>
        <w:spacing w:line="360" w:lineRule="auto"/>
        <w:jc w:val="both"/>
        <w:rPr>
          <w:rFonts w:ascii="Times New Roman" w:hAnsi="Times New Roman" w:cs="Times New Roman"/>
          <w:b/>
          <w:bCs/>
        </w:rPr>
      </w:pPr>
    </w:p>
    <w:p w14:paraId="3DADEBF2" w14:textId="77777777" w:rsidR="00FC2CD6" w:rsidRDefault="00FC2CD6" w:rsidP="009C3F74">
      <w:pPr>
        <w:spacing w:line="360" w:lineRule="auto"/>
        <w:jc w:val="both"/>
        <w:rPr>
          <w:rFonts w:ascii="Arial" w:hAnsi="Arial" w:cs="Arial"/>
          <w:b/>
          <w:bCs/>
        </w:rPr>
      </w:pPr>
    </w:p>
    <w:p w14:paraId="6EBDB0E5" w14:textId="77777777" w:rsidR="00FC2CD6" w:rsidRDefault="00FC2CD6" w:rsidP="009C3F74">
      <w:pPr>
        <w:spacing w:line="360" w:lineRule="auto"/>
        <w:jc w:val="both"/>
        <w:rPr>
          <w:rFonts w:ascii="Arial" w:hAnsi="Arial" w:cs="Arial"/>
          <w:b/>
          <w:bCs/>
        </w:rPr>
      </w:pPr>
    </w:p>
    <w:p w14:paraId="4E993838" w14:textId="77777777" w:rsidR="00FC2CD6" w:rsidRDefault="00FC2CD6" w:rsidP="009C3F74">
      <w:pPr>
        <w:spacing w:line="360" w:lineRule="auto"/>
        <w:jc w:val="both"/>
        <w:rPr>
          <w:rFonts w:ascii="Arial" w:hAnsi="Arial" w:cs="Arial"/>
          <w:b/>
          <w:bCs/>
        </w:rPr>
      </w:pPr>
    </w:p>
    <w:p w14:paraId="33D2AFB3" w14:textId="77777777" w:rsidR="00FC2CD6" w:rsidRDefault="00FC2CD6" w:rsidP="009C3F74">
      <w:pPr>
        <w:spacing w:line="360" w:lineRule="auto"/>
        <w:jc w:val="both"/>
        <w:rPr>
          <w:rFonts w:ascii="Arial" w:hAnsi="Arial" w:cs="Arial"/>
          <w:b/>
          <w:bCs/>
        </w:rPr>
      </w:pPr>
    </w:p>
    <w:p w14:paraId="253D21AC" w14:textId="77777777" w:rsidR="00FC2CD6" w:rsidRDefault="00FC2CD6" w:rsidP="009C3F74">
      <w:pPr>
        <w:spacing w:line="360" w:lineRule="auto"/>
        <w:jc w:val="both"/>
        <w:rPr>
          <w:rFonts w:ascii="Arial" w:hAnsi="Arial" w:cs="Arial"/>
          <w:b/>
          <w:bCs/>
        </w:rPr>
      </w:pPr>
    </w:p>
    <w:p w14:paraId="2E632BAD" w14:textId="77777777" w:rsidR="00FC2CD6" w:rsidRDefault="00FC2CD6" w:rsidP="009C3F74">
      <w:pPr>
        <w:spacing w:line="360" w:lineRule="auto"/>
        <w:jc w:val="both"/>
        <w:rPr>
          <w:rFonts w:ascii="Arial" w:hAnsi="Arial" w:cs="Arial"/>
          <w:b/>
          <w:bCs/>
        </w:rPr>
      </w:pPr>
    </w:p>
    <w:p w14:paraId="6D0F92B7" w14:textId="77777777" w:rsidR="00FC2CD6" w:rsidRDefault="00FC2CD6" w:rsidP="009C3F74">
      <w:pPr>
        <w:spacing w:line="360" w:lineRule="auto"/>
        <w:jc w:val="both"/>
        <w:rPr>
          <w:rFonts w:ascii="Arial" w:hAnsi="Arial" w:cs="Arial"/>
          <w:b/>
          <w:bCs/>
        </w:rPr>
      </w:pPr>
    </w:p>
    <w:p w14:paraId="06972CB0" w14:textId="77777777" w:rsidR="00FC2CD6" w:rsidRDefault="00FC2CD6" w:rsidP="009C3F74">
      <w:pPr>
        <w:spacing w:line="360" w:lineRule="auto"/>
        <w:jc w:val="both"/>
        <w:rPr>
          <w:rFonts w:ascii="Arial" w:hAnsi="Arial" w:cs="Arial"/>
          <w:b/>
          <w:bCs/>
        </w:rPr>
      </w:pPr>
    </w:p>
    <w:p w14:paraId="611789A3" w14:textId="77777777" w:rsidR="00FC2CD6" w:rsidRDefault="00FC2CD6" w:rsidP="009C3F74">
      <w:pPr>
        <w:spacing w:line="360" w:lineRule="auto"/>
        <w:jc w:val="both"/>
        <w:rPr>
          <w:rFonts w:ascii="Arial" w:hAnsi="Arial" w:cs="Arial"/>
          <w:b/>
          <w:bCs/>
        </w:rPr>
      </w:pPr>
    </w:p>
    <w:p w14:paraId="52F144B0" w14:textId="77777777" w:rsidR="00FC2CD6" w:rsidRDefault="00FC2CD6" w:rsidP="009C3F74">
      <w:pPr>
        <w:spacing w:line="360" w:lineRule="auto"/>
        <w:jc w:val="both"/>
        <w:rPr>
          <w:rFonts w:ascii="Arial" w:hAnsi="Arial" w:cs="Arial"/>
          <w:b/>
          <w:bCs/>
        </w:rPr>
      </w:pPr>
    </w:p>
    <w:p w14:paraId="470F6B1E" w14:textId="77777777" w:rsidR="00FC2CD6" w:rsidRDefault="00FC2CD6" w:rsidP="009C3F74">
      <w:pPr>
        <w:spacing w:line="360" w:lineRule="auto"/>
        <w:jc w:val="both"/>
        <w:rPr>
          <w:rFonts w:ascii="Arial" w:hAnsi="Arial" w:cs="Arial"/>
          <w:b/>
          <w:bCs/>
        </w:rPr>
      </w:pPr>
    </w:p>
    <w:p w14:paraId="06919479" w14:textId="77777777" w:rsidR="00FC2CD6" w:rsidRDefault="00FC2CD6" w:rsidP="009C3F74">
      <w:pPr>
        <w:spacing w:line="360" w:lineRule="auto"/>
        <w:jc w:val="both"/>
        <w:rPr>
          <w:rFonts w:ascii="Arial" w:hAnsi="Arial" w:cs="Arial"/>
          <w:b/>
          <w:bCs/>
        </w:rPr>
      </w:pPr>
    </w:p>
    <w:p w14:paraId="174C4B54" w14:textId="77777777" w:rsidR="00FC2CD6" w:rsidRDefault="00FC2CD6" w:rsidP="009C3F74">
      <w:pPr>
        <w:spacing w:line="360" w:lineRule="auto"/>
        <w:jc w:val="both"/>
        <w:rPr>
          <w:rFonts w:ascii="Arial" w:hAnsi="Arial" w:cs="Arial"/>
          <w:b/>
          <w:bCs/>
        </w:rPr>
      </w:pPr>
    </w:p>
    <w:p w14:paraId="470B4F1E" w14:textId="77777777" w:rsidR="00FC2CD6" w:rsidRDefault="00FC2CD6" w:rsidP="009C3F74">
      <w:pPr>
        <w:spacing w:line="360" w:lineRule="auto"/>
        <w:jc w:val="both"/>
        <w:rPr>
          <w:rFonts w:ascii="Arial" w:hAnsi="Arial" w:cs="Arial"/>
          <w:b/>
          <w:bCs/>
        </w:rPr>
      </w:pPr>
    </w:p>
    <w:p w14:paraId="175DD074" w14:textId="77777777" w:rsidR="00FC2CD6" w:rsidRDefault="00FC2CD6" w:rsidP="009C3F74">
      <w:pPr>
        <w:spacing w:line="360" w:lineRule="auto"/>
        <w:jc w:val="both"/>
        <w:rPr>
          <w:rFonts w:ascii="Arial" w:hAnsi="Arial" w:cs="Arial"/>
          <w:b/>
          <w:bCs/>
        </w:rPr>
      </w:pPr>
    </w:p>
    <w:p w14:paraId="3928DBE5" w14:textId="77777777" w:rsidR="00FC2CD6" w:rsidRDefault="00FC2CD6" w:rsidP="009C3F74">
      <w:pPr>
        <w:spacing w:line="360" w:lineRule="auto"/>
        <w:jc w:val="both"/>
        <w:rPr>
          <w:rFonts w:ascii="Arial" w:hAnsi="Arial" w:cs="Arial"/>
          <w:b/>
          <w:bCs/>
        </w:rPr>
      </w:pPr>
    </w:p>
    <w:p w14:paraId="6CA8C751" w14:textId="77777777" w:rsidR="00FC2CD6" w:rsidRDefault="00FC2CD6" w:rsidP="009C3F74">
      <w:pPr>
        <w:spacing w:line="360" w:lineRule="auto"/>
        <w:jc w:val="both"/>
        <w:rPr>
          <w:rFonts w:ascii="Arial" w:hAnsi="Arial" w:cs="Arial"/>
          <w:b/>
          <w:bCs/>
        </w:rPr>
      </w:pPr>
    </w:p>
    <w:p w14:paraId="0EF415C3" w14:textId="77777777" w:rsidR="00FC2CD6" w:rsidRDefault="00FC2CD6" w:rsidP="009C3F74">
      <w:pPr>
        <w:spacing w:line="360" w:lineRule="auto"/>
        <w:jc w:val="both"/>
        <w:rPr>
          <w:rFonts w:ascii="Arial" w:hAnsi="Arial" w:cs="Arial"/>
          <w:b/>
          <w:bCs/>
        </w:rPr>
      </w:pPr>
    </w:p>
    <w:p w14:paraId="4E674F43" w14:textId="77777777" w:rsidR="00FC2CD6" w:rsidRDefault="00FC2CD6" w:rsidP="009C3F74">
      <w:pPr>
        <w:spacing w:line="360" w:lineRule="auto"/>
        <w:jc w:val="both"/>
        <w:rPr>
          <w:rFonts w:ascii="Arial" w:hAnsi="Arial" w:cs="Arial"/>
          <w:b/>
          <w:bCs/>
        </w:rPr>
      </w:pPr>
    </w:p>
    <w:p w14:paraId="1D6A745C" w14:textId="77777777" w:rsidR="00FC2CD6" w:rsidRDefault="00FC2CD6" w:rsidP="009C3F74">
      <w:pPr>
        <w:spacing w:line="360" w:lineRule="auto"/>
        <w:jc w:val="both"/>
        <w:rPr>
          <w:rFonts w:ascii="Arial" w:hAnsi="Arial" w:cs="Arial"/>
          <w:b/>
          <w:bCs/>
        </w:rPr>
      </w:pPr>
    </w:p>
    <w:p w14:paraId="2115CAB5" w14:textId="77777777" w:rsidR="00FC2CD6" w:rsidRDefault="00FC2CD6" w:rsidP="009C3F74">
      <w:pPr>
        <w:spacing w:line="360" w:lineRule="auto"/>
        <w:jc w:val="both"/>
        <w:rPr>
          <w:rFonts w:ascii="Arial" w:hAnsi="Arial" w:cs="Arial"/>
          <w:b/>
          <w:bCs/>
        </w:rPr>
      </w:pPr>
    </w:p>
    <w:p w14:paraId="2BC5FFF2" w14:textId="77777777" w:rsidR="00FC2CD6" w:rsidRDefault="00FC2CD6" w:rsidP="009C3F74">
      <w:pPr>
        <w:spacing w:line="360" w:lineRule="auto"/>
        <w:jc w:val="both"/>
        <w:rPr>
          <w:rFonts w:ascii="Arial" w:hAnsi="Arial" w:cs="Arial"/>
          <w:b/>
          <w:bCs/>
        </w:rPr>
      </w:pPr>
    </w:p>
    <w:p w14:paraId="12D97FDB" w14:textId="77777777" w:rsidR="00FC2CD6" w:rsidRDefault="00FC2CD6" w:rsidP="009C3F74">
      <w:pPr>
        <w:spacing w:line="360" w:lineRule="auto"/>
        <w:jc w:val="both"/>
        <w:rPr>
          <w:rFonts w:ascii="Arial" w:hAnsi="Arial" w:cs="Arial"/>
          <w:b/>
          <w:bCs/>
        </w:rPr>
      </w:pPr>
    </w:p>
    <w:p w14:paraId="60EDC420" w14:textId="77777777" w:rsidR="00FC2CD6" w:rsidRDefault="00FC2CD6" w:rsidP="009C3F74">
      <w:pPr>
        <w:spacing w:line="360" w:lineRule="auto"/>
        <w:jc w:val="both"/>
        <w:rPr>
          <w:rFonts w:ascii="Arial" w:hAnsi="Arial" w:cs="Arial"/>
          <w:b/>
          <w:bCs/>
        </w:rPr>
      </w:pPr>
    </w:p>
    <w:p w14:paraId="6FFDF52D" w14:textId="77777777" w:rsidR="00FC2CD6" w:rsidRDefault="00FC2CD6" w:rsidP="009C3F74">
      <w:pPr>
        <w:spacing w:line="360" w:lineRule="auto"/>
        <w:jc w:val="both"/>
        <w:rPr>
          <w:rFonts w:ascii="Arial" w:hAnsi="Arial" w:cs="Arial"/>
          <w:b/>
          <w:bCs/>
        </w:rPr>
      </w:pPr>
    </w:p>
    <w:p w14:paraId="7CE96628" w14:textId="1C89DD5D" w:rsidR="009C3F74" w:rsidRPr="00120CC6" w:rsidRDefault="009C3F74" w:rsidP="009C3F74">
      <w:pPr>
        <w:spacing w:line="360" w:lineRule="auto"/>
        <w:jc w:val="both"/>
        <w:rPr>
          <w:rFonts w:ascii="Arial" w:hAnsi="Arial" w:cs="Arial"/>
        </w:rPr>
      </w:pPr>
      <w:r w:rsidRPr="00120CC6">
        <w:rPr>
          <w:rFonts w:ascii="Arial" w:hAnsi="Arial" w:cs="Arial"/>
          <w:b/>
          <w:bCs/>
        </w:rPr>
        <w:t>Table S</w:t>
      </w:r>
      <w:r w:rsidR="00120CC6">
        <w:rPr>
          <w:rFonts w:ascii="Arial" w:hAnsi="Arial" w:cs="Arial"/>
          <w:b/>
          <w:bCs/>
        </w:rPr>
        <w:t>3</w:t>
      </w:r>
      <w:r w:rsidRPr="00120CC6">
        <w:rPr>
          <w:rFonts w:ascii="Arial" w:hAnsi="Arial" w:cs="Arial"/>
          <w:b/>
          <w:bCs/>
        </w:rPr>
        <w:t>: Strains used in this study</w:t>
      </w:r>
    </w:p>
    <w:tbl>
      <w:tblPr>
        <w:tblStyle w:val="TableGrid"/>
        <w:tblW w:w="9493" w:type="dxa"/>
        <w:tblLook w:val="04A0" w:firstRow="1" w:lastRow="0" w:firstColumn="1" w:lastColumn="0" w:noHBand="0" w:noVBand="1"/>
      </w:tblPr>
      <w:tblGrid>
        <w:gridCol w:w="2405"/>
        <w:gridCol w:w="1418"/>
        <w:gridCol w:w="1485"/>
        <w:gridCol w:w="3056"/>
        <w:gridCol w:w="1129"/>
      </w:tblGrid>
      <w:tr w:rsidR="009C3F74" w:rsidRPr="00120CC6" w14:paraId="1DA40A0F" w14:textId="77777777" w:rsidTr="310C222D">
        <w:tc>
          <w:tcPr>
            <w:tcW w:w="2405" w:type="dxa"/>
            <w:shd w:val="clear" w:color="auto" w:fill="CAEDFB" w:themeFill="accent4" w:themeFillTint="33"/>
          </w:tcPr>
          <w:p w14:paraId="2100F835" w14:textId="77777777" w:rsidR="009C3F74" w:rsidRPr="00120CC6" w:rsidRDefault="009C3F74" w:rsidP="001C0950">
            <w:pPr>
              <w:spacing w:line="360" w:lineRule="auto"/>
              <w:rPr>
                <w:rFonts w:ascii="Arial" w:hAnsi="Arial" w:cs="Arial"/>
                <w:b/>
                <w:bCs/>
              </w:rPr>
            </w:pPr>
            <w:r w:rsidRPr="00120CC6">
              <w:rPr>
                <w:rFonts w:ascii="Arial" w:hAnsi="Arial" w:cs="Arial"/>
                <w:b/>
                <w:bCs/>
              </w:rPr>
              <w:lastRenderedPageBreak/>
              <w:t>Strain name</w:t>
            </w:r>
          </w:p>
        </w:tc>
        <w:tc>
          <w:tcPr>
            <w:tcW w:w="1418" w:type="dxa"/>
            <w:shd w:val="clear" w:color="auto" w:fill="CAEDFB" w:themeFill="accent4" w:themeFillTint="33"/>
          </w:tcPr>
          <w:p w14:paraId="3D3EBD7B" w14:textId="77777777" w:rsidR="009C3F74" w:rsidRPr="00120CC6" w:rsidRDefault="009C3F74" w:rsidP="001C0950">
            <w:pPr>
              <w:spacing w:line="360" w:lineRule="auto"/>
              <w:jc w:val="both"/>
              <w:rPr>
                <w:rFonts w:ascii="Arial" w:hAnsi="Arial" w:cs="Arial"/>
                <w:b/>
                <w:bCs/>
              </w:rPr>
            </w:pPr>
            <w:r w:rsidRPr="00120CC6">
              <w:rPr>
                <w:rFonts w:ascii="Arial" w:hAnsi="Arial" w:cs="Arial"/>
                <w:b/>
                <w:bCs/>
              </w:rPr>
              <w:t>Strain ID</w:t>
            </w:r>
          </w:p>
        </w:tc>
        <w:tc>
          <w:tcPr>
            <w:tcW w:w="1485" w:type="dxa"/>
            <w:shd w:val="clear" w:color="auto" w:fill="CAEDFB" w:themeFill="accent4" w:themeFillTint="33"/>
          </w:tcPr>
          <w:p w14:paraId="2AF7E250" w14:textId="77777777" w:rsidR="009C3F74" w:rsidRPr="00120CC6" w:rsidRDefault="009C3F74" w:rsidP="001C0950">
            <w:pPr>
              <w:spacing w:line="360" w:lineRule="auto"/>
              <w:jc w:val="both"/>
              <w:rPr>
                <w:rFonts w:ascii="Arial" w:hAnsi="Arial" w:cs="Arial"/>
                <w:b/>
                <w:bCs/>
              </w:rPr>
            </w:pPr>
            <w:r w:rsidRPr="00120CC6">
              <w:rPr>
                <w:rFonts w:ascii="Arial" w:hAnsi="Arial" w:cs="Arial"/>
                <w:b/>
                <w:bCs/>
              </w:rPr>
              <w:t xml:space="preserve">Species </w:t>
            </w:r>
          </w:p>
        </w:tc>
        <w:tc>
          <w:tcPr>
            <w:tcW w:w="3056" w:type="dxa"/>
            <w:shd w:val="clear" w:color="auto" w:fill="CAEDFB" w:themeFill="accent4" w:themeFillTint="33"/>
          </w:tcPr>
          <w:p w14:paraId="02B1ED9C" w14:textId="77777777" w:rsidR="009C3F74" w:rsidRPr="00120CC6" w:rsidRDefault="009C3F74" w:rsidP="001C0950">
            <w:pPr>
              <w:spacing w:line="360" w:lineRule="auto"/>
              <w:jc w:val="both"/>
              <w:rPr>
                <w:rFonts w:ascii="Arial" w:hAnsi="Arial" w:cs="Arial"/>
                <w:b/>
                <w:bCs/>
              </w:rPr>
            </w:pPr>
            <w:r w:rsidRPr="00120CC6">
              <w:rPr>
                <w:rFonts w:ascii="Arial" w:hAnsi="Arial" w:cs="Arial"/>
                <w:b/>
                <w:bCs/>
              </w:rPr>
              <w:t xml:space="preserve">Genotype </w:t>
            </w:r>
          </w:p>
        </w:tc>
        <w:tc>
          <w:tcPr>
            <w:tcW w:w="1129" w:type="dxa"/>
            <w:shd w:val="clear" w:color="auto" w:fill="CAEDFB" w:themeFill="accent4" w:themeFillTint="33"/>
          </w:tcPr>
          <w:p w14:paraId="7EF52547" w14:textId="77777777" w:rsidR="009C3F74" w:rsidRPr="00120CC6" w:rsidRDefault="009C3F74" w:rsidP="001C0950">
            <w:pPr>
              <w:spacing w:line="360" w:lineRule="auto"/>
              <w:jc w:val="both"/>
              <w:rPr>
                <w:rFonts w:ascii="Arial" w:hAnsi="Arial" w:cs="Arial"/>
                <w:b/>
                <w:bCs/>
              </w:rPr>
            </w:pPr>
            <w:r w:rsidRPr="00120CC6">
              <w:rPr>
                <w:rFonts w:ascii="Arial" w:hAnsi="Arial" w:cs="Arial"/>
                <w:b/>
                <w:bCs/>
              </w:rPr>
              <w:t xml:space="preserve">Source </w:t>
            </w:r>
          </w:p>
        </w:tc>
      </w:tr>
      <w:tr w:rsidR="009C3F74" w:rsidRPr="00120CC6" w14:paraId="1F2FEAE0" w14:textId="77777777" w:rsidTr="310C222D">
        <w:tc>
          <w:tcPr>
            <w:tcW w:w="2405" w:type="dxa"/>
          </w:tcPr>
          <w:p w14:paraId="3922B632" w14:textId="77777777" w:rsidR="009C3F74" w:rsidRPr="00120CC6" w:rsidRDefault="009C3F74" w:rsidP="001C0950">
            <w:pPr>
              <w:rPr>
                <w:rFonts w:ascii="Arial" w:eastAsiaTheme="minorEastAsia" w:hAnsi="Arial" w:cs="Arial"/>
                <w:lang w:val="en-US"/>
              </w:rPr>
            </w:pPr>
            <w:r w:rsidRPr="00120CC6">
              <w:rPr>
                <w:rFonts w:ascii="Arial" w:hAnsi="Arial" w:cs="Arial"/>
              </w:rPr>
              <w:t>CaSS1</w:t>
            </w:r>
          </w:p>
        </w:tc>
        <w:tc>
          <w:tcPr>
            <w:tcW w:w="1418" w:type="dxa"/>
          </w:tcPr>
          <w:p w14:paraId="03B4605A" w14:textId="77777777" w:rsidR="009C3F74" w:rsidRPr="00120CC6" w:rsidRDefault="009C3F74" w:rsidP="001C0950">
            <w:pPr>
              <w:jc w:val="both"/>
              <w:rPr>
                <w:rFonts w:ascii="Arial" w:hAnsi="Arial" w:cs="Arial"/>
              </w:rPr>
            </w:pPr>
            <w:r w:rsidRPr="00120CC6">
              <w:rPr>
                <w:rFonts w:ascii="Arial" w:hAnsi="Arial" w:cs="Arial"/>
              </w:rPr>
              <w:t xml:space="preserve">CaLC6106 </w:t>
            </w:r>
          </w:p>
        </w:tc>
        <w:tc>
          <w:tcPr>
            <w:tcW w:w="1485" w:type="dxa"/>
          </w:tcPr>
          <w:p w14:paraId="39E11B69" w14:textId="77777777" w:rsidR="009C3F74" w:rsidRPr="00120CC6" w:rsidRDefault="009C3F74" w:rsidP="001C0950">
            <w:pPr>
              <w:jc w:val="both"/>
              <w:rPr>
                <w:rFonts w:ascii="Arial" w:hAnsi="Arial" w:cs="Arial"/>
                <w:i/>
                <w:iCs/>
              </w:rPr>
            </w:pPr>
            <w:r w:rsidRPr="00120CC6">
              <w:rPr>
                <w:rFonts w:ascii="Arial" w:hAnsi="Arial" w:cs="Arial"/>
                <w:i/>
                <w:iCs/>
              </w:rPr>
              <w:t>C. albicans</w:t>
            </w:r>
          </w:p>
        </w:tc>
        <w:tc>
          <w:tcPr>
            <w:tcW w:w="3056" w:type="dxa"/>
          </w:tcPr>
          <w:p w14:paraId="0BE56643" w14:textId="77777777" w:rsidR="009C3F74" w:rsidRPr="00120CC6" w:rsidRDefault="009C3F74" w:rsidP="001C0950">
            <w:pPr>
              <w:rPr>
                <w:rFonts w:ascii="Arial" w:hAnsi="Arial" w:cs="Arial"/>
              </w:rPr>
            </w:pPr>
            <w:r w:rsidRPr="00120CC6">
              <w:rPr>
                <w:rFonts w:ascii="Arial" w:hAnsi="Arial" w:cs="Arial"/>
                <w:i/>
                <w:iCs/>
              </w:rPr>
              <w:t>ura</w:t>
            </w:r>
            <w:proofErr w:type="gramStart"/>
            <w:r w:rsidRPr="00120CC6">
              <w:rPr>
                <w:rFonts w:ascii="Arial" w:hAnsi="Arial" w:cs="Arial"/>
                <w:i/>
                <w:iCs/>
              </w:rPr>
              <w:t>3::</w:t>
            </w:r>
            <w:proofErr w:type="gramEnd"/>
            <w:r w:rsidRPr="00120CC6">
              <w:rPr>
                <w:rFonts w:ascii="Arial" w:hAnsi="Arial" w:cs="Arial"/>
                <w:i/>
                <w:iCs/>
              </w:rPr>
              <w:t>imm</w:t>
            </w:r>
            <w:r w:rsidRPr="00120CC6">
              <w:rPr>
                <w:rFonts w:ascii="Arial" w:hAnsi="Arial" w:cs="Arial"/>
                <w:i/>
                <w:iCs/>
                <w:vertAlign w:val="superscript"/>
              </w:rPr>
              <w:t>434</w:t>
            </w:r>
            <w:r w:rsidRPr="00120CC6">
              <w:rPr>
                <w:rFonts w:ascii="Arial" w:hAnsi="Arial" w:cs="Arial"/>
                <w:i/>
                <w:iCs/>
              </w:rPr>
              <w:t>/ura3::imm</w:t>
            </w:r>
            <w:r w:rsidRPr="00120CC6">
              <w:rPr>
                <w:rFonts w:ascii="Arial" w:hAnsi="Arial" w:cs="Arial"/>
                <w:i/>
                <w:iCs/>
                <w:vertAlign w:val="superscript"/>
              </w:rPr>
              <w:t>434</w:t>
            </w:r>
            <w:r w:rsidRPr="00120CC6">
              <w:rPr>
                <w:rFonts w:ascii="Arial" w:hAnsi="Arial" w:cs="Arial"/>
                <w:i/>
                <w:iCs/>
              </w:rPr>
              <w:t xml:space="preserve"> his3::</w:t>
            </w:r>
            <w:proofErr w:type="spellStart"/>
            <w:r w:rsidRPr="00120CC6">
              <w:rPr>
                <w:rFonts w:ascii="Arial" w:hAnsi="Arial" w:cs="Arial"/>
                <w:i/>
                <w:iCs/>
              </w:rPr>
              <w:t>hisG</w:t>
            </w:r>
            <w:proofErr w:type="spellEnd"/>
            <w:r w:rsidRPr="00120CC6">
              <w:rPr>
                <w:rFonts w:ascii="Arial" w:hAnsi="Arial" w:cs="Arial"/>
                <w:i/>
                <w:iCs/>
              </w:rPr>
              <w:t>/his3::</w:t>
            </w:r>
            <w:proofErr w:type="spellStart"/>
            <w:r w:rsidRPr="00120CC6">
              <w:rPr>
                <w:rFonts w:ascii="Arial" w:hAnsi="Arial" w:cs="Arial"/>
                <w:i/>
                <w:iCs/>
              </w:rPr>
              <w:t>hisG</w:t>
            </w:r>
            <w:proofErr w:type="spellEnd"/>
            <w:r w:rsidRPr="00120CC6">
              <w:rPr>
                <w:rFonts w:ascii="Arial" w:hAnsi="Arial" w:cs="Arial"/>
                <w:i/>
                <w:iCs/>
              </w:rPr>
              <w:t xml:space="preserve"> leu2</w:t>
            </w:r>
            <w:r w:rsidRPr="00120CC6">
              <w:rPr>
                <w:rFonts w:ascii="Arial" w:hAnsi="Arial" w:cs="Arial"/>
              </w:rPr>
              <w:t>::</w:t>
            </w:r>
            <w:r w:rsidRPr="00120CC6">
              <w:rPr>
                <w:rFonts w:ascii="Arial" w:hAnsi="Arial" w:cs="Arial"/>
                <w:i/>
                <w:iCs/>
              </w:rPr>
              <w:t>tetR</w:t>
            </w:r>
            <w:r w:rsidRPr="00120CC6">
              <w:rPr>
                <w:rFonts w:ascii="Arial" w:hAnsi="Arial" w:cs="Arial"/>
              </w:rPr>
              <w:t>-</w:t>
            </w:r>
            <w:r w:rsidRPr="00120CC6">
              <w:rPr>
                <w:rFonts w:ascii="Arial" w:hAnsi="Arial" w:cs="Arial"/>
                <w:i/>
                <w:iCs/>
              </w:rPr>
              <w:t>GAL4AD</w:t>
            </w:r>
            <w:r w:rsidRPr="00120CC6">
              <w:rPr>
                <w:rFonts w:ascii="Arial" w:hAnsi="Arial" w:cs="Arial"/>
              </w:rPr>
              <w:t xml:space="preserve">- </w:t>
            </w:r>
            <w:r w:rsidRPr="00120CC6">
              <w:rPr>
                <w:rFonts w:ascii="Arial" w:hAnsi="Arial" w:cs="Arial"/>
                <w:i/>
                <w:iCs/>
              </w:rPr>
              <w:t>URA/LEU2</w:t>
            </w:r>
            <w:r w:rsidRPr="00120CC6">
              <w:rPr>
                <w:rFonts w:ascii="Arial" w:hAnsi="Arial" w:cs="Arial"/>
              </w:rPr>
              <w:t xml:space="preserve"> </w:t>
            </w:r>
          </w:p>
        </w:tc>
        <w:tc>
          <w:tcPr>
            <w:tcW w:w="1129" w:type="dxa"/>
          </w:tcPr>
          <w:p w14:paraId="7A90C704" w14:textId="22592AF9" w:rsidR="009C3F74" w:rsidRPr="00120CC6" w:rsidRDefault="009C3F74" w:rsidP="001C0950">
            <w:pPr>
              <w:jc w:val="both"/>
              <w:rPr>
                <w:rFonts w:ascii="Arial" w:hAnsi="Arial" w:cs="Arial"/>
              </w:rPr>
            </w:pPr>
            <w:r w:rsidRPr="00120CC6">
              <w:rPr>
                <w:rFonts w:ascii="Arial" w:hAnsi="Arial" w:cs="Arial"/>
              </w:rPr>
              <w:fldChar w:fldCharType="begin" w:fldLock="1"/>
            </w:r>
            <w:r w:rsidR="00DC6BF3" w:rsidRPr="00120CC6">
              <w:rPr>
                <w:rFonts w:ascii="Arial" w:hAnsi="Arial" w:cs="Arial"/>
              </w:rPr>
              <w:instrText>ADDIN CSL_CITATION {"citationItems":[{"id":"ITEM-1","itemData":{"DOI":"10.1046/j.1365-2958.2003.03697.x","ISSN":"0950382X","PMID":"14507372","abstract":"Candida albicans is the primary fungal pathogen of humans. Despite the need for novel drugs to combat fungal infections [Sobel, J.D. (2000) Clin Infectious Dis 30: 652], antifungal drug discovery is currently limited by both the availability of suitable drug targets and assays to screen corresponding targets. A functional genomics approach based on the diploid C. albicans genome sequence, termed GRACE™ (gene replacement and conditional expression), was used to assess gene essentiality through a combination of gene replacement and conditional gene expression. In a systematic application of this approach, we identify 567 essential genes in C. albicans. Interestingly, evaluating the conditional phenotype of all identifiable C. albicans homologues of the Saccharomyces cerevisiae essential gene set [Giaever, G., Chu, A.M., Ni, L., Connelly, C., Riles, L., Veronneau, S., et al. (2002) Nature 418: 387-391] by GRACE revealed only 61% to be essential in C. albicans, emphasizing the importance of performing such studies directly within the pathogen. Construction of this conditional mutant strain collection facilitates large-scale examination of terminal phenotypes of essential genes. This information enables preferred drug targets to be selected from the C. albicans essential gene set by phenotypic information derived both in vitro, such as cidal versus static terminal phenotypes, as well as in vivo through virulence studies using conditional strains in an animal model of infection. In addition, the combination of phenotypic and bioinformatic analyses further improves drug target selection from the C. albicans essential gene set, and their respective conditional mutant strains may be directly used as sensitive whole-cell assays for drug screening.","author":[{"dropping-particle":"","family":"Roemer","given":"Terry","non-dropping-particle":"","parse-names":false,"suffix":""},{"dropping-particle":"","family":"Jiang","given":"Bo","non-dropping-particle":"","parse-names":false,"suffix":""},{"dropping-particle":"","family":"Davison","given":"John","non-dropping-particle":"","parse-names":false,"suffix":""},{"dropping-particle":"","family":"Ketela","given":"Troy","non-dropping-particle":"","parse-names":false,"suffix":""},{"dropping-particle":"","family":"Veillette","given":"Karynn","non-dropping-particle":"","parse-names":false,"suffix":""},{"dropping-particle":"","family":"Breton","given":"Anouk","non-dropping-particle":"","parse-names":false,"suffix":""},{"dropping-particle":"","family":"Tandia","given":"Fatou","non-dropping-particle":"","parse-names":false,"suffix":""},{"dropping-particle":"","family":"Linteau","given":"Annie","non-dropping-particle":"","parse-names":false,"suffix":""},{"dropping-particle":"","family":"Sillaots","given":"Susan","non-dropping-particle":"","parse-names":false,"suffix":""},{"dropping-particle":"","family":"Marta","given":"Catarina","non-dropping-particle":"","parse-names":false,"suffix":""},{"dropping-particle":"","family":"Martel","given":"Nick","non-dropping-particle":"","parse-names":false,"suffix":""},{"dropping-particle":"","family":"Veronneau","given":"Steeve","non-dropping-particle":"","parse-names":false,"suffix":""},{"dropping-particle":"","family":"Lemieux","given":"Sebastien","non-dropping-particle":"","parse-names":false,"suffix":""},{"dropping-particle":"","family":"Kauffman","given":"Sarah","non-dropping-particle":"","parse-names":false,"suffix":""},{"dropping-particle":"","family":"Becker","given":"Jeff","non-dropping-particle":"","parse-names":false,"suffix":""},{"dropping-particle":"","family":"Storms","given":"Reginald","non-dropping-particle":"","parse-names":false,"suffix":""},{"dropping-particle":"","family":"Boone","given":"Charles","non-dropping-particle":"","parse-names":false,"suffix":""},{"dropping-particle":"","family":"Bussey","given":"Howard","non-dropping-particle":"","parse-names":false,"suffix":""}],"container-title":"Molecular Microbiology","id":"ITEM-1","issue":"1","issued":{"date-parts":[["2003"]]},"page":"167-181","title":"Large-scale essential gene identification in Candida albicans and applications to antifungal drug discovery","type":"article-journal","volume":"50"},"uris":["http://www.mendeley.com/documents/?uuid=6653c559-ea3e-45ad-9f2c-6d09c81527f0"]},{"id":"ITEM-2","itemData":{"DOI":"10.1038/s41467-021-26850-3","ISSN":"2041-1723","PMID":"34764269","abstract":"Fungal pathogens pose a global threat to human health, with Candida albicans among the leading killers. Systematic analysis of essential genes provides a powerful strategy to discover potential antifungal targets. Here, we build a machine learning model to generate genome-wide gene essentiality predictions for C. albicans and expand the largest functional genomics resource in this pathogen (the GRACE collection) by 866 genes. Using this model and chemogenomic analyses, we define the function of three uncharacterized essential genes with roles in kinetochore function, mitochondrial integrity, and translation, and identify the glutaminyl-tRNA synthetase Gln4 as the target of N-pyrimidinyl-β-thiophenylacrylamide (NP-BTA), an antifungal compound.","author":[{"dropping-particle":"","family":"Fu","given":"Ci","non-dropping-particle":"","parse-names":false,"suffix":""},{"dropping-particle":"","family":"Zhang","given":"Xiang","non-dropping-particle":"","parse-names":false,"suffix":""},{"dropping-particle":"","family":"Veri","given":"Amanda O.","non-dropping-particle":"","parse-names":false,"suffix":""},{"dropping-particle":"","family":"Iyer","given":"Kali R.","non-dropping-particle":"","parse-names":false,"suffix":""},{"dropping-particle":"","family":"Lash","given":"Emma","non-dropping-particle":"","parse-names":false,"suffix":""},{"dropping-particle":"","family":"Xue","given":"Alice","non-dropping-particle":"","parse-names":false,"suffix":""},{"dropping-particle":"","family":"Yan","given":"Huijuan","non-dropping-particle":"","parse-names":false,"suffix":""},{"dropping-particle":"","family":"Revie","given":"Nicole M.","non-dropping-particle":"","parse-names":false,"suffix":""},{"dropping-particle":"","family":"Wong","given":"Cassandra","non-dropping-particle":"","parse-names":false,"suffix":""},{"dropping-particle":"","family":"Lin","given":"Zhen-Yuan","non-dropping-particle":"","parse-names":false,"suffix":""},{"dropping-particle":"","family":"Polvi","given":"Elizabeth J.","non-dropping-particle":"","parse-names":false,"suffix":""},{"dropping-particle":"","family":"Liston","given":"Sean D.","non-dropping-particle":"","parse-names":false,"suffix":""},{"dropping-particle":"","family":"VanderSluis","given":"Benjamin","non-dropping-particle":"","parse-names":false,"suffix":""},{"dropping-particle":"","family":"Hou","given":"Jing","non-dropping-particle":"","parse-names":false,"suffix":""},{"dropping-particle":"","family":"Yashiroda","given":"Yoko","non-dropping-particle":"","parse-names":false,"suffix":""},{"dropping-particle":"","family":"Gingras","given":"Anne-Claude","non-dropping-particle":"","parse-names":false,"suffix":""},{"dropping-particle":"","family":"Boone","given":"Charles","non-dropping-particle":"","parse-names":false,"suffix":""},{"dropping-particle":"","family":"O’Meara","given":"Teresa R.","non-dropping-particle":"","parse-names":false,"suffix":""},{"dropping-particle":"","family":"O’Meara","given":"Matthew J.","non-dropping-particle":"","parse-names":false,"suffix":""},{"dropping-particle":"","family":"Noble","given":"Suzanne","non-dropping-particle":"","parse-names":false,"suffix":""},{"dropping-particle":"","family":"Robbins","given":"Nicole","non-dropping-particle":"","parse-names":false,"suffix":""},{"dropping-particle":"","family":"Myers","given":"Chad L.","non-dropping-particle":"","parse-names":false,"suffix":""},{"dropping-particle":"","family":"Cowen","given":"Leah E.","non-dropping-particle":"","parse-names":false,"suffix":""}],"container-title":"Nature Communications","id":"ITEM-2","issue":"1","issued":{"date-parts":[["2021","11","11"]]},"page":"6497","title":"Leveraging machine learning essentiality predictions and chemogenomic interactions to identify antifungal targets","type":"article-journal","volume":"12"},"uris":["http://www.mendeley.com/documents/?uuid=aec52fbb-8264-4ff6-95f7-c10b1fb1006f"]}],"mendeley":{"formattedCitation":"&lt;sup&gt;1,2&lt;/sup&gt;","plainTextFormattedCitation":"1,2","previouslyFormattedCitation":"&lt;sup&gt;17,18&lt;/sup&gt;"},"properties":{"noteIndex":0},"schema":"https://github.com/citation-style-language/schema/raw/master/csl-citation.json"}</w:instrText>
            </w:r>
            <w:r w:rsidRPr="00120CC6">
              <w:rPr>
                <w:rFonts w:ascii="Arial" w:hAnsi="Arial" w:cs="Arial"/>
              </w:rPr>
              <w:fldChar w:fldCharType="separate"/>
            </w:r>
            <w:r w:rsidR="00DC6BF3" w:rsidRPr="00120CC6">
              <w:rPr>
                <w:rFonts w:ascii="Arial" w:hAnsi="Arial" w:cs="Arial"/>
                <w:noProof/>
                <w:vertAlign w:val="superscript"/>
              </w:rPr>
              <w:t>1,2</w:t>
            </w:r>
            <w:r w:rsidRPr="00120CC6">
              <w:rPr>
                <w:rFonts w:ascii="Arial" w:hAnsi="Arial" w:cs="Arial"/>
              </w:rPr>
              <w:fldChar w:fldCharType="end"/>
            </w:r>
          </w:p>
        </w:tc>
      </w:tr>
      <w:tr w:rsidR="009C3F74" w:rsidRPr="00120CC6" w14:paraId="4517AF49" w14:textId="77777777" w:rsidTr="310C222D">
        <w:tc>
          <w:tcPr>
            <w:tcW w:w="2405" w:type="dxa"/>
          </w:tcPr>
          <w:p w14:paraId="0C52681F" w14:textId="77777777" w:rsidR="009C3F74" w:rsidRPr="00120CC6" w:rsidRDefault="009C3F74" w:rsidP="001C0950">
            <w:pPr>
              <w:rPr>
                <w:rFonts w:ascii="Arial" w:eastAsiaTheme="minorEastAsia" w:hAnsi="Arial" w:cs="Arial"/>
                <w:i/>
                <w:iCs/>
                <w:lang w:val="en-US"/>
              </w:rPr>
            </w:pPr>
            <w:r w:rsidRPr="00120CC6">
              <w:rPr>
                <w:rFonts w:ascii="Arial" w:hAnsi="Arial" w:cs="Arial"/>
              </w:rPr>
              <w:t xml:space="preserve">CaSS1 </w:t>
            </w:r>
            <w:r w:rsidRPr="00120CC6">
              <w:rPr>
                <w:rFonts w:ascii="Arial" w:eastAsiaTheme="minorEastAsia" w:hAnsi="Arial" w:cs="Arial"/>
                <w:i/>
                <w:iCs/>
                <w:lang w:val="en-US"/>
              </w:rPr>
              <w:t>tetO-YCK2/yck2∆</w:t>
            </w:r>
          </w:p>
        </w:tc>
        <w:tc>
          <w:tcPr>
            <w:tcW w:w="1418" w:type="dxa"/>
          </w:tcPr>
          <w:p w14:paraId="50713172" w14:textId="77777777" w:rsidR="009C3F74" w:rsidRPr="00120CC6" w:rsidRDefault="009C3F74" w:rsidP="001C0950">
            <w:pPr>
              <w:jc w:val="both"/>
              <w:rPr>
                <w:rFonts w:ascii="Arial" w:hAnsi="Arial" w:cs="Arial"/>
              </w:rPr>
            </w:pPr>
            <w:r w:rsidRPr="00120CC6">
              <w:rPr>
                <w:rFonts w:ascii="Arial" w:hAnsi="Arial" w:cs="Arial"/>
              </w:rPr>
              <w:t xml:space="preserve">GRACE </w:t>
            </w:r>
            <w:r w:rsidRPr="00120CC6">
              <w:rPr>
                <w:rFonts w:ascii="Arial" w:hAnsi="Arial" w:cs="Arial"/>
                <w:i/>
                <w:iCs/>
              </w:rPr>
              <w:t>YCK2</w:t>
            </w:r>
          </w:p>
        </w:tc>
        <w:tc>
          <w:tcPr>
            <w:tcW w:w="1485" w:type="dxa"/>
          </w:tcPr>
          <w:p w14:paraId="2182C77F" w14:textId="77777777" w:rsidR="009C3F74" w:rsidRPr="00120CC6" w:rsidRDefault="009C3F74" w:rsidP="001C0950">
            <w:pPr>
              <w:jc w:val="both"/>
              <w:rPr>
                <w:rFonts w:ascii="Arial" w:hAnsi="Arial" w:cs="Arial"/>
                <w:i/>
                <w:iCs/>
              </w:rPr>
            </w:pPr>
            <w:r w:rsidRPr="00120CC6">
              <w:rPr>
                <w:rFonts w:ascii="Arial" w:hAnsi="Arial" w:cs="Arial"/>
                <w:i/>
                <w:iCs/>
              </w:rPr>
              <w:t>C. albicans</w:t>
            </w:r>
          </w:p>
        </w:tc>
        <w:tc>
          <w:tcPr>
            <w:tcW w:w="3056" w:type="dxa"/>
          </w:tcPr>
          <w:p w14:paraId="312C07E3" w14:textId="77777777" w:rsidR="009C3F74" w:rsidRPr="00120CC6" w:rsidRDefault="009C3F74" w:rsidP="001C0950">
            <w:pPr>
              <w:rPr>
                <w:rFonts w:ascii="Arial" w:hAnsi="Arial" w:cs="Arial"/>
              </w:rPr>
            </w:pPr>
            <w:r w:rsidRPr="00120CC6">
              <w:rPr>
                <w:rFonts w:ascii="Arial" w:hAnsi="Arial" w:cs="Arial"/>
                <w:i/>
                <w:iCs/>
              </w:rPr>
              <w:t xml:space="preserve">As CaSS1 </w:t>
            </w:r>
            <w:r w:rsidRPr="00120CC6">
              <w:rPr>
                <w:rFonts w:ascii="Arial" w:eastAsiaTheme="minorEastAsia" w:hAnsi="Arial" w:cs="Arial"/>
                <w:i/>
                <w:iCs/>
                <w:lang w:val="en-US"/>
              </w:rPr>
              <w:t>tetO-YCK2/yck</w:t>
            </w:r>
            <w:proofErr w:type="gramStart"/>
            <w:r w:rsidRPr="00120CC6">
              <w:rPr>
                <w:rFonts w:ascii="Arial" w:eastAsiaTheme="minorEastAsia" w:hAnsi="Arial" w:cs="Arial"/>
                <w:i/>
                <w:iCs/>
                <w:lang w:val="en-US"/>
              </w:rPr>
              <w:t>2::</w:t>
            </w:r>
            <w:proofErr w:type="gramEnd"/>
            <w:r w:rsidRPr="00120CC6">
              <w:rPr>
                <w:rFonts w:ascii="Arial" w:eastAsiaTheme="minorEastAsia" w:hAnsi="Arial" w:cs="Arial"/>
                <w:i/>
                <w:iCs/>
                <w:lang w:val="en-US"/>
              </w:rPr>
              <w:t>HIS3</w:t>
            </w:r>
          </w:p>
        </w:tc>
        <w:tc>
          <w:tcPr>
            <w:tcW w:w="1129" w:type="dxa"/>
          </w:tcPr>
          <w:p w14:paraId="01376483" w14:textId="4A48D88F" w:rsidR="009C3F74" w:rsidRPr="00120CC6" w:rsidRDefault="009C3F74" w:rsidP="001C0950">
            <w:pPr>
              <w:jc w:val="both"/>
              <w:rPr>
                <w:rFonts w:ascii="Arial" w:hAnsi="Arial" w:cs="Arial"/>
              </w:rPr>
            </w:pPr>
            <w:r w:rsidRPr="00120CC6">
              <w:rPr>
                <w:rFonts w:ascii="Arial" w:hAnsi="Arial" w:cs="Arial"/>
              </w:rPr>
              <w:fldChar w:fldCharType="begin" w:fldLock="1"/>
            </w:r>
            <w:r w:rsidR="00DC6BF3" w:rsidRPr="00120CC6">
              <w:rPr>
                <w:rFonts w:ascii="Arial" w:hAnsi="Arial" w:cs="Arial"/>
              </w:rPr>
              <w:instrText>ADDIN CSL_CITATION {"citationItems":[{"id":"ITEM-1","itemData":{"DOI":"10.1046/j.1365-2958.2003.03697.x","ISSN":"0950382X","PMID":"14507372","abstract":"Candida albicans is the primary fungal pathogen of humans. Despite the need for novel drugs to combat fungal infections [Sobel, J.D. (2000) Clin Infectious Dis 30: 652], antifungal drug discovery is currently limited by both the availability of suitable drug targets and assays to screen corresponding targets. A functional genomics approach based on the diploid C. albicans genome sequence, termed GRACE™ (gene replacement and conditional expression), was used to assess gene essentiality through a combination of gene replacement and conditional gene expression. In a systematic application of this approach, we identify 567 essential genes in C. albicans. Interestingly, evaluating the conditional phenotype of all identifiable C. albicans homologues of the Saccharomyces cerevisiae essential gene set [Giaever, G., Chu, A.M., Ni, L., Connelly, C., Riles, L., Veronneau, S., et al. (2002) Nature 418: 387-391] by GRACE revealed only 61% to be essential in C. albicans, emphasizing the importance of performing such studies directly within the pathogen. Construction of this conditional mutant strain collection facilitates large-scale examination of terminal phenotypes of essential genes. This information enables preferred drug targets to be selected from the C. albicans essential gene set by phenotypic information derived both in vitro, such as cidal versus static terminal phenotypes, as well as in vivo through virulence studies using conditional strains in an animal model of infection. In addition, the combination of phenotypic and bioinformatic analyses further improves drug target selection from the C. albicans essential gene set, and their respective conditional mutant strains may be directly used as sensitive whole-cell assays for drug screening.","author":[{"dropping-particle":"","family":"Roemer","given":"Terry","non-dropping-particle":"","parse-names":false,"suffix":""},{"dropping-particle":"","family":"Jiang","given":"Bo","non-dropping-particle":"","parse-names":false,"suffix":""},{"dropping-particle":"","family":"Davison","given":"John","non-dropping-particle":"","parse-names":false,"suffix":""},{"dropping-particle":"","family":"Ketela","given":"Troy","non-dropping-particle":"","parse-names":false,"suffix":""},{"dropping-particle":"","family":"Veillette","given":"Karynn","non-dropping-particle":"","parse-names":false,"suffix":""},{"dropping-particle":"","family":"Breton","given":"Anouk","non-dropping-particle":"","parse-names":false,"suffix":""},{"dropping-particle":"","family":"Tandia","given":"Fatou","non-dropping-particle":"","parse-names":false,"suffix":""},{"dropping-particle":"","family":"Linteau","given":"Annie","non-dropping-particle":"","parse-names":false,"suffix":""},{"dropping-particle":"","family":"Sillaots","given":"Susan","non-dropping-particle":"","parse-names":false,"suffix":""},{"dropping-particle":"","family":"Marta","given":"Catarina","non-dropping-particle":"","parse-names":false,"suffix":""},{"dropping-particle":"","family":"Martel","given":"Nick","non-dropping-particle":"","parse-names":false,"suffix":""},{"dropping-particle":"","family":"Veronneau","given":"Steeve","non-dropping-particle":"","parse-names":false,"suffix":""},{"dropping-particle":"","family":"Lemieux","given":"Sebastien","non-dropping-particle":"","parse-names":false,"suffix":""},{"dropping-particle":"","family":"Kauffman","given":"Sarah","non-dropping-particle":"","parse-names":false,"suffix":""},{"dropping-particle":"","family":"Becker","given":"Jeff","non-dropping-particle":"","parse-names":false,"suffix":""},{"dropping-particle":"","family":"Storms","given":"Reginald","non-dropping-particle":"","parse-names":false,"suffix":""},{"dropping-particle":"","family":"Boone","given":"Charles","non-dropping-particle":"","parse-names":false,"suffix":""},{"dropping-particle":"","family":"Bussey","given":"Howard","non-dropping-particle":"","parse-names":false,"suffix":""}],"container-title":"Molecular Microbiology","id":"ITEM-1","issue":"1","issued":{"date-parts":[["2003"]]},"page":"167-181","title":"Large-scale essential gene identification in Candida albicans and applications to antifungal drug discovery","type":"article-journal","volume":"50"},"uris":["http://www.mendeley.com/documents/?uuid=6653c559-ea3e-45ad-9f2c-6d09c81527f0"]},{"id":"ITEM-2","itemData":{"DOI":"10.1038/s41467-021-26850-3","ISSN":"2041-1723","PMID":"34764269","abstract":"Fungal pathogens pose a global threat to human health, with Candida albicans among the leading killers. Systematic analysis of essential genes provides a powerful strategy to discover potential antifungal targets. Here, we build a machine learning model to generate genome-wide gene essentiality predictions for C. albicans and expand the largest functional genomics resource in this pathogen (the GRACE collection) by 866 genes. Using this model and chemogenomic analyses, we define the function of three uncharacterized essential genes with roles in kinetochore function, mitochondrial integrity, and translation, and identify the glutaminyl-tRNA synthetase Gln4 as the target of N-pyrimidinyl-β-thiophenylacrylamide (NP-BTA), an antifungal compound.","author":[{"dropping-particle":"","family":"Fu","given":"Ci","non-dropping-particle":"","parse-names":false,"suffix":""},{"dropping-particle":"","family":"Zhang","given":"Xiang","non-dropping-particle":"","parse-names":false,"suffix":""},{"dropping-particle":"","family":"Veri","given":"Amanda O.","non-dropping-particle":"","parse-names":false,"suffix":""},{"dropping-particle":"","family":"Iyer","given":"Kali R.","non-dropping-particle":"","parse-names":false,"suffix":""},{"dropping-particle":"","family":"Lash","given":"Emma","non-dropping-particle":"","parse-names":false,"suffix":""},{"dropping-particle":"","family":"Xue","given":"Alice","non-dropping-particle":"","parse-names":false,"suffix":""},{"dropping-particle":"","family":"Yan","given":"Huijuan","non-dropping-particle":"","parse-names":false,"suffix":""},{"dropping-particle":"","family":"Revie","given":"Nicole M.","non-dropping-particle":"","parse-names":false,"suffix":""},{"dropping-particle":"","family":"Wong","given":"Cassandra","non-dropping-particle":"","parse-names":false,"suffix":""},{"dropping-particle":"","family":"Lin","given":"Zhen-Yuan","non-dropping-particle":"","parse-names":false,"suffix":""},{"dropping-particle":"","family":"Polvi","given":"Elizabeth J.","non-dropping-particle":"","parse-names":false,"suffix":""},{"dropping-particle":"","family":"Liston","given":"Sean D.","non-dropping-particle":"","parse-names":false,"suffix":""},{"dropping-particle":"","family":"VanderSluis","given":"Benjamin","non-dropping-particle":"","parse-names":false,"suffix":""},{"dropping-particle":"","family":"Hou","given":"Jing","non-dropping-particle":"","parse-names":false,"suffix":""},{"dropping-particle":"","family":"Yashiroda","given":"Yoko","non-dropping-particle":"","parse-names":false,"suffix":""},{"dropping-particle":"","family":"Gingras","given":"Anne-Claude","non-dropping-particle":"","parse-names":false,"suffix":""},{"dropping-particle":"","family":"Boone","given":"Charles","non-dropping-particle":"","parse-names":false,"suffix":""},{"dropping-particle":"","family":"O’Meara","given":"Teresa R.","non-dropping-particle":"","parse-names":false,"suffix":""},{"dropping-particle":"","family":"O’Meara","given":"Matthew J.","non-dropping-particle":"","parse-names":false,"suffix":""},{"dropping-particle":"","family":"Noble","given":"Suzanne","non-dropping-particle":"","parse-names":false,"suffix":""},{"dropping-particle":"","family":"Robbins","given":"Nicole","non-dropping-particle":"","parse-names":false,"suffix":""},{"dropping-particle":"","family":"Myers","given":"Chad L.","non-dropping-particle":"","parse-names":false,"suffix":""},{"dropping-particle":"","family":"Cowen","given":"Leah E.","non-dropping-particle":"","parse-names":false,"suffix":""}],"container-title":"Nature Communications","id":"ITEM-2","issue":"1","issued":{"date-parts":[["2021","11","11"]]},"page":"6497","title":"Leveraging machine learning essentiality predictions and chemogenomic interactions to identify antifungal targets","type":"article-journal","volume":"12"},"uris":["http://www.mendeley.com/documents/?uuid=aec52fbb-8264-4ff6-95f7-c10b1fb1006f"]}],"mendeley":{"formattedCitation":"&lt;sup&gt;1,2&lt;/sup&gt;","plainTextFormattedCitation":"1,2","previouslyFormattedCitation":"&lt;sup&gt;17,18&lt;/sup&gt;"},"properties":{"noteIndex":0},"schema":"https://github.com/citation-style-language/schema/raw/master/csl-citation.json"}</w:instrText>
            </w:r>
            <w:r w:rsidRPr="00120CC6">
              <w:rPr>
                <w:rFonts w:ascii="Arial" w:hAnsi="Arial" w:cs="Arial"/>
              </w:rPr>
              <w:fldChar w:fldCharType="separate"/>
            </w:r>
            <w:r w:rsidR="00DC6BF3" w:rsidRPr="00120CC6">
              <w:rPr>
                <w:rFonts w:ascii="Arial" w:hAnsi="Arial" w:cs="Arial"/>
                <w:noProof/>
                <w:vertAlign w:val="superscript"/>
              </w:rPr>
              <w:t>1,2</w:t>
            </w:r>
            <w:r w:rsidRPr="00120CC6">
              <w:rPr>
                <w:rFonts w:ascii="Arial" w:hAnsi="Arial" w:cs="Arial"/>
              </w:rPr>
              <w:fldChar w:fldCharType="end"/>
            </w:r>
          </w:p>
        </w:tc>
      </w:tr>
      <w:tr w:rsidR="009C3F74" w:rsidRPr="00120CC6" w14:paraId="64305F2E" w14:textId="77777777" w:rsidTr="310C222D">
        <w:tc>
          <w:tcPr>
            <w:tcW w:w="2405" w:type="dxa"/>
          </w:tcPr>
          <w:p w14:paraId="38AC581E" w14:textId="77777777" w:rsidR="009C3F74" w:rsidRPr="00120CC6" w:rsidRDefault="009C3F74" w:rsidP="001C0950">
            <w:pPr>
              <w:rPr>
                <w:rFonts w:ascii="Arial" w:eastAsiaTheme="minorEastAsia" w:hAnsi="Arial" w:cs="Arial"/>
                <w:lang w:val="en-US"/>
              </w:rPr>
            </w:pPr>
            <w:r w:rsidRPr="00120CC6">
              <w:rPr>
                <w:rFonts w:ascii="Arial" w:eastAsiaTheme="minorEastAsia" w:hAnsi="Arial" w:cs="Arial"/>
                <w:lang w:val="en-US"/>
              </w:rPr>
              <w:t>DPL15</w:t>
            </w:r>
          </w:p>
        </w:tc>
        <w:tc>
          <w:tcPr>
            <w:tcW w:w="1418" w:type="dxa"/>
          </w:tcPr>
          <w:p w14:paraId="46BD389C" w14:textId="77777777" w:rsidR="009C3F74" w:rsidRPr="00120CC6" w:rsidRDefault="009C3F74" w:rsidP="001C0950">
            <w:pPr>
              <w:jc w:val="both"/>
              <w:rPr>
                <w:rFonts w:ascii="Arial" w:hAnsi="Arial" w:cs="Arial"/>
              </w:rPr>
            </w:pPr>
            <w:r w:rsidRPr="00120CC6">
              <w:rPr>
                <w:rFonts w:ascii="Arial" w:hAnsi="Arial" w:cs="Arial"/>
              </w:rPr>
              <w:t>CaLC990</w:t>
            </w:r>
          </w:p>
        </w:tc>
        <w:tc>
          <w:tcPr>
            <w:tcW w:w="1485" w:type="dxa"/>
          </w:tcPr>
          <w:p w14:paraId="64319DF9" w14:textId="77777777" w:rsidR="009C3F74" w:rsidRPr="00120CC6" w:rsidRDefault="009C3F74" w:rsidP="001C0950">
            <w:pPr>
              <w:jc w:val="both"/>
              <w:rPr>
                <w:rFonts w:ascii="Arial" w:hAnsi="Arial" w:cs="Arial"/>
                <w:i/>
                <w:iCs/>
              </w:rPr>
            </w:pPr>
            <w:r w:rsidRPr="00120CC6">
              <w:rPr>
                <w:rFonts w:ascii="Arial" w:hAnsi="Arial" w:cs="Arial"/>
                <w:i/>
                <w:iCs/>
              </w:rPr>
              <w:t>C. albicans</w:t>
            </w:r>
          </w:p>
        </w:tc>
        <w:tc>
          <w:tcPr>
            <w:tcW w:w="3056" w:type="dxa"/>
          </w:tcPr>
          <w:p w14:paraId="5E864979" w14:textId="77777777" w:rsidR="009C3F74" w:rsidRPr="00120CC6" w:rsidRDefault="009C3F74" w:rsidP="001C0950">
            <w:pPr>
              <w:rPr>
                <w:rFonts w:ascii="Arial" w:hAnsi="Arial" w:cs="Arial"/>
              </w:rPr>
            </w:pPr>
            <w:r w:rsidRPr="00120CC6">
              <w:rPr>
                <w:rFonts w:ascii="Arial" w:hAnsi="Arial" w:cs="Arial"/>
              </w:rPr>
              <w:t xml:space="preserve">Clinical isolate, </w:t>
            </w:r>
            <w:r w:rsidRPr="00120CC6">
              <w:rPr>
                <w:rFonts w:ascii="Arial" w:hAnsi="Arial" w:cs="Arial"/>
                <w:i/>
                <w:iCs/>
              </w:rPr>
              <w:t>FKS1</w:t>
            </w:r>
            <w:r w:rsidRPr="00120CC6">
              <w:rPr>
                <w:rFonts w:ascii="Arial" w:hAnsi="Arial" w:cs="Arial"/>
                <w:i/>
                <w:iCs/>
                <w:vertAlign w:val="superscript"/>
              </w:rPr>
              <w:t>T1922C</w:t>
            </w:r>
            <w:r w:rsidRPr="00120CC6">
              <w:rPr>
                <w:rFonts w:ascii="Arial" w:hAnsi="Arial" w:cs="Arial"/>
                <w:i/>
                <w:iCs/>
              </w:rPr>
              <w:t>/ FKS1</w:t>
            </w:r>
            <w:r w:rsidRPr="00120CC6">
              <w:rPr>
                <w:rFonts w:ascii="Arial" w:hAnsi="Arial" w:cs="Arial"/>
                <w:i/>
                <w:iCs/>
                <w:vertAlign w:val="superscript"/>
              </w:rPr>
              <w:t>T1922C</w:t>
            </w:r>
          </w:p>
        </w:tc>
        <w:tc>
          <w:tcPr>
            <w:tcW w:w="1129" w:type="dxa"/>
          </w:tcPr>
          <w:p w14:paraId="60BD9600" w14:textId="39DDC127" w:rsidR="009C3F74" w:rsidRPr="00120CC6" w:rsidRDefault="009C3F74" w:rsidP="001C0950">
            <w:pPr>
              <w:jc w:val="both"/>
              <w:rPr>
                <w:rFonts w:ascii="Arial" w:hAnsi="Arial" w:cs="Arial"/>
              </w:rPr>
            </w:pPr>
            <w:r w:rsidRPr="00120CC6">
              <w:rPr>
                <w:rFonts w:ascii="Arial" w:hAnsi="Arial" w:cs="Arial"/>
              </w:rPr>
              <w:fldChar w:fldCharType="begin" w:fldLock="1"/>
            </w:r>
            <w:r w:rsidR="00DC6BF3" w:rsidRPr="00120CC6">
              <w:rPr>
                <w:rFonts w:ascii="Arial" w:hAnsi="Arial" w:cs="Arial"/>
              </w:rPr>
              <w:instrText>ADDIN CSL_CITATION {"citationItems":[{"id":"ITEM-1","itemData":{"DOI":"10.1371/journal.ppat.1000532","ISSN":"1553-7374","abstract":"Candida albicans is the leading fungal pathogen of humans, causing life-threatening disease in immunocompromised individuals. Treatment of candidiasis is hampered by the limited number of antifungal drugs whose efficacy is compromised by host toxicity, fungistatic activity, and the emergence of drug resistance. We previously established that the molecular chaperone Hsp90, which regulates the form and function of diverse client proteins, potentiates resistance to the azoles in C. albicans and in the model yeast Saccharomyces cerevisiae. Genetic studies in S. cerevisiae revealed that Hsp90's role in azole resistance is to enable crucial cellular responses to the membrane stress exerted by azoles via the client protein calcineurin. Here, we demonstrate that Hsp90 governs cellular circuitry required for resistance to the only new class of antifungals to reach the clinic in decades, the echinocandins, which inhibit biosynthesis of a critical component of the fungal cell wall. Pharmacological or genetic impairment of Hsp90 function reduced tolerance of C. albicans laboratory strains and resistance of clinical isolates to the echinocandins and created a fungicidal combination. Compromising calcineurin function phenocopied compromising Hsp90 function. We established that calcineurin is an Hsp90 client protein in C. albicans: reciprocal co-immunoprecipitation validated physical interaction; Hsp90 inhibition blocked calcineurin activation; and calcineurin levels were depleted upon genetic reduction of Hsp90. The downstream effector of calcineurin, Crz1, played a partial role in mediating calcineurin-dependent stress responses activated by echinocandins. Hsp90's role in echinocandin resistance has therapeutic potential given that genetic compromise of C. albicans HSP90 expression enhanced the efficacy of an echinocandin in a murine model of disseminated candidiasis. Our results identify the first Hsp90 client protein in C. albicans, establish an entirely new role for Hsp90 in mediating resistance to echinocandins, and demonstrate that targeting Hsp90 provides a promising therapeutic strategy for the treatment of life-threatening fungal disease. © 2009 Singh et al.","author":[{"dropping-particle":"","family":"Singh","given":"Sheena D.","non-dropping-particle":"","parse-names":false,"suffix":""},{"dropping-particle":"","family":"Robbins","given":"Nicole","non-dropping-particle":"","parse-names":false,"suffix":""},{"dropping-particle":"","family":"Zaas","given":"Aimee K.","non-dropping-particle":"","parse-names":false,"suffix":""},{"dropping-particle":"","family":"Schell","given":"Wiley A.","non-dropping-particle":"","parse-names":false,"suffix":""},{"dropping-particle":"","family":"Perfect","given":"John R.","non-dropping-particle":"","parse-names":false,"suffix":""},{"dropping-particle":"","family":"Cowen","given":"Leah E.","non-dropping-particle":"","parse-names":false,"suffix":""}],"container-title":"PLoS Pathogens","editor":[{"dropping-particle":"","family":"Mitchell","given":"Aaron P.","non-dropping-particle":"","parse-names":false,"suffix":""}],"id":"ITEM-1","issue":"7","issued":{"date-parts":[["2009","7","31"]]},"page":"e1000532","title":"Hsp90 Governs Echinocandin Resistance in the Pathogenic Yeast Candida albicans via Calcineurin","type":"article-journal","volume":"5"},"uris":["http://www.mendeley.com/documents/?uuid=151cc5d3-f672-4bad-8096-5f65e77f23a8"]}],"mendeley":{"formattedCitation":"&lt;sup&gt;3&lt;/sup&gt;","plainTextFormattedCitation":"3","previouslyFormattedCitation":"&lt;sup&gt;19&lt;/sup&gt;"},"properties":{"noteIndex":0},"schema":"https://github.com/citation-style-language/schema/raw/master/csl-citation.json"}</w:instrText>
            </w:r>
            <w:r w:rsidRPr="00120CC6">
              <w:rPr>
                <w:rFonts w:ascii="Arial" w:hAnsi="Arial" w:cs="Arial"/>
              </w:rPr>
              <w:fldChar w:fldCharType="separate"/>
            </w:r>
            <w:r w:rsidR="00DC6BF3" w:rsidRPr="00120CC6">
              <w:rPr>
                <w:rFonts w:ascii="Arial" w:hAnsi="Arial" w:cs="Arial"/>
                <w:noProof/>
                <w:vertAlign w:val="superscript"/>
              </w:rPr>
              <w:t>3</w:t>
            </w:r>
            <w:r w:rsidRPr="00120CC6">
              <w:rPr>
                <w:rFonts w:ascii="Arial" w:hAnsi="Arial" w:cs="Arial"/>
              </w:rPr>
              <w:fldChar w:fldCharType="end"/>
            </w:r>
          </w:p>
        </w:tc>
      </w:tr>
      <w:tr w:rsidR="009C3F74" w:rsidRPr="00120CC6" w14:paraId="508EDB61" w14:textId="77777777" w:rsidTr="310C222D">
        <w:tc>
          <w:tcPr>
            <w:tcW w:w="2405" w:type="dxa"/>
          </w:tcPr>
          <w:p w14:paraId="2EC0581B" w14:textId="77777777" w:rsidR="009C3F74" w:rsidRPr="00120CC6" w:rsidRDefault="009C3F74" w:rsidP="001C0950">
            <w:pPr>
              <w:rPr>
                <w:rFonts w:ascii="Arial" w:eastAsiaTheme="minorEastAsia" w:hAnsi="Arial" w:cs="Arial"/>
                <w:lang w:val="en-US"/>
              </w:rPr>
            </w:pPr>
            <w:r w:rsidRPr="00120CC6">
              <w:rPr>
                <w:rFonts w:ascii="Arial" w:eastAsiaTheme="minorEastAsia" w:hAnsi="Arial" w:cs="Arial"/>
                <w:lang w:val="en-US"/>
              </w:rPr>
              <w:t>DPL15 Eno1-GFP</w:t>
            </w:r>
          </w:p>
        </w:tc>
        <w:tc>
          <w:tcPr>
            <w:tcW w:w="1418" w:type="dxa"/>
          </w:tcPr>
          <w:p w14:paraId="2400C8F8" w14:textId="77777777" w:rsidR="009C3F74" w:rsidRPr="00120CC6" w:rsidRDefault="009C3F74" w:rsidP="001C0950">
            <w:pPr>
              <w:jc w:val="both"/>
              <w:rPr>
                <w:rFonts w:ascii="Arial" w:hAnsi="Arial" w:cs="Arial"/>
              </w:rPr>
            </w:pPr>
            <w:r w:rsidRPr="00120CC6">
              <w:rPr>
                <w:rFonts w:ascii="Arial" w:hAnsi="Arial" w:cs="Arial"/>
              </w:rPr>
              <w:t>CaLC6194</w:t>
            </w:r>
          </w:p>
        </w:tc>
        <w:tc>
          <w:tcPr>
            <w:tcW w:w="1485" w:type="dxa"/>
          </w:tcPr>
          <w:p w14:paraId="4D2A9EAC" w14:textId="77777777" w:rsidR="009C3F74" w:rsidRPr="00120CC6" w:rsidRDefault="009C3F74" w:rsidP="001C0950">
            <w:pPr>
              <w:jc w:val="both"/>
              <w:rPr>
                <w:rFonts w:ascii="Arial" w:hAnsi="Arial" w:cs="Arial"/>
                <w:i/>
                <w:iCs/>
              </w:rPr>
            </w:pPr>
            <w:r w:rsidRPr="00120CC6">
              <w:rPr>
                <w:rFonts w:ascii="Arial" w:hAnsi="Arial" w:cs="Arial"/>
                <w:i/>
                <w:iCs/>
              </w:rPr>
              <w:t>C. albicans</w:t>
            </w:r>
          </w:p>
        </w:tc>
        <w:tc>
          <w:tcPr>
            <w:tcW w:w="3056" w:type="dxa"/>
          </w:tcPr>
          <w:p w14:paraId="7715F862" w14:textId="77777777" w:rsidR="009C3F74" w:rsidRPr="00120CC6" w:rsidRDefault="009C3F74" w:rsidP="001C0950">
            <w:pPr>
              <w:rPr>
                <w:rFonts w:ascii="Arial" w:hAnsi="Arial" w:cs="Arial"/>
              </w:rPr>
            </w:pPr>
            <w:r w:rsidRPr="00120CC6">
              <w:rPr>
                <w:rFonts w:ascii="Arial" w:hAnsi="Arial" w:cs="Arial"/>
              </w:rPr>
              <w:t xml:space="preserve">As DPL15 </w:t>
            </w:r>
            <w:r w:rsidRPr="00120CC6">
              <w:rPr>
                <w:rFonts w:ascii="Arial" w:hAnsi="Arial" w:cs="Arial"/>
                <w:i/>
                <w:iCs/>
              </w:rPr>
              <w:t>ENO1/ENO1</w:t>
            </w:r>
            <w:r w:rsidRPr="00120CC6">
              <w:rPr>
                <w:rFonts w:ascii="Arial" w:hAnsi="Arial" w:cs="Arial"/>
              </w:rPr>
              <w:t>-GFP-NAT</w:t>
            </w:r>
          </w:p>
        </w:tc>
        <w:tc>
          <w:tcPr>
            <w:tcW w:w="1129" w:type="dxa"/>
          </w:tcPr>
          <w:p w14:paraId="20E6C7E2" w14:textId="31718AD9" w:rsidR="009C3F74" w:rsidRPr="00120CC6" w:rsidRDefault="009C3F74" w:rsidP="001C0950">
            <w:pPr>
              <w:jc w:val="both"/>
              <w:rPr>
                <w:rFonts w:ascii="Arial" w:hAnsi="Arial" w:cs="Arial"/>
              </w:rPr>
            </w:pPr>
            <w:r w:rsidRPr="00120CC6">
              <w:rPr>
                <w:rFonts w:ascii="Arial" w:hAnsi="Arial" w:cs="Arial"/>
              </w:rPr>
              <w:fldChar w:fldCharType="begin" w:fldLock="1"/>
            </w:r>
            <w:r w:rsidR="00DC6BF3" w:rsidRPr="00120CC6">
              <w:rPr>
                <w:rFonts w:ascii="Arial" w:hAnsi="Arial" w:cs="Arial"/>
              </w:rPr>
              <w:instrText>ADDIN CSL_CITATION {"citationItems":[{"id":"ITEM-1","itemData":{"DOI":"10.1371/journal.ppat.1000532","ISSN":"1553-7374","abstract":"Candida albicans is the leading fungal pathogen of humans, causing life-threatening disease in immunocompromised individuals. Treatment of candidiasis is hampered by the limited number of antifungal drugs whose efficacy is compromised by host toxicity, fungistatic activity, and the emergence of drug resistance. We previously established that the molecular chaperone Hsp90, which regulates the form and function of diverse client proteins, potentiates resistance to the azoles in C. albicans and in the model yeast Saccharomyces cerevisiae. Genetic studies in S. cerevisiae revealed that Hsp90's role in azole resistance is to enable crucial cellular responses to the membrane stress exerted by azoles via the client protein calcineurin. Here, we demonstrate that Hsp90 governs cellular circuitry required for resistance to the only new class of antifungals to reach the clinic in decades, the echinocandins, which inhibit biosynthesis of a critical component of the fungal cell wall. Pharmacological or genetic impairment of Hsp90 function reduced tolerance of C. albicans laboratory strains and resistance of clinical isolates to the echinocandins and created a fungicidal combination. Compromising calcineurin function phenocopied compromising Hsp90 function. We established that calcineurin is an Hsp90 client protein in C. albicans: reciprocal co-immunoprecipitation validated physical interaction; Hsp90 inhibition blocked calcineurin activation; and calcineurin levels were depleted upon genetic reduction of Hsp90. The downstream effector of calcineurin, Crz1, played a partial role in mediating calcineurin-dependent stress responses activated by echinocandins. Hsp90's role in echinocandin resistance has therapeutic potential given that genetic compromise of C. albicans HSP90 expression enhanced the efficacy of an echinocandin in a murine model of disseminated candidiasis. Our results identify the first Hsp90 client protein in C. albicans, establish an entirely new role for Hsp90 in mediating resistance to echinocandins, and demonstrate that targeting Hsp90 provides a promising therapeutic strategy for the treatment of life-threatening fungal disease. © 2009 Singh et al.","author":[{"dropping-particle":"","family":"Singh","given":"Sheena D.","non-dropping-particle":"","parse-names":false,"suffix":""},{"dropping-particle":"","family":"Robbins","given":"Nicole","non-dropping-particle":"","parse-names":false,"suffix":""},{"dropping-particle":"","family":"Zaas","given":"Aimee K.","non-dropping-particle":"","parse-names":false,"suffix":""},{"dropping-particle":"","family":"Schell","given":"Wiley A.","non-dropping-particle":"","parse-names":false,"suffix":""},{"dropping-particle":"","family":"Perfect","given":"John R.","non-dropping-particle":"","parse-names":false,"suffix":""},{"dropping-particle":"","family":"Cowen","given":"Leah E.","non-dropping-particle":"","parse-names":false,"suffix":""}],"container-title":"PLoS Pathogens","editor":[{"dropping-particle":"","family":"Mitchell","given":"Aaron P.","non-dropping-particle":"","parse-names":false,"suffix":""}],"id":"ITEM-1","issue":"7","issued":{"date-parts":[["2009","7","31"]]},"page":"e1000532","title":"Hsp90 Governs Echinocandin Resistance in the Pathogenic Yeast Candida albicans via Calcineurin","type":"article-journal","volume":"5"},"uris":["http://www.mendeley.com/documents/?uuid=151cc5d3-f672-4bad-8096-5f65e77f23a8"]},{"id":"ITEM-2","itemData":{"DOI":"10.1016/j.chembiol.2019.12.008","ISSN":"24519456","author":[{"dropping-particle":"","family":"Caplan","given":"Tavia","non-dropping-particle":"","parse-names":false,"suffix":""},{"dropping-particle":"","family":"Lorente-Macías","given":"Álvaro","non-dropping-particle":"","parse-names":false,"suffix":""},{"dropping-particle":"","family":"Stogios","given":"Peter J","non-dropping-particle":"","parse-names":false,"suffix":""},{"dropping-particle":"","family":"Evdokimova","given":"Elena","non-dropping-particle":"","parse-names":false,"suffix":""},{"dropping-particle":"","family":"Hyde","given":"Sabrina","non-dropping-particle":"","parse-names":false,"suffix":""},{"dropping-particle":"","family":"Wellington","given":"Melanie A.","non-dropping-particle":"","parse-names":false,"suffix":""},{"dropping-particle":"","family":"Liston","given":"Sean","non-dropping-particle":"","parse-names":false,"suffix":""},{"dropping-particle":"","family":"Iyer","given":"Kali R","non-dropping-particle":"","parse-names":false,"suffix":""},{"dropping-particle":"","family":"Puumala","given":"Emily","non-dropping-particle":"","parse-names":false,"suffix":""},{"dropping-particle":"","family":"Shekhar-Guturja","given":"Tanvi","non-dropping-particle":"","parse-names":false,"suffix":""},{"dropping-particle":"","family":"Robbins","given":"Nicole","non-dropping-particle":"","parse-names":false,"suffix":""},{"dropping-particle":"","family":"Savchenko","given":"Alexei","non-dropping-particle":"","parse-names":false,"suffix":""},{"dropping-particle":"","family":"Krysan","given":"Damian J","non-dropping-particle":"","parse-names":false,"suffix":""},{"dropping-particle":"","family":"Whitesell","given":"Luke","non-dropping-particle":"","parse-names":false,"suffix":""},{"dropping-particle":"","family":"Zuercher","given":"William J","non-dropping-particle":"","parse-names":false,"suffix":""},{"dropping-particle":"","family":"Cowen","given":"Leah E","non-dropping-particle":"","parse-names":false,"suffix":""}],"container-title":"Cell Chemical Biology","id":"ITEM-2","issue":"3","issued":{"date-parts":[["2020","3"]]},"page":"269-282.e5","title":"Overcoming fungal echinocandin resistance through inhibition of the non-essential stress kinase Yck2","type":"article-journal","volume":"27"},"uris":["http://www.mendeley.com/documents/?uuid=14910038-4345-4934-a280-f672335ec506"]}],"mendeley":{"formattedCitation":"&lt;sup&gt;3,4&lt;/sup&gt;","plainTextFormattedCitation":"3,4","previouslyFormattedCitation":"&lt;sup&gt;12,19&lt;/sup&gt;"},"properties":{"noteIndex":0},"schema":"https://github.com/citation-style-language/schema/raw/master/csl-citation.json"}</w:instrText>
            </w:r>
            <w:r w:rsidRPr="00120CC6">
              <w:rPr>
                <w:rFonts w:ascii="Arial" w:hAnsi="Arial" w:cs="Arial"/>
              </w:rPr>
              <w:fldChar w:fldCharType="separate"/>
            </w:r>
            <w:r w:rsidR="00DC6BF3" w:rsidRPr="00120CC6">
              <w:rPr>
                <w:rFonts w:ascii="Arial" w:hAnsi="Arial" w:cs="Arial"/>
                <w:noProof/>
                <w:vertAlign w:val="superscript"/>
              </w:rPr>
              <w:t>3,4</w:t>
            </w:r>
            <w:r w:rsidRPr="00120CC6">
              <w:rPr>
                <w:rFonts w:ascii="Arial" w:hAnsi="Arial" w:cs="Arial"/>
              </w:rPr>
              <w:fldChar w:fldCharType="end"/>
            </w:r>
          </w:p>
        </w:tc>
      </w:tr>
      <w:tr w:rsidR="00DC6BF3" w:rsidRPr="00120CC6" w14:paraId="7496D039" w14:textId="77777777" w:rsidTr="310C222D">
        <w:tc>
          <w:tcPr>
            <w:tcW w:w="2405" w:type="dxa"/>
          </w:tcPr>
          <w:p w14:paraId="1382ED82" w14:textId="77777777" w:rsidR="00DC6BF3" w:rsidRPr="00120CC6" w:rsidRDefault="00DC6BF3" w:rsidP="00DC6BF3">
            <w:pPr>
              <w:rPr>
                <w:rFonts w:ascii="Arial" w:eastAsiaTheme="minorEastAsia" w:hAnsi="Arial" w:cs="Arial"/>
                <w:lang w:val="en-US"/>
              </w:rPr>
            </w:pPr>
            <w:r w:rsidRPr="00120CC6">
              <w:rPr>
                <w:rFonts w:ascii="Arial" w:eastAsiaTheme="minorEastAsia" w:hAnsi="Arial" w:cs="Arial"/>
                <w:lang w:val="en-US"/>
              </w:rPr>
              <w:t>SC5314</w:t>
            </w:r>
          </w:p>
        </w:tc>
        <w:tc>
          <w:tcPr>
            <w:tcW w:w="1418" w:type="dxa"/>
          </w:tcPr>
          <w:p w14:paraId="20DE62D4" w14:textId="44C69EA1" w:rsidR="00DC6BF3" w:rsidRPr="00120CC6" w:rsidRDefault="00DC6BF3" w:rsidP="00DC6BF3">
            <w:pPr>
              <w:jc w:val="both"/>
              <w:rPr>
                <w:rFonts w:ascii="Arial" w:hAnsi="Arial" w:cs="Arial"/>
              </w:rPr>
            </w:pPr>
            <w:r w:rsidRPr="00120CC6">
              <w:rPr>
                <w:rFonts w:ascii="Arial" w:hAnsi="Arial" w:cs="Arial"/>
              </w:rPr>
              <w:t>CaLC155</w:t>
            </w:r>
          </w:p>
        </w:tc>
        <w:tc>
          <w:tcPr>
            <w:tcW w:w="1485" w:type="dxa"/>
          </w:tcPr>
          <w:p w14:paraId="0E822740" w14:textId="77777777" w:rsidR="00DC6BF3" w:rsidRPr="00120CC6" w:rsidRDefault="00DC6BF3" w:rsidP="00DC6BF3">
            <w:pPr>
              <w:jc w:val="both"/>
              <w:rPr>
                <w:rFonts w:ascii="Arial" w:hAnsi="Arial" w:cs="Arial"/>
                <w:i/>
                <w:iCs/>
              </w:rPr>
            </w:pPr>
            <w:r w:rsidRPr="00120CC6">
              <w:rPr>
                <w:rFonts w:ascii="Arial" w:hAnsi="Arial" w:cs="Arial"/>
                <w:i/>
                <w:iCs/>
              </w:rPr>
              <w:t>C. albicans</w:t>
            </w:r>
          </w:p>
        </w:tc>
        <w:tc>
          <w:tcPr>
            <w:tcW w:w="3056" w:type="dxa"/>
          </w:tcPr>
          <w:p w14:paraId="322879A0" w14:textId="5BD8E424" w:rsidR="00DC6BF3" w:rsidRPr="00120CC6" w:rsidRDefault="00DC6BF3" w:rsidP="00DC6BF3">
            <w:pPr>
              <w:rPr>
                <w:rFonts w:ascii="Arial" w:hAnsi="Arial" w:cs="Arial"/>
              </w:rPr>
            </w:pPr>
            <w:r w:rsidRPr="00120CC6">
              <w:rPr>
                <w:rFonts w:ascii="Arial" w:hAnsi="Arial" w:cs="Arial"/>
              </w:rPr>
              <w:t xml:space="preserve">Prototrophic </w:t>
            </w:r>
          </w:p>
        </w:tc>
        <w:tc>
          <w:tcPr>
            <w:tcW w:w="1129" w:type="dxa"/>
          </w:tcPr>
          <w:p w14:paraId="55CEAB84" w14:textId="678BB3C9" w:rsidR="00DC6BF3" w:rsidRPr="00120CC6" w:rsidRDefault="00DC6BF3" w:rsidP="00DC6BF3">
            <w:pPr>
              <w:jc w:val="both"/>
              <w:rPr>
                <w:rFonts w:ascii="Arial" w:hAnsi="Arial" w:cs="Arial"/>
              </w:rPr>
            </w:pPr>
            <w:r w:rsidRPr="00120CC6">
              <w:rPr>
                <w:rFonts w:ascii="Arial" w:hAnsi="Arial" w:cs="Arial"/>
              </w:rPr>
              <w:fldChar w:fldCharType="begin" w:fldLock="1"/>
            </w:r>
            <w:r w:rsidRPr="00120CC6">
              <w:rPr>
                <w:rFonts w:ascii="Arial" w:hAnsi="Arial" w:cs="Arial"/>
              </w:rPr>
              <w:instrText>ADDIN CSL_CITATION {"citationItems":[{"id":"ITEM-1","itemData":{"DOI":"10.1073/pnas.0401648101","ISSN":"00278424","PMID":"15123810","abstract":"We present the diploid genome sequence of the fungal pathogen Candida albicans. Because C. albicans has no known haploid or homozygous form, sequencing was performed as a whole-genome shotgun of the heterozygous diploid genome in strain SC5314, a clinical isolate that is the parent of strains widely used for molecular analysis. We developed computational methods to assemble a diploid genome sequence in good agreement with available physical mapping data. We provide a whole-genome description of heterozygosity in the organism. Comparative genomic analyses provide important clues about the evolution of the species and its mechanisms of pathogenesis.","author":[{"dropping-particle":"","family":"Jones","given":"Ted","non-dropping-particle":"","parse-names":false,"suffix":""},{"dropping-particle":"","family":"Federspiel","given":"Nancy A.","non-dropping-particle":"","parse-names":false,"suffix":""},{"dropping-particle":"","family":"Chibana","given":"Hiroji","non-dropping-particle":"","parse-names":false,"suffix":""},{"dropping-particle":"","family":"Dungan","given":"Jan","non-dropping-particle":"","parse-names":false,"suffix":""},{"dropping-particle":"","family":"Kalman","given":"Sue","non-dropping-particle":"","parse-names":false,"suffix":""},{"dropping-particle":"","family":"Magee","given":"B. B.","non-dropping-particle":"","parse-names":false,"suffix":""},{"dropping-particle":"","family":"Newport","given":"George","non-dropping-particle":"","parse-names":false,"suffix":""},{"dropping-particle":"","family":"Thorstenson","given":"Yvonne R.","non-dropping-particle":"","parse-names":false,"suffix":""},{"dropping-particle":"","family":"Agabian","given":"Nina","non-dropping-particle":"","parse-names":false,"suffix":""},{"dropping-particle":"","family":"Magee","given":"P. T.","non-dropping-particle":"","parse-names":false,"suffix":""},{"dropping-particle":"","family":"Davis","given":"Ronald W.","non-dropping-particle":"","parse-names":false,"suffix":""},{"dropping-particle":"","family":"Scherer","given":"Stewart","non-dropping-particle":"","parse-names":false,"suffix":""}],"container-title":"Proceedings of the National Academy of Sciences of the United States of America","id":"ITEM-1","issue":"19","issued":{"date-parts":[["2004"]]},"page":"7329-7334","title":"The diploid genome sequence of Candida albicans","type":"article-journal","volume":"101"},"uris":["http://www.mendeley.com/documents/?uuid=cb588e06-9668-420d-a13e-2e91275e4156"]}],"mendeley":{"formattedCitation":"&lt;sup&gt;5&lt;/sup&gt;","plainTextFormattedCitation":"5","previouslyFormattedCitation":"&lt;sup&gt;13&lt;/sup&gt;"},"properties":{"noteIndex":0},"schema":"https://github.com/citation-style-language/schema/raw/master/csl-citation.json"}</w:instrText>
            </w:r>
            <w:r w:rsidRPr="00120CC6">
              <w:rPr>
                <w:rFonts w:ascii="Arial" w:hAnsi="Arial" w:cs="Arial"/>
              </w:rPr>
              <w:fldChar w:fldCharType="separate"/>
            </w:r>
            <w:r w:rsidRPr="00120CC6">
              <w:rPr>
                <w:rFonts w:ascii="Arial" w:hAnsi="Arial" w:cs="Arial"/>
                <w:noProof/>
                <w:vertAlign w:val="superscript"/>
              </w:rPr>
              <w:t>5</w:t>
            </w:r>
            <w:r w:rsidRPr="00120CC6">
              <w:rPr>
                <w:rFonts w:ascii="Arial" w:hAnsi="Arial" w:cs="Arial"/>
              </w:rPr>
              <w:fldChar w:fldCharType="end"/>
            </w:r>
          </w:p>
        </w:tc>
      </w:tr>
      <w:tr w:rsidR="005520CB" w:rsidRPr="00120CC6" w14:paraId="7B12915E" w14:textId="77777777" w:rsidTr="310C222D">
        <w:tc>
          <w:tcPr>
            <w:tcW w:w="2405" w:type="dxa"/>
          </w:tcPr>
          <w:p w14:paraId="0E61371E" w14:textId="334AFEA1" w:rsidR="005520CB" w:rsidRPr="00120CC6" w:rsidRDefault="005520CB" w:rsidP="00DC6BF3">
            <w:pPr>
              <w:rPr>
                <w:rFonts w:ascii="Arial" w:eastAsiaTheme="minorEastAsia" w:hAnsi="Arial" w:cs="Arial"/>
                <w:lang w:val="en-US"/>
              </w:rPr>
            </w:pPr>
            <w:r w:rsidRPr="00120CC6">
              <w:rPr>
                <w:rFonts w:ascii="Arial" w:hAnsi="Arial" w:cs="Arial"/>
                <w:i/>
                <w:iCs/>
              </w:rPr>
              <w:t>pTEF1-GFP</w:t>
            </w:r>
          </w:p>
        </w:tc>
        <w:tc>
          <w:tcPr>
            <w:tcW w:w="1418" w:type="dxa"/>
          </w:tcPr>
          <w:p w14:paraId="428C3F82" w14:textId="58B83570" w:rsidR="005520CB" w:rsidRPr="00120CC6" w:rsidRDefault="61E37331" w:rsidP="00DC6BF3">
            <w:pPr>
              <w:jc w:val="both"/>
              <w:rPr>
                <w:rFonts w:ascii="Arial" w:hAnsi="Arial" w:cs="Arial"/>
              </w:rPr>
            </w:pPr>
            <w:r w:rsidRPr="00120CC6">
              <w:rPr>
                <w:rFonts w:ascii="Arial" w:hAnsi="Arial" w:cs="Arial"/>
              </w:rPr>
              <w:t>CaLC8737</w:t>
            </w:r>
          </w:p>
        </w:tc>
        <w:tc>
          <w:tcPr>
            <w:tcW w:w="1485" w:type="dxa"/>
          </w:tcPr>
          <w:p w14:paraId="196D2E41" w14:textId="7CDF1BFF" w:rsidR="005520CB" w:rsidRPr="00120CC6" w:rsidRDefault="005520CB" w:rsidP="00DC6BF3">
            <w:pPr>
              <w:jc w:val="both"/>
              <w:rPr>
                <w:rFonts w:ascii="Arial" w:hAnsi="Arial" w:cs="Arial"/>
                <w:i/>
                <w:iCs/>
              </w:rPr>
            </w:pPr>
            <w:r w:rsidRPr="00120CC6">
              <w:rPr>
                <w:rFonts w:ascii="Arial" w:hAnsi="Arial" w:cs="Arial"/>
                <w:i/>
                <w:iCs/>
              </w:rPr>
              <w:t>C. albicans</w:t>
            </w:r>
          </w:p>
        </w:tc>
        <w:tc>
          <w:tcPr>
            <w:tcW w:w="3056" w:type="dxa"/>
          </w:tcPr>
          <w:p w14:paraId="0C9426CB" w14:textId="1A69D194" w:rsidR="005520CB" w:rsidRPr="00120CC6" w:rsidRDefault="310C222D" w:rsidP="310C222D">
            <w:pPr>
              <w:rPr>
                <w:rFonts w:ascii="Arial" w:hAnsi="Arial" w:cs="Arial"/>
              </w:rPr>
            </w:pPr>
            <w:r w:rsidRPr="00120CC6">
              <w:rPr>
                <w:rFonts w:ascii="Arial" w:hAnsi="Arial" w:cs="Arial"/>
                <w:i/>
                <w:iCs/>
              </w:rPr>
              <w:t>SC5314 RPS</w:t>
            </w:r>
            <w:proofErr w:type="gramStart"/>
            <w:r w:rsidRPr="00120CC6">
              <w:rPr>
                <w:rFonts w:ascii="Arial" w:hAnsi="Arial" w:cs="Arial"/>
                <w:i/>
                <w:iCs/>
              </w:rPr>
              <w:t>10::</w:t>
            </w:r>
            <w:proofErr w:type="gramEnd"/>
            <w:r w:rsidRPr="00120CC6">
              <w:rPr>
                <w:rFonts w:ascii="Arial" w:hAnsi="Arial" w:cs="Arial"/>
                <w:i/>
                <w:iCs/>
              </w:rPr>
              <w:t>pTEF1-GFP-</w:t>
            </w:r>
            <w:r w:rsidRPr="00120CC6">
              <w:rPr>
                <w:rFonts w:ascii="Arial" w:hAnsi="Arial" w:cs="Arial"/>
              </w:rPr>
              <w:t>SAT1</w:t>
            </w:r>
            <w:r w:rsidRPr="00120CC6">
              <w:rPr>
                <w:rFonts w:ascii="Arial" w:hAnsi="Arial" w:cs="Arial"/>
                <w:i/>
                <w:iCs/>
              </w:rPr>
              <w:t>/RPS10</w:t>
            </w:r>
          </w:p>
        </w:tc>
        <w:tc>
          <w:tcPr>
            <w:tcW w:w="1129" w:type="dxa"/>
          </w:tcPr>
          <w:p w14:paraId="2AA0EF8C" w14:textId="3A78092D" w:rsidR="005520CB" w:rsidRPr="00120CC6" w:rsidRDefault="61E37331" w:rsidP="00DC6BF3">
            <w:pPr>
              <w:jc w:val="both"/>
              <w:rPr>
                <w:rFonts w:ascii="Arial" w:hAnsi="Arial" w:cs="Arial"/>
              </w:rPr>
            </w:pPr>
            <w:r w:rsidRPr="00120CC6">
              <w:rPr>
                <w:rFonts w:ascii="Arial" w:hAnsi="Arial" w:cs="Arial"/>
              </w:rPr>
              <w:t>This paper</w:t>
            </w:r>
          </w:p>
        </w:tc>
      </w:tr>
    </w:tbl>
    <w:p w14:paraId="58BF22C7" w14:textId="77777777" w:rsidR="009C3F74" w:rsidRPr="00120CC6" w:rsidRDefault="009C3F74" w:rsidP="009C3F74">
      <w:pPr>
        <w:spacing w:line="360" w:lineRule="auto"/>
        <w:rPr>
          <w:rFonts w:ascii="Arial" w:hAnsi="Arial" w:cs="Arial"/>
          <w:highlight w:val="yellow"/>
        </w:rPr>
      </w:pPr>
    </w:p>
    <w:p w14:paraId="0ADA97CC" w14:textId="77777777" w:rsidR="00DC6BF3" w:rsidRPr="005F1993" w:rsidRDefault="00DC6BF3" w:rsidP="009C3F74">
      <w:pPr>
        <w:jc w:val="both"/>
        <w:rPr>
          <w:rFonts w:ascii="Arial" w:hAnsi="Arial" w:cs="Arial"/>
          <w:sz w:val="22"/>
          <w:szCs w:val="22"/>
        </w:rPr>
      </w:pPr>
    </w:p>
    <w:p w14:paraId="4D3ECA72" w14:textId="53BB50B8" w:rsidR="009C3F74" w:rsidRPr="005F1993" w:rsidRDefault="00DC6BF3" w:rsidP="00DC6BF3">
      <w:pPr>
        <w:jc w:val="both"/>
        <w:rPr>
          <w:rFonts w:ascii="Arial" w:hAnsi="Arial" w:cs="Arial"/>
          <w:b/>
          <w:bCs/>
          <w:sz w:val="22"/>
          <w:szCs w:val="22"/>
        </w:rPr>
      </w:pPr>
      <w:r w:rsidRPr="005F1993">
        <w:rPr>
          <w:rFonts w:ascii="Arial" w:hAnsi="Arial" w:cs="Arial"/>
          <w:b/>
          <w:bCs/>
          <w:sz w:val="22"/>
          <w:szCs w:val="22"/>
        </w:rPr>
        <w:t xml:space="preserve">References </w:t>
      </w:r>
    </w:p>
    <w:p w14:paraId="6779187F" w14:textId="663E6FAB" w:rsidR="00DC6BF3" w:rsidRPr="005F1993" w:rsidRDefault="00DC6BF3" w:rsidP="00DC6BF3">
      <w:pPr>
        <w:widowControl w:val="0"/>
        <w:autoSpaceDE w:val="0"/>
        <w:autoSpaceDN w:val="0"/>
        <w:adjustRightInd w:val="0"/>
        <w:ind w:left="640" w:hanging="640"/>
        <w:jc w:val="both"/>
        <w:rPr>
          <w:rFonts w:ascii="Arial" w:hAnsi="Arial" w:cs="Arial"/>
          <w:noProof/>
          <w:lang w:val="en-US"/>
        </w:rPr>
      </w:pPr>
      <w:r w:rsidRPr="005F1993">
        <w:rPr>
          <w:rFonts w:ascii="Arial" w:hAnsi="Arial" w:cs="Arial"/>
        </w:rPr>
        <w:fldChar w:fldCharType="begin" w:fldLock="1"/>
      </w:r>
      <w:r w:rsidRPr="005F1993">
        <w:rPr>
          <w:rFonts w:ascii="Arial" w:hAnsi="Arial" w:cs="Arial"/>
        </w:rPr>
        <w:instrText xml:space="preserve">ADDIN Mendeley Bibliography CSL_BIBLIOGRAPHY </w:instrText>
      </w:r>
      <w:r w:rsidRPr="005F1993">
        <w:rPr>
          <w:rFonts w:ascii="Arial" w:hAnsi="Arial" w:cs="Arial"/>
        </w:rPr>
        <w:fldChar w:fldCharType="separate"/>
      </w:r>
      <w:r w:rsidRPr="005F1993">
        <w:rPr>
          <w:rFonts w:ascii="Arial" w:hAnsi="Arial" w:cs="Arial"/>
          <w:noProof/>
          <w:lang w:val="en-US"/>
        </w:rPr>
        <w:t xml:space="preserve">1. </w:t>
      </w:r>
      <w:r w:rsidRPr="005F1993">
        <w:rPr>
          <w:rFonts w:ascii="Arial" w:hAnsi="Arial" w:cs="Arial"/>
          <w:noProof/>
          <w:lang w:val="en-US"/>
        </w:rPr>
        <w:tab/>
        <w:t xml:space="preserve">Roemer T, Jiang B, Davison J, et al. Large-scale essential gene identification in Candida albicans and applications to antifungal drug discovery. </w:t>
      </w:r>
      <w:r w:rsidRPr="005F1993">
        <w:rPr>
          <w:rFonts w:ascii="Arial" w:hAnsi="Arial" w:cs="Arial"/>
          <w:i/>
          <w:iCs/>
          <w:noProof/>
          <w:lang w:val="en-US"/>
        </w:rPr>
        <w:t>Mol Microbiol</w:t>
      </w:r>
      <w:r w:rsidRPr="005F1993">
        <w:rPr>
          <w:rFonts w:ascii="Arial" w:hAnsi="Arial" w:cs="Arial"/>
          <w:noProof/>
          <w:lang w:val="en-US"/>
        </w:rPr>
        <w:t>. 2003;50(1):167-181. doi:10.1046/j.1365-2958.2003.03697.x</w:t>
      </w:r>
    </w:p>
    <w:p w14:paraId="2BADB9E6" w14:textId="77777777" w:rsidR="00DC6BF3" w:rsidRPr="005F1993" w:rsidRDefault="00DC6BF3" w:rsidP="00DC6BF3">
      <w:pPr>
        <w:widowControl w:val="0"/>
        <w:autoSpaceDE w:val="0"/>
        <w:autoSpaceDN w:val="0"/>
        <w:adjustRightInd w:val="0"/>
        <w:ind w:left="640" w:hanging="640"/>
        <w:jc w:val="both"/>
        <w:rPr>
          <w:rFonts w:ascii="Arial" w:hAnsi="Arial" w:cs="Arial"/>
          <w:noProof/>
          <w:lang w:val="en-US"/>
        </w:rPr>
      </w:pPr>
      <w:r w:rsidRPr="005F1993">
        <w:rPr>
          <w:rFonts w:ascii="Arial" w:hAnsi="Arial" w:cs="Arial"/>
          <w:noProof/>
          <w:lang w:val="en-US"/>
        </w:rPr>
        <w:t xml:space="preserve">2. </w:t>
      </w:r>
      <w:r w:rsidRPr="005F1993">
        <w:rPr>
          <w:rFonts w:ascii="Arial" w:hAnsi="Arial" w:cs="Arial"/>
          <w:noProof/>
          <w:lang w:val="en-US"/>
        </w:rPr>
        <w:tab/>
        <w:t xml:space="preserve">Fu C, Zhang X, Veri AO, et al. Leveraging machine learning essentiality predictions and chemogenomic interactions to identify antifungal targets. </w:t>
      </w:r>
      <w:r w:rsidRPr="005F1993">
        <w:rPr>
          <w:rFonts w:ascii="Arial" w:hAnsi="Arial" w:cs="Arial"/>
          <w:i/>
          <w:iCs/>
          <w:noProof/>
          <w:lang w:val="en-US"/>
        </w:rPr>
        <w:t>Nat Commun</w:t>
      </w:r>
      <w:r w:rsidRPr="005F1993">
        <w:rPr>
          <w:rFonts w:ascii="Arial" w:hAnsi="Arial" w:cs="Arial"/>
          <w:noProof/>
          <w:lang w:val="en-US"/>
        </w:rPr>
        <w:t>. 2021;12(1):6497. doi:10.1038/s41467-021-26850-3</w:t>
      </w:r>
    </w:p>
    <w:p w14:paraId="42C16666" w14:textId="63D97FC3" w:rsidR="00DC6BF3" w:rsidRPr="005F1993" w:rsidRDefault="00DC6BF3" w:rsidP="00DC6BF3">
      <w:pPr>
        <w:widowControl w:val="0"/>
        <w:autoSpaceDE w:val="0"/>
        <w:autoSpaceDN w:val="0"/>
        <w:adjustRightInd w:val="0"/>
        <w:ind w:left="640" w:hanging="640"/>
        <w:jc w:val="both"/>
        <w:rPr>
          <w:rFonts w:ascii="Arial" w:hAnsi="Arial" w:cs="Arial"/>
          <w:noProof/>
          <w:lang w:val="en-US"/>
        </w:rPr>
      </w:pPr>
      <w:r w:rsidRPr="005F1993">
        <w:rPr>
          <w:rFonts w:ascii="Arial" w:hAnsi="Arial" w:cs="Arial"/>
          <w:noProof/>
          <w:lang w:val="en-US"/>
        </w:rPr>
        <w:t xml:space="preserve">3. </w:t>
      </w:r>
      <w:r w:rsidRPr="005F1993">
        <w:rPr>
          <w:rFonts w:ascii="Arial" w:hAnsi="Arial" w:cs="Arial"/>
          <w:noProof/>
          <w:lang w:val="en-US"/>
        </w:rPr>
        <w:tab/>
        <w:t xml:space="preserve">Singh SD, Robbins N, Zaas AK, Schell WA, Perfect JR, Cowen LE. Hsp90 </w:t>
      </w:r>
      <w:r w:rsidR="005F1993" w:rsidRPr="005F1993">
        <w:rPr>
          <w:rFonts w:ascii="Arial" w:hAnsi="Arial" w:cs="Arial"/>
          <w:noProof/>
          <w:lang w:val="en-US"/>
        </w:rPr>
        <w:t>governs echinocandin resistance in the pathogenic yeast</w:t>
      </w:r>
      <w:r w:rsidRPr="005F1993">
        <w:rPr>
          <w:rFonts w:ascii="Arial" w:hAnsi="Arial" w:cs="Arial"/>
          <w:i/>
          <w:iCs/>
          <w:noProof/>
          <w:lang w:val="en-US"/>
        </w:rPr>
        <w:t xml:space="preserve"> Candida albicans</w:t>
      </w:r>
      <w:r w:rsidRPr="005F1993">
        <w:rPr>
          <w:rFonts w:ascii="Arial" w:hAnsi="Arial" w:cs="Arial"/>
          <w:noProof/>
          <w:lang w:val="en-US"/>
        </w:rPr>
        <w:t xml:space="preserve"> via </w:t>
      </w:r>
      <w:r w:rsidR="005F1993">
        <w:rPr>
          <w:rFonts w:ascii="Arial" w:hAnsi="Arial" w:cs="Arial"/>
          <w:noProof/>
          <w:lang w:val="en-US"/>
        </w:rPr>
        <w:t>c</w:t>
      </w:r>
      <w:r w:rsidRPr="005F1993">
        <w:rPr>
          <w:rFonts w:ascii="Arial" w:hAnsi="Arial" w:cs="Arial"/>
          <w:noProof/>
          <w:lang w:val="en-US"/>
        </w:rPr>
        <w:t xml:space="preserve">alcineurin. Mitchell AP, ed. </w:t>
      </w:r>
      <w:r w:rsidRPr="005F1993">
        <w:rPr>
          <w:rFonts w:ascii="Arial" w:hAnsi="Arial" w:cs="Arial"/>
          <w:i/>
          <w:iCs/>
          <w:noProof/>
          <w:lang w:val="en-US"/>
        </w:rPr>
        <w:t>PLoS Pathog</w:t>
      </w:r>
      <w:r w:rsidRPr="005F1993">
        <w:rPr>
          <w:rFonts w:ascii="Arial" w:hAnsi="Arial" w:cs="Arial"/>
          <w:noProof/>
          <w:lang w:val="en-US"/>
        </w:rPr>
        <w:t>. 2009;5(7):e1000532. doi:10.1371/journal.ppat.1000532</w:t>
      </w:r>
    </w:p>
    <w:p w14:paraId="10823997" w14:textId="77777777" w:rsidR="00DC6BF3" w:rsidRPr="005F1993" w:rsidRDefault="00DC6BF3" w:rsidP="00DC6BF3">
      <w:pPr>
        <w:widowControl w:val="0"/>
        <w:autoSpaceDE w:val="0"/>
        <w:autoSpaceDN w:val="0"/>
        <w:adjustRightInd w:val="0"/>
        <w:ind w:left="640" w:hanging="640"/>
        <w:jc w:val="both"/>
        <w:rPr>
          <w:rFonts w:ascii="Arial" w:hAnsi="Arial" w:cs="Arial"/>
          <w:noProof/>
          <w:lang w:val="en-US"/>
        </w:rPr>
      </w:pPr>
      <w:r w:rsidRPr="005F1993">
        <w:rPr>
          <w:rFonts w:ascii="Arial" w:hAnsi="Arial" w:cs="Arial"/>
          <w:noProof/>
          <w:lang w:val="en-US"/>
        </w:rPr>
        <w:t xml:space="preserve">4. </w:t>
      </w:r>
      <w:r w:rsidRPr="005F1993">
        <w:rPr>
          <w:rFonts w:ascii="Arial" w:hAnsi="Arial" w:cs="Arial"/>
          <w:noProof/>
          <w:lang w:val="en-US"/>
        </w:rPr>
        <w:tab/>
        <w:t xml:space="preserve">Caplan T, Lorente-Macías Á, Stogios PJ, et al. Overcoming fungal echinocandin resistance through inhibition of the non-essential stress kinase Yck2. </w:t>
      </w:r>
      <w:r w:rsidRPr="005F1993">
        <w:rPr>
          <w:rFonts w:ascii="Arial" w:hAnsi="Arial" w:cs="Arial"/>
          <w:i/>
          <w:iCs/>
          <w:noProof/>
          <w:lang w:val="en-US"/>
        </w:rPr>
        <w:t>Cell Chem Biol</w:t>
      </w:r>
      <w:r w:rsidRPr="005F1993">
        <w:rPr>
          <w:rFonts w:ascii="Arial" w:hAnsi="Arial" w:cs="Arial"/>
          <w:noProof/>
          <w:lang w:val="en-US"/>
        </w:rPr>
        <w:t>. 2020;27(3):269-282.e5. doi:10.1016/j.chembiol.2019.12.008</w:t>
      </w:r>
    </w:p>
    <w:p w14:paraId="6EE803DC" w14:textId="77777777" w:rsidR="00DC6BF3" w:rsidRPr="005F1993" w:rsidRDefault="00DC6BF3" w:rsidP="00DC6BF3">
      <w:pPr>
        <w:widowControl w:val="0"/>
        <w:autoSpaceDE w:val="0"/>
        <w:autoSpaceDN w:val="0"/>
        <w:adjustRightInd w:val="0"/>
        <w:ind w:left="640" w:hanging="640"/>
        <w:jc w:val="both"/>
        <w:rPr>
          <w:rFonts w:ascii="Arial" w:hAnsi="Arial" w:cs="Arial"/>
          <w:noProof/>
        </w:rPr>
      </w:pPr>
      <w:r w:rsidRPr="005F1993">
        <w:rPr>
          <w:rFonts w:ascii="Arial" w:hAnsi="Arial" w:cs="Arial"/>
          <w:noProof/>
          <w:lang w:val="en-US"/>
        </w:rPr>
        <w:t xml:space="preserve">5. </w:t>
      </w:r>
      <w:r w:rsidRPr="005F1993">
        <w:rPr>
          <w:rFonts w:ascii="Arial" w:hAnsi="Arial" w:cs="Arial"/>
          <w:noProof/>
          <w:lang w:val="en-US"/>
        </w:rPr>
        <w:tab/>
        <w:t xml:space="preserve">Jones T, Federspiel NA, Chibana H, et al. The diploid genome sequence of </w:t>
      </w:r>
      <w:r w:rsidRPr="005F1993">
        <w:rPr>
          <w:rFonts w:ascii="Arial" w:hAnsi="Arial" w:cs="Arial"/>
          <w:i/>
          <w:iCs/>
          <w:noProof/>
          <w:lang w:val="en-US"/>
        </w:rPr>
        <w:t>Candida albicans</w:t>
      </w:r>
      <w:r w:rsidRPr="005F1993">
        <w:rPr>
          <w:rFonts w:ascii="Arial" w:hAnsi="Arial" w:cs="Arial"/>
          <w:noProof/>
          <w:lang w:val="en-US"/>
        </w:rPr>
        <w:t xml:space="preserve">. </w:t>
      </w:r>
      <w:r w:rsidRPr="005F1993">
        <w:rPr>
          <w:rFonts w:ascii="Arial" w:hAnsi="Arial" w:cs="Arial"/>
          <w:i/>
          <w:iCs/>
          <w:noProof/>
          <w:lang w:val="en-US"/>
        </w:rPr>
        <w:t>Proc Natl Acad Sci U S A</w:t>
      </w:r>
      <w:r w:rsidRPr="005F1993">
        <w:rPr>
          <w:rFonts w:ascii="Arial" w:hAnsi="Arial" w:cs="Arial"/>
          <w:noProof/>
          <w:lang w:val="en-US"/>
        </w:rPr>
        <w:t>. 2004;101(19):7329-7334. doi:10.1073/pnas.0401648101</w:t>
      </w:r>
    </w:p>
    <w:p w14:paraId="10245558" w14:textId="55E8FCFE" w:rsidR="00DC6BF3" w:rsidRDefault="00DC6BF3" w:rsidP="00DC6BF3">
      <w:pPr>
        <w:jc w:val="both"/>
      </w:pPr>
      <w:r w:rsidRPr="005F1993">
        <w:rPr>
          <w:rFonts w:ascii="Arial" w:hAnsi="Arial" w:cs="Arial"/>
        </w:rPr>
        <w:fldChar w:fldCharType="end"/>
      </w:r>
    </w:p>
    <w:sectPr w:rsidR="00DC6BF3" w:rsidSect="00412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74"/>
    <w:rsid w:val="00112547"/>
    <w:rsid w:val="00120CC6"/>
    <w:rsid w:val="00144C2C"/>
    <w:rsid w:val="00240C6E"/>
    <w:rsid w:val="002C461A"/>
    <w:rsid w:val="00315033"/>
    <w:rsid w:val="00372386"/>
    <w:rsid w:val="00412D15"/>
    <w:rsid w:val="00456713"/>
    <w:rsid w:val="00485CCE"/>
    <w:rsid w:val="00494FC8"/>
    <w:rsid w:val="005520CB"/>
    <w:rsid w:val="005F1993"/>
    <w:rsid w:val="006A7F62"/>
    <w:rsid w:val="00707C47"/>
    <w:rsid w:val="00720073"/>
    <w:rsid w:val="00737732"/>
    <w:rsid w:val="007C0B39"/>
    <w:rsid w:val="007E48C1"/>
    <w:rsid w:val="0084665A"/>
    <w:rsid w:val="00866F30"/>
    <w:rsid w:val="008D26ED"/>
    <w:rsid w:val="009B00CB"/>
    <w:rsid w:val="009C3F74"/>
    <w:rsid w:val="009C4CF5"/>
    <w:rsid w:val="00A167E7"/>
    <w:rsid w:val="00B45672"/>
    <w:rsid w:val="00BB2AFF"/>
    <w:rsid w:val="00BB34E4"/>
    <w:rsid w:val="00C533DE"/>
    <w:rsid w:val="00CE2513"/>
    <w:rsid w:val="00DC6BF3"/>
    <w:rsid w:val="00DE49C9"/>
    <w:rsid w:val="00E42DC8"/>
    <w:rsid w:val="00EA6019"/>
    <w:rsid w:val="00EB354A"/>
    <w:rsid w:val="00ED5662"/>
    <w:rsid w:val="00F4504D"/>
    <w:rsid w:val="00F76C76"/>
    <w:rsid w:val="00FC2CD6"/>
    <w:rsid w:val="30E21F4A"/>
    <w:rsid w:val="310C222D"/>
    <w:rsid w:val="61E373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7E02"/>
  <w15:chartTrackingRefBased/>
  <w15:docId w15:val="{420EC1B6-1B27-8641-B999-30A43D10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F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F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F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F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F74"/>
    <w:rPr>
      <w:rFonts w:eastAsiaTheme="majorEastAsia" w:cstheme="majorBidi"/>
      <w:color w:val="272727" w:themeColor="text1" w:themeTint="D8"/>
    </w:rPr>
  </w:style>
  <w:style w:type="paragraph" w:styleId="Title">
    <w:name w:val="Title"/>
    <w:basedOn w:val="Normal"/>
    <w:next w:val="Normal"/>
    <w:link w:val="TitleChar"/>
    <w:uiPriority w:val="10"/>
    <w:qFormat/>
    <w:rsid w:val="009C3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F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3F74"/>
    <w:rPr>
      <w:i/>
      <w:iCs/>
      <w:color w:val="404040" w:themeColor="text1" w:themeTint="BF"/>
    </w:rPr>
  </w:style>
  <w:style w:type="paragraph" w:styleId="ListParagraph">
    <w:name w:val="List Paragraph"/>
    <w:basedOn w:val="Normal"/>
    <w:uiPriority w:val="34"/>
    <w:qFormat/>
    <w:rsid w:val="009C3F74"/>
    <w:pPr>
      <w:ind w:left="720"/>
      <w:contextualSpacing/>
    </w:pPr>
  </w:style>
  <w:style w:type="character" w:styleId="IntenseEmphasis">
    <w:name w:val="Intense Emphasis"/>
    <w:basedOn w:val="DefaultParagraphFont"/>
    <w:uiPriority w:val="21"/>
    <w:qFormat/>
    <w:rsid w:val="009C3F74"/>
    <w:rPr>
      <w:i/>
      <w:iCs/>
      <w:color w:val="0F4761" w:themeColor="accent1" w:themeShade="BF"/>
    </w:rPr>
  </w:style>
  <w:style w:type="paragraph" w:styleId="IntenseQuote">
    <w:name w:val="Intense Quote"/>
    <w:basedOn w:val="Normal"/>
    <w:next w:val="Normal"/>
    <w:link w:val="IntenseQuoteChar"/>
    <w:uiPriority w:val="30"/>
    <w:qFormat/>
    <w:rsid w:val="009C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F74"/>
    <w:rPr>
      <w:i/>
      <w:iCs/>
      <w:color w:val="0F4761" w:themeColor="accent1" w:themeShade="BF"/>
    </w:rPr>
  </w:style>
  <w:style w:type="character" w:styleId="IntenseReference">
    <w:name w:val="Intense Reference"/>
    <w:basedOn w:val="DefaultParagraphFont"/>
    <w:uiPriority w:val="32"/>
    <w:qFormat/>
    <w:rsid w:val="009C3F74"/>
    <w:rPr>
      <w:b/>
      <w:bCs/>
      <w:smallCaps/>
      <w:color w:val="0F4761" w:themeColor="accent1" w:themeShade="BF"/>
      <w:spacing w:val="5"/>
    </w:rPr>
  </w:style>
  <w:style w:type="paragraph" w:styleId="NormalWeb">
    <w:name w:val="Normal (Web)"/>
    <w:basedOn w:val="Normal"/>
    <w:uiPriority w:val="99"/>
    <w:unhideWhenUsed/>
    <w:rsid w:val="009C3F7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C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E44F-F7AA-FE4B-9A47-7F8B8FE8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.~WRD0003</Template>
  <TotalTime>0</TotalTime>
  <Pages>3</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Puumala</dc:creator>
  <cp:keywords/>
  <dc:description/>
  <cp:lastModifiedBy>Nicole Robbins</cp:lastModifiedBy>
  <cp:revision>2</cp:revision>
  <dcterms:created xsi:type="dcterms:W3CDTF">2024-11-20T14:53:00Z</dcterms:created>
  <dcterms:modified xsi:type="dcterms:W3CDTF">2024-11-20T14:53:00Z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65dcb512-d663-379c-ae4d-2618e15d093b</vt:lpwstr>
  </property>
  <property fmtid="{D5CDD505-2E9C-101B-9397-08002B2CF9AE}" pid="24" name="Mendeley Citation Style_1">
    <vt:lpwstr>http://www.zotero.org/styles/american-medical-association</vt:lpwstr>
  </property>
</Properties>
</file>