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C812B" w14:textId="77777777" w:rsidR="008A3C03" w:rsidRDefault="008A3C03" w:rsidP="008A3C03">
      <w:pPr>
        <w:pStyle w:val="Heading1"/>
        <w:spacing w:after="160" w:line="360" w:lineRule="auto"/>
        <w:jc w:val="both"/>
        <w:rPr>
          <w:rFonts w:ascii="Times New Roman" w:eastAsia="Times New Roman" w:hAnsi="Times New Roman" w:cs="Times New Roman"/>
        </w:rPr>
      </w:pPr>
      <w:r>
        <w:rPr>
          <w:rFonts w:ascii="Times New Roman" w:eastAsia="Times New Roman" w:hAnsi="Times New Roman" w:cs="Times New Roman"/>
        </w:rPr>
        <w:t>Supplementary Information</w:t>
      </w:r>
    </w:p>
    <w:p w14:paraId="1E443D5E" w14:textId="77777777" w:rsidR="008A3C03" w:rsidRDefault="008A3C03" w:rsidP="008A3C03">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E91244" wp14:editId="0F6E9AFD">
            <wp:extent cx="5738813" cy="25843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8813" cy="2584305"/>
                    </a:xfrm>
                    <a:prstGeom prst="rect">
                      <a:avLst/>
                    </a:prstGeom>
                    <a:ln/>
                  </pic:spPr>
                </pic:pic>
              </a:graphicData>
            </a:graphic>
          </wp:inline>
        </w:drawing>
      </w:r>
    </w:p>
    <w:p w14:paraId="3AF3049C" w14:textId="28ADF2C0" w:rsidR="008A3C03" w:rsidRDefault="008A3C03" w:rsidP="008A3C03">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S1 </w:t>
      </w:r>
      <w:r>
        <w:rPr>
          <w:rFonts w:ascii="Times New Roman" w:eastAsia="Times New Roman" w:hAnsi="Times New Roman" w:cs="Times New Roman"/>
          <w:sz w:val="24"/>
          <w:szCs w:val="24"/>
        </w:rPr>
        <w:t>Diagram adapt</w:t>
      </w:r>
      <w:r w:rsidR="004C7EA0">
        <w:rPr>
          <w:rFonts w:ascii="Times New Roman" w:eastAsia="Times New Roman" w:hAnsi="Times New Roman" w:cs="Times New Roman"/>
          <w:sz w:val="24"/>
          <w:szCs w:val="24"/>
        </w:rPr>
        <w:t>ed from Aguilar-Peralta et al. (</w:t>
      </w:r>
      <w:r>
        <w:rPr>
          <w:rFonts w:ascii="Times New Roman" w:eastAsia="Times New Roman" w:hAnsi="Times New Roman" w:cs="Times New Roman"/>
          <w:sz w:val="24"/>
          <w:szCs w:val="24"/>
        </w:rPr>
        <w:t>2022</w:t>
      </w:r>
      <w:r w:rsidR="004C7EA0">
        <w:rPr>
          <w:rFonts w:ascii="Times New Roman" w:eastAsia="Times New Roman" w:hAnsi="Times New Roman" w:cs="Times New Roman"/>
          <w:sz w:val="24"/>
          <w:szCs w:val="24"/>
        </w:rPr>
        <w:t>)</w:t>
      </w:r>
      <w:bookmarkStart w:id="0" w:name="_GoBack"/>
      <w:bookmarkEnd w:id="0"/>
      <w:r>
        <w:rPr>
          <w:rFonts w:ascii="Times New Roman" w:eastAsia="Times New Roman" w:hAnsi="Times New Roman" w:cs="Times New Roman"/>
          <w:sz w:val="24"/>
          <w:szCs w:val="24"/>
        </w:rPr>
        <w:t xml:space="preserve"> of the leaf economic spectrum occurring along a spectrum of acquisitive resource use and conservative resource use plant traits. This continuum is environmentally filtered through ecological succession gradients, water availability, and temperature. </w:t>
      </w:r>
    </w:p>
    <w:p w14:paraId="180496C3" w14:textId="77777777" w:rsidR="008A3C03" w:rsidRDefault="008A3C03" w:rsidP="008A3C03">
      <w:pPr>
        <w:spacing w:after="160"/>
        <w:jc w:val="both"/>
        <w:rPr>
          <w:rFonts w:ascii="Times New Roman" w:eastAsia="Times New Roman" w:hAnsi="Times New Roman" w:cs="Times New Roman"/>
          <w:sz w:val="24"/>
          <w:szCs w:val="24"/>
        </w:rPr>
      </w:pPr>
    </w:p>
    <w:p w14:paraId="03187243"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rPr>
        <w:tab/>
      </w:r>
    </w:p>
    <w:p w14:paraId="5BE42963" w14:textId="77777777" w:rsidR="008A3C03" w:rsidRDefault="008A3C03" w:rsidP="008A3C03">
      <w:pPr>
        <w:spacing w:after="160"/>
        <w:jc w:val="both"/>
        <w:rPr>
          <w:rFonts w:ascii="Times New Roman" w:eastAsia="Times New Roman" w:hAnsi="Times New Roman" w:cs="Times New Roman"/>
          <w:b/>
          <w:sz w:val="24"/>
          <w:szCs w:val="24"/>
        </w:rPr>
      </w:pPr>
    </w:p>
    <w:p w14:paraId="5B14ABE2"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13C9F0C" wp14:editId="2DAE5F9C">
            <wp:extent cx="5943600" cy="32131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943600" cy="3213100"/>
                    </a:xfrm>
                    <a:prstGeom prst="rect">
                      <a:avLst/>
                    </a:prstGeom>
                    <a:ln/>
                  </pic:spPr>
                </pic:pic>
              </a:graphicData>
            </a:graphic>
          </wp:inline>
        </w:drawing>
      </w:r>
    </w:p>
    <w:p w14:paraId="4312E3AE" w14:textId="7F127E7A" w:rsidR="008A3C03" w:rsidRDefault="008A3C03" w:rsidP="008A3C03">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S2 Effect of plant traits on species-level specialisation (d</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Model</w:t>
      </w:r>
      <w:r w:rsidR="0006116F">
        <w:rPr>
          <w:rFonts w:ascii="Times New Roman" w:eastAsia="Times New Roman" w:hAnsi="Times New Roman" w:cs="Times New Roman"/>
          <w:sz w:val="24"/>
          <w:szCs w:val="24"/>
        </w:rPr>
        <w:t xml:space="preserve"> results for species-level</w:t>
      </w:r>
      <w:r>
        <w:rPr>
          <w:rFonts w:ascii="Times New Roman" w:eastAsia="Times New Roman" w:hAnsi="Times New Roman" w:cs="Times New Roman"/>
          <w:sz w:val="24"/>
          <w:szCs w:val="24"/>
        </w:rPr>
        <w:t xml:space="preserve"> specialisation (d</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Y axis) as a function of vegetation structure and plant trait variables (X axis: plant area volume density (PAVD) in the lower canopy, saturated assimilation rate (A</w:t>
      </w:r>
      <w:r>
        <w:rPr>
          <w:rFonts w:ascii="Times New Roman" w:eastAsia="Times New Roman" w:hAnsi="Times New Roman" w:cs="Times New Roman"/>
          <w:sz w:val="24"/>
          <w:szCs w:val="24"/>
          <w:vertAlign w:val="subscript"/>
        </w:rPr>
        <w:t>sat</w:t>
      </w:r>
      <w:r>
        <w:rPr>
          <w:rFonts w:ascii="Times New Roman" w:eastAsia="Times New Roman" w:hAnsi="Times New Roman" w:cs="Times New Roman"/>
          <w:sz w:val="24"/>
          <w:szCs w:val="24"/>
        </w:rPr>
        <w:t>), leaf nitrogen (N) content, evenness of the plant area index (PAI), and leaf phosphorus (P) content), generated from the selected statistical model (see methods, Table S1). Black fitted lines show the slope of the linear response, while the colour gradient corresponds to the 0.90, 0.95 and 0.99 confidence intervals. Dotted fitted lines indi</w:t>
      </w:r>
      <w:r w:rsidR="0006116F">
        <w:rPr>
          <w:rFonts w:ascii="Times New Roman" w:eastAsia="Times New Roman" w:hAnsi="Times New Roman" w:cs="Times New Roman"/>
          <w:sz w:val="24"/>
          <w:szCs w:val="24"/>
        </w:rPr>
        <w:t>cate vegetation structure variable</w:t>
      </w:r>
      <w:r>
        <w:rPr>
          <w:rFonts w:ascii="Times New Roman" w:eastAsia="Times New Roman" w:hAnsi="Times New Roman" w:cs="Times New Roman"/>
          <w:sz w:val="24"/>
          <w:szCs w:val="24"/>
        </w:rPr>
        <w:t xml:space="preserve">, while solid lines indicate plant functional </w:t>
      </w:r>
      <w:r w:rsidR="0006116F">
        <w:rPr>
          <w:rFonts w:ascii="Times New Roman" w:eastAsia="Times New Roman" w:hAnsi="Times New Roman" w:cs="Times New Roman"/>
          <w:sz w:val="24"/>
          <w:szCs w:val="24"/>
        </w:rPr>
        <w:t>trait variable</w:t>
      </w:r>
      <w:r>
        <w:rPr>
          <w:rFonts w:ascii="Times New Roman" w:eastAsia="Times New Roman" w:hAnsi="Times New Roman" w:cs="Times New Roman"/>
          <w:sz w:val="24"/>
          <w:szCs w:val="24"/>
        </w:rPr>
        <w:t>. It can be seen</w:t>
      </w:r>
      <w:r w:rsidR="0006116F">
        <w:rPr>
          <w:rFonts w:ascii="Times New Roman" w:eastAsia="Times New Roman" w:hAnsi="Times New Roman" w:cs="Times New Roman"/>
          <w:sz w:val="24"/>
          <w:szCs w:val="24"/>
        </w:rPr>
        <w:t xml:space="preserve"> here that there ar</w:t>
      </w:r>
      <w:r>
        <w:rPr>
          <w:rFonts w:ascii="Times New Roman" w:eastAsia="Times New Roman" w:hAnsi="Times New Roman" w:cs="Times New Roman"/>
          <w:sz w:val="24"/>
          <w:szCs w:val="24"/>
        </w:rPr>
        <w:t xml:space="preserve">e similar plant trait relationships </w:t>
      </w:r>
      <w:r w:rsidR="0006116F">
        <w:rPr>
          <w:rFonts w:ascii="Times New Roman" w:eastAsia="Times New Roman" w:hAnsi="Times New Roman" w:cs="Times New Roman"/>
          <w:sz w:val="24"/>
          <w:szCs w:val="24"/>
        </w:rPr>
        <w:t xml:space="preserve">explaining the pollination metrics </w:t>
      </w:r>
      <w:r>
        <w:rPr>
          <w:rFonts w:ascii="Times New Roman" w:eastAsia="Times New Roman" w:hAnsi="Times New Roman" w:cs="Times New Roman"/>
          <w:sz w:val="24"/>
          <w:szCs w:val="24"/>
        </w:rPr>
        <w:t xml:space="preserve">d’ and H2’, with the exception of evenness of PAI. </w:t>
      </w:r>
    </w:p>
    <w:p w14:paraId="46B5573D" w14:textId="77777777" w:rsidR="008A3C03" w:rsidRDefault="008A3C03" w:rsidP="008A3C03">
      <w:pPr>
        <w:spacing w:after="160"/>
        <w:jc w:val="both"/>
        <w:rPr>
          <w:rFonts w:ascii="Times New Roman" w:eastAsia="Times New Roman" w:hAnsi="Times New Roman" w:cs="Times New Roman"/>
          <w:sz w:val="24"/>
          <w:szCs w:val="24"/>
        </w:rPr>
      </w:pPr>
    </w:p>
    <w:p w14:paraId="35E08E83" w14:textId="77777777" w:rsidR="008A3C03" w:rsidRDefault="008A3C03" w:rsidP="008A3C03">
      <w:pPr>
        <w:spacing w:after="160"/>
        <w:jc w:val="both"/>
        <w:rPr>
          <w:rFonts w:ascii="Times New Roman" w:eastAsia="Times New Roman" w:hAnsi="Times New Roman" w:cs="Times New Roman"/>
          <w:sz w:val="24"/>
          <w:szCs w:val="24"/>
        </w:rPr>
      </w:pPr>
    </w:p>
    <w:p w14:paraId="02C7F8C8"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596ABC1" wp14:editId="5047DAE9">
            <wp:extent cx="5943600" cy="28956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895600"/>
                    </a:xfrm>
                    <a:prstGeom prst="rect">
                      <a:avLst/>
                    </a:prstGeom>
                    <a:ln/>
                  </pic:spPr>
                </pic:pic>
              </a:graphicData>
            </a:graphic>
          </wp:inline>
        </w:drawing>
      </w:r>
    </w:p>
    <w:p w14:paraId="4C9FC52E"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S3 Effect of plant traits on network connectance by habitat. </w:t>
      </w:r>
      <w:r>
        <w:rPr>
          <w:rFonts w:ascii="Times New Roman" w:eastAsia="Times New Roman" w:hAnsi="Times New Roman" w:cs="Times New Roman"/>
          <w:sz w:val="24"/>
          <w:szCs w:val="24"/>
        </w:rPr>
        <w:t>Model results for pollination network connectance (Y axis) as a function of plant trait variables (X axis: saturated assimilation rate, A</w:t>
      </w:r>
      <w:r>
        <w:rPr>
          <w:rFonts w:ascii="Times New Roman" w:eastAsia="Times New Roman" w:hAnsi="Times New Roman" w:cs="Times New Roman"/>
          <w:sz w:val="24"/>
          <w:szCs w:val="24"/>
          <w:vertAlign w:val="subscript"/>
        </w:rPr>
        <w:t xml:space="preserve">sat, </w:t>
      </w:r>
      <w:r>
        <w:rPr>
          <w:rFonts w:ascii="Times New Roman" w:eastAsia="Times New Roman" w:hAnsi="Times New Roman" w:cs="Times New Roman"/>
          <w:sz w:val="24"/>
          <w:szCs w:val="24"/>
        </w:rPr>
        <w:t xml:space="preserve">and leaf water content), generated from the selected statistical model (see methods; Table S1). Black fitted lines show the slope of the linear response, while the grey ribbon represents the 95% confidence interval. Data points are coloured by habitat types (red: caatinga, green: forest, blue: island, yellow: savanna). </w:t>
      </w:r>
    </w:p>
    <w:p w14:paraId="5729E021" w14:textId="77777777" w:rsidR="008A3C03" w:rsidRDefault="008A3C03" w:rsidP="008A3C03">
      <w:pPr>
        <w:spacing w:after="160"/>
        <w:jc w:val="both"/>
        <w:rPr>
          <w:rFonts w:ascii="Times New Roman" w:eastAsia="Times New Roman" w:hAnsi="Times New Roman" w:cs="Times New Roman"/>
          <w:b/>
          <w:sz w:val="24"/>
          <w:szCs w:val="24"/>
        </w:rPr>
      </w:pPr>
    </w:p>
    <w:p w14:paraId="7C88374A"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FA607A4" wp14:editId="4F80071A">
            <wp:extent cx="5943600" cy="44069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4406900"/>
                    </a:xfrm>
                    <a:prstGeom prst="rect">
                      <a:avLst/>
                    </a:prstGeom>
                    <a:ln/>
                  </pic:spPr>
                </pic:pic>
              </a:graphicData>
            </a:graphic>
          </wp:inline>
        </w:drawing>
      </w:r>
    </w:p>
    <w:p w14:paraId="10BE01E7" w14:textId="77777777" w:rsidR="008A3C03" w:rsidRDefault="008A3C03" w:rsidP="008A3C03">
      <w:pPr>
        <w:spacing w:after="160"/>
        <w:jc w:val="both"/>
        <w:rPr>
          <w:rFonts w:ascii="Times New Roman" w:eastAsia="Times New Roman" w:hAnsi="Times New Roman" w:cs="Times New Roman"/>
          <w:b/>
          <w:sz w:val="24"/>
          <w:szCs w:val="24"/>
        </w:rPr>
      </w:pPr>
    </w:p>
    <w:p w14:paraId="645BC3AC" w14:textId="6BD63779" w:rsidR="008A3C03" w:rsidRDefault="008A3C03" w:rsidP="008A3C0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S4 Effect of plant traits on network modularity by habitat. </w:t>
      </w:r>
      <w:r>
        <w:rPr>
          <w:rFonts w:ascii="Times New Roman" w:eastAsia="Times New Roman" w:hAnsi="Times New Roman" w:cs="Times New Roman"/>
          <w:sz w:val="24"/>
          <w:szCs w:val="24"/>
        </w:rPr>
        <w:t>Model results for pollination network modularity (Y axis) as a function of vegetation structure and plant trait variables (X axis: canopy height</w:t>
      </w:r>
      <w:r w:rsidR="006E545D">
        <w:rPr>
          <w:rFonts w:ascii="Times New Roman" w:eastAsia="Times New Roman" w:hAnsi="Times New Roman" w:cs="Times New Roman"/>
          <w:sz w:val="24"/>
          <w:szCs w:val="24"/>
        </w:rPr>
        <w:t xml:space="preserve"> (rh98)</w:t>
      </w:r>
      <w:r>
        <w:rPr>
          <w:rFonts w:ascii="Times New Roman" w:eastAsia="Times New Roman" w:hAnsi="Times New Roman" w:cs="Times New Roman"/>
          <w:sz w:val="24"/>
          <w:szCs w:val="24"/>
        </w:rPr>
        <w:t>, saturated assimilation rate (A</w:t>
      </w:r>
      <w:r>
        <w:rPr>
          <w:rFonts w:ascii="Times New Roman" w:eastAsia="Times New Roman" w:hAnsi="Times New Roman" w:cs="Times New Roman"/>
          <w:sz w:val="24"/>
          <w:szCs w:val="24"/>
          <w:vertAlign w:val="subscript"/>
        </w:rPr>
        <w:t>sat</w:t>
      </w:r>
      <w:r>
        <w:rPr>
          <w:rFonts w:ascii="Times New Roman" w:eastAsia="Times New Roman" w:hAnsi="Times New Roman" w:cs="Times New Roman"/>
          <w:sz w:val="24"/>
          <w:szCs w:val="24"/>
        </w:rPr>
        <w:t>), leaf phosphorus (P) content, and leaf thickness</w:t>
      </w:r>
      <w:r w:rsidR="006E545D">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 generated from the selected statistical model (see methods section, Table S1). Black fitted lines show the slope of the linear response, while the grey ribbon represents the 95% confidence interval. Data points are coloured by habitat types (red: caatinga, green: forest, blue: island, yellow: savanna). </w:t>
      </w:r>
    </w:p>
    <w:p w14:paraId="2F6E85A3" w14:textId="77777777" w:rsidR="008A3C03" w:rsidRDefault="008A3C03" w:rsidP="008A3C03">
      <w:pPr>
        <w:spacing w:after="160"/>
        <w:jc w:val="both"/>
        <w:rPr>
          <w:rFonts w:ascii="Times New Roman" w:eastAsia="Times New Roman" w:hAnsi="Times New Roman" w:cs="Times New Roman"/>
          <w:b/>
          <w:sz w:val="24"/>
          <w:szCs w:val="24"/>
        </w:rPr>
      </w:pPr>
    </w:p>
    <w:p w14:paraId="3E098420" w14:textId="77777777" w:rsidR="008A3C03" w:rsidRDefault="008A3C03" w:rsidP="008A3C03">
      <w:pPr>
        <w:spacing w:after="160"/>
        <w:jc w:val="both"/>
        <w:rPr>
          <w:rFonts w:ascii="Times New Roman" w:eastAsia="Times New Roman" w:hAnsi="Times New Roman" w:cs="Times New Roman"/>
          <w:b/>
          <w:sz w:val="24"/>
          <w:szCs w:val="24"/>
        </w:rPr>
      </w:pPr>
    </w:p>
    <w:p w14:paraId="0E1E8529" w14:textId="77777777" w:rsidR="008A3C03" w:rsidRDefault="008A3C03" w:rsidP="008A3C03">
      <w:pPr>
        <w:spacing w:after="160"/>
        <w:jc w:val="both"/>
        <w:rPr>
          <w:rFonts w:ascii="Times New Roman" w:eastAsia="Times New Roman" w:hAnsi="Times New Roman" w:cs="Times New Roman"/>
          <w:b/>
          <w:sz w:val="24"/>
          <w:szCs w:val="24"/>
        </w:rPr>
      </w:pPr>
    </w:p>
    <w:p w14:paraId="43E73EF3" w14:textId="77777777" w:rsidR="008A3C03" w:rsidRDefault="008A3C03" w:rsidP="008A3C03">
      <w:pPr>
        <w:spacing w:after="160"/>
        <w:jc w:val="both"/>
        <w:rPr>
          <w:rFonts w:ascii="Times New Roman" w:eastAsia="Times New Roman" w:hAnsi="Times New Roman" w:cs="Times New Roman"/>
          <w:b/>
          <w:sz w:val="24"/>
          <w:szCs w:val="24"/>
        </w:rPr>
      </w:pPr>
    </w:p>
    <w:p w14:paraId="1966CDF1" w14:textId="77777777" w:rsidR="008A3C03" w:rsidRDefault="008A3C03" w:rsidP="008A3C03">
      <w:pPr>
        <w:spacing w:after="160"/>
        <w:jc w:val="both"/>
        <w:rPr>
          <w:rFonts w:ascii="Times New Roman" w:eastAsia="Times New Roman" w:hAnsi="Times New Roman" w:cs="Times New Roman"/>
          <w:b/>
          <w:sz w:val="24"/>
          <w:szCs w:val="24"/>
        </w:rPr>
      </w:pPr>
    </w:p>
    <w:p w14:paraId="17F74BFA" w14:textId="77777777" w:rsidR="008A3C03" w:rsidRDefault="008A3C03" w:rsidP="008A3C03">
      <w:pPr>
        <w:spacing w:after="160"/>
        <w:jc w:val="both"/>
        <w:rPr>
          <w:rFonts w:ascii="Times New Roman" w:eastAsia="Times New Roman" w:hAnsi="Times New Roman" w:cs="Times New Roman"/>
          <w:b/>
          <w:sz w:val="24"/>
          <w:szCs w:val="24"/>
        </w:rPr>
      </w:pPr>
    </w:p>
    <w:p w14:paraId="052A7CDB" w14:textId="77777777" w:rsidR="008A3C03" w:rsidRDefault="008A3C03" w:rsidP="008A3C03">
      <w:pPr>
        <w:spacing w:after="160"/>
        <w:jc w:val="both"/>
        <w:rPr>
          <w:rFonts w:ascii="Times New Roman" w:eastAsia="Times New Roman" w:hAnsi="Times New Roman" w:cs="Times New Roman"/>
          <w:b/>
          <w:sz w:val="24"/>
          <w:szCs w:val="24"/>
        </w:rPr>
      </w:pPr>
    </w:p>
    <w:p w14:paraId="4A049887" w14:textId="77777777" w:rsidR="008A3C03" w:rsidRDefault="008A3C03" w:rsidP="008A3C03">
      <w:pPr>
        <w:spacing w:after="160"/>
        <w:jc w:val="both"/>
        <w:rPr>
          <w:rFonts w:ascii="Times New Roman" w:eastAsia="Times New Roman" w:hAnsi="Times New Roman" w:cs="Times New Roman"/>
          <w:b/>
          <w:sz w:val="24"/>
          <w:szCs w:val="24"/>
        </w:rPr>
      </w:pPr>
    </w:p>
    <w:p w14:paraId="2D5C4B03" w14:textId="77777777" w:rsidR="008A3C03" w:rsidRDefault="008A3C03" w:rsidP="008A3C03">
      <w:pPr>
        <w:spacing w:after="160"/>
        <w:jc w:val="both"/>
        <w:rPr>
          <w:rFonts w:ascii="Times New Roman" w:eastAsia="Times New Roman" w:hAnsi="Times New Roman" w:cs="Times New Roman"/>
          <w:b/>
          <w:sz w:val="24"/>
          <w:szCs w:val="24"/>
        </w:rPr>
      </w:pPr>
    </w:p>
    <w:p w14:paraId="48B66F02" w14:textId="1332E483"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D9D5944" wp14:editId="18768A54">
            <wp:extent cx="5943600" cy="419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191000"/>
                    </a:xfrm>
                    <a:prstGeom prst="rect">
                      <a:avLst/>
                    </a:prstGeom>
                    <a:ln/>
                  </pic:spPr>
                </pic:pic>
              </a:graphicData>
            </a:graphic>
          </wp:inline>
        </w:drawing>
      </w:r>
      <w:r>
        <w:rPr>
          <w:rFonts w:ascii="Times New Roman" w:eastAsia="Times New Roman" w:hAnsi="Times New Roman" w:cs="Times New Roman"/>
          <w:b/>
          <w:sz w:val="24"/>
          <w:szCs w:val="24"/>
        </w:rPr>
        <w:t xml:space="preserve">Fig. S5 Effects of plant traits on network nestedness by habitat. </w:t>
      </w:r>
      <w:r>
        <w:rPr>
          <w:rFonts w:ascii="Times New Roman" w:eastAsia="Times New Roman" w:hAnsi="Times New Roman" w:cs="Times New Roman"/>
          <w:sz w:val="24"/>
          <w:szCs w:val="24"/>
        </w:rPr>
        <w:t>Model results for pollination network nestedness (Y axis) as a function of vegetation structure and plant trait variables (X axis: standard deviations (SD) in specific leaf area (SLA), leaf calcium (Ca) content, canopy height</w:t>
      </w:r>
      <w:r w:rsidR="006E545D">
        <w:rPr>
          <w:rFonts w:ascii="Times New Roman" w:eastAsia="Times New Roman" w:hAnsi="Times New Roman" w:cs="Times New Roman"/>
          <w:sz w:val="24"/>
          <w:szCs w:val="24"/>
        </w:rPr>
        <w:t xml:space="preserve"> (rh98)</w:t>
      </w:r>
      <w:r>
        <w:rPr>
          <w:rFonts w:ascii="Times New Roman" w:eastAsia="Times New Roman" w:hAnsi="Times New Roman" w:cs="Times New Roman"/>
          <w:sz w:val="24"/>
          <w:szCs w:val="24"/>
        </w:rPr>
        <w:t>, leaf water content</w:t>
      </w:r>
      <w:r w:rsidR="006E545D">
        <w:rPr>
          <w:rFonts w:ascii="Times New Roman" w:eastAsia="Times New Roman" w:hAnsi="Times New Roman" w:cs="Times New Roman"/>
          <w:sz w:val="24"/>
          <w:szCs w:val="24"/>
        </w:rPr>
        <w:t xml:space="preserve"> (WC)</w:t>
      </w:r>
      <w:r>
        <w:rPr>
          <w:rFonts w:ascii="Times New Roman" w:eastAsia="Times New Roman" w:hAnsi="Times New Roman" w:cs="Times New Roman"/>
          <w:sz w:val="24"/>
          <w:szCs w:val="24"/>
        </w:rPr>
        <w:t>), generated from the selected statistical model (see methods, Table S1). Black fitted lines show the slope of the linear response, while the grey ribbon represents the 95% confidence interval. Data points are coloured by habitat types (red: caatinga, green: forest, blue: island, yellow: savanna).</w:t>
      </w:r>
    </w:p>
    <w:p w14:paraId="19CD6D0E" w14:textId="77777777" w:rsidR="008A3C03" w:rsidRDefault="008A3C03" w:rsidP="008A3C03">
      <w:pPr>
        <w:spacing w:after="160"/>
        <w:jc w:val="both"/>
        <w:rPr>
          <w:rFonts w:ascii="Times New Roman" w:eastAsia="Times New Roman" w:hAnsi="Times New Roman" w:cs="Times New Roman"/>
          <w:b/>
          <w:sz w:val="24"/>
          <w:szCs w:val="24"/>
        </w:rPr>
      </w:pPr>
    </w:p>
    <w:p w14:paraId="78DD76F1" w14:textId="77777777" w:rsidR="008A3C03" w:rsidRDefault="008A3C03" w:rsidP="008A3C03">
      <w:pPr>
        <w:spacing w:after="160"/>
        <w:jc w:val="both"/>
        <w:rPr>
          <w:rFonts w:ascii="Times New Roman" w:eastAsia="Times New Roman" w:hAnsi="Times New Roman" w:cs="Times New Roman"/>
          <w:b/>
          <w:sz w:val="24"/>
          <w:szCs w:val="24"/>
        </w:rPr>
      </w:pPr>
    </w:p>
    <w:p w14:paraId="6328F8FB" w14:textId="77777777" w:rsidR="008A3C03" w:rsidRDefault="008A3C03" w:rsidP="008A3C03">
      <w:pPr>
        <w:spacing w:after="160"/>
        <w:jc w:val="both"/>
        <w:rPr>
          <w:rFonts w:ascii="Times New Roman" w:eastAsia="Times New Roman" w:hAnsi="Times New Roman" w:cs="Times New Roman"/>
          <w:b/>
          <w:sz w:val="24"/>
          <w:szCs w:val="24"/>
        </w:rPr>
      </w:pPr>
    </w:p>
    <w:p w14:paraId="35E491B9" w14:textId="77777777" w:rsidR="008A3C03" w:rsidRDefault="008A3C03" w:rsidP="008A3C03">
      <w:pPr>
        <w:spacing w:after="160"/>
        <w:jc w:val="both"/>
        <w:rPr>
          <w:rFonts w:ascii="Times New Roman" w:eastAsia="Times New Roman" w:hAnsi="Times New Roman" w:cs="Times New Roman"/>
          <w:b/>
          <w:sz w:val="24"/>
          <w:szCs w:val="24"/>
        </w:rPr>
      </w:pPr>
    </w:p>
    <w:p w14:paraId="1CB72633"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6A57F7A" wp14:editId="66181F52">
            <wp:extent cx="6605588" cy="335066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605588" cy="3350660"/>
                    </a:xfrm>
                    <a:prstGeom prst="rect">
                      <a:avLst/>
                    </a:prstGeom>
                    <a:ln/>
                  </pic:spPr>
                </pic:pic>
              </a:graphicData>
            </a:graphic>
          </wp:inline>
        </w:drawing>
      </w:r>
    </w:p>
    <w:p w14:paraId="39412AA6" w14:textId="77777777" w:rsidR="008A3C03" w:rsidRDefault="008A3C03" w:rsidP="008A3C03">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S6 Effect of plant traits on network specialisation (</w:t>
      </w:r>
      <w:r>
        <w:rPr>
          <w:rFonts w:ascii="Times New Roman" w:eastAsia="Times New Roman" w:hAnsi="Times New Roman" w:cs="Times New Roman"/>
          <w:b/>
          <w:i/>
          <w:sz w:val="24"/>
          <w:szCs w:val="24"/>
        </w:rPr>
        <w:t>H</w:t>
      </w:r>
      <w:r>
        <w:rPr>
          <w:rFonts w:ascii="Times New Roman" w:eastAsia="Times New Roman" w:hAnsi="Times New Roman" w:cs="Times New Roman"/>
          <w:b/>
          <w:i/>
          <w:sz w:val="24"/>
          <w:szCs w:val="24"/>
          <w:vertAlign w:val="subscript"/>
        </w:rPr>
        <w:t>2</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by habitat. </w:t>
      </w:r>
      <w:r>
        <w:rPr>
          <w:rFonts w:ascii="Times New Roman" w:eastAsia="Times New Roman" w:hAnsi="Times New Roman" w:cs="Times New Roman"/>
          <w:sz w:val="24"/>
          <w:szCs w:val="24"/>
        </w:rPr>
        <w:t>Model results for pollination network specialisation (</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Y axis) as a function of vegetation structure and plant trait variables (X axis: plant area volume density in the lower canopy (pav_bot_frac), saturated assimilation rate (A</w:t>
      </w:r>
      <w:r>
        <w:rPr>
          <w:rFonts w:ascii="Times New Roman" w:eastAsia="Times New Roman" w:hAnsi="Times New Roman" w:cs="Times New Roman"/>
          <w:sz w:val="24"/>
          <w:szCs w:val="24"/>
          <w:vertAlign w:val="subscript"/>
        </w:rPr>
        <w:t>sat</w:t>
      </w:r>
      <w:r>
        <w:rPr>
          <w:rFonts w:ascii="Times New Roman" w:eastAsia="Times New Roman" w:hAnsi="Times New Roman" w:cs="Times New Roman"/>
          <w:sz w:val="24"/>
          <w:szCs w:val="24"/>
        </w:rPr>
        <w:t>), leaf nitrogen (N) content, canopy height, leaf calcium (Ca) content, leaf phosphorus (P) content), generated from the selected statistical model (see methods, Table S1). Black fitted lines show the slope of the linear response, while the grey ribbon represents the 95% confidence interval. Data points are coloured by habitat types (red: caatinga, green: forest, blue: island, yellow: savanna).</w:t>
      </w:r>
    </w:p>
    <w:p w14:paraId="140DFE05" w14:textId="77777777" w:rsidR="008A3C03" w:rsidRDefault="008A3C03" w:rsidP="008A3C03">
      <w:pPr>
        <w:spacing w:after="160"/>
        <w:jc w:val="both"/>
        <w:rPr>
          <w:rFonts w:ascii="Times New Roman" w:eastAsia="Times New Roman" w:hAnsi="Times New Roman" w:cs="Times New Roman"/>
          <w:b/>
          <w:sz w:val="24"/>
          <w:szCs w:val="24"/>
        </w:rPr>
      </w:pPr>
    </w:p>
    <w:p w14:paraId="77D6C5E1" w14:textId="77777777" w:rsidR="008A3C03" w:rsidRDefault="008A3C03" w:rsidP="008A3C03">
      <w:pPr>
        <w:spacing w:after="160"/>
        <w:jc w:val="both"/>
        <w:rPr>
          <w:rFonts w:ascii="Times New Roman" w:eastAsia="Times New Roman" w:hAnsi="Times New Roman" w:cs="Times New Roman"/>
          <w:b/>
          <w:sz w:val="24"/>
          <w:szCs w:val="24"/>
        </w:rPr>
      </w:pPr>
    </w:p>
    <w:p w14:paraId="05722E32" w14:textId="77777777" w:rsidR="008A3C03" w:rsidRDefault="008A3C03" w:rsidP="008A3C03">
      <w:pPr>
        <w:spacing w:after="160"/>
        <w:jc w:val="both"/>
        <w:rPr>
          <w:rFonts w:ascii="Times New Roman" w:eastAsia="Times New Roman" w:hAnsi="Times New Roman" w:cs="Times New Roman"/>
          <w:b/>
          <w:sz w:val="24"/>
          <w:szCs w:val="24"/>
        </w:rPr>
      </w:pPr>
    </w:p>
    <w:p w14:paraId="0862E58C" w14:textId="77777777" w:rsidR="008A3C03" w:rsidRDefault="008A3C03" w:rsidP="008A3C03">
      <w:pPr>
        <w:spacing w:after="160"/>
        <w:jc w:val="both"/>
        <w:rPr>
          <w:rFonts w:ascii="Times New Roman" w:eastAsia="Times New Roman" w:hAnsi="Times New Roman" w:cs="Times New Roman"/>
          <w:b/>
          <w:sz w:val="24"/>
          <w:szCs w:val="24"/>
        </w:rPr>
      </w:pPr>
    </w:p>
    <w:p w14:paraId="550CD3DF" w14:textId="77777777" w:rsidR="008A3C03" w:rsidRDefault="008A3C03" w:rsidP="008A3C03">
      <w:pPr>
        <w:spacing w:after="160"/>
        <w:jc w:val="both"/>
        <w:rPr>
          <w:rFonts w:ascii="Times New Roman" w:eastAsia="Times New Roman" w:hAnsi="Times New Roman" w:cs="Times New Roman"/>
          <w:b/>
          <w:sz w:val="24"/>
          <w:szCs w:val="24"/>
        </w:rPr>
      </w:pPr>
    </w:p>
    <w:p w14:paraId="6828EBB3" w14:textId="77777777" w:rsidR="008A3C03" w:rsidRDefault="008A3C03" w:rsidP="008A3C03">
      <w:pPr>
        <w:spacing w:after="160"/>
        <w:jc w:val="both"/>
        <w:rPr>
          <w:rFonts w:ascii="Times New Roman" w:eastAsia="Times New Roman" w:hAnsi="Times New Roman" w:cs="Times New Roman"/>
          <w:b/>
          <w:sz w:val="24"/>
          <w:szCs w:val="24"/>
        </w:rPr>
      </w:pPr>
    </w:p>
    <w:p w14:paraId="04E71C21" w14:textId="77777777" w:rsidR="008A3C03" w:rsidRDefault="008A3C03" w:rsidP="008A3C03">
      <w:pPr>
        <w:jc w:val="both"/>
        <w:rPr>
          <w:rFonts w:ascii="Times New Roman" w:eastAsia="Times New Roman" w:hAnsi="Times New Roman" w:cs="Times New Roman"/>
          <w:b/>
          <w:sz w:val="24"/>
          <w:szCs w:val="24"/>
        </w:rPr>
      </w:pPr>
    </w:p>
    <w:p w14:paraId="312ED942" w14:textId="77777777" w:rsidR="008A3C03" w:rsidRDefault="008A3C03" w:rsidP="008A3C03">
      <w:pPr>
        <w:jc w:val="both"/>
        <w:rPr>
          <w:rFonts w:ascii="Times New Roman" w:eastAsia="Times New Roman" w:hAnsi="Times New Roman" w:cs="Times New Roman"/>
          <w:b/>
          <w:sz w:val="24"/>
          <w:szCs w:val="24"/>
        </w:rPr>
      </w:pPr>
    </w:p>
    <w:p w14:paraId="6D518673" w14:textId="77777777" w:rsidR="008A3C03" w:rsidRDefault="008A3C03" w:rsidP="008A3C03">
      <w:pPr>
        <w:jc w:val="both"/>
        <w:rPr>
          <w:rFonts w:ascii="Times New Roman" w:eastAsia="Times New Roman" w:hAnsi="Times New Roman" w:cs="Times New Roman"/>
          <w:b/>
          <w:sz w:val="24"/>
          <w:szCs w:val="24"/>
        </w:rPr>
      </w:pPr>
    </w:p>
    <w:p w14:paraId="6B9FE2EF" w14:textId="77777777" w:rsidR="008A3C03" w:rsidRDefault="008A3C03" w:rsidP="008A3C03">
      <w:pPr>
        <w:jc w:val="both"/>
        <w:rPr>
          <w:rFonts w:ascii="Times New Roman" w:eastAsia="Times New Roman" w:hAnsi="Times New Roman" w:cs="Times New Roman"/>
          <w:b/>
          <w:sz w:val="24"/>
          <w:szCs w:val="24"/>
        </w:rPr>
      </w:pPr>
    </w:p>
    <w:p w14:paraId="6FD1E016" w14:textId="77777777" w:rsidR="008A3C03" w:rsidRDefault="008A3C03" w:rsidP="008A3C03">
      <w:pPr>
        <w:jc w:val="both"/>
        <w:rPr>
          <w:rFonts w:ascii="Times New Roman" w:eastAsia="Times New Roman" w:hAnsi="Times New Roman" w:cs="Times New Roman"/>
          <w:sz w:val="24"/>
          <w:szCs w:val="24"/>
        </w:rPr>
      </w:pPr>
    </w:p>
    <w:p w14:paraId="618E902B" w14:textId="77777777" w:rsidR="00496DCF" w:rsidRDefault="00645A88"/>
    <w:sectPr w:rsidR="00496DCF">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A098E" w14:textId="77777777" w:rsidR="00645A88" w:rsidRDefault="00645A88">
      <w:pPr>
        <w:spacing w:line="240" w:lineRule="auto"/>
      </w:pPr>
      <w:r>
        <w:separator/>
      </w:r>
    </w:p>
  </w:endnote>
  <w:endnote w:type="continuationSeparator" w:id="0">
    <w:p w14:paraId="00DE1102" w14:textId="77777777" w:rsidR="00645A88" w:rsidRDefault="00645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F6AD4" w14:textId="77777777" w:rsidR="00EA54A9" w:rsidRDefault="00645A8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D878D" w14:textId="77777777" w:rsidR="00645A88" w:rsidRDefault="00645A88">
      <w:pPr>
        <w:spacing w:line="240" w:lineRule="auto"/>
      </w:pPr>
      <w:r>
        <w:separator/>
      </w:r>
    </w:p>
  </w:footnote>
  <w:footnote w:type="continuationSeparator" w:id="0">
    <w:p w14:paraId="43903912" w14:textId="77777777" w:rsidR="00645A88" w:rsidRDefault="00645A8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668E0" w14:textId="77777777" w:rsidR="00EA54A9" w:rsidRDefault="00645A88">
    <w:pPr>
      <w:jc w:val="both"/>
      <w:rPr>
        <w:rFonts w:ascii="Times New Roman" w:eastAsia="Times New Roman" w:hAnsi="Times New Roman" w:cs="Times New Roman"/>
        <w:b/>
        <w:sz w:val="24"/>
        <w:szCs w:val="24"/>
      </w:rPr>
    </w:pPr>
  </w:p>
  <w:p w14:paraId="47A23C48" w14:textId="77777777" w:rsidR="00EA54A9" w:rsidRDefault="00645A88">
    <w:pPr>
      <w:rPr>
        <w:rFonts w:ascii="Times New Roman" w:eastAsia="Times New Roman" w:hAnsi="Times New Roman" w:cs="Times New Roman"/>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C03"/>
    <w:rsid w:val="0006116F"/>
    <w:rsid w:val="001871BD"/>
    <w:rsid w:val="004C7EA0"/>
    <w:rsid w:val="00620701"/>
    <w:rsid w:val="00645A88"/>
    <w:rsid w:val="006E545D"/>
    <w:rsid w:val="00714CB8"/>
    <w:rsid w:val="008129E4"/>
    <w:rsid w:val="008A3C03"/>
    <w:rsid w:val="00CF46A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0A88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A3C03"/>
    <w:pPr>
      <w:spacing w:line="276" w:lineRule="auto"/>
    </w:pPr>
    <w:rPr>
      <w:rFonts w:ascii="Arial" w:eastAsia="Arial" w:hAnsi="Arial" w:cs="Arial"/>
      <w:sz w:val="22"/>
      <w:szCs w:val="22"/>
    </w:rPr>
  </w:style>
  <w:style w:type="paragraph" w:styleId="Heading1">
    <w:name w:val="heading 1"/>
    <w:basedOn w:val="Normal"/>
    <w:next w:val="Normal"/>
    <w:link w:val="Heading1Char"/>
    <w:rsid w:val="008A3C03"/>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3C03"/>
    <w:rPr>
      <w:rFonts w:ascii="Arial" w:eastAsia="Arial" w:hAnsi="Arial"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558</Words>
  <Characters>3181</Characters>
  <Application>Microsoft Macintosh Word</Application>
  <DocSecurity>0</DocSecurity>
  <Lines>26</Lines>
  <Paragraphs>7</Paragraphs>
  <ScaleCrop>false</ScaleCrop>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2024-11-24T15:12:00Z</dcterms:created>
  <dcterms:modified xsi:type="dcterms:W3CDTF">2024-11-25T15:23:00Z</dcterms:modified>
</cp:coreProperties>
</file>