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09246C" w14:textId="77777777" w:rsidR="00DA1DE9" w:rsidRDefault="00DA1DE9" w:rsidP="00DA1DE9">
      <w:pPr>
        <w:spacing w:after="1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1</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Description of selected pollination network metrics.</w:t>
      </w:r>
      <w:r>
        <w:rPr>
          <w:rFonts w:ascii="Times New Roman" w:eastAsia="Times New Roman" w:hAnsi="Times New Roman" w:cs="Times New Roman"/>
          <w:sz w:val="24"/>
          <w:szCs w:val="24"/>
        </w:rPr>
        <w:t xml:space="preserve"> This table presents an overview of the four selected network structure metrics and their calculation methods. In our analysis, we included weighted values for each network metric and calculated the difference between observed and expected metric values, where expected values were based on null models standardised by floral abundance.  All network metrics were calculated using the ‘bipartite’ package in R (Dormann et al. 2009, Dormann, 2011). </w:t>
      </w:r>
    </w:p>
    <w:tbl>
      <w:tblPr>
        <w:tblW w:w="9315" w:type="dxa"/>
        <w:tblBorders>
          <w:top w:val="nil"/>
          <w:left w:val="nil"/>
          <w:bottom w:val="nil"/>
          <w:right w:val="nil"/>
          <w:insideH w:val="nil"/>
          <w:insideV w:val="nil"/>
        </w:tblBorders>
        <w:tblLayout w:type="fixed"/>
        <w:tblLook w:val="0600" w:firstRow="0" w:lastRow="0" w:firstColumn="0" w:lastColumn="0" w:noHBand="1" w:noVBand="1"/>
      </w:tblPr>
      <w:tblGrid>
        <w:gridCol w:w="1470"/>
        <w:gridCol w:w="4500"/>
        <w:gridCol w:w="3345"/>
      </w:tblGrid>
      <w:tr w:rsidR="00DA1DE9" w14:paraId="3B35784F" w14:textId="77777777" w:rsidTr="00A42B8C">
        <w:trPr>
          <w:trHeight w:val="225"/>
        </w:trPr>
        <w:tc>
          <w:tcPr>
            <w:tcW w:w="1470" w:type="dxa"/>
            <w:tcBorders>
              <w:top w:val="single" w:sz="5" w:space="0" w:color="000000"/>
              <w:left w:val="single" w:sz="5" w:space="0" w:color="000000"/>
              <w:bottom w:val="single" w:sz="5" w:space="0" w:color="000000"/>
              <w:right w:val="single" w:sz="5" w:space="0" w:color="000000"/>
            </w:tcBorders>
            <w:shd w:val="clear" w:color="auto" w:fill="F2F2F2"/>
            <w:tcMar>
              <w:top w:w="0" w:type="dxa"/>
              <w:left w:w="100" w:type="dxa"/>
              <w:bottom w:w="0" w:type="dxa"/>
              <w:right w:w="100" w:type="dxa"/>
            </w:tcMar>
          </w:tcPr>
          <w:p w14:paraId="5FC6FAD4" w14:textId="77777777" w:rsidR="00DA1DE9" w:rsidRDefault="00DA1DE9" w:rsidP="00A42B8C">
            <w:pPr>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Metric</w:t>
            </w:r>
          </w:p>
        </w:tc>
        <w:tc>
          <w:tcPr>
            <w:tcW w:w="4500" w:type="dxa"/>
            <w:tcBorders>
              <w:top w:val="single" w:sz="5" w:space="0" w:color="000000"/>
              <w:left w:val="nil"/>
              <w:bottom w:val="single" w:sz="5" w:space="0" w:color="000000"/>
              <w:right w:val="single" w:sz="5" w:space="0" w:color="000000"/>
            </w:tcBorders>
            <w:shd w:val="clear" w:color="auto" w:fill="F2F2F2"/>
            <w:tcMar>
              <w:top w:w="0" w:type="dxa"/>
              <w:left w:w="100" w:type="dxa"/>
              <w:bottom w:w="0" w:type="dxa"/>
              <w:right w:w="100" w:type="dxa"/>
            </w:tcMar>
          </w:tcPr>
          <w:p w14:paraId="6F918EAC" w14:textId="77777777" w:rsidR="00DA1DE9" w:rsidRDefault="00DA1DE9" w:rsidP="00A42B8C">
            <w:pPr>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Description</w:t>
            </w:r>
          </w:p>
        </w:tc>
        <w:tc>
          <w:tcPr>
            <w:tcW w:w="3345" w:type="dxa"/>
            <w:tcBorders>
              <w:top w:val="single" w:sz="5" w:space="0" w:color="000000"/>
              <w:left w:val="nil"/>
              <w:bottom w:val="single" w:sz="5" w:space="0" w:color="000000"/>
              <w:right w:val="single" w:sz="5" w:space="0" w:color="000000"/>
            </w:tcBorders>
            <w:shd w:val="clear" w:color="auto" w:fill="F2F2F2"/>
            <w:tcMar>
              <w:top w:w="0" w:type="dxa"/>
              <w:left w:w="100" w:type="dxa"/>
              <w:bottom w:w="0" w:type="dxa"/>
              <w:right w:w="100" w:type="dxa"/>
            </w:tcMar>
          </w:tcPr>
          <w:p w14:paraId="3E1B5FC2" w14:textId="77777777" w:rsidR="00DA1DE9" w:rsidRDefault="00DA1DE9" w:rsidP="00A42B8C">
            <w:pPr>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Calculation</w:t>
            </w:r>
          </w:p>
        </w:tc>
      </w:tr>
      <w:tr w:rsidR="00DA1DE9" w14:paraId="62AFFB34" w14:textId="77777777" w:rsidTr="00A42B8C">
        <w:trPr>
          <w:trHeight w:val="2910"/>
        </w:trPr>
        <w:tc>
          <w:tcPr>
            <w:tcW w:w="1470" w:type="dxa"/>
            <w:tcBorders>
              <w:top w:val="nil"/>
              <w:left w:val="single" w:sz="5" w:space="0" w:color="000000"/>
              <w:bottom w:val="single" w:sz="5" w:space="0" w:color="000000"/>
              <w:right w:val="single" w:sz="5" w:space="0" w:color="000000"/>
            </w:tcBorders>
            <w:shd w:val="clear" w:color="auto" w:fill="F2F2F2"/>
            <w:tcMar>
              <w:top w:w="0" w:type="dxa"/>
              <w:left w:w="100" w:type="dxa"/>
              <w:bottom w:w="0" w:type="dxa"/>
              <w:right w:w="100" w:type="dxa"/>
            </w:tcMar>
          </w:tcPr>
          <w:p w14:paraId="0D553895" w14:textId="77777777" w:rsidR="00DA1DE9" w:rsidRDefault="00DA1DE9" w:rsidP="00A42B8C">
            <w:pPr>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Connectance</w:t>
            </w:r>
          </w:p>
          <w:p w14:paraId="1968635B" w14:textId="77777777" w:rsidR="00DA1DE9" w:rsidRDefault="00DA1DE9" w:rsidP="00A42B8C">
            <w:pPr>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 C )</w:t>
            </w:r>
          </w:p>
        </w:tc>
        <w:tc>
          <w:tcPr>
            <w:tcW w:w="4500" w:type="dxa"/>
            <w:tcBorders>
              <w:top w:val="nil"/>
              <w:left w:val="nil"/>
              <w:bottom w:val="single" w:sz="5" w:space="0" w:color="000000"/>
              <w:right w:val="single" w:sz="5" w:space="0" w:color="000000"/>
            </w:tcBorders>
            <w:shd w:val="clear" w:color="auto" w:fill="F2F2F2"/>
            <w:tcMar>
              <w:top w:w="0" w:type="dxa"/>
              <w:left w:w="100" w:type="dxa"/>
              <w:bottom w:w="0" w:type="dxa"/>
              <w:right w:w="100" w:type="dxa"/>
            </w:tcMar>
          </w:tcPr>
          <w:p w14:paraId="54B84883" w14:textId="77777777" w:rsidR="00DA1DE9" w:rsidRDefault="00DA1DE9" w:rsidP="00A42B8C">
            <w:pPr>
              <w:rPr>
                <w:rFonts w:ascii="Times New Roman" w:eastAsia="Times New Roman" w:hAnsi="Times New Roman" w:cs="Times New Roman"/>
                <w:sz w:val="18"/>
                <w:szCs w:val="18"/>
              </w:rPr>
            </w:pPr>
            <w:r>
              <w:rPr>
                <w:rFonts w:ascii="Times New Roman" w:eastAsia="Times New Roman" w:hAnsi="Times New Roman" w:cs="Times New Roman"/>
                <w:sz w:val="18"/>
                <w:szCs w:val="18"/>
              </w:rPr>
              <w:t>This metric is the most simplistic of the four, describing the degree to which species are connected in a network. Based on a binary matrix, it is commonly calculated by the “ratio between the total number of realised links in a network and the theoretical maximum number of possible links” (number of plants * number of pollinators) (Dehling 2018, p. 32). In practice, the maximum number of possible links is lower than this number because of the ecological incompatibility of some species – the so-called ‘forbidden links’. Reasons for forbidden links include “spatial and temporal uncoupling, size mismatches and intrinsically low probabilities of interspecific encounter for most potential interactions of partner species” (Jordano 2016, p. 1883).</w:t>
            </w:r>
          </w:p>
        </w:tc>
        <w:tc>
          <w:tcPr>
            <w:tcW w:w="3345" w:type="dxa"/>
            <w:tcBorders>
              <w:top w:val="nil"/>
              <w:left w:val="nil"/>
              <w:bottom w:val="single" w:sz="5" w:space="0" w:color="000000"/>
              <w:right w:val="single" w:sz="5" w:space="0" w:color="000000"/>
            </w:tcBorders>
            <w:shd w:val="clear" w:color="auto" w:fill="F2F2F2"/>
            <w:tcMar>
              <w:top w:w="0" w:type="dxa"/>
              <w:left w:w="100" w:type="dxa"/>
              <w:bottom w:w="0" w:type="dxa"/>
              <w:right w:w="100" w:type="dxa"/>
            </w:tcMar>
          </w:tcPr>
          <w:p w14:paraId="3CC2BB1B" w14:textId="77777777" w:rsidR="00DA1DE9" w:rsidRDefault="00DA1DE9" w:rsidP="00A42B8C">
            <w:pPr>
              <w:rPr>
                <w:rFonts w:ascii="Times New Roman" w:eastAsia="Times New Roman" w:hAnsi="Times New Roman" w:cs="Times New Roman"/>
                <w:sz w:val="18"/>
                <w:szCs w:val="18"/>
              </w:rPr>
            </w:pPr>
            <w:r>
              <w:rPr>
                <w:rFonts w:ascii="Times New Roman" w:eastAsia="Times New Roman" w:hAnsi="Times New Roman" w:cs="Times New Roman"/>
                <w:sz w:val="18"/>
                <w:szCs w:val="18"/>
              </w:rPr>
              <w:t>Connectance in bipartite is calculated as the proportion of possible links in the network that are realized:</w:t>
            </w:r>
          </w:p>
          <w:p w14:paraId="1590DBC5" w14:textId="77777777" w:rsidR="00DA1DE9" w:rsidRDefault="00DA1DE9" w:rsidP="00A42B8C">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714BC9B0" w14:textId="77777777" w:rsidR="00DA1DE9" w:rsidRDefault="00DA1DE9" w:rsidP="00A42B8C">
            <w:pPr>
              <w:rPr>
                <w:rFonts w:ascii="Times New Roman" w:eastAsia="Times New Roman" w:hAnsi="Times New Roman" w:cs="Times New Roman"/>
                <w:sz w:val="18"/>
                <w:szCs w:val="18"/>
              </w:rPr>
            </w:pPr>
            <w:r>
              <w:rPr>
                <w:rFonts w:ascii="Times New Roman" w:eastAsia="Times New Roman" w:hAnsi="Times New Roman" w:cs="Times New Roman"/>
                <w:sz w:val="18"/>
                <w:szCs w:val="18"/>
              </w:rPr>
              <w:t>C = I / (A*P)</w:t>
            </w:r>
          </w:p>
          <w:p w14:paraId="03855CD4" w14:textId="77777777" w:rsidR="00DA1DE9" w:rsidRDefault="00DA1DE9" w:rsidP="00A42B8C">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2E46D61B" w14:textId="77777777" w:rsidR="00DA1DE9" w:rsidRDefault="00DA1DE9" w:rsidP="00A42B8C">
            <w:pPr>
              <w:rPr>
                <w:rFonts w:ascii="Times New Roman" w:eastAsia="Times New Roman" w:hAnsi="Times New Roman" w:cs="Times New Roman"/>
                <w:sz w:val="18"/>
                <w:szCs w:val="18"/>
              </w:rPr>
            </w:pPr>
            <w:r>
              <w:rPr>
                <w:rFonts w:ascii="Times New Roman" w:eastAsia="Times New Roman" w:hAnsi="Times New Roman" w:cs="Times New Roman"/>
                <w:sz w:val="18"/>
                <w:szCs w:val="18"/>
              </w:rPr>
              <w:t>in which I denotes the number of observed links, A the number of pollinator species and P the number of plant species.</w:t>
            </w:r>
          </w:p>
          <w:p w14:paraId="6E90A046" w14:textId="77777777" w:rsidR="00DA1DE9" w:rsidRDefault="00DA1DE9" w:rsidP="00A42B8C">
            <w:pPr>
              <w:rPr>
                <w:rFonts w:ascii="Times New Roman" w:eastAsia="Times New Roman" w:hAnsi="Times New Roman" w:cs="Times New Roman"/>
                <w:sz w:val="18"/>
                <w:szCs w:val="18"/>
              </w:rPr>
            </w:pPr>
          </w:p>
          <w:p w14:paraId="3D618ECC" w14:textId="77777777" w:rsidR="00DA1DE9" w:rsidRDefault="00DA1DE9" w:rsidP="00A42B8C">
            <w:pPr>
              <w:rPr>
                <w:rFonts w:ascii="Times New Roman" w:eastAsia="Times New Roman" w:hAnsi="Times New Roman" w:cs="Times New Roman"/>
                <w:sz w:val="18"/>
                <w:szCs w:val="18"/>
              </w:rPr>
            </w:pPr>
            <w:r>
              <w:rPr>
                <w:rFonts w:ascii="Times New Roman" w:eastAsia="Times New Roman" w:hAnsi="Times New Roman" w:cs="Times New Roman"/>
                <w:sz w:val="18"/>
                <w:szCs w:val="18"/>
              </w:rPr>
              <w:t>Here, we calculated weighted connectance, which divides linkage density by the total number of species within the network (Bersier et al. 2002).</w:t>
            </w:r>
          </w:p>
        </w:tc>
      </w:tr>
      <w:tr w:rsidR="00DA1DE9" w14:paraId="0DF2B165" w14:textId="77777777" w:rsidTr="00A42B8C">
        <w:trPr>
          <w:trHeight w:val="4835"/>
        </w:trPr>
        <w:tc>
          <w:tcPr>
            <w:tcW w:w="1470" w:type="dxa"/>
            <w:tcBorders>
              <w:top w:val="nil"/>
              <w:left w:val="single" w:sz="5" w:space="0" w:color="000000"/>
              <w:bottom w:val="single" w:sz="5" w:space="0" w:color="000000"/>
              <w:right w:val="single" w:sz="5" w:space="0" w:color="000000"/>
            </w:tcBorders>
            <w:shd w:val="clear" w:color="auto" w:fill="F2F2F2"/>
            <w:tcMar>
              <w:top w:w="0" w:type="dxa"/>
              <w:left w:w="100" w:type="dxa"/>
              <w:bottom w:w="0" w:type="dxa"/>
              <w:right w:w="100" w:type="dxa"/>
            </w:tcMar>
          </w:tcPr>
          <w:p w14:paraId="1444E497" w14:textId="77777777" w:rsidR="00DA1DE9" w:rsidRDefault="00DA1DE9" w:rsidP="00A42B8C">
            <w:pPr>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Nestedness</w:t>
            </w:r>
          </w:p>
          <w:p w14:paraId="32024182" w14:textId="77777777" w:rsidR="00DA1DE9" w:rsidRDefault="00DA1DE9" w:rsidP="00A42B8C">
            <w:pPr>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 WNODF )</w:t>
            </w:r>
          </w:p>
        </w:tc>
        <w:tc>
          <w:tcPr>
            <w:tcW w:w="4500" w:type="dxa"/>
            <w:tcBorders>
              <w:top w:val="nil"/>
              <w:left w:val="nil"/>
              <w:bottom w:val="single" w:sz="5" w:space="0" w:color="000000"/>
              <w:right w:val="single" w:sz="5" w:space="0" w:color="000000"/>
            </w:tcBorders>
            <w:shd w:val="clear" w:color="auto" w:fill="F2F2F2"/>
            <w:tcMar>
              <w:top w:w="0" w:type="dxa"/>
              <w:left w:w="100" w:type="dxa"/>
              <w:bottom w:w="0" w:type="dxa"/>
              <w:right w:w="100" w:type="dxa"/>
            </w:tcMar>
          </w:tcPr>
          <w:p w14:paraId="1B97EB1A" w14:textId="77777777" w:rsidR="00DA1DE9" w:rsidRDefault="00DA1DE9" w:rsidP="00A42B8C">
            <w:pPr>
              <w:rPr>
                <w:rFonts w:ascii="Times New Roman" w:eastAsia="Times New Roman" w:hAnsi="Times New Roman" w:cs="Times New Roman"/>
                <w:sz w:val="18"/>
                <w:szCs w:val="18"/>
              </w:rPr>
            </w:pPr>
            <w:r>
              <w:rPr>
                <w:rFonts w:ascii="Times New Roman" w:eastAsia="Times New Roman" w:hAnsi="Times New Roman" w:cs="Times New Roman"/>
                <w:sz w:val="18"/>
                <w:szCs w:val="18"/>
              </w:rPr>
              <w:t>This metric “describes the extent to which the interaction partners of one species present a subset of the interaction partners of another species” (Dehling 2018, p. 32). In a perfectly nested network, the links of specialists are embedded within the generalist core of species on the other side. This is asymmetrical in the sense that specialists mostly link up with generalists from the other side, and the other way around (ibid.). A perfectly nested situation can be visualised in a ‘packed’ matrix, which consists of a triangular shape. Britton et al</w:t>
            </w:r>
            <w:r>
              <w:rPr>
                <w:rFonts w:ascii="Times New Roman" w:eastAsia="Times New Roman" w:hAnsi="Times New Roman" w:cs="Times New Roman"/>
                <w:i/>
                <w:sz w:val="18"/>
                <w:szCs w:val="18"/>
              </w:rPr>
              <w:t xml:space="preserve">. </w:t>
            </w:r>
            <w:r>
              <w:rPr>
                <w:rFonts w:ascii="Times New Roman" w:eastAsia="Times New Roman" w:hAnsi="Times New Roman" w:cs="Times New Roman"/>
                <w:sz w:val="18"/>
                <w:szCs w:val="18"/>
              </w:rPr>
              <w:t>(2016, p. 7) visualised this in the image to the right, with interacting species on the x and y axes, and the generalist core visible in the top left, for binary (a) and quantitative (b) matrices.</w:t>
            </w:r>
            <w:r>
              <w:rPr>
                <w:noProof/>
              </w:rPr>
              <w:drawing>
                <wp:anchor distT="114300" distB="114300" distL="114300" distR="114300" simplePos="0" relativeHeight="251659264" behindDoc="0" locked="0" layoutInCell="1" hidden="0" allowOverlap="1" wp14:anchorId="3569EF43" wp14:editId="4B91F746">
                  <wp:simplePos x="0" y="0"/>
                  <wp:positionH relativeFrom="column">
                    <wp:posOffset>1695450</wp:posOffset>
                  </wp:positionH>
                  <wp:positionV relativeFrom="paragraph">
                    <wp:posOffset>880774</wp:posOffset>
                  </wp:positionV>
                  <wp:extent cx="977325" cy="1890713"/>
                  <wp:effectExtent l="0" t="0" r="0" b="0"/>
                  <wp:wrapSquare wrapText="bothSides" distT="114300" distB="114300" distL="114300" distR="114300"/>
                  <wp:docPr id="2" name="image5.png" descr="A grid of squares with a black square&#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5.png" descr="A grid of squares with a black square&#10;&#10;Description automatically generated"/>
                          <pic:cNvPicPr preferRelativeResize="0"/>
                        </pic:nvPicPr>
                        <pic:blipFill>
                          <a:blip r:embed="rId4"/>
                          <a:srcRect/>
                          <a:stretch>
                            <a:fillRect/>
                          </a:stretch>
                        </pic:blipFill>
                        <pic:spPr>
                          <a:xfrm>
                            <a:off x="0" y="0"/>
                            <a:ext cx="977325" cy="1890713"/>
                          </a:xfrm>
                          <a:prstGeom prst="rect">
                            <a:avLst/>
                          </a:prstGeom>
                          <a:ln/>
                        </pic:spPr>
                      </pic:pic>
                    </a:graphicData>
                  </a:graphic>
                </wp:anchor>
              </w:drawing>
            </w:r>
          </w:p>
        </w:tc>
        <w:tc>
          <w:tcPr>
            <w:tcW w:w="3345" w:type="dxa"/>
            <w:tcBorders>
              <w:top w:val="nil"/>
              <w:left w:val="nil"/>
              <w:bottom w:val="single" w:sz="5" w:space="0" w:color="000000"/>
              <w:right w:val="single" w:sz="5" w:space="0" w:color="000000"/>
            </w:tcBorders>
            <w:shd w:val="clear" w:color="auto" w:fill="F2F2F2"/>
            <w:tcMar>
              <w:top w:w="0" w:type="dxa"/>
              <w:left w:w="100" w:type="dxa"/>
              <w:bottom w:w="0" w:type="dxa"/>
              <w:right w:w="100" w:type="dxa"/>
            </w:tcMar>
          </w:tcPr>
          <w:p w14:paraId="2E22F3E0" w14:textId="77777777" w:rsidR="00DA1DE9" w:rsidRDefault="00DA1DE9" w:rsidP="00A42B8C">
            <w:pPr>
              <w:rPr>
                <w:rFonts w:ascii="Times New Roman" w:eastAsia="Times New Roman" w:hAnsi="Times New Roman" w:cs="Times New Roman"/>
                <w:sz w:val="18"/>
                <w:szCs w:val="18"/>
              </w:rPr>
            </w:pPr>
            <w:r>
              <w:rPr>
                <w:rFonts w:ascii="Times New Roman" w:eastAsia="Times New Roman" w:hAnsi="Times New Roman" w:cs="Times New Roman"/>
                <w:sz w:val="18"/>
                <w:szCs w:val="18"/>
              </w:rPr>
              <w:t>The first way to calculate a nestedness metric was proposed by Atmar and Patterson (1993), coining the ‘nestedness temperature’ of a binary matrix, for which Bascompte et al</w:t>
            </w:r>
            <w:r>
              <w:rPr>
                <w:rFonts w:ascii="Times New Roman" w:eastAsia="Times New Roman" w:hAnsi="Times New Roman" w:cs="Times New Roman"/>
                <w:i/>
                <w:sz w:val="18"/>
                <w:szCs w:val="18"/>
              </w:rPr>
              <w:t xml:space="preserve">. </w:t>
            </w:r>
            <w:r>
              <w:rPr>
                <w:rFonts w:ascii="Times New Roman" w:eastAsia="Times New Roman" w:hAnsi="Times New Roman" w:cs="Times New Roman"/>
                <w:sz w:val="18"/>
                <w:szCs w:val="18"/>
              </w:rPr>
              <w:t>(2003) further developed calculation software. Later, Almeida-Neto et al</w:t>
            </w:r>
            <w:r>
              <w:rPr>
                <w:rFonts w:ascii="Times New Roman" w:eastAsia="Times New Roman" w:hAnsi="Times New Roman" w:cs="Times New Roman"/>
                <w:i/>
                <w:sz w:val="18"/>
                <w:szCs w:val="18"/>
              </w:rPr>
              <w:t xml:space="preserve">. </w:t>
            </w:r>
            <w:r>
              <w:rPr>
                <w:rFonts w:ascii="Times New Roman" w:eastAsia="Times New Roman" w:hAnsi="Times New Roman" w:cs="Times New Roman"/>
                <w:sz w:val="18"/>
                <w:szCs w:val="18"/>
              </w:rPr>
              <w:t>(2008) created the metric NODF (Nestedness metric based on Overlap and Decreasing Fill), which was extended to quantitative matrices in WNODF (weighted NODF). NODF and WNODF are both commonly used in the literature and are thought to be the most representative metrics of nestedness (Britton et al</w:t>
            </w:r>
            <w:r>
              <w:rPr>
                <w:rFonts w:ascii="Times New Roman" w:eastAsia="Times New Roman" w:hAnsi="Times New Roman" w:cs="Times New Roman"/>
                <w:i/>
                <w:sz w:val="18"/>
                <w:szCs w:val="18"/>
              </w:rPr>
              <w:t xml:space="preserve">. </w:t>
            </w:r>
            <w:r>
              <w:rPr>
                <w:rFonts w:ascii="Times New Roman" w:eastAsia="Times New Roman" w:hAnsi="Times New Roman" w:cs="Times New Roman"/>
                <w:sz w:val="18"/>
                <w:szCs w:val="18"/>
              </w:rPr>
              <w:t>2016). Here we calculated WNODF as we only included quantitative networks.</w:t>
            </w:r>
          </w:p>
        </w:tc>
      </w:tr>
      <w:tr w:rsidR="00DA1DE9" w14:paraId="5A01DDEB" w14:textId="77777777" w:rsidTr="00A42B8C">
        <w:trPr>
          <w:trHeight w:val="2970"/>
        </w:trPr>
        <w:tc>
          <w:tcPr>
            <w:tcW w:w="1470" w:type="dxa"/>
            <w:tcBorders>
              <w:top w:val="nil"/>
              <w:left w:val="single" w:sz="5" w:space="0" w:color="000000"/>
              <w:bottom w:val="single" w:sz="5" w:space="0" w:color="000000"/>
              <w:right w:val="single" w:sz="5" w:space="0" w:color="000000"/>
            </w:tcBorders>
            <w:shd w:val="clear" w:color="auto" w:fill="F2F2F2"/>
            <w:tcMar>
              <w:top w:w="0" w:type="dxa"/>
              <w:left w:w="100" w:type="dxa"/>
              <w:bottom w:w="0" w:type="dxa"/>
              <w:right w:w="100" w:type="dxa"/>
            </w:tcMar>
          </w:tcPr>
          <w:p w14:paraId="328C1B13" w14:textId="77777777" w:rsidR="00DA1DE9" w:rsidRDefault="00DA1DE9" w:rsidP="00A42B8C">
            <w:pPr>
              <w:jc w:val="both"/>
              <w:rPr>
                <w:rFonts w:ascii="Times New Roman" w:eastAsia="Times New Roman" w:hAnsi="Times New Roman" w:cs="Times New Roman"/>
                <w:b/>
                <w:sz w:val="18"/>
                <w:szCs w:val="18"/>
              </w:rPr>
            </w:pPr>
          </w:p>
          <w:p w14:paraId="43F78843" w14:textId="77777777" w:rsidR="00DA1DE9" w:rsidRDefault="00DA1DE9" w:rsidP="00A42B8C">
            <w:pPr>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Network specialisation</w:t>
            </w:r>
          </w:p>
          <w:p w14:paraId="0A333C73" w14:textId="77777777" w:rsidR="00DA1DE9" w:rsidRDefault="00DA1DE9" w:rsidP="00A42B8C">
            <w:pPr>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r>
              <w:rPr>
                <w:rFonts w:ascii="Times New Roman" w:eastAsia="Times New Roman" w:hAnsi="Times New Roman" w:cs="Times New Roman"/>
                <w:i/>
                <w:sz w:val="24"/>
                <w:szCs w:val="24"/>
              </w:rPr>
              <w:t>H</w:t>
            </w:r>
            <w:r>
              <w:rPr>
                <w:rFonts w:ascii="Times New Roman" w:eastAsia="Times New Roman" w:hAnsi="Times New Roman" w:cs="Times New Roman"/>
                <w:i/>
                <w:sz w:val="24"/>
                <w:szCs w:val="24"/>
                <w:vertAlign w:val="subscript"/>
              </w:rPr>
              <w:t>2</w:t>
            </w:r>
            <w:r>
              <w:rPr>
                <w:rFonts w:ascii="Times New Roman" w:eastAsia="Times New Roman" w:hAnsi="Times New Roman" w:cs="Times New Roman"/>
                <w:i/>
                <w:sz w:val="24"/>
                <w:szCs w:val="24"/>
              </w:rPr>
              <w:t>’</w:t>
            </w:r>
            <w:r>
              <w:rPr>
                <w:rFonts w:ascii="Times New Roman" w:eastAsia="Times New Roman" w:hAnsi="Times New Roman" w:cs="Times New Roman"/>
                <w:b/>
                <w:sz w:val="18"/>
                <w:szCs w:val="18"/>
              </w:rPr>
              <w:t xml:space="preserve"> )</w:t>
            </w:r>
          </w:p>
        </w:tc>
        <w:tc>
          <w:tcPr>
            <w:tcW w:w="4500" w:type="dxa"/>
            <w:tcBorders>
              <w:top w:val="nil"/>
              <w:left w:val="nil"/>
              <w:bottom w:val="single" w:sz="5" w:space="0" w:color="000000"/>
              <w:right w:val="single" w:sz="5" w:space="0" w:color="000000"/>
            </w:tcBorders>
            <w:shd w:val="clear" w:color="auto" w:fill="F2F2F2"/>
            <w:tcMar>
              <w:top w:w="0" w:type="dxa"/>
              <w:left w:w="100" w:type="dxa"/>
              <w:bottom w:w="0" w:type="dxa"/>
              <w:right w:w="100" w:type="dxa"/>
            </w:tcMar>
          </w:tcPr>
          <w:p w14:paraId="6AA2AD8A" w14:textId="77777777" w:rsidR="00DA1DE9" w:rsidRDefault="00DA1DE9" w:rsidP="00A42B8C">
            <w:pPr>
              <w:rPr>
                <w:rFonts w:ascii="Times New Roman" w:eastAsia="Times New Roman" w:hAnsi="Times New Roman" w:cs="Times New Roman"/>
                <w:sz w:val="18"/>
                <w:szCs w:val="18"/>
              </w:rPr>
            </w:pPr>
            <w:r>
              <w:rPr>
                <w:rFonts w:ascii="Times New Roman" w:eastAsia="Times New Roman" w:hAnsi="Times New Roman" w:cs="Times New Roman"/>
                <w:sz w:val="18"/>
                <w:szCs w:val="18"/>
              </w:rPr>
              <w:t>Originally a species-level metric, network specialisation “relates the observed interaction frequencies between species to the interaction frequencies expected based on species abundance (i.e. occurrence frequencies), and presents a measure of species’ interaction patterns.” (Dehling 2018). The metric is more commonly written as H2 or H</w:t>
            </w:r>
            <w:r>
              <w:rPr>
                <w:rFonts w:ascii="Times New Roman" w:eastAsia="Times New Roman" w:hAnsi="Times New Roman" w:cs="Times New Roman"/>
                <w:sz w:val="18"/>
                <w:szCs w:val="18"/>
                <w:vertAlign w:val="subscript"/>
              </w:rPr>
              <w:t>2</w:t>
            </w:r>
            <w:r>
              <w:rPr>
                <w:rFonts w:ascii="Times New Roman" w:eastAsia="Times New Roman" w:hAnsi="Times New Roman" w:cs="Times New Roman"/>
                <w:sz w:val="18"/>
                <w:szCs w:val="18"/>
              </w:rPr>
              <w:t>’.</w:t>
            </w:r>
          </w:p>
        </w:tc>
        <w:tc>
          <w:tcPr>
            <w:tcW w:w="3345" w:type="dxa"/>
            <w:tcBorders>
              <w:top w:val="nil"/>
              <w:left w:val="nil"/>
              <w:bottom w:val="single" w:sz="5" w:space="0" w:color="000000"/>
              <w:right w:val="single" w:sz="5" w:space="0" w:color="000000"/>
            </w:tcBorders>
            <w:shd w:val="clear" w:color="auto" w:fill="F2F2F2"/>
            <w:tcMar>
              <w:top w:w="0" w:type="dxa"/>
              <w:left w:w="100" w:type="dxa"/>
              <w:bottom w:w="0" w:type="dxa"/>
              <w:right w:w="100" w:type="dxa"/>
            </w:tcMar>
          </w:tcPr>
          <w:p w14:paraId="7DE875F3" w14:textId="77777777" w:rsidR="00DA1DE9" w:rsidRDefault="00DA1DE9" w:rsidP="00A42B8C">
            <w:pPr>
              <w:rPr>
                <w:rFonts w:ascii="Times New Roman" w:eastAsia="Times New Roman" w:hAnsi="Times New Roman" w:cs="Times New Roman"/>
                <w:sz w:val="18"/>
                <w:szCs w:val="18"/>
              </w:rPr>
            </w:pPr>
            <w:r>
              <w:rPr>
                <w:rFonts w:ascii="Times New Roman" w:eastAsia="Times New Roman" w:hAnsi="Times New Roman" w:cs="Times New Roman"/>
                <w:i/>
                <w:sz w:val="18"/>
                <w:szCs w:val="18"/>
              </w:rPr>
              <w:t>H</w:t>
            </w:r>
            <w:r>
              <w:rPr>
                <w:rFonts w:ascii="Times New Roman" w:eastAsia="Times New Roman" w:hAnsi="Times New Roman" w:cs="Times New Roman"/>
                <w:i/>
                <w:sz w:val="18"/>
                <w:szCs w:val="18"/>
                <w:vertAlign w:val="subscript"/>
              </w:rPr>
              <w:t>2</w:t>
            </w:r>
            <w:r>
              <w:rPr>
                <w:rFonts w:ascii="Times New Roman" w:eastAsia="Times New Roman" w:hAnsi="Times New Roman" w:cs="Times New Roman"/>
                <w:i/>
                <w:sz w:val="18"/>
                <w:szCs w:val="18"/>
              </w:rPr>
              <w:t>’</w:t>
            </w:r>
            <w:r>
              <w:rPr>
                <w:rFonts w:ascii="Times New Roman" w:eastAsia="Times New Roman" w:hAnsi="Times New Roman" w:cs="Times New Roman"/>
                <w:sz w:val="18"/>
                <w:szCs w:val="18"/>
              </w:rPr>
              <w:t xml:space="preserve"> makes use of a quantitative matrix, for which abundance data for links between species is required. Developed by Blüthgen et al</w:t>
            </w:r>
            <w:r>
              <w:rPr>
                <w:rFonts w:ascii="Times New Roman" w:eastAsia="Times New Roman" w:hAnsi="Times New Roman" w:cs="Times New Roman"/>
                <w:i/>
                <w:sz w:val="18"/>
                <w:szCs w:val="18"/>
              </w:rPr>
              <w:t xml:space="preserve">. </w:t>
            </w:r>
            <w:r>
              <w:rPr>
                <w:rFonts w:ascii="Times New Roman" w:eastAsia="Times New Roman" w:hAnsi="Times New Roman" w:cs="Times New Roman"/>
                <w:sz w:val="18"/>
                <w:szCs w:val="18"/>
              </w:rPr>
              <w:t xml:space="preserve">(2006), the metric  was first calculated as </w:t>
            </w:r>
            <w:r>
              <w:rPr>
                <w:rFonts w:ascii="Times New Roman" w:eastAsia="Times New Roman" w:hAnsi="Times New Roman" w:cs="Times New Roman"/>
                <w:i/>
                <w:sz w:val="18"/>
                <w:szCs w:val="18"/>
              </w:rPr>
              <w:t>d’</w:t>
            </w:r>
            <w:r>
              <w:rPr>
                <w:rFonts w:ascii="Times New Roman" w:eastAsia="Times New Roman" w:hAnsi="Times New Roman" w:cs="Times New Roman"/>
                <w:sz w:val="18"/>
                <w:szCs w:val="18"/>
              </w:rPr>
              <w:t xml:space="preserve"> (d prime), an assessment of how many links individual species had compared to the number of links that an abundance-based model expects. This metric is extended to the network level in </w:t>
            </w:r>
            <w:r>
              <w:rPr>
                <w:rFonts w:ascii="Times New Roman" w:eastAsia="Times New Roman" w:hAnsi="Times New Roman" w:cs="Times New Roman"/>
                <w:i/>
                <w:sz w:val="18"/>
                <w:szCs w:val="18"/>
              </w:rPr>
              <w:t>H</w:t>
            </w:r>
            <w:r>
              <w:rPr>
                <w:rFonts w:ascii="Times New Roman" w:eastAsia="Times New Roman" w:hAnsi="Times New Roman" w:cs="Times New Roman"/>
                <w:i/>
                <w:sz w:val="18"/>
                <w:szCs w:val="18"/>
                <w:vertAlign w:val="subscript"/>
              </w:rPr>
              <w:t>2</w:t>
            </w:r>
            <w:r>
              <w:rPr>
                <w:rFonts w:ascii="Times New Roman" w:eastAsia="Times New Roman" w:hAnsi="Times New Roman" w:cs="Times New Roman"/>
                <w:i/>
                <w:sz w:val="18"/>
                <w:szCs w:val="18"/>
              </w:rPr>
              <w:t>’</w:t>
            </w:r>
            <w:r>
              <w:rPr>
                <w:rFonts w:ascii="Times New Roman" w:eastAsia="Times New Roman" w:hAnsi="Times New Roman" w:cs="Times New Roman"/>
                <w:sz w:val="18"/>
                <w:szCs w:val="18"/>
              </w:rPr>
              <w:t xml:space="preserve">, a ‘complementary specialisation index’ that “characterises the degree of specialisation or partitioning among two parties in the entire network” (Dehling 2018, p.1). </w:t>
            </w:r>
          </w:p>
        </w:tc>
      </w:tr>
      <w:tr w:rsidR="00DA1DE9" w14:paraId="6B5EA130" w14:textId="77777777" w:rsidTr="00A42B8C">
        <w:trPr>
          <w:trHeight w:val="1483"/>
        </w:trPr>
        <w:tc>
          <w:tcPr>
            <w:tcW w:w="1470" w:type="dxa"/>
            <w:tcBorders>
              <w:top w:val="nil"/>
              <w:left w:val="single" w:sz="5" w:space="0" w:color="000000"/>
              <w:bottom w:val="single" w:sz="5" w:space="0" w:color="000000"/>
              <w:right w:val="single" w:sz="5" w:space="0" w:color="000000"/>
            </w:tcBorders>
            <w:shd w:val="clear" w:color="auto" w:fill="F2F2F2"/>
            <w:tcMar>
              <w:top w:w="0" w:type="dxa"/>
              <w:left w:w="100" w:type="dxa"/>
              <w:bottom w:w="0" w:type="dxa"/>
              <w:right w:w="100" w:type="dxa"/>
            </w:tcMar>
          </w:tcPr>
          <w:p w14:paraId="14AB56EB" w14:textId="77777777" w:rsidR="00DA1DE9" w:rsidRDefault="00DA1DE9" w:rsidP="00A42B8C">
            <w:pPr>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Modularity</w:t>
            </w:r>
          </w:p>
          <w:p w14:paraId="0C3220FC" w14:textId="77777777" w:rsidR="00DA1DE9" w:rsidRDefault="00DA1DE9" w:rsidP="00A42B8C">
            <w:pPr>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 M )</w:t>
            </w:r>
          </w:p>
        </w:tc>
        <w:tc>
          <w:tcPr>
            <w:tcW w:w="4500" w:type="dxa"/>
            <w:tcBorders>
              <w:top w:val="nil"/>
              <w:left w:val="nil"/>
              <w:bottom w:val="single" w:sz="5" w:space="0" w:color="000000"/>
              <w:right w:val="single" w:sz="5" w:space="0" w:color="000000"/>
            </w:tcBorders>
            <w:shd w:val="clear" w:color="auto" w:fill="F2F2F2"/>
            <w:tcMar>
              <w:top w:w="0" w:type="dxa"/>
              <w:left w:w="100" w:type="dxa"/>
              <w:bottom w:w="0" w:type="dxa"/>
              <w:right w:w="100" w:type="dxa"/>
            </w:tcMar>
          </w:tcPr>
          <w:p w14:paraId="7A280C14" w14:textId="77777777" w:rsidR="00DA1DE9" w:rsidRDefault="00DA1DE9" w:rsidP="00A42B8C">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This metric describes the degree to which species interactions take place within separate modules (subsets of the network). Through co-evolutionary processes, modules can evolve to cater to very specific types of species (Dehling 2018).</w:t>
            </w:r>
          </w:p>
          <w:p w14:paraId="6D6465BB" w14:textId="77777777" w:rsidR="00DA1DE9" w:rsidRDefault="00DA1DE9" w:rsidP="00A42B8C">
            <w:pPr>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tc>
        <w:tc>
          <w:tcPr>
            <w:tcW w:w="3345" w:type="dxa"/>
            <w:tcBorders>
              <w:top w:val="nil"/>
              <w:left w:val="nil"/>
              <w:bottom w:val="single" w:sz="5" w:space="0" w:color="000000"/>
              <w:right w:val="single" w:sz="5" w:space="0" w:color="000000"/>
            </w:tcBorders>
            <w:shd w:val="clear" w:color="auto" w:fill="F2F2F2"/>
            <w:tcMar>
              <w:top w:w="0" w:type="dxa"/>
              <w:left w:w="100" w:type="dxa"/>
              <w:bottom w:w="0" w:type="dxa"/>
              <w:right w:w="100" w:type="dxa"/>
            </w:tcMar>
          </w:tcPr>
          <w:p w14:paraId="3F9FAA8C" w14:textId="77777777" w:rsidR="00DA1DE9" w:rsidRDefault="00DA1DE9" w:rsidP="00A42B8C">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Here we calculated weighted modularity (modularity Q) with the ‘bipartite’ package in R, which uses the algorithm proposed by Beckett et al. (2016) for weighted modularity. </w:t>
            </w:r>
          </w:p>
        </w:tc>
      </w:tr>
    </w:tbl>
    <w:p w14:paraId="285A9098" w14:textId="77777777" w:rsidR="00DA1DE9" w:rsidRDefault="00DA1DE9" w:rsidP="00DA1DE9">
      <w:pPr>
        <w:jc w:val="both"/>
      </w:pPr>
    </w:p>
    <w:p w14:paraId="3C25837A"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DE9"/>
    <w:rsid w:val="003C2EF4"/>
    <w:rsid w:val="00762329"/>
    <w:rsid w:val="00B74216"/>
    <w:rsid w:val="00D62F8C"/>
    <w:rsid w:val="00DA1DE9"/>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BFFEF"/>
  <w15:chartTrackingRefBased/>
  <w15:docId w15:val="{13F3CB8B-1FEE-4DD8-8F26-8ACF1D6D4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A1DE9"/>
    <w:pPr>
      <w:spacing w:after="0" w:line="276" w:lineRule="auto"/>
    </w:pPr>
    <w:rPr>
      <w:rFonts w:ascii="Arial" w:eastAsia="Arial" w:hAnsi="Arial" w:cs="Arial"/>
      <w:kern w:val="0"/>
      <w14:ligatures w14:val="none"/>
    </w:rPr>
  </w:style>
  <w:style w:type="paragraph" w:styleId="Heading1">
    <w:name w:val="heading 1"/>
    <w:basedOn w:val="Normal"/>
    <w:next w:val="Normal"/>
    <w:link w:val="Heading1Char"/>
    <w:uiPriority w:val="9"/>
    <w:qFormat/>
    <w:rsid w:val="00DA1DE9"/>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A1DE9"/>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A1DE9"/>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A1DE9"/>
    <w:pPr>
      <w:keepNext/>
      <w:keepLines/>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A1DE9"/>
    <w:pPr>
      <w:keepNext/>
      <w:keepLines/>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A1DE9"/>
    <w:pPr>
      <w:keepNext/>
      <w:keepLines/>
      <w:spacing w:before="4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A1DE9"/>
    <w:pPr>
      <w:keepNext/>
      <w:keepLines/>
      <w:spacing w:before="4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A1DE9"/>
    <w:pPr>
      <w:keepNext/>
      <w:keepLines/>
      <w:spacing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A1DE9"/>
    <w:pPr>
      <w:keepNext/>
      <w:keepLines/>
      <w:spacing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1D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1D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1D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1D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1D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1D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1D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1D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1DE9"/>
    <w:rPr>
      <w:rFonts w:eastAsiaTheme="majorEastAsia" w:cstheme="majorBidi"/>
      <w:color w:val="272727" w:themeColor="text1" w:themeTint="D8"/>
    </w:rPr>
  </w:style>
  <w:style w:type="paragraph" w:styleId="Title">
    <w:name w:val="Title"/>
    <w:basedOn w:val="Normal"/>
    <w:next w:val="Normal"/>
    <w:link w:val="TitleChar"/>
    <w:uiPriority w:val="10"/>
    <w:qFormat/>
    <w:rsid w:val="00DA1DE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A1D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1DE9"/>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A1D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1DE9"/>
    <w:pPr>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DA1DE9"/>
    <w:rPr>
      <w:i/>
      <w:iCs/>
      <w:color w:val="404040" w:themeColor="text1" w:themeTint="BF"/>
    </w:rPr>
  </w:style>
  <w:style w:type="paragraph" w:styleId="ListParagraph">
    <w:name w:val="List Paragraph"/>
    <w:basedOn w:val="Normal"/>
    <w:uiPriority w:val="34"/>
    <w:qFormat/>
    <w:rsid w:val="00DA1DE9"/>
    <w:pPr>
      <w:spacing w:after="160" w:line="259"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DA1DE9"/>
    <w:rPr>
      <w:i/>
      <w:iCs/>
      <w:color w:val="0F4761" w:themeColor="accent1" w:themeShade="BF"/>
    </w:rPr>
  </w:style>
  <w:style w:type="paragraph" w:styleId="IntenseQuote">
    <w:name w:val="Intense Quote"/>
    <w:basedOn w:val="Normal"/>
    <w:next w:val="Normal"/>
    <w:link w:val="IntenseQuoteChar"/>
    <w:uiPriority w:val="30"/>
    <w:qFormat/>
    <w:rsid w:val="00DA1DE9"/>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DA1DE9"/>
    <w:rPr>
      <w:i/>
      <w:iCs/>
      <w:color w:val="0F4761" w:themeColor="accent1" w:themeShade="BF"/>
    </w:rPr>
  </w:style>
  <w:style w:type="character" w:styleId="IntenseReference">
    <w:name w:val="Intense Reference"/>
    <w:basedOn w:val="DefaultParagraphFont"/>
    <w:uiPriority w:val="32"/>
    <w:qFormat/>
    <w:rsid w:val="00DA1DE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663</Words>
  <Characters>3785</Characters>
  <Application>Microsoft Office Word</Application>
  <DocSecurity>0</DocSecurity>
  <Lines>31</Lines>
  <Paragraphs>8</Paragraphs>
  <ScaleCrop>false</ScaleCrop>
  <Company>Springer Nature</Company>
  <LinksUpToDate>false</LinksUpToDate>
  <CharactersWithSpaces>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2024-12-20T02:34:00Z</dcterms:created>
  <dcterms:modified xsi:type="dcterms:W3CDTF">2024-12-20T02:34:00Z</dcterms:modified>
</cp:coreProperties>
</file>