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22942" w:rsidRPr="00B22942" w:rsidRDefault="00B22942" w:rsidP="00B22942">
      <w:pPr>
        <w:spacing w:after="0" w:line="480" w:lineRule="auto"/>
        <w:jc w:val="center"/>
        <w:rPr>
          <w:rFonts w:asciiTheme="majorBidi" w:eastAsia="Times New Roman" w:hAnsiTheme="majorBidi" w:cstheme="majorBidi"/>
          <w:noProof/>
          <w:sz w:val="24"/>
          <w:szCs w:val="24"/>
          <w:rtl/>
        </w:rPr>
      </w:pPr>
      <w:r w:rsidRPr="00B22942">
        <w:rPr>
          <w:rFonts w:asciiTheme="majorBidi" w:eastAsia="Times New Roman" w:hAnsiTheme="majorBidi" w:cstheme="majorBidi"/>
          <w:b/>
          <w:bCs/>
          <w:noProof/>
          <w:sz w:val="24"/>
          <w:szCs w:val="24"/>
        </w:rPr>
        <w:t>Appendix B</w:t>
      </w:r>
    </w:p>
    <w:p w:rsidR="00744962" w:rsidRDefault="00744962" w:rsidP="00744962">
      <w:pPr>
        <w:spacing w:after="0" w:line="480" w:lineRule="auto"/>
        <w:rPr>
          <w:rFonts w:asciiTheme="majorBidi" w:eastAsia="Times New Roman" w:hAnsiTheme="majorBidi" w:cstheme="majorBidi"/>
          <w:b/>
          <w:bCs/>
          <w:i/>
          <w:iCs/>
          <w:noProof/>
          <w:sz w:val="24"/>
          <w:szCs w:val="24"/>
          <w:rtl/>
        </w:rPr>
      </w:pPr>
      <w:r w:rsidRPr="00F370B5">
        <w:rPr>
          <w:rFonts w:asciiTheme="majorBidi" w:eastAsia="Times New Roman" w:hAnsiTheme="majorBidi" w:cstheme="majorBidi"/>
          <w:b/>
          <w:bCs/>
          <w:i/>
          <w:iCs/>
          <w:noProof/>
          <w:sz w:val="24"/>
          <w:szCs w:val="24"/>
        </w:rPr>
        <w:t>Saliva samples</w:t>
      </w:r>
      <w:r>
        <w:rPr>
          <w:rFonts w:asciiTheme="majorBidi" w:eastAsia="Times New Roman" w:hAnsiTheme="majorBidi" w:cstheme="majorBidi" w:hint="cs"/>
          <w:b/>
          <w:bCs/>
          <w:i/>
          <w:iCs/>
          <w:noProof/>
          <w:sz w:val="24"/>
          <w:szCs w:val="24"/>
          <w:rtl/>
        </w:rPr>
        <w:t xml:space="preserve"> </w:t>
      </w:r>
      <w:r>
        <w:rPr>
          <w:rFonts w:asciiTheme="majorBidi" w:eastAsia="Times New Roman" w:hAnsiTheme="majorBidi" w:cstheme="majorBidi"/>
          <w:b/>
          <w:bCs/>
          <w:i/>
          <w:iCs/>
          <w:noProof/>
          <w:sz w:val="24"/>
          <w:szCs w:val="24"/>
        </w:rPr>
        <w:t>extraction</w:t>
      </w:r>
    </w:p>
    <w:p w:rsidR="00744962" w:rsidRPr="00D8752E" w:rsidRDefault="00744962" w:rsidP="00744962">
      <w:pPr>
        <w:spacing w:after="0" w:line="480" w:lineRule="auto"/>
        <w:ind w:firstLine="720"/>
        <w:rPr>
          <w:rFonts w:asciiTheme="majorBidi" w:eastAsia="Times New Roman" w:hAnsiTheme="majorBidi" w:cstheme="majorBidi"/>
          <w:bCs/>
          <w:sz w:val="24"/>
          <w:szCs w:val="24"/>
          <w:lang w:val="en-US"/>
        </w:rPr>
      </w:pPr>
      <w:r w:rsidRPr="00780661">
        <w:rPr>
          <w:rFonts w:asciiTheme="majorBidi" w:eastAsia="Times New Roman" w:hAnsiTheme="majorBidi" w:cstheme="majorBidi"/>
          <w:bCs/>
          <w:sz w:val="24"/>
          <w:szCs w:val="24"/>
          <w:lang w:val="en-US"/>
        </w:rPr>
        <w:t>In common practice, sex hormones levels are measured in the blood</w:t>
      </w:r>
      <w:r>
        <w:rPr>
          <w:rFonts w:asciiTheme="majorBidi" w:eastAsia="Times New Roman" w:hAnsiTheme="majorBidi" w:cstheme="majorBidi"/>
          <w:bCs/>
          <w:sz w:val="24"/>
          <w:szCs w:val="24"/>
          <w:lang w:val="en-US"/>
        </w:rPr>
        <w:t>,</w:t>
      </w:r>
      <w:r w:rsidRPr="00780661">
        <w:rPr>
          <w:rFonts w:asciiTheme="majorBidi" w:eastAsia="Times New Roman" w:hAnsiTheme="majorBidi" w:cstheme="majorBidi"/>
          <w:bCs/>
          <w:sz w:val="24"/>
          <w:szCs w:val="24"/>
          <w:lang w:val="en-US"/>
        </w:rPr>
        <w:t xml:space="preserve"> although found in saliva and urine as well</w:t>
      </w:r>
      <w:r>
        <w:rPr>
          <w:rFonts w:asciiTheme="majorBidi" w:eastAsia="Times New Roman" w:hAnsiTheme="majorBidi" w:cstheme="majorBidi"/>
          <w:bCs/>
          <w:sz w:val="24"/>
          <w:szCs w:val="24"/>
          <w:lang w:val="en-US"/>
        </w:rPr>
        <w:t xml:space="preserve"> </w:t>
      </w:r>
      <w:r>
        <w:rPr>
          <w:rFonts w:asciiTheme="majorBidi" w:eastAsia="Times New Roman" w:hAnsiTheme="majorBidi" w:cstheme="majorBidi"/>
          <w:bCs/>
          <w:sz w:val="24"/>
          <w:szCs w:val="24"/>
          <w:lang w:val="en-US"/>
        </w:rPr>
        <w:fldChar w:fldCharType="begin"/>
      </w:r>
      <w:r>
        <w:rPr>
          <w:rFonts w:asciiTheme="majorBidi" w:eastAsia="Times New Roman" w:hAnsiTheme="majorBidi" w:cstheme="majorBidi"/>
          <w:bCs/>
          <w:sz w:val="24"/>
          <w:szCs w:val="24"/>
          <w:lang w:val="en-US"/>
        </w:rPr>
        <w:instrText xml:space="preserve"> ADDIN ZOTERO_ITEM CSL_CITATION {"citationID":"m14sILyK","properties":{"formattedCitation":"(Sperling, 2020)","plainCitation":"(Sperling, 2020)","noteIndex":0},"citationItems":[{"id":900,"uris":["http://zotero.org/users/10914567/items/FXT8DT7J"],"itemData":{"id":900,"type":"book","abstract":"An ideal resource for both pediatricians and endocrinologists, Sperling’s Pediatric Endocrinology, 5th Edition, brings you fully up to date with accelerating research; new discoveries in metabolic, biochemical and molecular mechanisms; and the resulting advances in today’s clinical care. The editorial team of world-renowned pediatric endocrinologists led by Dr. Mark Sperling, as well as expert contributing authors, cover comprehensive and current aspects of both basic science and clinical practice. Whether you’re preparing for certification or have extensive clinical experience, this detailed, authoritative reference helps you increase your knowledge and determine the best possible course for every patient. Delivers trusted guidance in every area of the field: including Endocrine Disorders of the Newborn, Endocrine Disorders of Childhood and Adolescence, and Laboratory Tests.  Features new topics such as transgender issues in children and adolescents and endocrinology of pregnancy, the fetus and the placenta.  Offers expert coverage of hot topics such as disorders of sexual development, molecular basis of endocrine disorders, hypoglycemia in newborns and infants; neonatal and other monogenic forms of diabetes; Type I and Type II diabetes and their treatment with new insulins together with the progress in an artificial pancreas and new medications for T2DM in adolescents; the obesity epidemic and role of bariatric surgery; and advances toward personalized medicine.  Includes easy-to-follow algorithms and numerous quick-reference tables and boxes in every clinical chapter, plus interactive questions online for self-assessment. Offers state-of-the-art information and fresh perspectives from new and award-winning authors in such areas as disorders of growth, multiple endocrine tumors, and puberty and its disorders in girls and boys.","ISBN":"978-0-323-62521-0","language":"en","note":"Google-Books-ID: 8J7yDwAAQBAJ","number-of-pages":"1075","publisher":"Elsevier Health Sciences","source":"Google Books","title":"Sperling Pediatric Endocrinology","author":[{"family":"Sperling","given":"Mark A."}],"issued":{"date-parts":[["2020",7,22]]}}}],"schema":"https://github.com/citation-style-language/schema/raw/master/csl-citation.json"} </w:instrText>
      </w:r>
      <w:r>
        <w:rPr>
          <w:rFonts w:asciiTheme="majorBidi" w:eastAsia="Times New Roman" w:hAnsiTheme="majorBidi" w:cstheme="majorBidi"/>
          <w:bCs/>
          <w:sz w:val="24"/>
          <w:szCs w:val="24"/>
          <w:lang w:val="en-US"/>
        </w:rPr>
        <w:fldChar w:fldCharType="separate"/>
      </w:r>
      <w:r>
        <w:rPr>
          <w:rFonts w:asciiTheme="majorBidi" w:eastAsia="Times New Roman" w:hAnsiTheme="majorBidi" w:cstheme="majorBidi"/>
          <w:bCs/>
          <w:noProof/>
          <w:sz w:val="24"/>
          <w:szCs w:val="24"/>
          <w:lang w:val="en-US"/>
        </w:rPr>
        <w:t>(Sperling, 2020)</w:t>
      </w:r>
      <w:r>
        <w:rPr>
          <w:rFonts w:asciiTheme="majorBidi" w:eastAsia="Times New Roman" w:hAnsiTheme="majorBidi" w:cstheme="majorBidi"/>
          <w:bCs/>
          <w:sz w:val="24"/>
          <w:szCs w:val="24"/>
          <w:lang w:val="en-US"/>
        </w:rPr>
        <w:fldChar w:fldCharType="end"/>
      </w:r>
      <w:r w:rsidRPr="00780661">
        <w:rPr>
          <w:rFonts w:asciiTheme="majorBidi" w:eastAsia="Times New Roman" w:hAnsiTheme="majorBidi" w:cstheme="majorBidi"/>
          <w:bCs/>
          <w:sz w:val="24"/>
          <w:szCs w:val="24"/>
          <w:lang w:val="en-US"/>
        </w:rPr>
        <w:t xml:space="preserve">. </w:t>
      </w:r>
      <w:r w:rsidRPr="00A83224">
        <w:rPr>
          <w:rFonts w:asciiTheme="majorBidi" w:eastAsia="Times New Roman" w:hAnsiTheme="majorBidi" w:cstheme="majorBidi"/>
          <w:bCs/>
          <w:sz w:val="24"/>
          <w:szCs w:val="24"/>
          <w:lang w:val="en-US"/>
        </w:rPr>
        <w:t xml:space="preserve">Steroid hormone analysis </w:t>
      </w:r>
      <w:r>
        <w:rPr>
          <w:rFonts w:asciiTheme="majorBidi" w:eastAsia="Times New Roman" w:hAnsiTheme="majorBidi" w:cstheme="majorBidi"/>
          <w:bCs/>
          <w:sz w:val="24"/>
          <w:szCs w:val="24"/>
          <w:lang w:val="en-US"/>
        </w:rPr>
        <w:t>is</w:t>
      </w:r>
      <w:r w:rsidRPr="00A83224">
        <w:rPr>
          <w:rFonts w:asciiTheme="majorBidi" w:eastAsia="Times New Roman" w:hAnsiTheme="majorBidi" w:cstheme="majorBidi"/>
          <w:bCs/>
          <w:sz w:val="24"/>
          <w:szCs w:val="24"/>
          <w:lang w:val="en-US"/>
        </w:rPr>
        <w:t xml:space="preserve"> challeng</w:t>
      </w:r>
      <w:r>
        <w:rPr>
          <w:rFonts w:asciiTheme="majorBidi" w:eastAsia="Times New Roman" w:hAnsiTheme="majorBidi" w:cstheme="majorBidi"/>
          <w:bCs/>
          <w:sz w:val="24"/>
          <w:szCs w:val="24"/>
          <w:lang w:val="en-US"/>
        </w:rPr>
        <w:t>ing</w:t>
      </w:r>
      <w:r w:rsidRPr="00A83224">
        <w:rPr>
          <w:rFonts w:asciiTheme="majorBidi" w:eastAsia="Times New Roman" w:hAnsiTheme="majorBidi" w:cstheme="majorBidi"/>
          <w:bCs/>
          <w:sz w:val="24"/>
          <w:szCs w:val="24"/>
          <w:lang w:val="en-US"/>
        </w:rPr>
        <w:t xml:space="preserve"> due to biological factors affecting hormone secretion, including age, sex, pubertal stage, and diurnal rhythms. Mass spectrometry-based methods are emerging as a promising a</w:t>
      </w:r>
      <w:r>
        <w:rPr>
          <w:rFonts w:asciiTheme="majorBidi" w:eastAsia="Times New Roman" w:hAnsiTheme="majorBidi" w:cstheme="majorBidi"/>
          <w:bCs/>
          <w:sz w:val="24"/>
          <w:szCs w:val="24"/>
          <w:lang w:val="en-US"/>
        </w:rPr>
        <w:t>pproach</w:t>
      </w:r>
      <w:r w:rsidRPr="00A83224">
        <w:rPr>
          <w:rFonts w:asciiTheme="majorBidi" w:eastAsia="Times New Roman" w:hAnsiTheme="majorBidi" w:cstheme="majorBidi"/>
          <w:bCs/>
          <w:sz w:val="24"/>
          <w:szCs w:val="24"/>
          <w:lang w:val="en-US"/>
        </w:rPr>
        <w:t>, offering multi-parametric analysis with high sensitivity and specificity, along with simpler sample preparation for comprehensive steroid profiling</w:t>
      </w:r>
      <w:r>
        <w:rPr>
          <w:rFonts w:asciiTheme="majorBidi" w:eastAsia="Times New Roman" w:hAnsiTheme="majorBidi" w:cstheme="majorBidi"/>
          <w:bCs/>
          <w:sz w:val="24"/>
          <w:szCs w:val="24"/>
          <w:lang w:val="en-US"/>
        </w:rPr>
        <w:t xml:space="preserve"> </w:t>
      </w:r>
      <w:r>
        <w:rPr>
          <w:rFonts w:asciiTheme="majorBidi" w:eastAsia="Times New Roman" w:hAnsiTheme="majorBidi" w:cstheme="majorBidi"/>
          <w:bCs/>
          <w:sz w:val="24"/>
          <w:szCs w:val="24"/>
          <w:lang w:val="en-US"/>
        </w:rPr>
        <w:fldChar w:fldCharType="begin"/>
      </w:r>
      <w:r>
        <w:rPr>
          <w:rFonts w:asciiTheme="majorBidi" w:eastAsia="Times New Roman" w:hAnsiTheme="majorBidi" w:cstheme="majorBidi"/>
          <w:bCs/>
          <w:sz w:val="24"/>
          <w:szCs w:val="24"/>
          <w:lang w:val="en-US"/>
        </w:rPr>
        <w:instrText xml:space="preserve"> ADDIN ZOTERO_ITEM CSL_CITATION {"citationID":"feb4eAEE","properties":{"formattedCitation":"(Ceglarek et al., 2010)","plainCitation":"(Ceglarek et al., 2010)","noteIndex":0},"citationItems":[{"id":902,"uris":["http://zotero.org/users/10914567/items/ZQVGWKDA"],"itemData":{"id":902,"type":"article-journal","abstract":"Preclinical challenges in the analysis of steroid hormones are primarily determined by biological factors involved in the physiology and pathophysiology of hormone secretion. Major biologically influencing factors like age, sex, pubertal stage, pregnancy, phase of the menstruation, and diurnal rhythm have to be considered in the definition of reference ranges for steroids and their clinical interpretation. Hitherto, in clinical routine laboratories steroids were mainly determined by direct immunoassays applied on automated platforms, which are simple, rapid and cheap if a high number of samples are measured. However, technical factors like cross-reactivity of related steroid metabolites or limited analytical ranges have to be taken in account and may impair accuracy and precision of these direct methods. The actual development of mass spectrometry based analytical platforms for the determination of single steroid or steroid patterns seems to be an alternative analytical approach combining multi-parametric analysis, high sensitivity and specificity as well simple sample pre-treatment, robustness and low running costs for steroid analysis. This short review will give an overview about biological influencing factors and technical disturbing factors of routinely used immunoassay for the analysis of steroids. The application of LC–MS/MS as an alternative routine high-throughput platform for steroid analysis and its perspective role in the standardization and harmonisation of steroid measurements in clinical routine application will be discussed.","collection-title":"Steroid profiling and analytics: going towards Sterome","container-title":"The Journal of Steroid Biochemistry and Molecular Biology","DOI":"10.1016/j.jsbmb.2010.03.039","ISSN":"0960-0760","issue":"3","journalAbbreviation":"The Journal of Steroid Biochemistry and Molecular Biology","page":"505-512","source":"ScienceDirect","title":"Preclinical challenges in steroid analysis of human samples","volume":"121","author":[{"family":"Ceglarek","given":"Uta"},{"family":"Werner","given":"Maria"},{"family":"Kortz","given":"Linda"},{"family":"Körner","given":"Antje"},{"family":"Kiess","given":"Wieland"},{"family":"Thiery","given":"Joachim"},{"family":"Kratzsch","given":"Juergen"}],"issued":{"date-parts":[["2010",8,1]]}}}],"schema":"https://github.com/citation-style-language/schema/raw/master/csl-citation.json"} </w:instrText>
      </w:r>
      <w:r>
        <w:rPr>
          <w:rFonts w:asciiTheme="majorBidi" w:eastAsia="Times New Roman" w:hAnsiTheme="majorBidi" w:cstheme="majorBidi"/>
          <w:bCs/>
          <w:sz w:val="24"/>
          <w:szCs w:val="24"/>
          <w:lang w:val="en-US"/>
        </w:rPr>
        <w:fldChar w:fldCharType="separate"/>
      </w:r>
      <w:r>
        <w:rPr>
          <w:rFonts w:asciiTheme="majorBidi" w:eastAsia="Times New Roman" w:hAnsiTheme="majorBidi" w:cstheme="majorBidi"/>
          <w:bCs/>
          <w:noProof/>
          <w:sz w:val="24"/>
          <w:szCs w:val="24"/>
          <w:lang w:val="en-US"/>
        </w:rPr>
        <w:t>(Ceglarek et al., 2010)</w:t>
      </w:r>
      <w:r>
        <w:rPr>
          <w:rFonts w:asciiTheme="majorBidi" w:eastAsia="Times New Roman" w:hAnsiTheme="majorBidi" w:cstheme="majorBidi"/>
          <w:bCs/>
          <w:sz w:val="24"/>
          <w:szCs w:val="24"/>
          <w:lang w:val="en-US"/>
        </w:rPr>
        <w:fldChar w:fldCharType="end"/>
      </w:r>
      <w:r>
        <w:rPr>
          <w:rFonts w:asciiTheme="majorBidi" w:eastAsia="Times New Roman" w:hAnsiTheme="majorBidi" w:cstheme="majorBidi"/>
          <w:bCs/>
          <w:sz w:val="24"/>
          <w:szCs w:val="24"/>
          <w:lang w:val="en-US"/>
        </w:rPr>
        <w:t>.</w:t>
      </w:r>
    </w:p>
    <w:p w:rsidR="00744962" w:rsidRDefault="00744962" w:rsidP="00744962">
      <w:pPr>
        <w:spacing w:after="0" w:line="480" w:lineRule="auto"/>
        <w:ind w:firstLine="720"/>
        <w:rPr>
          <w:rFonts w:asciiTheme="majorBidi" w:eastAsia="Times New Roman" w:hAnsiTheme="majorBidi" w:cstheme="majorBidi"/>
          <w:noProof/>
          <w:sz w:val="24"/>
          <w:szCs w:val="24"/>
        </w:rPr>
      </w:pPr>
      <w:r w:rsidRPr="00296ECE">
        <w:rPr>
          <w:rFonts w:asciiTheme="majorBidi" w:eastAsia="Times New Roman" w:hAnsiTheme="majorBidi" w:cstheme="majorBidi"/>
          <w:noProof/>
          <w:sz w:val="24"/>
          <w:szCs w:val="24"/>
        </w:rPr>
        <w:t xml:space="preserve">The extraction was performed using previously reported methods </w:t>
      </w:r>
      <w:r w:rsidRPr="00296ECE">
        <w:rPr>
          <w:rFonts w:asciiTheme="majorBidi" w:eastAsia="Times New Roman" w:hAnsiTheme="majorBidi" w:cstheme="majorBidi"/>
          <w:noProof/>
          <w:sz w:val="24"/>
          <w:szCs w:val="24"/>
        </w:rPr>
        <w:fldChar w:fldCharType="begin"/>
      </w:r>
      <w:r w:rsidRPr="00296ECE">
        <w:rPr>
          <w:rFonts w:asciiTheme="majorBidi" w:eastAsia="Times New Roman" w:hAnsiTheme="majorBidi" w:cstheme="majorBidi"/>
          <w:noProof/>
          <w:sz w:val="24"/>
          <w:szCs w:val="24"/>
        </w:rPr>
        <w:instrText xml:space="preserve"> ADDIN ZOTERO_ITEM CSL_CITATION {"citationID":"gn1iG0zB","properties":{"formattedCitation":"(Stella &amp; Dey, 2021; Zhou et al., 2017)","plainCitation":"(Stella &amp; Dey, 2021; Zhou et al., 2017)","noteIndex":0},"citationItems":[{"id":892,"uris":["http://zotero.org/users/10914567/items/2C9T8YHL"],"itemData":{"id":892,"type":"article-journal","abstract":"Amplifex Diene reagent was employed to derivatize estradiol (E2) to enhance the analyte signal at low picogram concentrations. This derivatization enabled measurement of E2 (and other estrogens) in ESI+ mode, earlier retention times for analytes than ...","container-title":"Journal of Chromatographic Science","DOI":"10.1093/chromsci/bmaa104","issue":"3","language":"en","note":"publisher: Oxford University Press\nPMID: 33306780","page":"280","source":"www.ncbi.nlm.nih.gov","title":"A Sensitive and Specific ESI-Positive LC–MS/MS Method for the Quantitation of Estrogens in Human Serum in Under Three Minutes","volume":"59","author":[{"family":"Stella","given":"Aaron"},{"family":"Dey","given":"Subhakar"}],"issued":{"date-parts":[["2021",3]]}}},{"id":896,"uris":["http://zotero.org/users/10914567/items/CE7H3JGT"],"itemData":{"id":896,"type":"article-journal","abstract":"Reliable measurement of total testosterone and estradiol is critical for their use as biomarkers of hormone-related disorders in patient care and translational research. We developed and validated a mass spectrometry method to simultaneously quantify these analytes in human serum without chemical derivatization. Serum is equilibrated with isotopic internal standards and treated with acidic buffer to release hormones from their binding proteins. Lipids are isolated and polar impurities are removed by two serial liquid–liquid extraction steps. Total testosterone and estradiol are measured using liquid chromatography tandem mass spectrometry (LC–MS/MS) in combination of positive and negative electrospray ionization modes. The method shows broad analytical measurement range for both testosterone 0.03–48.5 nM (0.75–1400 ng/dL) and estradiol 11.0–5138 pM (2.99–1400 pg/mL) and excellent agreement with certified reference materials (mean bias less than 2.1% to SRM 971, BCR 576, 577, and 578) and a high order reference method (mean bias 1.25% for testosterone and −0.84% for estradiol). The high accuracy of the method was monitored and certified by CDC Hormone Standardization (HoSt) Program for 2 years with mean bias −0.7% (95% CI −1.6% to 0.2%) for testosterone and 0.1% (95% CI −2.2% to 2.3%) for estradiol. The method precision over a 2-year period for quality control pools at low, medium, and high concentrations was 2.7–2.9% for testosterone and 3.3–5.3% for estradiol. With the consistently excellent accuracy and precision, this method is readily applicable for high-throughput clinical and epidemiological studies.","container-title":"Analytical and Bioanalytical Chemistry","DOI":"10.1007/s00216-017-0529-x","ISSN":"1618-2650","issue":"25","journalAbbreviation":"Anal Bioanal Chem","language":"en","page":"5943-5954","source":"Springer Link","title":"Simultaneous measurement of total estradiol and testosterone in human serum by isotope dilution liquid chromatography tandem mass spectrometry","volume":"409","author":[{"family":"Zhou","given":"Hui"},{"family":"Wang","given":"Yuesong"},{"family":"Gatcombe","given":"Matthew"},{"family":"Farris","given":"Jacob"},{"family":"Botelho","given":"Julianne C."},{"family":"Caudill","given":"Samuel P."},{"family":"Vesper","given":"Hubert W."}],"issued":{"date-parts":[["2017",10,1]]}}}],"schema":"https://github.com/citation-style-language/schema/raw/master/csl-citation.json"} </w:instrText>
      </w:r>
      <w:r w:rsidRPr="00296ECE">
        <w:rPr>
          <w:rFonts w:asciiTheme="majorBidi" w:eastAsia="Times New Roman" w:hAnsiTheme="majorBidi" w:cstheme="majorBidi"/>
          <w:noProof/>
          <w:sz w:val="24"/>
          <w:szCs w:val="24"/>
        </w:rPr>
        <w:fldChar w:fldCharType="separate"/>
      </w:r>
      <w:r w:rsidRPr="00296ECE">
        <w:rPr>
          <w:rFonts w:asciiTheme="majorBidi" w:eastAsia="Times New Roman" w:hAnsiTheme="majorBidi" w:cstheme="majorBidi"/>
          <w:noProof/>
          <w:sz w:val="24"/>
          <w:szCs w:val="24"/>
        </w:rPr>
        <w:t>(Stella &amp; Dey, 2021; Zhou et al., 2017)</w:t>
      </w:r>
      <w:r w:rsidRPr="00296ECE">
        <w:rPr>
          <w:rFonts w:asciiTheme="majorBidi" w:eastAsia="Times New Roman" w:hAnsiTheme="majorBidi" w:cstheme="majorBidi"/>
          <w:noProof/>
          <w:sz w:val="24"/>
          <w:szCs w:val="24"/>
        </w:rPr>
        <w:fldChar w:fldCharType="end"/>
      </w:r>
      <w:r w:rsidRPr="00296ECE">
        <w:rPr>
          <w:rFonts w:asciiTheme="majorBidi" w:eastAsia="Times New Roman" w:hAnsiTheme="majorBidi" w:cstheme="majorBidi"/>
          <w:noProof/>
          <w:sz w:val="24"/>
          <w:szCs w:val="24"/>
        </w:rPr>
        <w:t xml:space="preserve"> with modifications to optimize the procedure to saliva samples. In short, due to a high heterogeneity in the samples’ viscosity and purity, 200 </w:t>
      </w:r>
      <w:r w:rsidRPr="0001510E">
        <w:rPr>
          <w:rFonts w:asciiTheme="majorBidi" w:eastAsia="Times New Roman" w:hAnsiTheme="majorBidi" w:cstheme="majorBidi"/>
          <w:noProof/>
          <w:sz w:val="24"/>
          <w:szCs w:val="24"/>
        </w:rPr>
        <w:t>µL</w:t>
      </w:r>
      <w:r w:rsidRPr="00296ECE">
        <w:rPr>
          <w:rFonts w:asciiTheme="majorBidi" w:eastAsia="Times New Roman" w:hAnsiTheme="majorBidi" w:cstheme="majorBidi"/>
          <w:noProof/>
          <w:sz w:val="24"/>
          <w:szCs w:val="24"/>
        </w:rPr>
        <w:t xml:space="preserve"> saliva were first diluted 5-times with 0.5M ammonium acetate, pH 5.5. After two hours incubation on orbital shaker at 25°C, 1200 rpm samples were split into the two equal parts, 500 </w:t>
      </w:r>
      <w:r w:rsidRPr="0001510E">
        <w:rPr>
          <w:rFonts w:asciiTheme="majorBidi" w:eastAsia="Times New Roman" w:hAnsiTheme="majorBidi" w:cstheme="majorBidi"/>
          <w:noProof/>
          <w:sz w:val="24"/>
          <w:szCs w:val="24"/>
        </w:rPr>
        <w:t>µL</w:t>
      </w:r>
      <w:r w:rsidRPr="00296ECE">
        <w:rPr>
          <w:rFonts w:asciiTheme="majorBidi" w:eastAsia="Times New Roman" w:hAnsiTheme="majorBidi" w:cstheme="majorBidi"/>
          <w:noProof/>
          <w:sz w:val="24"/>
          <w:szCs w:val="24"/>
        </w:rPr>
        <w:t xml:space="preserve"> each. One aliquot was used for the further analysis, and the 2nd aliquot was stored as a back-up. Next, internal standards of labelled testosterone and DHEAS were added to each aliquot and briefly vortexed. Then, 1mL of TBME was added to each tube, samples were vortexed for 2 minutes, then centrifuged for 5 minutes at room temperature, 10000 rpm, and 850uL of the upper phase were collected into the new 1.5 mL tube and fully dried in the SpeedVac. The dried samples were re-constituted in 100 µL of 35% methanol, and 50 µL were injected into the LC-MS/MS instrument to determine levels of testosterone and DHEA S.</w:t>
      </w:r>
    </w:p>
    <w:p w:rsidR="00744962" w:rsidRPr="00F2268F" w:rsidRDefault="00744962" w:rsidP="00744962">
      <w:pPr>
        <w:spacing w:after="0" w:line="360" w:lineRule="auto"/>
        <w:rPr>
          <w:rFonts w:asciiTheme="majorBidi" w:eastAsia="Times New Roman" w:hAnsiTheme="majorBidi" w:cstheme="majorBidi"/>
          <w:b/>
          <w:bCs/>
          <w:i/>
          <w:iCs/>
          <w:noProof/>
          <w:sz w:val="24"/>
          <w:szCs w:val="24"/>
        </w:rPr>
      </w:pPr>
      <w:r w:rsidRPr="00F2268F">
        <w:rPr>
          <w:rFonts w:asciiTheme="majorBidi" w:eastAsia="Times New Roman" w:hAnsiTheme="majorBidi" w:cstheme="majorBidi"/>
          <w:b/>
          <w:bCs/>
          <w:i/>
          <w:iCs/>
          <w:noProof/>
          <w:sz w:val="24"/>
          <w:szCs w:val="24"/>
        </w:rPr>
        <w:t>LC-MS/MS analysis</w:t>
      </w:r>
    </w:p>
    <w:p w:rsidR="00744962" w:rsidRPr="00296ECE" w:rsidRDefault="00744962" w:rsidP="00744962">
      <w:pPr>
        <w:spacing w:after="0" w:line="480" w:lineRule="auto"/>
        <w:ind w:firstLine="720"/>
        <w:rPr>
          <w:rFonts w:asciiTheme="majorBidi" w:eastAsia="Times New Roman" w:hAnsiTheme="majorBidi" w:cstheme="majorBidi"/>
          <w:noProof/>
          <w:sz w:val="24"/>
          <w:szCs w:val="24"/>
        </w:rPr>
      </w:pPr>
      <w:r w:rsidRPr="00296ECE">
        <w:rPr>
          <w:rFonts w:asciiTheme="majorBidi" w:eastAsia="Times New Roman" w:hAnsiTheme="majorBidi" w:cstheme="majorBidi"/>
          <w:noProof/>
          <w:sz w:val="24"/>
          <w:szCs w:val="24"/>
        </w:rPr>
        <w:t xml:space="preserve">The analysis was performed using Xevo TQ-S mass spectrometer (Waters) equipped with electrospray source and coupled with Waters Acquity Premier UPLC system (Waters) equipped with Acquity HSS-T3 column (1 x 100mm, 1.8um, Waters). The separation was achieved using </w:t>
      </w:r>
      <w:r w:rsidRPr="00296ECE">
        <w:rPr>
          <w:rFonts w:asciiTheme="majorBidi" w:eastAsia="Times New Roman" w:hAnsiTheme="majorBidi" w:cstheme="majorBidi"/>
          <w:noProof/>
          <w:sz w:val="24"/>
          <w:szCs w:val="24"/>
        </w:rPr>
        <w:lastRenderedPageBreak/>
        <w:t>the following LC gradient of mobile phase A (0.5 mM ammonium fluoride) and mobile phase B (methanol): 0-0.5 min: 65% of A, 0.5-4.5 min: 0% of A, 4.5-6.5 min: 0% of A, and 6.5-6.6 min: 65% of A. The column was equilibrated for 2.4 min (total run-time 9 min). The flow was 0.08 mL/min, the temperature of the column was 25 °C.</w:t>
      </w:r>
    </w:p>
    <w:p w:rsidR="00744962" w:rsidRPr="00296ECE" w:rsidRDefault="00744962" w:rsidP="00744962">
      <w:pPr>
        <w:spacing w:after="0" w:line="480" w:lineRule="auto"/>
        <w:ind w:firstLine="720"/>
        <w:rPr>
          <w:rFonts w:asciiTheme="majorBidi" w:eastAsia="Times New Roman" w:hAnsiTheme="majorBidi" w:cstheme="majorBidi"/>
          <w:noProof/>
          <w:sz w:val="24"/>
          <w:szCs w:val="24"/>
          <w:rtl/>
        </w:rPr>
      </w:pPr>
      <w:r w:rsidRPr="00296ECE">
        <w:rPr>
          <w:rFonts w:asciiTheme="majorBidi" w:eastAsia="Times New Roman" w:hAnsiTheme="majorBidi" w:cstheme="majorBidi"/>
          <w:noProof/>
          <w:sz w:val="24"/>
          <w:szCs w:val="24"/>
        </w:rPr>
        <w:t>The MS was operated in positive ionization mode, with parent m/z 289.2 -&gt; daughters m/z 96.9 and 109.0 (collision energy 20eV) for testosterone and parent m/z 292.2 -&gt; daughters m/z 96.9 and 109.0 (collision energy 25eV) for testosterone-d3, and in negative ionization mode, with parent m/z 367.11 -&gt; daughter m/z 96.90, collision energy 30eV for DHEA-S and parent m/z 373.0 -&gt; daughter m/z 97.9 (collision energy 30eV) for DHEA-S-d6 ) analysis. The data were analysed using MassLynx and TargetLynx software (version 4.2, Waters).</w:t>
      </w:r>
    </w:p>
    <w:p w:rsidR="00EC7484" w:rsidRDefault="00EC7484"/>
    <w:sectPr w:rsidR="00EC7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62"/>
    <w:rsid w:val="00042755"/>
    <w:rsid w:val="002003CC"/>
    <w:rsid w:val="00305412"/>
    <w:rsid w:val="00744962"/>
    <w:rsid w:val="00B22942"/>
    <w:rsid w:val="00E22DC7"/>
    <w:rsid w:val="00EC74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2F94072"/>
  <w15:chartTrackingRefBased/>
  <w15:docId w15:val="{A949D741-2DAF-B343-B55F-E2650F90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962"/>
    <w:pPr>
      <w:spacing w:after="160" w:line="259" w:lineRule="auto"/>
    </w:pPr>
    <w:rPr>
      <w:kern w:val="0"/>
      <w:sz w:val="22"/>
      <w:szCs w:val="22"/>
      <w:lang w:val="en-GB"/>
      <w14:ligatures w14:val="none"/>
    </w:rPr>
  </w:style>
  <w:style w:type="paragraph" w:styleId="Heading2">
    <w:name w:val="heading 2"/>
    <w:basedOn w:val="Normal"/>
    <w:next w:val="Normal"/>
    <w:link w:val="Heading2Char"/>
    <w:autoRedefine/>
    <w:uiPriority w:val="9"/>
    <w:unhideWhenUsed/>
    <w:qFormat/>
    <w:rsid w:val="00042755"/>
    <w:pPr>
      <w:keepNext/>
      <w:keepLines/>
      <w:spacing w:before="160" w:after="120" w:line="240" w:lineRule="auto"/>
      <w:outlineLvl w:val="1"/>
    </w:pPr>
    <w:rPr>
      <w:rFonts w:asciiTheme="majorBidi" w:eastAsiaTheme="majorEastAsia" w:hAnsiTheme="majorBidi" w:cstheme="majorBidi"/>
      <w:b/>
      <w:color w:val="000000" w:themeColor="text1"/>
      <w:kern w:val="2"/>
      <w:sz w:val="24"/>
      <w:szCs w:val="26"/>
      <w:lang w:val="en-US"/>
      <w14:ligatures w14:val="standardContextual"/>
    </w:rPr>
  </w:style>
  <w:style w:type="paragraph" w:styleId="Heading3">
    <w:name w:val="heading 3"/>
    <w:basedOn w:val="Normal"/>
    <w:next w:val="Normal"/>
    <w:link w:val="Heading3Char"/>
    <w:autoRedefine/>
    <w:uiPriority w:val="9"/>
    <w:unhideWhenUsed/>
    <w:qFormat/>
    <w:rsid w:val="00042755"/>
    <w:pPr>
      <w:keepNext/>
      <w:keepLines/>
      <w:spacing w:before="40" w:after="0" w:line="240" w:lineRule="auto"/>
      <w:outlineLvl w:val="2"/>
    </w:pPr>
    <w:rPr>
      <w:rFonts w:asciiTheme="majorBidi" w:eastAsiaTheme="majorEastAsia" w:hAnsiTheme="majorBidi" w:cstheme="majorBidi"/>
      <w:b/>
      <w:i/>
      <w:color w:val="000000" w:themeColor="text1"/>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2755"/>
    <w:rPr>
      <w:rFonts w:asciiTheme="majorBidi" w:eastAsiaTheme="majorEastAsia" w:hAnsiTheme="majorBidi" w:cstheme="majorBidi"/>
      <w:b/>
      <w:color w:val="000000" w:themeColor="text1"/>
      <w:szCs w:val="26"/>
    </w:rPr>
  </w:style>
  <w:style w:type="paragraph" w:styleId="Title">
    <w:name w:val="Title"/>
    <w:aliases w:val="Heading 4.1"/>
    <w:basedOn w:val="Normal"/>
    <w:next w:val="Normal"/>
    <w:link w:val="TitleChar"/>
    <w:autoRedefine/>
    <w:uiPriority w:val="10"/>
    <w:qFormat/>
    <w:rsid w:val="00042755"/>
    <w:pPr>
      <w:spacing w:after="0" w:line="240" w:lineRule="auto"/>
      <w:ind w:left="720"/>
      <w:contextualSpacing/>
    </w:pPr>
    <w:rPr>
      <w:rFonts w:asciiTheme="majorBidi" w:eastAsiaTheme="majorEastAsia" w:hAnsiTheme="majorBidi" w:cstheme="majorBidi"/>
      <w:b/>
      <w:spacing w:val="-10"/>
      <w:kern w:val="28"/>
      <w:sz w:val="24"/>
      <w:szCs w:val="56"/>
      <w:lang w:val="en-US"/>
      <w14:ligatures w14:val="standardContextual"/>
    </w:rPr>
  </w:style>
  <w:style w:type="character" w:customStyle="1" w:styleId="TitleChar">
    <w:name w:val="Title Char"/>
    <w:aliases w:val="Heading 4.1 Char"/>
    <w:basedOn w:val="DefaultParagraphFont"/>
    <w:link w:val="Title"/>
    <w:uiPriority w:val="10"/>
    <w:rsid w:val="00042755"/>
    <w:rPr>
      <w:rFonts w:asciiTheme="majorBidi" w:eastAsiaTheme="majorEastAsia" w:hAnsiTheme="majorBidi" w:cstheme="majorBidi"/>
      <w:b/>
      <w:spacing w:val="-10"/>
      <w:kern w:val="28"/>
      <w:szCs w:val="56"/>
    </w:rPr>
  </w:style>
  <w:style w:type="character" w:customStyle="1" w:styleId="Heading3Char">
    <w:name w:val="Heading 3 Char"/>
    <w:basedOn w:val="DefaultParagraphFont"/>
    <w:link w:val="Heading3"/>
    <w:uiPriority w:val="9"/>
    <w:rsid w:val="00042755"/>
    <w:rPr>
      <w:rFonts w:asciiTheme="majorBidi" w:eastAsiaTheme="majorEastAsia" w:hAnsiTheme="majorBidi" w:cstheme="majorBidi"/>
      <w:b/>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1746</Words>
  <Characters>9953</Characters>
  <Application>Microsoft Office Word</Application>
  <DocSecurity>0</DocSecurity>
  <Lines>82</Lines>
  <Paragraphs>23</Paragraphs>
  <ScaleCrop>false</ScaleCrop>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Ofek-Geva</dc:creator>
  <cp:keywords/>
  <dc:description/>
  <cp:lastModifiedBy>Ella Ofek-Geva</cp:lastModifiedBy>
  <cp:revision>2</cp:revision>
  <dcterms:created xsi:type="dcterms:W3CDTF">2024-10-11T14:08:00Z</dcterms:created>
  <dcterms:modified xsi:type="dcterms:W3CDTF">2024-11-25T15:30:00Z</dcterms:modified>
</cp:coreProperties>
</file>