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18518C" w14:textId="77777777" w:rsidR="006945AB" w:rsidRDefault="00000000">
      <w:pPr>
        <w:pageBreakBefore/>
        <w:spacing w:line="480" w:lineRule="auto"/>
        <w:jc w:val="left"/>
        <w:rPr>
          <w:rFonts w:ascii="Times New Roman" w:hAnsi="Times New Roman" w:cs="Times New Roman"/>
          <w:sz w:val="22"/>
          <w:szCs w:val="22"/>
        </w:rPr>
      </w:pPr>
      <w:r>
        <w:rPr>
          <w:rFonts w:ascii="Times New Roman" w:hAnsi="Times New Roman" w:cs="Times New Roman"/>
          <w:b/>
          <w:bCs/>
          <w:sz w:val="22"/>
          <w:szCs w:val="22"/>
        </w:rPr>
        <w:t xml:space="preserve">Table </w:t>
      </w:r>
      <w:r>
        <w:rPr>
          <w:rFonts w:ascii="Times New Roman" w:hAnsi="Times New Roman" w:cs="Times New Roman" w:hint="eastAsia"/>
          <w:b/>
          <w:bCs/>
          <w:sz w:val="22"/>
          <w:szCs w:val="22"/>
          <w:lang w:val="en-US"/>
        </w:rPr>
        <w:t>S</w:t>
      </w:r>
      <w:r>
        <w:rPr>
          <w:rFonts w:ascii="Times New Roman" w:hAnsi="Times New Roman" w:cs="Times New Roman"/>
          <w:b/>
          <w:bCs/>
          <w:sz w:val="22"/>
          <w:szCs w:val="22"/>
        </w:rPr>
        <w:t>1. Measured methods and meanings of URM parameters</w:t>
      </w:r>
      <w:r>
        <w:rPr>
          <w:rFonts w:ascii="Times New Roman" w:hAnsi="Times New Roman" w:cs="Times New Roman"/>
          <w:b/>
          <w:bCs/>
          <w:sz w:val="22"/>
          <w:szCs w:val="22"/>
          <w:vertAlign w:val="superscript"/>
        </w:rPr>
        <w:t>1</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7"/>
        <w:gridCol w:w="6227"/>
        <w:gridCol w:w="4257"/>
        <w:gridCol w:w="2299"/>
      </w:tblGrid>
      <w:tr w:rsidR="006945AB" w14:paraId="4918DA19" w14:textId="77777777">
        <w:tc>
          <w:tcPr>
            <w:tcW w:w="1267" w:type="dxa"/>
            <w:tcBorders>
              <w:bottom w:val="single" w:sz="4" w:space="0" w:color="auto"/>
            </w:tcBorders>
          </w:tcPr>
          <w:p w14:paraId="29FD5089" w14:textId="77777777" w:rsidR="006945AB" w:rsidRDefault="00000000">
            <w:pPr>
              <w:spacing w:line="276" w:lineRule="auto"/>
              <w:rPr>
                <w:rFonts w:ascii="Times New Roman" w:hAnsi="Times New Roman" w:cs="Times New Roman"/>
                <w:b/>
                <w:bCs/>
                <w:sz w:val="22"/>
                <w:szCs w:val="22"/>
              </w:rPr>
            </w:pPr>
            <w:r>
              <w:rPr>
                <w:rFonts w:ascii="Times New Roman" w:hAnsi="Times New Roman" w:cs="Times New Roman"/>
                <w:b/>
                <w:bCs/>
                <w:sz w:val="22"/>
                <w:szCs w:val="22"/>
              </w:rPr>
              <w:t>Parameters (Unit)</w:t>
            </w:r>
          </w:p>
        </w:tc>
        <w:tc>
          <w:tcPr>
            <w:tcW w:w="6227" w:type="dxa"/>
            <w:tcBorders>
              <w:bottom w:val="single" w:sz="4" w:space="0" w:color="auto"/>
            </w:tcBorders>
          </w:tcPr>
          <w:p w14:paraId="7607682A" w14:textId="77777777" w:rsidR="006945AB" w:rsidRDefault="00000000">
            <w:pPr>
              <w:spacing w:line="276" w:lineRule="auto"/>
              <w:rPr>
                <w:rFonts w:ascii="Times New Roman" w:hAnsi="Times New Roman" w:cs="Times New Roman"/>
                <w:b/>
                <w:bCs/>
                <w:sz w:val="22"/>
                <w:szCs w:val="22"/>
              </w:rPr>
            </w:pPr>
            <w:r>
              <w:rPr>
                <w:rFonts w:ascii="Times New Roman" w:hAnsi="Times New Roman" w:cs="Times New Roman"/>
                <w:b/>
                <w:bCs/>
                <w:sz w:val="22"/>
                <w:szCs w:val="22"/>
              </w:rPr>
              <w:t>Schema or formula</w:t>
            </w:r>
          </w:p>
        </w:tc>
        <w:tc>
          <w:tcPr>
            <w:tcW w:w="4257" w:type="dxa"/>
            <w:tcBorders>
              <w:bottom w:val="single" w:sz="4" w:space="0" w:color="auto"/>
            </w:tcBorders>
          </w:tcPr>
          <w:p w14:paraId="15340FA4" w14:textId="77777777" w:rsidR="006945AB" w:rsidRDefault="00000000">
            <w:pPr>
              <w:spacing w:line="276" w:lineRule="auto"/>
              <w:rPr>
                <w:rFonts w:ascii="Times New Roman" w:hAnsi="Times New Roman" w:cs="Times New Roman"/>
                <w:b/>
                <w:bCs/>
                <w:sz w:val="22"/>
                <w:szCs w:val="22"/>
              </w:rPr>
            </w:pPr>
            <w:r>
              <w:rPr>
                <w:rFonts w:ascii="Times New Roman" w:hAnsi="Times New Roman" w:cs="Times New Roman"/>
                <w:b/>
                <w:bCs/>
                <w:sz w:val="22"/>
                <w:szCs w:val="22"/>
              </w:rPr>
              <w:t>Definition or measurement</w:t>
            </w:r>
          </w:p>
        </w:tc>
        <w:tc>
          <w:tcPr>
            <w:tcW w:w="2299" w:type="dxa"/>
            <w:tcBorders>
              <w:bottom w:val="single" w:sz="4" w:space="0" w:color="auto"/>
            </w:tcBorders>
          </w:tcPr>
          <w:p w14:paraId="0948CE23" w14:textId="77777777" w:rsidR="006945AB" w:rsidRDefault="00000000">
            <w:pPr>
              <w:spacing w:line="276" w:lineRule="auto"/>
              <w:rPr>
                <w:rFonts w:ascii="Times New Roman" w:hAnsi="Times New Roman" w:cs="Times New Roman"/>
                <w:b/>
                <w:bCs/>
                <w:sz w:val="22"/>
                <w:szCs w:val="22"/>
              </w:rPr>
            </w:pPr>
            <w:r>
              <w:rPr>
                <w:rFonts w:ascii="Times New Roman" w:hAnsi="Times New Roman" w:cs="Times New Roman"/>
                <w:b/>
                <w:bCs/>
                <w:sz w:val="22"/>
                <w:szCs w:val="22"/>
              </w:rPr>
              <w:t>Significance or role in this study</w:t>
            </w:r>
          </w:p>
        </w:tc>
      </w:tr>
      <w:tr w:rsidR="006945AB" w14:paraId="5617BD02" w14:textId="77777777">
        <w:trPr>
          <w:trHeight w:val="2219"/>
        </w:trPr>
        <w:tc>
          <w:tcPr>
            <w:tcW w:w="1267" w:type="dxa"/>
            <w:tcBorders>
              <w:top w:val="single" w:sz="4" w:space="0" w:color="auto"/>
              <w:bottom w:val="nil"/>
            </w:tcBorders>
          </w:tcPr>
          <w:p w14:paraId="5973D290"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sz w:val="22"/>
                <w:szCs w:val="22"/>
              </w:rPr>
              <w:t>Active area (cm</w:t>
            </w:r>
            <w:r>
              <w:rPr>
                <w:rFonts w:ascii="Times New Roman" w:hAnsi="Times New Roman" w:cs="Times New Roman"/>
                <w:sz w:val="22"/>
                <w:szCs w:val="22"/>
                <w:vertAlign w:val="superscript"/>
              </w:rPr>
              <w:t>2</w:t>
            </w:r>
            <w:r>
              <w:rPr>
                <w:rFonts w:ascii="Times New Roman" w:hAnsi="Times New Roman" w:cs="Times New Roman"/>
                <w:sz w:val="22"/>
                <w:szCs w:val="22"/>
              </w:rPr>
              <w:t xml:space="preserve">) </w:t>
            </w:r>
          </w:p>
        </w:tc>
        <w:tc>
          <w:tcPr>
            <w:tcW w:w="6227" w:type="dxa"/>
            <w:tcBorders>
              <w:top w:val="single" w:sz="4" w:space="0" w:color="auto"/>
              <w:bottom w:val="nil"/>
            </w:tcBorders>
          </w:tcPr>
          <w:p w14:paraId="4B61C437"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noProof/>
                <w:sz w:val="22"/>
                <w:szCs w:val="22"/>
              </w:rPr>
              <w:drawing>
                <wp:inline distT="0" distB="0" distL="114300" distR="114300" wp14:anchorId="52C7F6BB" wp14:editId="5C514FD4">
                  <wp:extent cx="3864610" cy="1463675"/>
                  <wp:effectExtent l="0" t="0" r="8890" b="9525"/>
                  <wp:docPr id="2" name="图片 10"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 descr="图片3"/>
                          <pic:cNvPicPr>
                            <a:picLocks noChangeAspect="1"/>
                          </pic:cNvPicPr>
                        </pic:nvPicPr>
                        <pic:blipFill>
                          <a:blip r:embed="rId7"/>
                          <a:stretch>
                            <a:fillRect/>
                          </a:stretch>
                        </pic:blipFill>
                        <pic:spPr>
                          <a:xfrm>
                            <a:off x="0" y="0"/>
                            <a:ext cx="3864610" cy="1463675"/>
                          </a:xfrm>
                          <a:prstGeom prst="rect">
                            <a:avLst/>
                          </a:prstGeom>
                        </pic:spPr>
                      </pic:pic>
                    </a:graphicData>
                  </a:graphic>
                </wp:inline>
              </w:drawing>
            </w:r>
          </w:p>
        </w:tc>
        <w:tc>
          <w:tcPr>
            <w:tcW w:w="4257" w:type="dxa"/>
            <w:tcBorders>
              <w:top w:val="single" w:sz="4" w:space="0" w:color="auto"/>
              <w:bottom w:val="nil"/>
            </w:tcBorders>
          </w:tcPr>
          <w:p w14:paraId="00B14D06"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sz w:val="22"/>
                <w:szCs w:val="22"/>
              </w:rPr>
              <w:t>In the direction map, compared with no MB area or the area where MBs are stationary, the CEUS MBs have visible motion track in the active area.</w:t>
            </w:r>
          </w:p>
        </w:tc>
        <w:tc>
          <w:tcPr>
            <w:tcW w:w="2299" w:type="dxa"/>
            <w:tcBorders>
              <w:top w:val="single" w:sz="4" w:space="0" w:color="auto"/>
              <w:bottom w:val="nil"/>
            </w:tcBorders>
          </w:tcPr>
          <w:p w14:paraId="2CE486E5"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sz w:val="22"/>
                <w:szCs w:val="22"/>
              </w:rPr>
              <w:t>This is a hemodynamic area, rather than a vascular closure or a liquefied necrosis area, where the MBs move more frequently with disordered orientation.</w:t>
            </w:r>
          </w:p>
        </w:tc>
      </w:tr>
      <w:tr w:rsidR="006945AB" w14:paraId="12A6FD72" w14:textId="77777777">
        <w:trPr>
          <w:trHeight w:val="1752"/>
        </w:trPr>
        <w:tc>
          <w:tcPr>
            <w:tcW w:w="1267" w:type="dxa"/>
            <w:tcBorders>
              <w:top w:val="nil"/>
            </w:tcBorders>
          </w:tcPr>
          <w:p w14:paraId="67BAD572"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sz w:val="22"/>
                <w:szCs w:val="22"/>
              </w:rPr>
              <w:t>Area ratio (also called as “vessel ratio”) (none)</w:t>
            </w:r>
          </w:p>
        </w:tc>
        <w:tc>
          <w:tcPr>
            <w:tcW w:w="6227" w:type="dxa"/>
            <w:tcBorders>
              <w:top w:val="nil"/>
            </w:tcBorders>
          </w:tcPr>
          <w:p w14:paraId="059B6529"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noProof/>
                <w:sz w:val="22"/>
                <w:szCs w:val="22"/>
              </w:rPr>
              <w:drawing>
                <wp:inline distT="0" distB="0" distL="114300" distR="114300" wp14:anchorId="3670676F" wp14:editId="113CEAFD">
                  <wp:extent cx="2635250" cy="1282065"/>
                  <wp:effectExtent l="0" t="0" r="6350" b="635"/>
                  <wp:docPr id="3" name="图片 1" descr="C:/Users/机械革命/Desktop/图片5.jpg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C:/Users/机械革命/Desktop/图片5.jpg图片5"/>
                          <pic:cNvPicPr>
                            <a:picLocks noChangeAspect="1"/>
                          </pic:cNvPicPr>
                        </pic:nvPicPr>
                        <pic:blipFill>
                          <a:blip r:embed="rId8"/>
                          <a:srcRect l="-709" r="15"/>
                          <a:stretch>
                            <a:fillRect/>
                          </a:stretch>
                        </pic:blipFill>
                        <pic:spPr>
                          <a:xfrm>
                            <a:off x="0" y="0"/>
                            <a:ext cx="2635250" cy="1282065"/>
                          </a:xfrm>
                          <a:prstGeom prst="rect">
                            <a:avLst/>
                          </a:prstGeom>
                        </pic:spPr>
                      </pic:pic>
                    </a:graphicData>
                  </a:graphic>
                </wp:inline>
              </w:drawing>
            </w:r>
          </w:p>
        </w:tc>
        <w:tc>
          <w:tcPr>
            <w:tcW w:w="4257" w:type="dxa"/>
            <w:tcBorders>
              <w:top w:val="nil"/>
            </w:tcBorders>
          </w:tcPr>
          <w:p w14:paraId="35849B34"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sz w:val="22"/>
                <w:szCs w:val="22"/>
              </w:rPr>
              <w:t xml:space="preserve">Active area divided by the area of the entire lesion. </w:t>
            </w:r>
          </w:p>
        </w:tc>
        <w:tc>
          <w:tcPr>
            <w:tcW w:w="2299" w:type="dxa"/>
            <w:tcBorders>
              <w:top w:val="nil"/>
            </w:tcBorders>
          </w:tcPr>
          <w:p w14:paraId="3B42F468"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sz w:val="22"/>
                <w:szCs w:val="22"/>
              </w:rPr>
              <w:t>The ratio excludes the influence of different lesion size, and reflects the contribution of the vascularly active region to the entire lesion in terms of microvascular metastatic potential.</w:t>
            </w:r>
          </w:p>
        </w:tc>
      </w:tr>
      <w:tr w:rsidR="006945AB" w14:paraId="534686E6" w14:textId="77777777">
        <w:tc>
          <w:tcPr>
            <w:tcW w:w="1267" w:type="dxa"/>
            <w:tcBorders>
              <w:top w:val="nil"/>
            </w:tcBorders>
          </w:tcPr>
          <w:p w14:paraId="2B55B2B7"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sz w:val="22"/>
                <w:szCs w:val="22"/>
              </w:rPr>
              <w:lastRenderedPageBreak/>
              <w:t>Blood vessel complexity (none)</w:t>
            </w:r>
          </w:p>
        </w:tc>
        <w:tc>
          <w:tcPr>
            <w:tcW w:w="6227" w:type="dxa"/>
            <w:tcBorders>
              <w:top w:val="nil"/>
            </w:tcBorders>
          </w:tcPr>
          <w:p w14:paraId="11B5E815"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noProof/>
                <w:sz w:val="22"/>
                <w:szCs w:val="22"/>
              </w:rPr>
              <w:drawing>
                <wp:inline distT="0" distB="0" distL="114300" distR="114300" wp14:anchorId="690FA155" wp14:editId="17AD2747">
                  <wp:extent cx="3841115" cy="1064895"/>
                  <wp:effectExtent l="0" t="0" r="6985" b="1905"/>
                  <wp:docPr id="4" name="图片 14"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4" descr="图片5"/>
                          <pic:cNvPicPr>
                            <a:picLocks noChangeAspect="1"/>
                          </pic:cNvPicPr>
                        </pic:nvPicPr>
                        <pic:blipFill>
                          <a:blip r:embed="rId9"/>
                          <a:stretch>
                            <a:fillRect/>
                          </a:stretch>
                        </pic:blipFill>
                        <pic:spPr>
                          <a:xfrm>
                            <a:off x="0" y="0"/>
                            <a:ext cx="3841115" cy="1064895"/>
                          </a:xfrm>
                          <a:prstGeom prst="rect">
                            <a:avLst/>
                          </a:prstGeom>
                        </pic:spPr>
                      </pic:pic>
                    </a:graphicData>
                  </a:graphic>
                </wp:inline>
              </w:drawing>
            </w:r>
          </w:p>
        </w:tc>
        <w:tc>
          <w:tcPr>
            <w:tcW w:w="4257" w:type="dxa"/>
            <w:tcBorders>
              <w:top w:val="nil"/>
            </w:tcBorders>
          </w:tcPr>
          <w:p w14:paraId="0A9519B1"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sz w:val="22"/>
                <w:szCs w:val="22"/>
              </w:rPr>
              <w:t>Images are multiple times divided into many small grids with different scales (sizes). Count the number of grids with blood vessels and the size of grids. Use a formula to get a slope value based on their log ratio. The greater the difference, the higher the complexity of the microvessels.</w:t>
            </w:r>
          </w:p>
        </w:tc>
        <w:tc>
          <w:tcPr>
            <w:tcW w:w="2299" w:type="dxa"/>
            <w:tcBorders>
              <w:top w:val="nil"/>
            </w:tcBorders>
          </w:tcPr>
          <w:p w14:paraId="15074749"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sz w:val="22"/>
                <w:szCs w:val="22"/>
              </w:rPr>
              <w:t>Quantify whether the shape of blood vessels is curved or disordered.</w:t>
            </w:r>
          </w:p>
        </w:tc>
      </w:tr>
      <w:tr w:rsidR="006945AB" w14:paraId="16D63A1B" w14:textId="77777777">
        <w:tc>
          <w:tcPr>
            <w:tcW w:w="1267" w:type="dxa"/>
            <w:tcBorders>
              <w:top w:val="nil"/>
            </w:tcBorders>
          </w:tcPr>
          <w:p w14:paraId="53B1F50D"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sz w:val="22"/>
                <w:szCs w:val="22"/>
              </w:rPr>
              <w:t>Complexity ratio (none)</w:t>
            </w:r>
          </w:p>
        </w:tc>
        <w:tc>
          <w:tcPr>
            <w:tcW w:w="6227" w:type="dxa"/>
            <w:tcBorders>
              <w:top w:val="nil"/>
            </w:tcBorders>
          </w:tcPr>
          <w:p w14:paraId="6D12E935"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noProof/>
                <w:sz w:val="22"/>
                <w:szCs w:val="22"/>
              </w:rPr>
              <w:drawing>
                <wp:inline distT="0" distB="0" distL="114300" distR="114300" wp14:anchorId="68C889C2" wp14:editId="7059D5CE">
                  <wp:extent cx="2138680" cy="1138555"/>
                  <wp:effectExtent l="0" t="0" r="7620" b="4445"/>
                  <wp:docPr id="5" name="图片 22"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2" descr="图片4"/>
                          <pic:cNvPicPr>
                            <a:picLocks noChangeAspect="1"/>
                          </pic:cNvPicPr>
                        </pic:nvPicPr>
                        <pic:blipFill>
                          <a:blip r:embed="rId10"/>
                          <a:stretch>
                            <a:fillRect/>
                          </a:stretch>
                        </pic:blipFill>
                        <pic:spPr>
                          <a:xfrm>
                            <a:off x="0" y="0"/>
                            <a:ext cx="2138680" cy="1138555"/>
                          </a:xfrm>
                          <a:prstGeom prst="rect">
                            <a:avLst/>
                          </a:prstGeom>
                        </pic:spPr>
                      </pic:pic>
                    </a:graphicData>
                  </a:graphic>
                </wp:inline>
              </w:drawing>
            </w:r>
            <w:r>
              <w:rPr>
                <w:rFonts w:ascii="Times New Roman" w:hAnsi="Times New Roman" w:cs="Times New Roman"/>
                <w:sz w:val="22"/>
                <w:szCs w:val="22"/>
              </w:rPr>
              <w:t xml:space="preserve">    </w:t>
            </w:r>
            <w:r>
              <w:rPr>
                <w:rFonts w:ascii="Times New Roman" w:hAnsi="Times New Roman" w:cs="Times New Roman"/>
                <w:noProof/>
                <w:sz w:val="22"/>
                <w:szCs w:val="22"/>
              </w:rPr>
              <w:drawing>
                <wp:inline distT="0" distB="0" distL="114300" distR="114300" wp14:anchorId="416C231E" wp14:editId="6C8C034C">
                  <wp:extent cx="1300480" cy="1308100"/>
                  <wp:effectExtent l="0" t="0" r="7620" b="0"/>
                  <wp:docPr id="6" name="图片 3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1" descr="图片1"/>
                          <pic:cNvPicPr>
                            <a:picLocks noChangeAspect="1"/>
                          </pic:cNvPicPr>
                        </pic:nvPicPr>
                        <pic:blipFill>
                          <a:blip r:embed="rId11"/>
                          <a:stretch>
                            <a:fillRect/>
                          </a:stretch>
                        </pic:blipFill>
                        <pic:spPr>
                          <a:xfrm>
                            <a:off x="0" y="0"/>
                            <a:ext cx="1300480" cy="1308100"/>
                          </a:xfrm>
                          <a:prstGeom prst="rect">
                            <a:avLst/>
                          </a:prstGeom>
                        </pic:spPr>
                      </pic:pic>
                    </a:graphicData>
                  </a:graphic>
                </wp:inline>
              </w:drawing>
            </w:r>
          </w:p>
        </w:tc>
        <w:tc>
          <w:tcPr>
            <w:tcW w:w="4257" w:type="dxa"/>
            <w:tcBorders>
              <w:top w:val="nil"/>
            </w:tcBorders>
          </w:tcPr>
          <w:p w14:paraId="09898F44"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sz w:val="22"/>
                <w:szCs w:val="22"/>
              </w:rPr>
              <w:t>The ratio of “vessel complexity in region 1” to “vessel complexity in region 2”</w:t>
            </w:r>
            <w:r>
              <w:rPr>
                <w:rFonts w:ascii="Times New Roman" w:hAnsi="Times New Roman" w:cs="Times New Roman"/>
                <w:sz w:val="22"/>
                <w:szCs w:val="22"/>
                <w:vertAlign w:val="superscript"/>
              </w:rPr>
              <w:t>2</w:t>
            </w:r>
            <w:r>
              <w:rPr>
                <w:rFonts w:ascii="Times New Roman" w:hAnsi="Times New Roman" w:cs="Times New Roman"/>
                <w:sz w:val="22"/>
                <w:szCs w:val="22"/>
              </w:rPr>
              <w:t xml:space="preserve">. </w:t>
            </w:r>
          </w:p>
        </w:tc>
        <w:tc>
          <w:tcPr>
            <w:tcW w:w="2299" w:type="dxa"/>
            <w:tcBorders>
              <w:top w:val="nil"/>
            </w:tcBorders>
          </w:tcPr>
          <w:p w14:paraId="7D49E4AA"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sz w:val="22"/>
                <w:szCs w:val="22"/>
              </w:rPr>
              <w:t>Reflect the difference in blood vessel complexity between the two regions.</w:t>
            </w:r>
          </w:p>
        </w:tc>
      </w:tr>
      <w:tr w:rsidR="006945AB" w14:paraId="3738223A" w14:textId="77777777">
        <w:tc>
          <w:tcPr>
            <w:tcW w:w="1267" w:type="dxa"/>
          </w:tcPr>
          <w:p w14:paraId="337FEA76"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sz w:val="22"/>
                <w:szCs w:val="22"/>
              </w:rPr>
              <w:t>Blood vessel density (none)</w:t>
            </w:r>
          </w:p>
        </w:tc>
        <w:tc>
          <w:tcPr>
            <w:tcW w:w="6227" w:type="dxa"/>
          </w:tcPr>
          <w:p w14:paraId="4D5283BD"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noProof/>
                <w:sz w:val="22"/>
                <w:szCs w:val="22"/>
              </w:rPr>
              <w:drawing>
                <wp:inline distT="0" distB="0" distL="114300" distR="114300" wp14:anchorId="52676CCD" wp14:editId="64C5C76B">
                  <wp:extent cx="3725545" cy="1231900"/>
                  <wp:effectExtent l="0" t="0" r="8255" b="0"/>
                  <wp:docPr id="7" name="图片 18" descr="C:/Users/机械革命/Desktop/图片2.jpg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8" descr="C:/Users/机械革命/Desktop/图片2.jpg图片2"/>
                          <pic:cNvPicPr>
                            <a:picLocks noChangeAspect="1"/>
                          </pic:cNvPicPr>
                        </pic:nvPicPr>
                        <pic:blipFill>
                          <a:blip r:embed="rId12"/>
                          <a:srcRect t="7" b="7"/>
                          <a:stretch>
                            <a:fillRect/>
                          </a:stretch>
                        </pic:blipFill>
                        <pic:spPr>
                          <a:xfrm>
                            <a:off x="0" y="0"/>
                            <a:ext cx="3725545" cy="1231900"/>
                          </a:xfrm>
                          <a:prstGeom prst="rect">
                            <a:avLst/>
                          </a:prstGeom>
                        </pic:spPr>
                      </pic:pic>
                    </a:graphicData>
                  </a:graphic>
                </wp:inline>
              </w:drawing>
            </w:r>
          </w:p>
          <w:p w14:paraId="7194BF73"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sz w:val="22"/>
                <w:szCs w:val="22"/>
              </w:rPr>
              <w:t>For example, a certain spatial position (area) has 2 vessels. In 10 s, 3 MBs in these areas showed movement.</w:t>
            </w:r>
          </w:p>
        </w:tc>
        <w:tc>
          <w:tcPr>
            <w:tcW w:w="4257" w:type="dxa"/>
          </w:tcPr>
          <w:p w14:paraId="72819E27"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sz w:val="22"/>
                <w:szCs w:val="22"/>
              </w:rPr>
              <w:t>The number of MB that moved through a certain spatial position in the blood vessel during the acquisition time (usually 10 s). The greater the number of MB that have moved through this spatial position, the greater the density value corresponding to this point.</w:t>
            </w:r>
          </w:p>
        </w:tc>
        <w:tc>
          <w:tcPr>
            <w:tcW w:w="2299" w:type="dxa"/>
          </w:tcPr>
          <w:p w14:paraId="719D3646"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sz w:val="22"/>
                <w:szCs w:val="22"/>
              </w:rPr>
              <w:t>An actual MB density reflect the blood vessel density in the measured area.</w:t>
            </w:r>
          </w:p>
        </w:tc>
      </w:tr>
      <w:tr w:rsidR="006945AB" w14:paraId="61092CE6" w14:textId="77777777">
        <w:tc>
          <w:tcPr>
            <w:tcW w:w="1267" w:type="dxa"/>
          </w:tcPr>
          <w:p w14:paraId="7F85DC37"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sz w:val="22"/>
                <w:szCs w:val="22"/>
              </w:rPr>
              <w:lastRenderedPageBreak/>
              <w:t xml:space="preserve">Density ratio (none) </w:t>
            </w:r>
          </w:p>
        </w:tc>
        <w:tc>
          <w:tcPr>
            <w:tcW w:w="6227" w:type="dxa"/>
          </w:tcPr>
          <w:p w14:paraId="4D5E1F51"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noProof/>
                <w:sz w:val="22"/>
                <w:szCs w:val="22"/>
              </w:rPr>
              <w:drawing>
                <wp:inline distT="0" distB="0" distL="114300" distR="114300" wp14:anchorId="128030A3" wp14:editId="5AD68BBE">
                  <wp:extent cx="2066290" cy="1103630"/>
                  <wp:effectExtent l="0" t="0" r="3810" b="1270"/>
                  <wp:docPr id="8" name="图片 7" descr="C:/Users/机械革命/Desktop/图片1.jp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C:/Users/机械革命/Desktop/图片1.jpg图片1"/>
                          <pic:cNvPicPr>
                            <a:picLocks noChangeAspect="1"/>
                          </pic:cNvPicPr>
                        </pic:nvPicPr>
                        <pic:blipFill>
                          <a:blip r:embed="rId13"/>
                          <a:srcRect t="-400" b="77"/>
                          <a:stretch>
                            <a:fillRect/>
                          </a:stretch>
                        </pic:blipFill>
                        <pic:spPr>
                          <a:xfrm>
                            <a:off x="0" y="0"/>
                            <a:ext cx="2066290" cy="1103630"/>
                          </a:xfrm>
                          <a:prstGeom prst="rect">
                            <a:avLst/>
                          </a:prstGeom>
                        </pic:spPr>
                      </pic:pic>
                    </a:graphicData>
                  </a:graphic>
                </wp:inline>
              </w:drawing>
            </w:r>
            <w:r>
              <w:rPr>
                <w:rFonts w:ascii="Times New Roman" w:hAnsi="Times New Roman" w:cs="Times New Roman"/>
                <w:sz w:val="22"/>
                <w:szCs w:val="22"/>
              </w:rPr>
              <w:t xml:space="preserve">  </w:t>
            </w:r>
            <w:r>
              <w:rPr>
                <w:rFonts w:ascii="Times New Roman" w:hAnsi="Times New Roman" w:cs="Times New Roman"/>
                <w:noProof/>
                <w:sz w:val="22"/>
                <w:szCs w:val="22"/>
              </w:rPr>
              <w:drawing>
                <wp:inline distT="0" distB="0" distL="114300" distR="114300" wp14:anchorId="73BBF081" wp14:editId="0C068811">
                  <wp:extent cx="1497965" cy="1034415"/>
                  <wp:effectExtent l="0" t="0" r="635" b="6985"/>
                  <wp:docPr id="9" name="图片 25" descr="图片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5" descr="图片9"/>
                          <pic:cNvPicPr>
                            <a:picLocks noChangeAspect="1"/>
                          </pic:cNvPicPr>
                        </pic:nvPicPr>
                        <pic:blipFill>
                          <a:blip r:embed="rId14"/>
                          <a:stretch>
                            <a:fillRect/>
                          </a:stretch>
                        </pic:blipFill>
                        <pic:spPr>
                          <a:xfrm>
                            <a:off x="0" y="0"/>
                            <a:ext cx="1497965" cy="1034415"/>
                          </a:xfrm>
                          <a:prstGeom prst="rect">
                            <a:avLst/>
                          </a:prstGeom>
                        </pic:spPr>
                      </pic:pic>
                    </a:graphicData>
                  </a:graphic>
                </wp:inline>
              </w:drawing>
            </w:r>
          </w:p>
        </w:tc>
        <w:tc>
          <w:tcPr>
            <w:tcW w:w="4257" w:type="dxa"/>
          </w:tcPr>
          <w:p w14:paraId="2EE451A6"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sz w:val="22"/>
                <w:szCs w:val="22"/>
              </w:rPr>
              <w:t>The ratio of “vessel density in the region of interest (Roi) 1” to “vessel density in the Roi 2”.</w:t>
            </w:r>
            <w:r>
              <w:rPr>
                <w:rFonts w:ascii="Times New Roman" w:hAnsi="Times New Roman" w:cs="Times New Roman"/>
                <w:sz w:val="22"/>
                <w:szCs w:val="22"/>
                <w:vertAlign w:val="superscript"/>
              </w:rPr>
              <w:t>2</w:t>
            </w:r>
            <w:r>
              <w:rPr>
                <w:rFonts w:ascii="Times New Roman" w:hAnsi="Times New Roman" w:cs="Times New Roman"/>
                <w:sz w:val="22"/>
                <w:szCs w:val="22"/>
              </w:rPr>
              <w:t xml:space="preserve"> </w:t>
            </w:r>
          </w:p>
        </w:tc>
        <w:tc>
          <w:tcPr>
            <w:tcW w:w="2299" w:type="dxa"/>
          </w:tcPr>
          <w:p w14:paraId="081D2460"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sz w:val="22"/>
                <w:szCs w:val="22"/>
              </w:rPr>
              <w:t>Reflect the difference in blood vessel density between the two regions.</w:t>
            </w:r>
          </w:p>
        </w:tc>
      </w:tr>
      <w:tr w:rsidR="006945AB" w14:paraId="2EB32538" w14:textId="77777777">
        <w:tc>
          <w:tcPr>
            <w:tcW w:w="1267" w:type="dxa"/>
          </w:tcPr>
          <w:p w14:paraId="380C4BF9"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sz w:val="22"/>
                <w:szCs w:val="22"/>
              </w:rPr>
              <w:t>Blood flow velocity (mm/s)</w:t>
            </w:r>
          </w:p>
        </w:tc>
        <w:tc>
          <w:tcPr>
            <w:tcW w:w="6227" w:type="dxa"/>
          </w:tcPr>
          <w:p w14:paraId="4ACB4FD2"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noProof/>
                <w:sz w:val="22"/>
                <w:szCs w:val="22"/>
              </w:rPr>
              <w:drawing>
                <wp:inline distT="0" distB="0" distL="114300" distR="114300" wp14:anchorId="719EA9BF" wp14:editId="6EE2FFB7">
                  <wp:extent cx="2395855" cy="1371600"/>
                  <wp:effectExtent l="0" t="0" r="4445" b="0"/>
                  <wp:docPr id="10" name="图片 11" descr="C:/Users/机械革命/Desktop/图片5.jpg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1" descr="C:/Users/机械革命/Desktop/图片5.jpg图片5"/>
                          <pic:cNvPicPr>
                            <a:picLocks noChangeAspect="1"/>
                          </pic:cNvPicPr>
                        </pic:nvPicPr>
                        <pic:blipFill>
                          <a:blip r:embed="rId15"/>
                          <a:srcRect l="43" r="43"/>
                          <a:stretch>
                            <a:fillRect/>
                          </a:stretch>
                        </pic:blipFill>
                        <pic:spPr>
                          <a:xfrm>
                            <a:off x="0" y="0"/>
                            <a:ext cx="2395855" cy="1371600"/>
                          </a:xfrm>
                          <a:prstGeom prst="rect">
                            <a:avLst/>
                          </a:prstGeom>
                        </pic:spPr>
                      </pic:pic>
                    </a:graphicData>
                  </a:graphic>
                </wp:inline>
              </w:drawing>
            </w:r>
            <w:r>
              <w:rPr>
                <w:rFonts w:ascii="Times New Roman" w:hAnsi="Times New Roman" w:cs="Times New Roman"/>
                <w:sz w:val="22"/>
                <w:szCs w:val="22"/>
              </w:rPr>
              <w:t xml:space="preserve">  </w:t>
            </w:r>
            <w:r>
              <w:rPr>
                <w:rFonts w:ascii="Times New Roman" w:hAnsi="Times New Roman" w:cs="Times New Roman"/>
                <w:noProof/>
                <w:sz w:val="22"/>
                <w:szCs w:val="22"/>
              </w:rPr>
              <w:drawing>
                <wp:inline distT="0" distB="0" distL="114300" distR="114300" wp14:anchorId="15790F16" wp14:editId="60447F5B">
                  <wp:extent cx="1274445" cy="1108075"/>
                  <wp:effectExtent l="0" t="0" r="8255" b="9525"/>
                  <wp:docPr id="11" name="图片 23"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3" descr="图片7"/>
                          <pic:cNvPicPr>
                            <a:picLocks noChangeAspect="1"/>
                          </pic:cNvPicPr>
                        </pic:nvPicPr>
                        <pic:blipFill>
                          <a:blip r:embed="rId16"/>
                          <a:stretch>
                            <a:fillRect/>
                          </a:stretch>
                        </pic:blipFill>
                        <pic:spPr>
                          <a:xfrm>
                            <a:off x="0" y="0"/>
                            <a:ext cx="1274445" cy="1108075"/>
                          </a:xfrm>
                          <a:prstGeom prst="rect">
                            <a:avLst/>
                          </a:prstGeom>
                        </pic:spPr>
                      </pic:pic>
                    </a:graphicData>
                  </a:graphic>
                </wp:inline>
              </w:drawing>
            </w:r>
          </w:p>
        </w:tc>
        <w:tc>
          <w:tcPr>
            <w:tcW w:w="4257" w:type="dxa"/>
          </w:tcPr>
          <w:p w14:paraId="74C20640"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sz w:val="22"/>
                <w:szCs w:val="22"/>
              </w:rPr>
              <w:t>MB displacement/movement in unit time at the region of interest. The distribution character of velocity was determined in the form of “maximum, minimum, and average”.</w:t>
            </w:r>
          </w:p>
        </w:tc>
        <w:tc>
          <w:tcPr>
            <w:tcW w:w="2299" w:type="dxa"/>
          </w:tcPr>
          <w:p w14:paraId="5276B2B8"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sz w:val="22"/>
                <w:szCs w:val="22"/>
              </w:rPr>
              <w:t>The actual speed of MB movement reflects the velocity of the blood in the measured area.</w:t>
            </w:r>
          </w:p>
        </w:tc>
      </w:tr>
      <w:tr w:rsidR="006945AB" w14:paraId="40630D4D" w14:textId="77777777">
        <w:tc>
          <w:tcPr>
            <w:tcW w:w="1267" w:type="dxa"/>
            <w:shd w:val="clear" w:color="auto" w:fill="auto"/>
          </w:tcPr>
          <w:p w14:paraId="29A7B029"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sz w:val="22"/>
                <w:szCs w:val="22"/>
              </w:rPr>
              <w:lastRenderedPageBreak/>
              <w:t>Blood vessel diameter (µm)</w:t>
            </w:r>
          </w:p>
        </w:tc>
        <w:tc>
          <w:tcPr>
            <w:tcW w:w="6227" w:type="dxa"/>
            <w:shd w:val="clear" w:color="auto" w:fill="auto"/>
          </w:tcPr>
          <w:p w14:paraId="211DCE11"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noProof/>
                <w:sz w:val="22"/>
                <w:szCs w:val="22"/>
              </w:rPr>
              <w:drawing>
                <wp:inline distT="0" distB="0" distL="114300" distR="114300" wp14:anchorId="3ED6A106" wp14:editId="4AEC2A49">
                  <wp:extent cx="1962785" cy="1610360"/>
                  <wp:effectExtent l="0" t="0" r="5715" b="2540"/>
                  <wp:docPr id="12" name="图片 3"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descr="图片2"/>
                          <pic:cNvPicPr>
                            <a:picLocks noChangeAspect="1"/>
                          </pic:cNvPicPr>
                        </pic:nvPicPr>
                        <pic:blipFill>
                          <a:blip r:embed="rId17"/>
                          <a:srcRect r="6418"/>
                          <a:stretch>
                            <a:fillRect/>
                          </a:stretch>
                        </pic:blipFill>
                        <pic:spPr>
                          <a:xfrm>
                            <a:off x="0" y="0"/>
                            <a:ext cx="1962785" cy="1610360"/>
                          </a:xfrm>
                          <a:prstGeom prst="rect">
                            <a:avLst/>
                          </a:prstGeom>
                        </pic:spPr>
                      </pic:pic>
                    </a:graphicData>
                  </a:graphic>
                </wp:inline>
              </w:drawing>
            </w:r>
            <w:r>
              <w:rPr>
                <w:rFonts w:ascii="Times New Roman" w:hAnsi="Times New Roman" w:cs="Times New Roman"/>
                <w:noProof/>
                <w:sz w:val="22"/>
                <w:szCs w:val="22"/>
              </w:rPr>
              <w:drawing>
                <wp:inline distT="0" distB="0" distL="114300" distR="114300" wp14:anchorId="611F1AD1" wp14:editId="0154BE23">
                  <wp:extent cx="1520825" cy="1256665"/>
                  <wp:effectExtent l="0" t="0" r="3175" b="635"/>
                  <wp:docPr id="13" name="图片 9" descr="C:/Users/机械革命/Desktop/图片1.jp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descr="C:/Users/机械革命/Desktop/图片1.jpg图片1"/>
                          <pic:cNvPicPr>
                            <a:picLocks noChangeAspect="1"/>
                          </pic:cNvPicPr>
                        </pic:nvPicPr>
                        <pic:blipFill>
                          <a:blip r:embed="rId18"/>
                          <a:srcRect l="23" r="23"/>
                          <a:stretch>
                            <a:fillRect/>
                          </a:stretch>
                        </pic:blipFill>
                        <pic:spPr>
                          <a:xfrm>
                            <a:off x="0" y="0"/>
                            <a:ext cx="1520825" cy="1256665"/>
                          </a:xfrm>
                          <a:prstGeom prst="rect">
                            <a:avLst/>
                          </a:prstGeom>
                        </pic:spPr>
                      </pic:pic>
                    </a:graphicData>
                  </a:graphic>
                </wp:inline>
              </w:drawing>
            </w:r>
          </w:p>
          <w:p w14:paraId="0F772C5C"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sz w:val="22"/>
                <w:szCs w:val="22"/>
              </w:rPr>
              <w:t>The distance marked by green double arrow is the vessel diameter.</w:t>
            </w:r>
          </w:p>
        </w:tc>
        <w:tc>
          <w:tcPr>
            <w:tcW w:w="4257" w:type="dxa"/>
            <w:shd w:val="clear" w:color="auto" w:fill="auto"/>
          </w:tcPr>
          <w:p w14:paraId="69ED7227"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sz w:val="22"/>
                <w:szCs w:val="22"/>
              </w:rPr>
              <w:t>MB concentrations are highest at the centre of the vessel and lowest at the edge of the vessel; therefore, MB concentrations from one side of the vessel to the opposite side exhibit a plot of “low-high-low” smooth peak-like distribution. At the selected measurement location, half of the peak base that tangent of the smooth peak (that is, the distance between MB at the lowest MB concentration) is the vascular d</w:t>
            </w:r>
            <w:r>
              <w:rPr>
                <w:rFonts w:ascii="Times New Roman" w:hAnsi="Times New Roman" w:cs="Times New Roman" w:hint="eastAsia"/>
                <w:sz w:val="22"/>
                <w:szCs w:val="22"/>
                <w:lang w:val="en-US"/>
              </w:rPr>
              <w:t>iameter</w:t>
            </w:r>
            <w:r>
              <w:rPr>
                <w:rFonts w:ascii="Times New Roman" w:hAnsi="Times New Roman" w:cs="Times New Roman"/>
                <w:sz w:val="22"/>
                <w:szCs w:val="22"/>
              </w:rPr>
              <w:t>.</w:t>
            </w:r>
            <w:r>
              <w:rPr>
                <w:rFonts w:ascii="Times New Roman" w:hAnsi="Times New Roman" w:cs="Times New Roman"/>
                <w:sz w:val="22"/>
                <w:szCs w:val="22"/>
                <w:vertAlign w:val="superscript"/>
              </w:rPr>
              <w:t>3</w:t>
            </w:r>
            <w:r>
              <w:rPr>
                <w:rFonts w:ascii="Times New Roman" w:hAnsi="Times New Roman" w:cs="Times New Roman"/>
                <w:sz w:val="22"/>
                <w:szCs w:val="22"/>
              </w:rPr>
              <w:t xml:space="preserve"> The distribution of vessel diameter was determined in the form of “maximum, minimum, and average”.</w:t>
            </w:r>
          </w:p>
        </w:tc>
        <w:tc>
          <w:tcPr>
            <w:tcW w:w="2299" w:type="dxa"/>
            <w:shd w:val="clear" w:color="auto" w:fill="auto"/>
          </w:tcPr>
          <w:p w14:paraId="55412CDD"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sz w:val="22"/>
                <w:szCs w:val="22"/>
              </w:rPr>
              <w:t>In theory, the larger the diameter, the greater the blood flow.</w:t>
            </w:r>
          </w:p>
        </w:tc>
      </w:tr>
      <w:tr w:rsidR="006945AB" w14:paraId="3BB5F324" w14:textId="77777777">
        <w:tc>
          <w:tcPr>
            <w:tcW w:w="1267" w:type="dxa"/>
          </w:tcPr>
          <w:p w14:paraId="330215D8"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sz w:val="22"/>
                <w:szCs w:val="22"/>
              </w:rPr>
              <w:t>Perfusion index (none)</w:t>
            </w:r>
          </w:p>
        </w:tc>
        <w:tc>
          <w:tcPr>
            <w:tcW w:w="6227" w:type="dxa"/>
          </w:tcPr>
          <w:p w14:paraId="720CD542"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sz w:val="22"/>
                <w:szCs w:val="22"/>
              </w:rPr>
              <w:t>Perfusion index = “mean blood flow velocity” × “area ratio”</w:t>
            </w:r>
            <w:r>
              <w:rPr>
                <w:rFonts w:ascii="Times New Roman" w:hAnsi="Times New Roman" w:cs="Times New Roman"/>
                <w:sz w:val="22"/>
                <w:szCs w:val="22"/>
                <w:vertAlign w:val="superscript"/>
              </w:rPr>
              <w:t>4</w:t>
            </w:r>
            <w:r>
              <w:rPr>
                <w:rFonts w:ascii="Times New Roman" w:hAnsi="Times New Roman" w:cs="Times New Roman"/>
                <w:sz w:val="22"/>
                <w:szCs w:val="22"/>
              </w:rPr>
              <w:t xml:space="preserve"> </w:t>
            </w:r>
          </w:p>
          <w:p w14:paraId="715E445A"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noProof/>
                <w:sz w:val="22"/>
                <w:szCs w:val="22"/>
              </w:rPr>
              <w:drawing>
                <wp:inline distT="0" distB="0" distL="114300" distR="114300" wp14:anchorId="2B0F0202" wp14:editId="79CCD087">
                  <wp:extent cx="3813175" cy="979170"/>
                  <wp:effectExtent l="0" t="0" r="9525" b="11430"/>
                  <wp:docPr id="14" name="图片 28" descr="图片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8" descr="图片11"/>
                          <pic:cNvPicPr>
                            <a:picLocks noChangeAspect="1"/>
                          </pic:cNvPicPr>
                        </pic:nvPicPr>
                        <pic:blipFill>
                          <a:blip r:embed="rId19"/>
                          <a:stretch>
                            <a:fillRect/>
                          </a:stretch>
                        </pic:blipFill>
                        <pic:spPr>
                          <a:xfrm>
                            <a:off x="0" y="0"/>
                            <a:ext cx="3813175" cy="979170"/>
                          </a:xfrm>
                          <a:prstGeom prst="rect">
                            <a:avLst/>
                          </a:prstGeom>
                        </pic:spPr>
                      </pic:pic>
                    </a:graphicData>
                  </a:graphic>
                </wp:inline>
              </w:drawing>
            </w:r>
          </w:p>
        </w:tc>
        <w:tc>
          <w:tcPr>
            <w:tcW w:w="4257" w:type="dxa"/>
          </w:tcPr>
          <w:p w14:paraId="487128CE"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sz w:val="22"/>
                <w:szCs w:val="22"/>
              </w:rPr>
              <w:t xml:space="preserve">Perfusion index cannot be directly obtained from URM images. It was calculated by multiplying two measured parameters. </w:t>
            </w:r>
          </w:p>
        </w:tc>
        <w:tc>
          <w:tcPr>
            <w:tcW w:w="2299" w:type="dxa"/>
          </w:tcPr>
          <w:p w14:paraId="38374745" w14:textId="77777777" w:rsidR="006945AB" w:rsidRDefault="00000000">
            <w:pPr>
              <w:spacing w:line="276" w:lineRule="auto"/>
              <w:rPr>
                <w:rFonts w:ascii="Times New Roman" w:hAnsi="Times New Roman" w:cs="Times New Roman"/>
                <w:sz w:val="22"/>
                <w:szCs w:val="22"/>
              </w:rPr>
            </w:pPr>
            <w:r>
              <w:rPr>
                <w:rFonts w:ascii="Times New Roman" w:hAnsi="Times New Roman" w:cs="Times New Roman"/>
                <w:sz w:val="22"/>
                <w:szCs w:val="22"/>
              </w:rPr>
              <w:t>Area with high perfusion index have more blood vessels and faster blood flow.</w:t>
            </w:r>
          </w:p>
        </w:tc>
      </w:tr>
    </w:tbl>
    <w:p w14:paraId="4E3D7415" w14:textId="77777777" w:rsidR="006945AB" w:rsidRDefault="00000000">
      <w:pPr>
        <w:rPr>
          <w:rFonts w:ascii="Times New Roman" w:hAnsi="Times New Roman" w:cs="Times New Roman"/>
          <w:sz w:val="22"/>
          <w:szCs w:val="22"/>
        </w:rPr>
      </w:pPr>
      <w:r>
        <w:rPr>
          <w:rFonts w:ascii="Times New Roman" w:hAnsi="Times New Roman" w:cs="Times New Roman"/>
          <w:sz w:val="22"/>
          <w:szCs w:val="22"/>
          <w:vertAlign w:val="superscript"/>
        </w:rPr>
        <w:t>1</w:t>
      </w:r>
      <w:r>
        <w:rPr>
          <w:rFonts w:ascii="Times New Roman" w:hAnsi="Times New Roman" w:cs="Times New Roman"/>
          <w:sz w:val="22"/>
          <w:szCs w:val="22"/>
        </w:rPr>
        <w:t xml:space="preserve"> MB, microbubbles; URM, ultrasound resolution microscopy; CEUS, contrast-enhanced ultrasound. </w:t>
      </w:r>
    </w:p>
    <w:p w14:paraId="269B38D3" w14:textId="77777777" w:rsidR="006945AB" w:rsidRDefault="00000000">
      <w:pPr>
        <w:rPr>
          <w:rFonts w:ascii="Times New Roman" w:hAnsi="Times New Roman" w:cs="Times New Roman"/>
          <w:sz w:val="22"/>
          <w:szCs w:val="22"/>
        </w:rPr>
      </w:pPr>
      <w:r>
        <w:rPr>
          <w:rFonts w:ascii="Times New Roman" w:hAnsi="Times New Roman" w:cs="Times New Roman"/>
          <w:sz w:val="22"/>
          <w:szCs w:val="22"/>
          <w:vertAlign w:val="superscript"/>
        </w:rPr>
        <w:t>2</w:t>
      </w:r>
      <w:r>
        <w:rPr>
          <w:rFonts w:ascii="Times New Roman" w:hAnsi="Times New Roman" w:cs="Times New Roman"/>
          <w:sz w:val="22"/>
          <w:szCs w:val="22"/>
        </w:rPr>
        <w:t xml:space="preserve"> In this study, the active area is referred by “region 1” and “Roi 1” and the total area of the lesion are referred by “Region 2” and “Roi 2”.</w:t>
      </w:r>
    </w:p>
    <w:p w14:paraId="2BDFBF69" w14:textId="77777777" w:rsidR="006945AB" w:rsidRDefault="00000000">
      <w:pPr>
        <w:rPr>
          <w:rFonts w:ascii="Times New Roman" w:hAnsi="Times New Roman" w:cs="Times New Roman"/>
          <w:sz w:val="22"/>
          <w:szCs w:val="22"/>
        </w:rPr>
      </w:pPr>
      <w:r>
        <w:rPr>
          <w:rFonts w:ascii="Times New Roman" w:hAnsi="Times New Roman" w:cs="Times New Roman"/>
          <w:sz w:val="22"/>
          <w:szCs w:val="22"/>
          <w:vertAlign w:val="superscript"/>
        </w:rPr>
        <w:t>3</w:t>
      </w:r>
      <w:r>
        <w:rPr>
          <w:rFonts w:ascii="Times New Roman" w:hAnsi="Times New Roman" w:cs="Times New Roman"/>
          <w:sz w:val="22"/>
          <w:szCs w:val="22"/>
        </w:rPr>
        <w:t xml:space="preserve"> The measurement method regarding “half of the peak base tangent of the smooth peak (that is, the distance between MB at the lowest MB concentration) is the vascular distance” is referred from the article</w:t>
      </w:r>
      <w:r>
        <w:rPr>
          <w:rFonts w:ascii="Times New Roman" w:hAnsi="Times New Roman" w:cs="Times New Roman" w:hint="eastAsia"/>
          <w:sz w:val="22"/>
          <w:szCs w:val="22"/>
          <w:lang w:val="en-US"/>
        </w:rPr>
        <w:t xml:space="preserve"> </w:t>
      </w:r>
      <w:r>
        <w:rPr>
          <w:rFonts w:ascii="Times New Roman" w:hAnsi="Times New Roman" w:cs="Times New Roman"/>
          <w:sz w:val="22"/>
          <w:szCs w:val="22"/>
        </w:rPr>
        <w:fldChar w:fldCharType="begin">
          <w:fldData xml:space="preserve">PEVuZE5vdGU+PENpdGU+PEF1dGhvcj5FcnJpY288L0F1dGhvcj48WWVhcj4yMDE1PC9ZZWFyPjxS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</w:fldData>
        </w:fldChar>
      </w:r>
      <w:r>
        <w:rPr>
          <w:rFonts w:ascii="Times New Roman" w:hAnsi="Times New Roman" w:cs="Times New Roman" w:hint="eastAsia"/>
          <w:sz w:val="22"/>
          <w:szCs w:val="22"/>
        </w:rPr>
        <w:instrText xml:space="preserve"> ADDIN EN.CITE </w:instrText>
      </w:r>
      <w:r>
        <w:rPr>
          <w:rFonts w:ascii="Times New Roman" w:hAnsi="Times New Roman" w:cs="Times New Roman" w:hint="eastAsia"/>
          <w:sz w:val="22"/>
          <w:szCs w:val="22"/>
        </w:rPr>
        <w:fldChar w:fldCharType="begin">
          <w:fldData xml:space="preserve">PEVuZE5vdGU+PENpdGU+PEF1dGhvcj5FcnJpY288L0F1dGhvcj48WWVhcj4yMDE1PC9ZZWFyPjxS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</w:fldData>
        </w:fldChar>
      </w:r>
      <w:r>
        <w:rPr>
          <w:rFonts w:ascii="Times New Roman" w:hAnsi="Times New Roman" w:cs="Times New Roman" w:hint="eastAsia"/>
          <w:sz w:val="22"/>
          <w:szCs w:val="22"/>
        </w:rPr>
        <w:instrText xml:space="preserve"> ADDIN EN.CITE.DATA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hint="eastAsia"/>
          <w:sz w:val="22"/>
          <w:szCs w:val="22"/>
        </w:rPr>
        <w:fldChar w:fldCharType="end"/>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hint="eastAsia"/>
          <w:sz w:val="22"/>
          <w:szCs w:val="22"/>
        </w:rPr>
        <w:t>[42]</w:t>
      </w:r>
      <w:r>
        <w:rPr>
          <w:rFonts w:ascii="Times New Roman" w:hAnsi="Times New Roman" w:cs="Times New Roman"/>
          <w:sz w:val="22"/>
          <w:szCs w:val="22"/>
        </w:rPr>
        <w:fldChar w:fldCharType="end"/>
      </w:r>
      <w:r>
        <w:rPr>
          <w:rFonts w:ascii="Times New Roman" w:hAnsi="Times New Roman" w:cs="Times New Roman" w:hint="eastAsia"/>
          <w:sz w:val="22"/>
          <w:szCs w:val="22"/>
          <w:lang w:val="en-US"/>
        </w:rPr>
        <w:t>.</w:t>
      </w:r>
      <w:r>
        <w:rPr>
          <w:rFonts w:ascii="Times New Roman" w:hAnsi="Times New Roman" w:cs="Times New Roman"/>
          <w:sz w:val="22"/>
          <w:szCs w:val="22"/>
        </w:rPr>
        <w:t xml:space="preserve"> </w:t>
      </w:r>
    </w:p>
    <w:p w14:paraId="41BEE0EF" w14:textId="77777777" w:rsidR="006945AB" w:rsidRDefault="00000000">
      <w:pPr>
        <w:rPr>
          <w:rFonts w:ascii="Times New Roman" w:hAnsi="Times New Roman" w:cs="Times New Roman"/>
          <w:sz w:val="22"/>
          <w:szCs w:val="22"/>
        </w:rPr>
      </w:pPr>
      <w:r>
        <w:rPr>
          <w:rFonts w:ascii="Times New Roman" w:hAnsi="Times New Roman" w:cs="Times New Roman"/>
          <w:sz w:val="22"/>
          <w:szCs w:val="22"/>
          <w:vertAlign w:val="superscript"/>
        </w:rPr>
        <w:lastRenderedPageBreak/>
        <w:t>4</w:t>
      </w:r>
      <w:r>
        <w:rPr>
          <w:rFonts w:ascii="Times New Roman" w:hAnsi="Times New Roman" w:cs="Times New Roman"/>
          <w:sz w:val="22"/>
          <w:szCs w:val="22"/>
        </w:rPr>
        <w:t xml:space="preserve"> “Area ratio” was shown as “vessel ratio” in the ULTIMUS 9E US system screen, which are actually the same parameters.</w:t>
      </w:r>
    </w:p>
    <w:sectPr w:rsidR="006945AB">
      <w:headerReference w:type="default" r:id="rId20"/>
      <w:footerReference w:type="default" r:id="rId21"/>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D3E491" w14:textId="77777777" w:rsidR="0006016A" w:rsidRDefault="0006016A">
      <w:r>
        <w:separator/>
      </w:r>
    </w:p>
  </w:endnote>
  <w:endnote w:type="continuationSeparator" w:id="0">
    <w:p w14:paraId="3FCC82E7" w14:textId="77777777" w:rsidR="0006016A" w:rsidRDefault="00060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6A21D" w14:textId="77777777" w:rsidR="006945AB" w:rsidRDefault="00000000">
    <w:pPr>
      <w:pStyle w:val="Footer"/>
    </w:pPr>
    <w:r>
      <w:rPr>
        <w:noProof/>
      </w:rPr>
      <mc:AlternateContent>
        <mc:Choice Requires="wps">
          <w:drawing>
            <wp:anchor distT="0" distB="0" distL="114300" distR="114300" simplePos="0" relativeHeight="251659264" behindDoc="0" locked="0" layoutInCell="1" allowOverlap="1" wp14:anchorId="3E837DDB" wp14:editId="558022C8">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C345E6" w14:textId="77777777" w:rsidR="006945AB" w:rsidRDefault="00000000">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E837DDB"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2FC345E6" w14:textId="77777777" w:rsidR="006945AB" w:rsidRDefault="00000000">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0DB5B2" w14:textId="77777777" w:rsidR="0006016A" w:rsidRDefault="0006016A">
      <w:r>
        <w:separator/>
      </w:r>
    </w:p>
  </w:footnote>
  <w:footnote w:type="continuationSeparator" w:id="0">
    <w:p w14:paraId="7C395550" w14:textId="77777777" w:rsidR="0006016A" w:rsidRDefault="000601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3B02E" w14:textId="77777777" w:rsidR="006945AB" w:rsidRDefault="006945A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defaultTabStop w:val="420"/>
  <w:drawingGridHorizontalSpacing w:val="105"/>
  <w:drawingGridVerticalSpacing w:val="319"/>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DYyZjAwZTUzMDQzNWNkZWZmYTdjNzdiMTY4MWNiODkifQ=="/>
    <w:docVar w:name="EN.InstantFormat" w:val="&lt;ENInstantFormat&gt;&lt;Enabled&gt;1&lt;/Enabled&gt;&lt;ScanUnformatted&gt;1&lt;/ScanUnformatted&gt;&lt;ScanChanges&gt;1&lt;/ScanChanges&gt;&lt;Suspended&gt;0&lt;/Suspended&gt;&lt;/ENInstantFormat&gt;"/>
    <w:docVar w:name="EN.Layout" w:val="&lt;ENLayout&gt;&lt;Style&gt;BMC Cancer&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adwtx59pprstre0avp50rzr0w0e590exs2p&quot;&gt;我的EndNote库&lt;record-ids&gt;&lt;item&gt;2&lt;/item&gt;&lt;item&gt;3&lt;/item&gt;&lt;item&gt;4&lt;/item&gt;&lt;item&gt;5&lt;/item&gt;&lt;item&gt;7&lt;/item&gt;&lt;item&gt;8&lt;/item&gt;&lt;item&gt;9&lt;/item&gt;&lt;item&gt;10&lt;/item&gt;&lt;item&gt;11&lt;/item&gt;&lt;item&gt;12&lt;/item&gt;&lt;item&gt;13&lt;/item&gt;&lt;item&gt;14&lt;/item&gt;&lt;item&gt;16&lt;/item&gt;&lt;item&gt;17&lt;/item&gt;&lt;item&gt;18&lt;/item&gt;&lt;item&gt;19&lt;/item&gt;&lt;item&gt;20&lt;/item&gt;&lt;item&gt;21&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3&lt;/item&gt;&lt;item&gt;45&lt;/item&gt;&lt;item&gt;46&lt;/item&gt;&lt;item&gt;47&lt;/item&gt;&lt;item&gt;48&lt;/item&gt;&lt;item&gt;49&lt;/item&gt;&lt;item&gt;50&lt;/item&gt;&lt;item&gt;51&lt;/item&gt;&lt;/record-ids&gt;&lt;/item&gt;&lt;/Libraries&gt;"/>
  </w:docVars>
  <w:rsids>
    <w:rsidRoot w:val="00636F34"/>
    <w:rsid w:val="00050B6E"/>
    <w:rsid w:val="00054268"/>
    <w:rsid w:val="0006016A"/>
    <w:rsid w:val="000714BC"/>
    <w:rsid w:val="00080E39"/>
    <w:rsid w:val="000D0BB2"/>
    <w:rsid w:val="00123838"/>
    <w:rsid w:val="00125CA5"/>
    <w:rsid w:val="00162189"/>
    <w:rsid w:val="00181FAE"/>
    <w:rsid w:val="00202AB2"/>
    <w:rsid w:val="002201C5"/>
    <w:rsid w:val="00235833"/>
    <w:rsid w:val="002452E4"/>
    <w:rsid w:val="00264E2B"/>
    <w:rsid w:val="00265C70"/>
    <w:rsid w:val="00294EF8"/>
    <w:rsid w:val="002957A0"/>
    <w:rsid w:val="003122BF"/>
    <w:rsid w:val="003C043F"/>
    <w:rsid w:val="003D788F"/>
    <w:rsid w:val="00431A0C"/>
    <w:rsid w:val="00433644"/>
    <w:rsid w:val="00531472"/>
    <w:rsid w:val="00595F46"/>
    <w:rsid w:val="005A4C7A"/>
    <w:rsid w:val="005D0A5E"/>
    <w:rsid w:val="00636F34"/>
    <w:rsid w:val="006433E4"/>
    <w:rsid w:val="006636DE"/>
    <w:rsid w:val="006945AB"/>
    <w:rsid w:val="006B53F6"/>
    <w:rsid w:val="006E2390"/>
    <w:rsid w:val="00753CE9"/>
    <w:rsid w:val="007F6B53"/>
    <w:rsid w:val="00823BD3"/>
    <w:rsid w:val="00840E78"/>
    <w:rsid w:val="008533B9"/>
    <w:rsid w:val="00864AC3"/>
    <w:rsid w:val="00886221"/>
    <w:rsid w:val="008D2F29"/>
    <w:rsid w:val="008E4784"/>
    <w:rsid w:val="00913BEE"/>
    <w:rsid w:val="00935837"/>
    <w:rsid w:val="0099057D"/>
    <w:rsid w:val="009B3396"/>
    <w:rsid w:val="00A37929"/>
    <w:rsid w:val="00AC4B28"/>
    <w:rsid w:val="00AD6EAD"/>
    <w:rsid w:val="00AE428B"/>
    <w:rsid w:val="00AE42BB"/>
    <w:rsid w:val="00AE444E"/>
    <w:rsid w:val="00B04DE5"/>
    <w:rsid w:val="00B5408C"/>
    <w:rsid w:val="00BE06D3"/>
    <w:rsid w:val="00C55AE1"/>
    <w:rsid w:val="00C87FC1"/>
    <w:rsid w:val="00CA2DBD"/>
    <w:rsid w:val="00CC3938"/>
    <w:rsid w:val="00D0315C"/>
    <w:rsid w:val="00D0394D"/>
    <w:rsid w:val="00D11F75"/>
    <w:rsid w:val="00D1237E"/>
    <w:rsid w:val="00D352E5"/>
    <w:rsid w:val="00D56C0C"/>
    <w:rsid w:val="00DC6BB7"/>
    <w:rsid w:val="00E27664"/>
    <w:rsid w:val="00E33C2C"/>
    <w:rsid w:val="00E46E24"/>
    <w:rsid w:val="00E72C49"/>
    <w:rsid w:val="00EE7F05"/>
    <w:rsid w:val="00FA5DC2"/>
    <w:rsid w:val="01453498"/>
    <w:rsid w:val="016F591B"/>
    <w:rsid w:val="01BF1294"/>
    <w:rsid w:val="01C83C60"/>
    <w:rsid w:val="01F310F2"/>
    <w:rsid w:val="02085D03"/>
    <w:rsid w:val="021E5D4E"/>
    <w:rsid w:val="022954E4"/>
    <w:rsid w:val="022E1D4D"/>
    <w:rsid w:val="02415913"/>
    <w:rsid w:val="02671768"/>
    <w:rsid w:val="02840DEF"/>
    <w:rsid w:val="02871671"/>
    <w:rsid w:val="02A06DCA"/>
    <w:rsid w:val="02D80970"/>
    <w:rsid w:val="02E408B8"/>
    <w:rsid w:val="02F53218"/>
    <w:rsid w:val="034C1F19"/>
    <w:rsid w:val="036400E5"/>
    <w:rsid w:val="038214DA"/>
    <w:rsid w:val="03A26900"/>
    <w:rsid w:val="03E70DB3"/>
    <w:rsid w:val="0408724E"/>
    <w:rsid w:val="040B0DD9"/>
    <w:rsid w:val="0415231B"/>
    <w:rsid w:val="045B326C"/>
    <w:rsid w:val="04812D66"/>
    <w:rsid w:val="048E6355"/>
    <w:rsid w:val="04A76479"/>
    <w:rsid w:val="04CA57C0"/>
    <w:rsid w:val="05107E95"/>
    <w:rsid w:val="052878D5"/>
    <w:rsid w:val="05535626"/>
    <w:rsid w:val="05A045D0"/>
    <w:rsid w:val="05A60E82"/>
    <w:rsid w:val="05AE5516"/>
    <w:rsid w:val="05E800F4"/>
    <w:rsid w:val="063E0EE8"/>
    <w:rsid w:val="06534416"/>
    <w:rsid w:val="06782196"/>
    <w:rsid w:val="067D15E2"/>
    <w:rsid w:val="068F5B78"/>
    <w:rsid w:val="069A035E"/>
    <w:rsid w:val="06D75BBA"/>
    <w:rsid w:val="06E23AB3"/>
    <w:rsid w:val="07421A7A"/>
    <w:rsid w:val="07495B21"/>
    <w:rsid w:val="0779322A"/>
    <w:rsid w:val="078D3B84"/>
    <w:rsid w:val="079A613C"/>
    <w:rsid w:val="07A67028"/>
    <w:rsid w:val="07DB29DD"/>
    <w:rsid w:val="07E60C2A"/>
    <w:rsid w:val="07E912F4"/>
    <w:rsid w:val="07F00457"/>
    <w:rsid w:val="08547CC7"/>
    <w:rsid w:val="086202E7"/>
    <w:rsid w:val="08947352"/>
    <w:rsid w:val="089C2F12"/>
    <w:rsid w:val="09042BA9"/>
    <w:rsid w:val="092403B3"/>
    <w:rsid w:val="09362C52"/>
    <w:rsid w:val="094333A8"/>
    <w:rsid w:val="09584F0A"/>
    <w:rsid w:val="09DF0B88"/>
    <w:rsid w:val="09FD2D73"/>
    <w:rsid w:val="0A08559C"/>
    <w:rsid w:val="0A2F7000"/>
    <w:rsid w:val="0A3B3C06"/>
    <w:rsid w:val="0A4F192B"/>
    <w:rsid w:val="0AB42BCD"/>
    <w:rsid w:val="0B295EB0"/>
    <w:rsid w:val="0BB04E2C"/>
    <w:rsid w:val="0BC419DA"/>
    <w:rsid w:val="0C1A61A9"/>
    <w:rsid w:val="0C3F4BE5"/>
    <w:rsid w:val="0C6E110E"/>
    <w:rsid w:val="0CAD246E"/>
    <w:rsid w:val="0CF307C8"/>
    <w:rsid w:val="0D171470"/>
    <w:rsid w:val="0D380B5F"/>
    <w:rsid w:val="0D423C21"/>
    <w:rsid w:val="0D540A33"/>
    <w:rsid w:val="0D6039B1"/>
    <w:rsid w:val="0D6C34CE"/>
    <w:rsid w:val="0DB801DB"/>
    <w:rsid w:val="0DC7636C"/>
    <w:rsid w:val="0DCE6B40"/>
    <w:rsid w:val="0DDD6D83"/>
    <w:rsid w:val="0E017CE5"/>
    <w:rsid w:val="0E4B75B0"/>
    <w:rsid w:val="0E6F70CA"/>
    <w:rsid w:val="0E7055FC"/>
    <w:rsid w:val="0E820CEC"/>
    <w:rsid w:val="0EB659DE"/>
    <w:rsid w:val="0EC21D8E"/>
    <w:rsid w:val="0F412A88"/>
    <w:rsid w:val="0F634DCA"/>
    <w:rsid w:val="0F6C774F"/>
    <w:rsid w:val="0F844944"/>
    <w:rsid w:val="0F900551"/>
    <w:rsid w:val="101F1086"/>
    <w:rsid w:val="10233173"/>
    <w:rsid w:val="10315E6F"/>
    <w:rsid w:val="105E2DCF"/>
    <w:rsid w:val="109802F5"/>
    <w:rsid w:val="109A59C8"/>
    <w:rsid w:val="109D7E22"/>
    <w:rsid w:val="10C25D1C"/>
    <w:rsid w:val="10E26E5C"/>
    <w:rsid w:val="10EA6FD8"/>
    <w:rsid w:val="10F35BC2"/>
    <w:rsid w:val="11086E74"/>
    <w:rsid w:val="11135ADC"/>
    <w:rsid w:val="116D7414"/>
    <w:rsid w:val="11733C86"/>
    <w:rsid w:val="119A26DA"/>
    <w:rsid w:val="119F50B4"/>
    <w:rsid w:val="11B30190"/>
    <w:rsid w:val="11F1099F"/>
    <w:rsid w:val="121A67F7"/>
    <w:rsid w:val="122321F1"/>
    <w:rsid w:val="123A74FE"/>
    <w:rsid w:val="12405F91"/>
    <w:rsid w:val="127155EC"/>
    <w:rsid w:val="127D2F17"/>
    <w:rsid w:val="127E2211"/>
    <w:rsid w:val="12A729B7"/>
    <w:rsid w:val="12A7629C"/>
    <w:rsid w:val="12C36E2C"/>
    <w:rsid w:val="12F67C49"/>
    <w:rsid w:val="131E40C5"/>
    <w:rsid w:val="13753589"/>
    <w:rsid w:val="137D1B4E"/>
    <w:rsid w:val="13875879"/>
    <w:rsid w:val="13974132"/>
    <w:rsid w:val="13B72668"/>
    <w:rsid w:val="13B904B8"/>
    <w:rsid w:val="13C80143"/>
    <w:rsid w:val="13D436A9"/>
    <w:rsid w:val="13F74515"/>
    <w:rsid w:val="14313A8A"/>
    <w:rsid w:val="146047E7"/>
    <w:rsid w:val="147829CC"/>
    <w:rsid w:val="14976A9C"/>
    <w:rsid w:val="14A30B6A"/>
    <w:rsid w:val="14E704A6"/>
    <w:rsid w:val="153E4A68"/>
    <w:rsid w:val="154C432F"/>
    <w:rsid w:val="1554671D"/>
    <w:rsid w:val="156B6C4F"/>
    <w:rsid w:val="1576267C"/>
    <w:rsid w:val="158E2DEA"/>
    <w:rsid w:val="15931D98"/>
    <w:rsid w:val="159E77DD"/>
    <w:rsid w:val="15BC6239"/>
    <w:rsid w:val="161B3311"/>
    <w:rsid w:val="164A1E1D"/>
    <w:rsid w:val="16863361"/>
    <w:rsid w:val="16921052"/>
    <w:rsid w:val="16A401CB"/>
    <w:rsid w:val="16B14B04"/>
    <w:rsid w:val="16B54D41"/>
    <w:rsid w:val="172B5A5E"/>
    <w:rsid w:val="17353738"/>
    <w:rsid w:val="173A36E0"/>
    <w:rsid w:val="175818B6"/>
    <w:rsid w:val="17A077BA"/>
    <w:rsid w:val="17AA34AF"/>
    <w:rsid w:val="17B92E22"/>
    <w:rsid w:val="17CE70F8"/>
    <w:rsid w:val="17FB135A"/>
    <w:rsid w:val="17FE0075"/>
    <w:rsid w:val="180D4622"/>
    <w:rsid w:val="18340FB8"/>
    <w:rsid w:val="1844661B"/>
    <w:rsid w:val="186A564C"/>
    <w:rsid w:val="18783665"/>
    <w:rsid w:val="188B010B"/>
    <w:rsid w:val="18B828C6"/>
    <w:rsid w:val="18D05AC7"/>
    <w:rsid w:val="19025C20"/>
    <w:rsid w:val="19095FFB"/>
    <w:rsid w:val="19186445"/>
    <w:rsid w:val="19232435"/>
    <w:rsid w:val="19235F91"/>
    <w:rsid w:val="1926420A"/>
    <w:rsid w:val="193416F6"/>
    <w:rsid w:val="198D4423"/>
    <w:rsid w:val="199926F8"/>
    <w:rsid w:val="19A200F3"/>
    <w:rsid w:val="19CC0276"/>
    <w:rsid w:val="1A0D0832"/>
    <w:rsid w:val="1A21252F"/>
    <w:rsid w:val="1A3C2569"/>
    <w:rsid w:val="1A755A22"/>
    <w:rsid w:val="1A78230D"/>
    <w:rsid w:val="1A8363DB"/>
    <w:rsid w:val="1A8C6B84"/>
    <w:rsid w:val="1AB03CA9"/>
    <w:rsid w:val="1AE856E5"/>
    <w:rsid w:val="1B0E2C71"/>
    <w:rsid w:val="1B4F3904"/>
    <w:rsid w:val="1B5D12D5"/>
    <w:rsid w:val="1B5E0E11"/>
    <w:rsid w:val="1BC20985"/>
    <w:rsid w:val="1BE4034A"/>
    <w:rsid w:val="1C0320AA"/>
    <w:rsid w:val="1C082F20"/>
    <w:rsid w:val="1C3A3268"/>
    <w:rsid w:val="1C6B26C0"/>
    <w:rsid w:val="1CD87093"/>
    <w:rsid w:val="1CD96F21"/>
    <w:rsid w:val="1CDA72AF"/>
    <w:rsid w:val="1CFB381D"/>
    <w:rsid w:val="1CFB6E8C"/>
    <w:rsid w:val="1D137555"/>
    <w:rsid w:val="1D2C5C3B"/>
    <w:rsid w:val="1D5D64C4"/>
    <w:rsid w:val="1D7037F6"/>
    <w:rsid w:val="1D814D75"/>
    <w:rsid w:val="1DAD1737"/>
    <w:rsid w:val="1DB62FAD"/>
    <w:rsid w:val="1DBE6811"/>
    <w:rsid w:val="1E183BC0"/>
    <w:rsid w:val="1E314307"/>
    <w:rsid w:val="1E3A37FB"/>
    <w:rsid w:val="1E560BB7"/>
    <w:rsid w:val="1E8A1D79"/>
    <w:rsid w:val="1E944A31"/>
    <w:rsid w:val="1E9E0014"/>
    <w:rsid w:val="1EB9106E"/>
    <w:rsid w:val="1EC45B21"/>
    <w:rsid w:val="1ED14AD6"/>
    <w:rsid w:val="1ED3045A"/>
    <w:rsid w:val="1EDC5E5C"/>
    <w:rsid w:val="1EF34563"/>
    <w:rsid w:val="1EF71D34"/>
    <w:rsid w:val="1F015ACC"/>
    <w:rsid w:val="1F2406E3"/>
    <w:rsid w:val="1F413BEC"/>
    <w:rsid w:val="1F595B80"/>
    <w:rsid w:val="1F5E0E76"/>
    <w:rsid w:val="1F745799"/>
    <w:rsid w:val="1F7C289F"/>
    <w:rsid w:val="1F822CC8"/>
    <w:rsid w:val="1FBA6757"/>
    <w:rsid w:val="200D794B"/>
    <w:rsid w:val="206D16BC"/>
    <w:rsid w:val="208E4638"/>
    <w:rsid w:val="2099478C"/>
    <w:rsid w:val="20AC1645"/>
    <w:rsid w:val="20AD0837"/>
    <w:rsid w:val="20E311F7"/>
    <w:rsid w:val="21244F9D"/>
    <w:rsid w:val="2125237F"/>
    <w:rsid w:val="212E3725"/>
    <w:rsid w:val="214055A5"/>
    <w:rsid w:val="21737DB4"/>
    <w:rsid w:val="21A428D1"/>
    <w:rsid w:val="21B842C9"/>
    <w:rsid w:val="21E05965"/>
    <w:rsid w:val="22282E62"/>
    <w:rsid w:val="225B2D36"/>
    <w:rsid w:val="22A912EA"/>
    <w:rsid w:val="231859A6"/>
    <w:rsid w:val="2328452F"/>
    <w:rsid w:val="23352DB5"/>
    <w:rsid w:val="2341598C"/>
    <w:rsid w:val="23805E1B"/>
    <w:rsid w:val="23D83E1C"/>
    <w:rsid w:val="2424160A"/>
    <w:rsid w:val="24310C97"/>
    <w:rsid w:val="24361934"/>
    <w:rsid w:val="244C1585"/>
    <w:rsid w:val="24516ADB"/>
    <w:rsid w:val="24AF2F0D"/>
    <w:rsid w:val="24B623B0"/>
    <w:rsid w:val="24C75116"/>
    <w:rsid w:val="25301D0D"/>
    <w:rsid w:val="253E7052"/>
    <w:rsid w:val="256E5963"/>
    <w:rsid w:val="2573204F"/>
    <w:rsid w:val="257C48AE"/>
    <w:rsid w:val="2598326C"/>
    <w:rsid w:val="25DF1444"/>
    <w:rsid w:val="25DF76E4"/>
    <w:rsid w:val="262D5FAD"/>
    <w:rsid w:val="26642AE3"/>
    <w:rsid w:val="26884F77"/>
    <w:rsid w:val="26A43EE9"/>
    <w:rsid w:val="26B30DF0"/>
    <w:rsid w:val="26BC17D3"/>
    <w:rsid w:val="272F267D"/>
    <w:rsid w:val="273716F4"/>
    <w:rsid w:val="2742789F"/>
    <w:rsid w:val="27465C28"/>
    <w:rsid w:val="2768760E"/>
    <w:rsid w:val="276A7D1D"/>
    <w:rsid w:val="278E7211"/>
    <w:rsid w:val="27AA5510"/>
    <w:rsid w:val="27E709F7"/>
    <w:rsid w:val="29125E1E"/>
    <w:rsid w:val="296E1980"/>
    <w:rsid w:val="29975E6C"/>
    <w:rsid w:val="29C76E0D"/>
    <w:rsid w:val="2A111282"/>
    <w:rsid w:val="2A2A066B"/>
    <w:rsid w:val="2A301476"/>
    <w:rsid w:val="2A3F0751"/>
    <w:rsid w:val="2A424E0C"/>
    <w:rsid w:val="2A6245D6"/>
    <w:rsid w:val="2B20049B"/>
    <w:rsid w:val="2B3B2A4A"/>
    <w:rsid w:val="2B4B2228"/>
    <w:rsid w:val="2B8E7ADB"/>
    <w:rsid w:val="2BB13A9B"/>
    <w:rsid w:val="2BDB026A"/>
    <w:rsid w:val="2BE52743"/>
    <w:rsid w:val="2C327186"/>
    <w:rsid w:val="2C4B0648"/>
    <w:rsid w:val="2C602BC6"/>
    <w:rsid w:val="2C884632"/>
    <w:rsid w:val="2C8F6C30"/>
    <w:rsid w:val="2D0802B1"/>
    <w:rsid w:val="2D3763D0"/>
    <w:rsid w:val="2D5C5307"/>
    <w:rsid w:val="2DA46CF2"/>
    <w:rsid w:val="2DD04D9A"/>
    <w:rsid w:val="2DD66BC1"/>
    <w:rsid w:val="2DE6567B"/>
    <w:rsid w:val="2DFC6E56"/>
    <w:rsid w:val="2E272863"/>
    <w:rsid w:val="2E273693"/>
    <w:rsid w:val="2E2C723F"/>
    <w:rsid w:val="2E35750F"/>
    <w:rsid w:val="2E3630BA"/>
    <w:rsid w:val="2E8140B2"/>
    <w:rsid w:val="2E976DAE"/>
    <w:rsid w:val="2EAA7BAE"/>
    <w:rsid w:val="2EB33837"/>
    <w:rsid w:val="2ED83733"/>
    <w:rsid w:val="2EF01B85"/>
    <w:rsid w:val="2F1766B2"/>
    <w:rsid w:val="2F283EAA"/>
    <w:rsid w:val="2F2B1C7E"/>
    <w:rsid w:val="2F652C32"/>
    <w:rsid w:val="2FA71309"/>
    <w:rsid w:val="2FB96318"/>
    <w:rsid w:val="2FD37383"/>
    <w:rsid w:val="2FF7665E"/>
    <w:rsid w:val="30454D69"/>
    <w:rsid w:val="30594F5F"/>
    <w:rsid w:val="3062519A"/>
    <w:rsid w:val="3077617F"/>
    <w:rsid w:val="309951E9"/>
    <w:rsid w:val="30BF736C"/>
    <w:rsid w:val="30E217E0"/>
    <w:rsid w:val="30FE7085"/>
    <w:rsid w:val="312312DE"/>
    <w:rsid w:val="31273BA4"/>
    <w:rsid w:val="31306B17"/>
    <w:rsid w:val="31533DAC"/>
    <w:rsid w:val="31AA591C"/>
    <w:rsid w:val="31C0661C"/>
    <w:rsid w:val="322F14FF"/>
    <w:rsid w:val="322F5E8C"/>
    <w:rsid w:val="323475F9"/>
    <w:rsid w:val="32A52FB2"/>
    <w:rsid w:val="32B36180"/>
    <w:rsid w:val="32CB171C"/>
    <w:rsid w:val="32E20986"/>
    <w:rsid w:val="331704BD"/>
    <w:rsid w:val="332B5D17"/>
    <w:rsid w:val="3367595C"/>
    <w:rsid w:val="33B23C19"/>
    <w:rsid w:val="33B34E53"/>
    <w:rsid w:val="33D9069C"/>
    <w:rsid w:val="342D33D5"/>
    <w:rsid w:val="34982C04"/>
    <w:rsid w:val="34BC704B"/>
    <w:rsid w:val="34BE41FA"/>
    <w:rsid w:val="34C6576E"/>
    <w:rsid w:val="34FA7127"/>
    <w:rsid w:val="352605E2"/>
    <w:rsid w:val="353C0037"/>
    <w:rsid w:val="354F39CB"/>
    <w:rsid w:val="355E7BBF"/>
    <w:rsid w:val="357A7560"/>
    <w:rsid w:val="358E2931"/>
    <w:rsid w:val="35D94150"/>
    <w:rsid w:val="35E8473E"/>
    <w:rsid w:val="35FF0621"/>
    <w:rsid w:val="36370B9C"/>
    <w:rsid w:val="36581519"/>
    <w:rsid w:val="366440AC"/>
    <w:rsid w:val="366C6C42"/>
    <w:rsid w:val="36945475"/>
    <w:rsid w:val="36A20FC6"/>
    <w:rsid w:val="36BA72B6"/>
    <w:rsid w:val="36BD07BF"/>
    <w:rsid w:val="378325C5"/>
    <w:rsid w:val="378C33AD"/>
    <w:rsid w:val="37C92FA6"/>
    <w:rsid w:val="37D619FE"/>
    <w:rsid w:val="37D94172"/>
    <w:rsid w:val="37FD4A5D"/>
    <w:rsid w:val="38305E3B"/>
    <w:rsid w:val="38480286"/>
    <w:rsid w:val="384C71EE"/>
    <w:rsid w:val="384D6FFD"/>
    <w:rsid w:val="38731134"/>
    <w:rsid w:val="38774CF1"/>
    <w:rsid w:val="389E6F73"/>
    <w:rsid w:val="38E928FC"/>
    <w:rsid w:val="38F062ED"/>
    <w:rsid w:val="39230A59"/>
    <w:rsid w:val="394A2D76"/>
    <w:rsid w:val="395D02FD"/>
    <w:rsid w:val="396234B7"/>
    <w:rsid w:val="399772F0"/>
    <w:rsid w:val="399F6831"/>
    <w:rsid w:val="3A071C43"/>
    <w:rsid w:val="3A15327D"/>
    <w:rsid w:val="3A202974"/>
    <w:rsid w:val="3A21732D"/>
    <w:rsid w:val="3A427284"/>
    <w:rsid w:val="3A624C00"/>
    <w:rsid w:val="3A762482"/>
    <w:rsid w:val="3A7E16FD"/>
    <w:rsid w:val="3A8371FF"/>
    <w:rsid w:val="3A84130E"/>
    <w:rsid w:val="3AB17449"/>
    <w:rsid w:val="3AD2104A"/>
    <w:rsid w:val="3B345BC3"/>
    <w:rsid w:val="3B617D9E"/>
    <w:rsid w:val="3BA3206B"/>
    <w:rsid w:val="3BB558B9"/>
    <w:rsid w:val="3BB6518A"/>
    <w:rsid w:val="3BC34B40"/>
    <w:rsid w:val="3BC53048"/>
    <w:rsid w:val="3C1564B9"/>
    <w:rsid w:val="3C850B8E"/>
    <w:rsid w:val="3C9056B7"/>
    <w:rsid w:val="3CA05A49"/>
    <w:rsid w:val="3CA21525"/>
    <w:rsid w:val="3CAC37ED"/>
    <w:rsid w:val="3CF06942"/>
    <w:rsid w:val="3D1D0DC6"/>
    <w:rsid w:val="3D6E1622"/>
    <w:rsid w:val="3D6E2341"/>
    <w:rsid w:val="3DAF2097"/>
    <w:rsid w:val="3E20375E"/>
    <w:rsid w:val="3E3B7B31"/>
    <w:rsid w:val="3E48661E"/>
    <w:rsid w:val="3EBB76C9"/>
    <w:rsid w:val="3F3256EB"/>
    <w:rsid w:val="3F4F1F37"/>
    <w:rsid w:val="3FA75C81"/>
    <w:rsid w:val="3FC84BB7"/>
    <w:rsid w:val="3FCC355C"/>
    <w:rsid w:val="40184A16"/>
    <w:rsid w:val="401873FE"/>
    <w:rsid w:val="401D6FD0"/>
    <w:rsid w:val="403D250C"/>
    <w:rsid w:val="405302B5"/>
    <w:rsid w:val="40573474"/>
    <w:rsid w:val="40880C4C"/>
    <w:rsid w:val="40AD4923"/>
    <w:rsid w:val="40BA242B"/>
    <w:rsid w:val="40DE6ABE"/>
    <w:rsid w:val="412873C5"/>
    <w:rsid w:val="412A1D04"/>
    <w:rsid w:val="412D00DF"/>
    <w:rsid w:val="41B81002"/>
    <w:rsid w:val="41D04621"/>
    <w:rsid w:val="41EC1C85"/>
    <w:rsid w:val="41FB36A0"/>
    <w:rsid w:val="42165ADF"/>
    <w:rsid w:val="42306A3A"/>
    <w:rsid w:val="4239203C"/>
    <w:rsid w:val="424F5EC8"/>
    <w:rsid w:val="42552DB0"/>
    <w:rsid w:val="42685AC6"/>
    <w:rsid w:val="429653F9"/>
    <w:rsid w:val="42C823E1"/>
    <w:rsid w:val="42C85330"/>
    <w:rsid w:val="430B2B4A"/>
    <w:rsid w:val="430C7940"/>
    <w:rsid w:val="43174AFA"/>
    <w:rsid w:val="43476B9D"/>
    <w:rsid w:val="435A3BE8"/>
    <w:rsid w:val="43C20FCF"/>
    <w:rsid w:val="43DD0BB0"/>
    <w:rsid w:val="43EF1CA7"/>
    <w:rsid w:val="43EF7923"/>
    <w:rsid w:val="441E05B9"/>
    <w:rsid w:val="44644F67"/>
    <w:rsid w:val="44E10658"/>
    <w:rsid w:val="451E4491"/>
    <w:rsid w:val="45336E6D"/>
    <w:rsid w:val="455E453A"/>
    <w:rsid w:val="45903836"/>
    <w:rsid w:val="45FE4CB3"/>
    <w:rsid w:val="46407501"/>
    <w:rsid w:val="46653619"/>
    <w:rsid w:val="46A25C92"/>
    <w:rsid w:val="46C96D1E"/>
    <w:rsid w:val="46E64EC4"/>
    <w:rsid w:val="47262F6D"/>
    <w:rsid w:val="4766772D"/>
    <w:rsid w:val="47932993"/>
    <w:rsid w:val="479E0D38"/>
    <w:rsid w:val="47A835DF"/>
    <w:rsid w:val="47B51129"/>
    <w:rsid w:val="47BA3D5E"/>
    <w:rsid w:val="47CD5197"/>
    <w:rsid w:val="47E36AFE"/>
    <w:rsid w:val="48283818"/>
    <w:rsid w:val="48332561"/>
    <w:rsid w:val="487C6A0D"/>
    <w:rsid w:val="48B325DE"/>
    <w:rsid w:val="4908646C"/>
    <w:rsid w:val="49144C08"/>
    <w:rsid w:val="495711BC"/>
    <w:rsid w:val="495A415C"/>
    <w:rsid w:val="496502B3"/>
    <w:rsid w:val="497E0E3E"/>
    <w:rsid w:val="4996732E"/>
    <w:rsid w:val="49A56754"/>
    <w:rsid w:val="49CF169A"/>
    <w:rsid w:val="49D87AAB"/>
    <w:rsid w:val="49E12138"/>
    <w:rsid w:val="4A2609AF"/>
    <w:rsid w:val="4A366C01"/>
    <w:rsid w:val="4A5950C6"/>
    <w:rsid w:val="4A906F71"/>
    <w:rsid w:val="4A9C5768"/>
    <w:rsid w:val="4ABB0AAF"/>
    <w:rsid w:val="4AD65F76"/>
    <w:rsid w:val="4AF94665"/>
    <w:rsid w:val="4AFA5462"/>
    <w:rsid w:val="4AFD294A"/>
    <w:rsid w:val="4B4619D1"/>
    <w:rsid w:val="4B6422B6"/>
    <w:rsid w:val="4B783CF6"/>
    <w:rsid w:val="4B796990"/>
    <w:rsid w:val="4B7F0C3D"/>
    <w:rsid w:val="4B8E71E9"/>
    <w:rsid w:val="4B9C75E2"/>
    <w:rsid w:val="4C077FE4"/>
    <w:rsid w:val="4C404935"/>
    <w:rsid w:val="4C6F4A09"/>
    <w:rsid w:val="4C9835F2"/>
    <w:rsid w:val="4CD7697B"/>
    <w:rsid w:val="4CDB6593"/>
    <w:rsid w:val="4CEA2347"/>
    <w:rsid w:val="4CF67A71"/>
    <w:rsid w:val="4D226FDA"/>
    <w:rsid w:val="4D25340B"/>
    <w:rsid w:val="4D3576CA"/>
    <w:rsid w:val="4D41370A"/>
    <w:rsid w:val="4D4C4DB0"/>
    <w:rsid w:val="4D714058"/>
    <w:rsid w:val="4D73619F"/>
    <w:rsid w:val="4D8B1D7C"/>
    <w:rsid w:val="4D8F6346"/>
    <w:rsid w:val="4DD76D6F"/>
    <w:rsid w:val="4DE247A0"/>
    <w:rsid w:val="4DE31A20"/>
    <w:rsid w:val="4E006415"/>
    <w:rsid w:val="4E2B1100"/>
    <w:rsid w:val="4E4A7541"/>
    <w:rsid w:val="4E644871"/>
    <w:rsid w:val="4E8A2C9F"/>
    <w:rsid w:val="4EF63366"/>
    <w:rsid w:val="4F103949"/>
    <w:rsid w:val="4F4D7377"/>
    <w:rsid w:val="4F7056D7"/>
    <w:rsid w:val="4F815279"/>
    <w:rsid w:val="4F8E395E"/>
    <w:rsid w:val="4F933344"/>
    <w:rsid w:val="4FA1148B"/>
    <w:rsid w:val="4FA234E3"/>
    <w:rsid w:val="4FFC45D8"/>
    <w:rsid w:val="50267B0F"/>
    <w:rsid w:val="50664020"/>
    <w:rsid w:val="50801D4B"/>
    <w:rsid w:val="508A39CD"/>
    <w:rsid w:val="50A007FE"/>
    <w:rsid w:val="50A10CEF"/>
    <w:rsid w:val="50D80034"/>
    <w:rsid w:val="50E00A9D"/>
    <w:rsid w:val="50E81DEC"/>
    <w:rsid w:val="510906F2"/>
    <w:rsid w:val="5127322F"/>
    <w:rsid w:val="51314A1F"/>
    <w:rsid w:val="51612591"/>
    <w:rsid w:val="51F073C9"/>
    <w:rsid w:val="523D1B31"/>
    <w:rsid w:val="524A2A29"/>
    <w:rsid w:val="52AD4542"/>
    <w:rsid w:val="52B0369A"/>
    <w:rsid w:val="52B4431E"/>
    <w:rsid w:val="52BE04FE"/>
    <w:rsid w:val="5307074E"/>
    <w:rsid w:val="53106791"/>
    <w:rsid w:val="53140DEE"/>
    <w:rsid w:val="53563C96"/>
    <w:rsid w:val="53C2401E"/>
    <w:rsid w:val="53DD2C05"/>
    <w:rsid w:val="53E15E93"/>
    <w:rsid w:val="54072D71"/>
    <w:rsid w:val="541B0C0A"/>
    <w:rsid w:val="546722CE"/>
    <w:rsid w:val="54C13C58"/>
    <w:rsid w:val="54ED1A8E"/>
    <w:rsid w:val="550736B3"/>
    <w:rsid w:val="55085B70"/>
    <w:rsid w:val="55150506"/>
    <w:rsid w:val="5516418A"/>
    <w:rsid w:val="55456CB4"/>
    <w:rsid w:val="55495480"/>
    <w:rsid w:val="55557ADC"/>
    <w:rsid w:val="55750A32"/>
    <w:rsid w:val="55833D76"/>
    <w:rsid w:val="559F6550"/>
    <w:rsid w:val="55CA4A35"/>
    <w:rsid w:val="55E52FC3"/>
    <w:rsid w:val="56241552"/>
    <w:rsid w:val="56250E94"/>
    <w:rsid w:val="56575451"/>
    <w:rsid w:val="56670E9A"/>
    <w:rsid w:val="5688013C"/>
    <w:rsid w:val="5688427E"/>
    <w:rsid w:val="56A65531"/>
    <w:rsid w:val="570C203C"/>
    <w:rsid w:val="57351559"/>
    <w:rsid w:val="573C40E7"/>
    <w:rsid w:val="574516A5"/>
    <w:rsid w:val="57760143"/>
    <w:rsid w:val="57CA0AA9"/>
    <w:rsid w:val="587F182F"/>
    <w:rsid w:val="589B3586"/>
    <w:rsid w:val="58AE691E"/>
    <w:rsid w:val="58B141AE"/>
    <w:rsid w:val="58BD377C"/>
    <w:rsid w:val="58D657C3"/>
    <w:rsid w:val="59D42EFD"/>
    <w:rsid w:val="59D94E61"/>
    <w:rsid w:val="5A054915"/>
    <w:rsid w:val="5A1B74A2"/>
    <w:rsid w:val="5A7C2868"/>
    <w:rsid w:val="5AD10225"/>
    <w:rsid w:val="5B0666B8"/>
    <w:rsid w:val="5B4A77B6"/>
    <w:rsid w:val="5B5F6397"/>
    <w:rsid w:val="5B6A5EBA"/>
    <w:rsid w:val="5B741A90"/>
    <w:rsid w:val="5B747B50"/>
    <w:rsid w:val="5B7516A9"/>
    <w:rsid w:val="5BDC2023"/>
    <w:rsid w:val="5C0C5DF7"/>
    <w:rsid w:val="5C300F85"/>
    <w:rsid w:val="5C3B0A96"/>
    <w:rsid w:val="5C5F022E"/>
    <w:rsid w:val="5C860025"/>
    <w:rsid w:val="5D0B2D91"/>
    <w:rsid w:val="5D1759B6"/>
    <w:rsid w:val="5D4C554D"/>
    <w:rsid w:val="5DA1065D"/>
    <w:rsid w:val="5DF94AE0"/>
    <w:rsid w:val="5E225ADE"/>
    <w:rsid w:val="5E290859"/>
    <w:rsid w:val="5E45502B"/>
    <w:rsid w:val="5E5A5043"/>
    <w:rsid w:val="5E665AE7"/>
    <w:rsid w:val="5E772BA9"/>
    <w:rsid w:val="5EA22343"/>
    <w:rsid w:val="5EC90C0D"/>
    <w:rsid w:val="5EF74568"/>
    <w:rsid w:val="5F0E25B0"/>
    <w:rsid w:val="5F0E2A83"/>
    <w:rsid w:val="5F4D35C2"/>
    <w:rsid w:val="5F681F1D"/>
    <w:rsid w:val="5F7301B0"/>
    <w:rsid w:val="5F8F588F"/>
    <w:rsid w:val="5FBA3A95"/>
    <w:rsid w:val="5FCB5012"/>
    <w:rsid w:val="5FE02B21"/>
    <w:rsid w:val="5FF65A67"/>
    <w:rsid w:val="60324169"/>
    <w:rsid w:val="60825AA8"/>
    <w:rsid w:val="609E5A0A"/>
    <w:rsid w:val="60A44A07"/>
    <w:rsid w:val="60C677EE"/>
    <w:rsid w:val="60C948FB"/>
    <w:rsid w:val="611B4D6D"/>
    <w:rsid w:val="613525BF"/>
    <w:rsid w:val="61571E68"/>
    <w:rsid w:val="615B6ED4"/>
    <w:rsid w:val="61724C80"/>
    <w:rsid w:val="617D305C"/>
    <w:rsid w:val="61830F34"/>
    <w:rsid w:val="61966998"/>
    <w:rsid w:val="61B529D2"/>
    <w:rsid w:val="61D13D7D"/>
    <w:rsid w:val="61DC1D3B"/>
    <w:rsid w:val="61F9485F"/>
    <w:rsid w:val="62501E98"/>
    <w:rsid w:val="62995958"/>
    <w:rsid w:val="62C663A6"/>
    <w:rsid w:val="62F26D53"/>
    <w:rsid w:val="63037651"/>
    <w:rsid w:val="63184D3F"/>
    <w:rsid w:val="63426AA5"/>
    <w:rsid w:val="63453A21"/>
    <w:rsid w:val="63496A12"/>
    <w:rsid w:val="634B612E"/>
    <w:rsid w:val="636D20E6"/>
    <w:rsid w:val="638F4223"/>
    <w:rsid w:val="63A26C3D"/>
    <w:rsid w:val="63B37981"/>
    <w:rsid w:val="63D76158"/>
    <w:rsid w:val="63EB7D35"/>
    <w:rsid w:val="64030466"/>
    <w:rsid w:val="641D0529"/>
    <w:rsid w:val="64252409"/>
    <w:rsid w:val="64262165"/>
    <w:rsid w:val="644C33A1"/>
    <w:rsid w:val="646152AF"/>
    <w:rsid w:val="646768F1"/>
    <w:rsid w:val="64793DF4"/>
    <w:rsid w:val="64886969"/>
    <w:rsid w:val="64D44396"/>
    <w:rsid w:val="64E82904"/>
    <w:rsid w:val="652D38A3"/>
    <w:rsid w:val="65316793"/>
    <w:rsid w:val="65492AB6"/>
    <w:rsid w:val="65750AF3"/>
    <w:rsid w:val="65C749F3"/>
    <w:rsid w:val="65CD0D2C"/>
    <w:rsid w:val="65E74636"/>
    <w:rsid w:val="67224175"/>
    <w:rsid w:val="673B3E4F"/>
    <w:rsid w:val="678F3DA8"/>
    <w:rsid w:val="679B5C19"/>
    <w:rsid w:val="67A23AF2"/>
    <w:rsid w:val="67D964AC"/>
    <w:rsid w:val="67DF3300"/>
    <w:rsid w:val="68546DAB"/>
    <w:rsid w:val="687544E3"/>
    <w:rsid w:val="68B308D2"/>
    <w:rsid w:val="68C31F7F"/>
    <w:rsid w:val="690533BC"/>
    <w:rsid w:val="692D27FE"/>
    <w:rsid w:val="693346D3"/>
    <w:rsid w:val="696077C1"/>
    <w:rsid w:val="696179FC"/>
    <w:rsid w:val="696951A4"/>
    <w:rsid w:val="69791075"/>
    <w:rsid w:val="699F3C1E"/>
    <w:rsid w:val="69BF262E"/>
    <w:rsid w:val="69D33569"/>
    <w:rsid w:val="69DF5D39"/>
    <w:rsid w:val="69E26258"/>
    <w:rsid w:val="69EC619F"/>
    <w:rsid w:val="69EF4D30"/>
    <w:rsid w:val="6A0869F2"/>
    <w:rsid w:val="6A25617E"/>
    <w:rsid w:val="6A414030"/>
    <w:rsid w:val="6A6D3ACA"/>
    <w:rsid w:val="6A835E5D"/>
    <w:rsid w:val="6A8B4D12"/>
    <w:rsid w:val="6ABC311D"/>
    <w:rsid w:val="6ABF4160"/>
    <w:rsid w:val="6AE24799"/>
    <w:rsid w:val="6B1B2357"/>
    <w:rsid w:val="6BD91127"/>
    <w:rsid w:val="6BE43BA0"/>
    <w:rsid w:val="6BEA4FC3"/>
    <w:rsid w:val="6BEB6D18"/>
    <w:rsid w:val="6BFF5B20"/>
    <w:rsid w:val="6C2A2F12"/>
    <w:rsid w:val="6C427652"/>
    <w:rsid w:val="6CB67C50"/>
    <w:rsid w:val="6CE76710"/>
    <w:rsid w:val="6D0436B4"/>
    <w:rsid w:val="6D1E7894"/>
    <w:rsid w:val="6D384CD5"/>
    <w:rsid w:val="6D947F3D"/>
    <w:rsid w:val="6E241C5F"/>
    <w:rsid w:val="6E4301A0"/>
    <w:rsid w:val="6E4D0AF8"/>
    <w:rsid w:val="6E574CC6"/>
    <w:rsid w:val="6EA75340"/>
    <w:rsid w:val="6EC820B0"/>
    <w:rsid w:val="6EE40E94"/>
    <w:rsid w:val="6EEC4152"/>
    <w:rsid w:val="6F164D19"/>
    <w:rsid w:val="6F456A88"/>
    <w:rsid w:val="6F7264A0"/>
    <w:rsid w:val="6F977DD1"/>
    <w:rsid w:val="6FAD3568"/>
    <w:rsid w:val="7007181D"/>
    <w:rsid w:val="70445B71"/>
    <w:rsid w:val="709962E2"/>
    <w:rsid w:val="70CF0227"/>
    <w:rsid w:val="70F27F0F"/>
    <w:rsid w:val="711C2166"/>
    <w:rsid w:val="71584E79"/>
    <w:rsid w:val="715F4802"/>
    <w:rsid w:val="71704EF0"/>
    <w:rsid w:val="718A0B64"/>
    <w:rsid w:val="71B05F62"/>
    <w:rsid w:val="71BA5A17"/>
    <w:rsid w:val="72023B0B"/>
    <w:rsid w:val="723904D8"/>
    <w:rsid w:val="724A27F3"/>
    <w:rsid w:val="725B146D"/>
    <w:rsid w:val="72A42E14"/>
    <w:rsid w:val="72C403B0"/>
    <w:rsid w:val="73197032"/>
    <w:rsid w:val="735C13E0"/>
    <w:rsid w:val="737D0A4E"/>
    <w:rsid w:val="738F2E51"/>
    <w:rsid w:val="73912F16"/>
    <w:rsid w:val="73937B56"/>
    <w:rsid w:val="73944D39"/>
    <w:rsid w:val="739A77D6"/>
    <w:rsid w:val="739D7782"/>
    <w:rsid w:val="73A1287F"/>
    <w:rsid w:val="73D86942"/>
    <w:rsid w:val="73DE2356"/>
    <w:rsid w:val="740B6EBB"/>
    <w:rsid w:val="745A6C2C"/>
    <w:rsid w:val="74EC0A46"/>
    <w:rsid w:val="750C0646"/>
    <w:rsid w:val="750E5039"/>
    <w:rsid w:val="751B042C"/>
    <w:rsid w:val="751C1388"/>
    <w:rsid w:val="753F70C5"/>
    <w:rsid w:val="7541494A"/>
    <w:rsid w:val="754F7A72"/>
    <w:rsid w:val="75674340"/>
    <w:rsid w:val="75861990"/>
    <w:rsid w:val="75AE0CEB"/>
    <w:rsid w:val="75C30B39"/>
    <w:rsid w:val="75C56449"/>
    <w:rsid w:val="75D87084"/>
    <w:rsid w:val="7612404B"/>
    <w:rsid w:val="76167048"/>
    <w:rsid w:val="7663393A"/>
    <w:rsid w:val="768E0DAD"/>
    <w:rsid w:val="76A86A5F"/>
    <w:rsid w:val="76B7017D"/>
    <w:rsid w:val="76C37A33"/>
    <w:rsid w:val="76D0766A"/>
    <w:rsid w:val="7737629C"/>
    <w:rsid w:val="775A0B2E"/>
    <w:rsid w:val="775B53B2"/>
    <w:rsid w:val="7783749C"/>
    <w:rsid w:val="77A1051E"/>
    <w:rsid w:val="77BA24F3"/>
    <w:rsid w:val="78083669"/>
    <w:rsid w:val="782318D1"/>
    <w:rsid w:val="78467003"/>
    <w:rsid w:val="78727C25"/>
    <w:rsid w:val="78A776B3"/>
    <w:rsid w:val="78CB6FD7"/>
    <w:rsid w:val="78DA2881"/>
    <w:rsid w:val="79020895"/>
    <w:rsid w:val="79077370"/>
    <w:rsid w:val="79F84F57"/>
    <w:rsid w:val="7A00297D"/>
    <w:rsid w:val="7A266233"/>
    <w:rsid w:val="7A6569E9"/>
    <w:rsid w:val="7A84224E"/>
    <w:rsid w:val="7A8D0632"/>
    <w:rsid w:val="7AB15352"/>
    <w:rsid w:val="7AC04563"/>
    <w:rsid w:val="7B187EFC"/>
    <w:rsid w:val="7B1D08C2"/>
    <w:rsid w:val="7B4909FD"/>
    <w:rsid w:val="7B6C1447"/>
    <w:rsid w:val="7B95521D"/>
    <w:rsid w:val="7BAA6278"/>
    <w:rsid w:val="7BD62324"/>
    <w:rsid w:val="7BF0647E"/>
    <w:rsid w:val="7C4826BD"/>
    <w:rsid w:val="7C5B1569"/>
    <w:rsid w:val="7C766266"/>
    <w:rsid w:val="7D1351BF"/>
    <w:rsid w:val="7D2510B9"/>
    <w:rsid w:val="7D2B3BB8"/>
    <w:rsid w:val="7D3612AD"/>
    <w:rsid w:val="7D3E7271"/>
    <w:rsid w:val="7D4A0835"/>
    <w:rsid w:val="7D6C09D3"/>
    <w:rsid w:val="7D996C29"/>
    <w:rsid w:val="7DB71DCB"/>
    <w:rsid w:val="7DD25D8A"/>
    <w:rsid w:val="7DE36750"/>
    <w:rsid w:val="7DFB782F"/>
    <w:rsid w:val="7E2239A2"/>
    <w:rsid w:val="7E3612CD"/>
    <w:rsid w:val="7E590F57"/>
    <w:rsid w:val="7E805634"/>
    <w:rsid w:val="7E816113"/>
    <w:rsid w:val="7E973CF3"/>
    <w:rsid w:val="7EB77C6B"/>
    <w:rsid w:val="7EB8262B"/>
    <w:rsid w:val="7F0616C4"/>
    <w:rsid w:val="7F4A37CE"/>
    <w:rsid w:val="7F593182"/>
    <w:rsid w:val="7F68199E"/>
    <w:rsid w:val="7F9B10FB"/>
    <w:rsid w:val="7FD134B3"/>
    <w:rsid w:val="7FFD78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EFED79"/>
  <w15:docId w15:val="{7A809E0E-458E-4BC3-9D7E-DCCE854ED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pPr>
      <w:jc w:val="left"/>
    </w:p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4">
    <w:name w:val="toc 4"/>
    <w:basedOn w:val="Normal"/>
    <w:next w:val="Normal"/>
    <w:qFormat/>
    <w:pPr>
      <w:ind w:leftChars="600" w:left="1260"/>
    </w:pPr>
  </w:style>
  <w:style w:type="paragraph" w:styleId="NormalWeb">
    <w:name w:val="Normal (Web)"/>
    <w:basedOn w:val="Normal"/>
    <w:qFormat/>
    <w:pPr>
      <w:spacing w:beforeAutospacing="1" w:afterAutospacing="1"/>
      <w:jc w:val="left"/>
    </w:pPr>
    <w:rPr>
      <w:rFonts w:cs="Times New Roman"/>
      <w:kern w:val="0"/>
      <w:sz w:val="24"/>
      <w:lang w:val="en-US"/>
    </w:rPr>
  </w:style>
  <w:style w:type="paragraph" w:styleId="CommentSubject">
    <w:name w:val="annotation subject"/>
    <w:basedOn w:val="CommentText"/>
    <w:next w:val="CommentText"/>
    <w:link w:val="CommentSubjectChar"/>
    <w:qFormat/>
    <w:pPr>
      <w:jc w:val="both"/>
    </w:pPr>
    <w:rPr>
      <w:b/>
      <w:bCs/>
      <w:sz w:val="20"/>
      <w:szCs w:val="20"/>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character" w:styleId="Hyperlink">
    <w:name w:val="Hyperlink"/>
    <w:basedOn w:val="DefaultParagraphFont"/>
    <w:qFormat/>
    <w:rPr>
      <w:color w:val="0000FF"/>
      <w:u w:val="single"/>
    </w:rPr>
  </w:style>
  <w:style w:type="character" w:styleId="CommentReference">
    <w:name w:val="annotation reference"/>
    <w:basedOn w:val="DefaultParagraphFont"/>
    <w:qFormat/>
    <w:rPr>
      <w:sz w:val="18"/>
      <w:szCs w:val="18"/>
    </w:rPr>
  </w:style>
  <w:style w:type="paragraph" w:customStyle="1" w:styleId="5">
    <w:name w:val="样式5"/>
    <w:basedOn w:val="TOC4"/>
    <w:qFormat/>
    <w:rPr>
      <w:rFonts w:ascii="SimHei" w:eastAsia="SimHei" w:hAnsi="SimHei" w:cs="SimHei"/>
      <w:szCs w:val="32"/>
    </w:rPr>
  </w:style>
  <w:style w:type="paragraph" w:customStyle="1" w:styleId="EndNoteBibliographyTitle">
    <w:name w:val="EndNote Bibliography Title"/>
    <w:qFormat/>
    <w:pPr>
      <w:jc w:val="center"/>
    </w:pPr>
    <w:rPr>
      <w:rFonts w:eastAsiaTheme="minorEastAsia"/>
      <w:kern w:val="2"/>
      <w:szCs w:val="24"/>
      <w:lang w:eastAsia="zh-CN"/>
    </w:rPr>
  </w:style>
  <w:style w:type="paragraph" w:customStyle="1" w:styleId="EndNoteBibliography">
    <w:name w:val="EndNote Bibliography"/>
    <w:qFormat/>
    <w:pPr>
      <w:jc w:val="both"/>
    </w:pPr>
    <w:rPr>
      <w:rFonts w:eastAsiaTheme="minorEastAsia"/>
      <w:kern w:val="2"/>
      <w:szCs w:val="24"/>
      <w:lang w:eastAsia="zh-CN"/>
    </w:rPr>
  </w:style>
  <w:style w:type="paragraph" w:customStyle="1" w:styleId="preflight-heading">
    <w:name w:val="preflight-heading"/>
    <w:qFormat/>
    <w:pPr>
      <w:spacing w:before="60" w:after="60"/>
    </w:pPr>
    <w:rPr>
      <w:b/>
      <w:color w:val="000000"/>
    </w:rPr>
  </w:style>
  <w:style w:type="paragraph" w:customStyle="1" w:styleId="preflight-description">
    <w:name w:val="preflight-description"/>
    <w:qFormat/>
    <w:pPr>
      <w:spacing w:before="60" w:after="60"/>
    </w:pPr>
    <w:rPr>
      <w:color w:val="000000"/>
    </w:rPr>
  </w:style>
  <w:style w:type="paragraph" w:customStyle="1" w:styleId="preflight-link">
    <w:name w:val="preflight-link"/>
    <w:qFormat/>
    <w:pPr>
      <w:spacing w:before="60" w:after="60"/>
    </w:pPr>
    <w:rPr>
      <w:color w:val="0000FF"/>
      <w:u w:val="single"/>
    </w:rPr>
  </w:style>
  <w:style w:type="paragraph" w:customStyle="1" w:styleId="preflight-example">
    <w:name w:val="preflight-example"/>
    <w:qFormat/>
    <w:pPr>
      <w:spacing w:before="180" w:after="60"/>
    </w:pPr>
    <w:rPr>
      <w:i/>
      <w:color w:val="000000"/>
    </w:rPr>
  </w:style>
  <w:style w:type="paragraph" w:customStyle="1" w:styleId="Revision1">
    <w:name w:val="Revision1"/>
    <w:hidden/>
    <w:uiPriority w:val="99"/>
    <w:unhideWhenUsed/>
    <w:qFormat/>
    <w:rPr>
      <w:rFonts w:asciiTheme="minorHAnsi" w:eastAsiaTheme="minorEastAsia" w:hAnsiTheme="minorHAnsi" w:cstheme="minorBidi"/>
      <w:kern w:val="2"/>
      <w:sz w:val="21"/>
      <w:szCs w:val="24"/>
      <w:lang w:eastAsia="zh-CN"/>
    </w:rPr>
  </w:style>
  <w:style w:type="character" w:customStyle="1" w:styleId="CommentTextChar">
    <w:name w:val="Comment Text Char"/>
    <w:basedOn w:val="DefaultParagraphFont"/>
    <w:link w:val="CommentText"/>
    <w:qFormat/>
    <w:rPr>
      <w:rFonts w:asciiTheme="minorHAnsi" w:eastAsiaTheme="minorEastAsia" w:hAnsiTheme="minorHAnsi" w:cstheme="minorBidi"/>
      <w:kern w:val="2"/>
      <w:sz w:val="21"/>
      <w:szCs w:val="24"/>
      <w:lang w:val="en-GB" w:eastAsia="zh-CN"/>
    </w:rPr>
  </w:style>
  <w:style w:type="character" w:customStyle="1" w:styleId="CommentSubjectChar">
    <w:name w:val="Comment Subject Char"/>
    <w:basedOn w:val="CommentTextChar"/>
    <w:link w:val="CommentSubject"/>
    <w:qFormat/>
    <w:rPr>
      <w:rFonts w:asciiTheme="minorHAnsi" w:eastAsiaTheme="minorEastAsia" w:hAnsiTheme="minorHAnsi" w:cstheme="minorBidi"/>
      <w:b/>
      <w:bCs/>
      <w:kern w:val="2"/>
      <w:sz w:val="21"/>
      <w:szCs w:val="24"/>
      <w:lang w:val="en-GB" w:eastAsia="zh-CN"/>
    </w:rPr>
  </w:style>
  <w:style w:type="paragraph" w:styleId="ListParagraph">
    <w:name w:val="List Paragraph"/>
    <w:basedOn w:val="Normal"/>
    <w:uiPriority w:val="99"/>
    <w:unhideWhenUsed/>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583</Words>
  <Characters>3326</Characters>
  <Application>Microsoft Office Word</Application>
  <DocSecurity>0</DocSecurity>
  <Lines>27</Lines>
  <Paragraphs>7</Paragraphs>
  <ScaleCrop>false</ScaleCrop>
  <Company>Springer Nature</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Wangfeiqian</dc:creator>
  <cp:lastModifiedBy>Trupti Sudge</cp:lastModifiedBy>
  <cp:revision>2</cp:revision>
  <dcterms:created xsi:type="dcterms:W3CDTF">2024-12-05T06:18:00Z</dcterms:created>
  <dcterms:modified xsi:type="dcterms:W3CDTF">2024-12-05T06:18:00Z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11EC42CFF5A745B38BA19A9D5D31465F_12</vt:lpwstr>
  </property>
  <property fmtid="{D5CDD505-2E9C-101B-9397-08002B2CF9AE}" pid="3" name="KSOProductBuildVer">
    <vt:lpwstr>2052-12.1.0.18608</vt:lpwstr>
  </property>
</Properties>
</file>