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3243" w:rsidRPr="00964550" w:rsidRDefault="006A1959" w:rsidP="004452D4">
      <w:pPr>
        <w:pStyle w:val="Kop1"/>
        <w:rPr>
          <w:lang w:val="en-US"/>
        </w:rPr>
      </w:pPr>
      <w:r>
        <w:rPr>
          <w:lang w:val="en-US"/>
        </w:rPr>
        <w:t>Additional file 1</w:t>
      </w:r>
    </w:p>
    <w:p w:rsidR="004452D4" w:rsidRDefault="004452D4" w:rsidP="004452D4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sz w:val="20"/>
          <w:szCs w:val="20"/>
          <w:lang w:val="en-US"/>
        </w:rPr>
      </w:pPr>
    </w:p>
    <w:p w:rsidR="004452D4" w:rsidRPr="004452D4" w:rsidRDefault="003D5C5B" w:rsidP="003D5C5B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sz w:val="20"/>
          <w:szCs w:val="20"/>
          <w:lang w:val="en-US"/>
        </w:rPr>
      </w:pPr>
      <w:r>
        <w:rPr>
          <w:rFonts w:cs="Times New Roman"/>
          <w:b/>
          <w:sz w:val="20"/>
          <w:szCs w:val="20"/>
          <w:lang w:val="en-US"/>
        </w:rPr>
        <w:t>Additio</w:t>
      </w:r>
      <w:bookmarkStart w:id="0" w:name="_GoBack"/>
      <w:bookmarkEnd w:id="0"/>
      <w:r>
        <w:rPr>
          <w:rFonts w:cs="Times New Roman"/>
          <w:b/>
          <w:sz w:val="20"/>
          <w:szCs w:val="20"/>
          <w:lang w:val="en-US"/>
        </w:rPr>
        <w:t>nal t</w:t>
      </w:r>
      <w:r w:rsidR="004452D4">
        <w:rPr>
          <w:rFonts w:cs="Times New Roman"/>
          <w:b/>
          <w:sz w:val="20"/>
          <w:szCs w:val="20"/>
          <w:lang w:val="en-US"/>
        </w:rPr>
        <w:t>able</w:t>
      </w:r>
      <w:r>
        <w:rPr>
          <w:rFonts w:cs="Times New Roman"/>
          <w:b/>
          <w:sz w:val="20"/>
          <w:szCs w:val="20"/>
          <w:lang w:val="en-US"/>
        </w:rPr>
        <w:t xml:space="preserve"> 1</w:t>
      </w:r>
      <w:r w:rsidR="004452D4" w:rsidRPr="004452D4">
        <w:rPr>
          <w:rFonts w:cs="Times New Roman"/>
          <w:b/>
          <w:sz w:val="20"/>
          <w:szCs w:val="20"/>
          <w:lang w:val="en-US"/>
        </w:rPr>
        <w:t xml:space="preserve">. Unadjusted mean differences in PedsQL MFS Scores in </w:t>
      </w:r>
      <w:r w:rsidR="00BF56BD">
        <w:rPr>
          <w:rFonts w:cs="Times New Roman"/>
          <w:b/>
          <w:sz w:val="20"/>
          <w:szCs w:val="20"/>
          <w:lang w:val="en-US"/>
        </w:rPr>
        <w:t xml:space="preserve">PHIV+ and </w:t>
      </w:r>
      <w:r w:rsidR="004452D4" w:rsidRPr="004452D4">
        <w:rPr>
          <w:rFonts w:cs="Times New Roman"/>
          <w:b/>
          <w:sz w:val="20"/>
          <w:szCs w:val="20"/>
          <w:lang w:val="en-US"/>
        </w:rPr>
        <w:t>HIV</w:t>
      </w:r>
      <w:r w:rsidR="00BF56BD">
        <w:rPr>
          <w:rFonts w:cs="Times New Roman"/>
          <w:b/>
          <w:sz w:val="20"/>
          <w:szCs w:val="20"/>
          <w:lang w:val="en-US"/>
        </w:rPr>
        <w:t>-.</w:t>
      </w:r>
    </w:p>
    <w:tbl>
      <w:tblPr>
        <w:tblStyle w:val="Onopgemaaktetabel2"/>
        <w:tblW w:w="9375" w:type="dxa"/>
        <w:tblLook w:val="04A0" w:firstRow="1" w:lastRow="0" w:firstColumn="1" w:lastColumn="0" w:noHBand="0" w:noVBand="1"/>
      </w:tblPr>
      <w:tblGrid>
        <w:gridCol w:w="1873"/>
        <w:gridCol w:w="1249"/>
        <w:gridCol w:w="1251"/>
        <w:gridCol w:w="1250"/>
        <w:gridCol w:w="1251"/>
        <w:gridCol w:w="1250"/>
        <w:gridCol w:w="1251"/>
      </w:tblGrid>
      <w:tr w:rsidR="004452D4" w:rsidRPr="003D5C5B" w:rsidTr="00BF56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3" w:type="dxa"/>
            <w:tcBorders>
              <w:righ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="Arial"/>
                <w:sz w:val="20"/>
                <w:szCs w:val="20"/>
                <w:lang w:val="en-US"/>
              </w:rPr>
            </w:pPr>
          </w:p>
        </w:tc>
        <w:tc>
          <w:tcPr>
            <w:tcW w:w="250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452D4" w:rsidRPr="004452D4" w:rsidRDefault="004452D4" w:rsidP="00BF56BD">
            <w:pPr>
              <w:autoSpaceDE w:val="0"/>
              <w:autoSpaceDN w:val="0"/>
              <w:adjustRightInd w:val="0"/>
              <w:spacing w:line="40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i/>
                <w:sz w:val="20"/>
                <w:szCs w:val="20"/>
                <w:lang w:val="en-US"/>
              </w:rPr>
              <w:t>HIV-</w:t>
            </w:r>
          </w:p>
        </w:tc>
        <w:tc>
          <w:tcPr>
            <w:tcW w:w="250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452D4" w:rsidRPr="004452D4" w:rsidRDefault="00BF56BD" w:rsidP="004452D4">
            <w:pPr>
              <w:autoSpaceDE w:val="0"/>
              <w:autoSpaceDN w:val="0"/>
              <w:adjustRightInd w:val="0"/>
              <w:spacing w:line="40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/>
                <w:sz w:val="20"/>
                <w:szCs w:val="20"/>
                <w:lang w:val="en-US"/>
              </w:rPr>
            </w:pPr>
            <w:r>
              <w:rPr>
                <w:rFonts w:cs="Times New Roman"/>
                <w:i/>
                <w:sz w:val="20"/>
                <w:szCs w:val="20"/>
                <w:lang w:val="en-US"/>
              </w:rPr>
              <w:t>CCD</w:t>
            </w:r>
          </w:p>
        </w:tc>
        <w:tc>
          <w:tcPr>
            <w:tcW w:w="250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4452D4" w:rsidRPr="004452D4" w:rsidRDefault="004452D4" w:rsidP="00BF56BD">
            <w:pPr>
              <w:autoSpaceDE w:val="0"/>
              <w:autoSpaceDN w:val="0"/>
              <w:adjustRightInd w:val="0"/>
              <w:spacing w:line="40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i/>
                <w:sz w:val="20"/>
                <w:szCs w:val="20"/>
                <w:lang w:val="en-US"/>
              </w:rPr>
              <w:t xml:space="preserve">Dutch </w:t>
            </w:r>
            <w:r w:rsidR="00BF56BD">
              <w:rPr>
                <w:rFonts w:cs="Times New Roman"/>
                <w:i/>
                <w:sz w:val="20"/>
                <w:szCs w:val="20"/>
                <w:lang w:val="en-US"/>
              </w:rPr>
              <w:t>GP</w:t>
            </w:r>
          </w:p>
        </w:tc>
      </w:tr>
      <w:tr w:rsidR="004452D4" w:rsidRPr="003D5C5B" w:rsidTr="00BF56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3" w:type="dxa"/>
            <w:tcBorders>
              <w:righ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="Arial"/>
                <w:sz w:val="20"/>
                <w:szCs w:val="20"/>
                <w:lang w:val="en-US"/>
              </w:rPr>
            </w:pPr>
          </w:p>
        </w:tc>
        <w:tc>
          <w:tcPr>
            <w:tcW w:w="1249" w:type="dxa"/>
            <w:tcBorders>
              <w:lef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1250" w:type="dxa"/>
            <w:tcBorders>
              <w:righ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i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95% CI</w:t>
            </w:r>
          </w:p>
        </w:tc>
        <w:tc>
          <w:tcPr>
            <w:tcW w:w="1250" w:type="dxa"/>
            <w:tcBorders>
              <w:lef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1250" w:type="dxa"/>
            <w:tcBorders>
              <w:righ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95% CI</w:t>
            </w:r>
          </w:p>
        </w:tc>
        <w:tc>
          <w:tcPr>
            <w:tcW w:w="1250" w:type="dxa"/>
            <w:tcBorders>
              <w:lef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1250" w:type="dxa"/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95% CI</w:t>
            </w:r>
          </w:p>
        </w:tc>
      </w:tr>
      <w:tr w:rsidR="004452D4" w:rsidRPr="003D5C5B" w:rsidTr="00BF56BD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3" w:type="dxa"/>
            <w:tcBorders>
              <w:righ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="Arial"/>
                <w:sz w:val="20"/>
                <w:szCs w:val="20"/>
                <w:lang w:val="en-US"/>
              </w:rPr>
            </w:pPr>
            <w:r w:rsidRPr="004452D4">
              <w:rPr>
                <w:rFonts w:cs="Arial"/>
                <w:sz w:val="20"/>
                <w:szCs w:val="20"/>
                <w:lang w:val="en-US"/>
              </w:rPr>
              <w:t>Fatigue total</w:t>
            </w:r>
          </w:p>
        </w:tc>
        <w:tc>
          <w:tcPr>
            <w:tcW w:w="1249" w:type="dxa"/>
            <w:tcBorders>
              <w:lef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-3.968</w:t>
            </w:r>
          </w:p>
        </w:tc>
        <w:tc>
          <w:tcPr>
            <w:tcW w:w="1250" w:type="dxa"/>
            <w:tcBorders>
              <w:righ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-12.9 to 5.0</w:t>
            </w:r>
          </w:p>
        </w:tc>
        <w:tc>
          <w:tcPr>
            <w:tcW w:w="1250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3D5C5B">
              <w:rPr>
                <w:rFonts w:cs="Times New Roman"/>
                <w:sz w:val="20"/>
                <w:szCs w:val="20"/>
                <w:lang w:val="en-US"/>
              </w:rPr>
              <w:t>4.501</w:t>
            </w:r>
          </w:p>
        </w:tc>
        <w:tc>
          <w:tcPr>
            <w:tcW w:w="1250" w:type="dxa"/>
            <w:tcBorders>
              <w:righ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-5.2 to 14.2</w:t>
            </w:r>
          </w:p>
        </w:tc>
        <w:tc>
          <w:tcPr>
            <w:tcW w:w="1250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0.195</w:t>
            </w:r>
          </w:p>
        </w:tc>
        <w:tc>
          <w:tcPr>
            <w:tcW w:w="1250" w:type="dxa"/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-6.6 to 7.0</w:t>
            </w:r>
          </w:p>
        </w:tc>
      </w:tr>
      <w:tr w:rsidR="004452D4" w:rsidRPr="004452D4" w:rsidTr="00BF56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3" w:type="dxa"/>
            <w:tcBorders>
              <w:righ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="Arial"/>
                <w:sz w:val="20"/>
                <w:szCs w:val="20"/>
                <w:lang w:val="en-US"/>
              </w:rPr>
            </w:pPr>
            <w:r w:rsidRPr="004452D4">
              <w:rPr>
                <w:rFonts w:cs="Arial"/>
                <w:sz w:val="20"/>
                <w:szCs w:val="20"/>
                <w:lang w:val="en-US"/>
              </w:rPr>
              <w:t>General fatigue</w:t>
            </w:r>
          </w:p>
        </w:tc>
        <w:tc>
          <w:tcPr>
            <w:tcW w:w="1249" w:type="dxa"/>
            <w:tcBorders>
              <w:lef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-0.298</w:t>
            </w:r>
          </w:p>
        </w:tc>
        <w:tc>
          <w:tcPr>
            <w:tcW w:w="1250" w:type="dxa"/>
            <w:tcBorders>
              <w:righ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-8.3 to 7.7</w:t>
            </w:r>
          </w:p>
        </w:tc>
        <w:tc>
          <w:tcPr>
            <w:tcW w:w="1250" w:type="dxa"/>
            <w:tcBorders>
              <w:lef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b/>
                <w:sz w:val="20"/>
                <w:szCs w:val="20"/>
                <w:lang w:val="en-US"/>
              </w:rPr>
              <w:t>12.802</w:t>
            </w:r>
          </w:p>
        </w:tc>
        <w:tc>
          <w:tcPr>
            <w:tcW w:w="1250" w:type="dxa"/>
            <w:tcBorders>
              <w:righ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b/>
                <w:sz w:val="20"/>
                <w:szCs w:val="20"/>
                <w:lang w:val="en-US"/>
              </w:rPr>
              <w:t>0.8 to 24.8</w:t>
            </w:r>
          </w:p>
        </w:tc>
        <w:tc>
          <w:tcPr>
            <w:tcW w:w="1250" w:type="dxa"/>
            <w:tcBorders>
              <w:lef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4.685</w:t>
            </w:r>
          </w:p>
        </w:tc>
        <w:tc>
          <w:tcPr>
            <w:tcW w:w="1250" w:type="dxa"/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-2.7 to 12.0</w:t>
            </w:r>
          </w:p>
        </w:tc>
      </w:tr>
      <w:tr w:rsidR="004452D4" w:rsidRPr="004452D4" w:rsidTr="00BF56BD">
        <w:trPr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3" w:type="dxa"/>
            <w:tcBorders>
              <w:righ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="Arial"/>
                <w:sz w:val="20"/>
                <w:szCs w:val="20"/>
                <w:lang w:val="en-US"/>
              </w:rPr>
            </w:pPr>
            <w:r w:rsidRPr="004452D4">
              <w:rPr>
                <w:rFonts w:cs="Arial"/>
                <w:sz w:val="20"/>
                <w:szCs w:val="20"/>
                <w:lang w:val="en-US"/>
              </w:rPr>
              <w:t>Sleep/rest fatigue</w:t>
            </w:r>
          </w:p>
        </w:tc>
        <w:tc>
          <w:tcPr>
            <w:tcW w:w="1249" w:type="dxa"/>
            <w:tcBorders>
              <w:lef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-2.679</w:t>
            </w:r>
          </w:p>
        </w:tc>
        <w:tc>
          <w:tcPr>
            <w:tcW w:w="1250" w:type="dxa"/>
            <w:tcBorders>
              <w:righ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-15.9 to 10.6</w:t>
            </w:r>
          </w:p>
        </w:tc>
        <w:tc>
          <w:tcPr>
            <w:tcW w:w="1250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7.857</w:t>
            </w:r>
          </w:p>
        </w:tc>
        <w:tc>
          <w:tcPr>
            <w:tcW w:w="1250" w:type="dxa"/>
            <w:tcBorders>
              <w:righ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-3.1 to 18.8</w:t>
            </w:r>
          </w:p>
        </w:tc>
        <w:tc>
          <w:tcPr>
            <w:tcW w:w="1250" w:type="dxa"/>
            <w:tcBorders>
              <w:top w:val="single" w:sz="4" w:space="0" w:color="7F7F7F" w:themeColor="text1" w:themeTint="80"/>
              <w:left w:val="single" w:sz="4" w:space="0" w:color="auto"/>
              <w:bottom w:val="single" w:sz="4" w:space="0" w:color="7F7F7F" w:themeColor="text1" w:themeTint="80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2.203</w:t>
            </w:r>
          </w:p>
        </w:tc>
        <w:tc>
          <w:tcPr>
            <w:tcW w:w="1250" w:type="dxa"/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-6.0 to 10.4</w:t>
            </w:r>
          </w:p>
        </w:tc>
      </w:tr>
      <w:tr w:rsidR="004452D4" w:rsidRPr="004452D4" w:rsidTr="00BF56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3" w:type="dxa"/>
            <w:tcBorders>
              <w:righ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="Arial"/>
                <w:sz w:val="20"/>
                <w:szCs w:val="20"/>
                <w:lang w:val="en-US"/>
              </w:rPr>
            </w:pPr>
            <w:r w:rsidRPr="004452D4">
              <w:rPr>
                <w:rFonts w:cs="Arial"/>
                <w:sz w:val="20"/>
                <w:szCs w:val="20"/>
                <w:lang w:val="en-US"/>
              </w:rPr>
              <w:t>Cognitive fatigue</w:t>
            </w:r>
          </w:p>
        </w:tc>
        <w:tc>
          <w:tcPr>
            <w:tcW w:w="1249" w:type="dxa"/>
            <w:tcBorders>
              <w:lef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-8.929</w:t>
            </w:r>
          </w:p>
        </w:tc>
        <w:tc>
          <w:tcPr>
            <w:tcW w:w="1250" w:type="dxa"/>
            <w:tcBorders>
              <w:righ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-22.6 to 4.7</w:t>
            </w:r>
          </w:p>
        </w:tc>
        <w:tc>
          <w:tcPr>
            <w:tcW w:w="1250" w:type="dxa"/>
            <w:tcBorders>
              <w:lef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-7.161</w:t>
            </w:r>
          </w:p>
        </w:tc>
        <w:tc>
          <w:tcPr>
            <w:tcW w:w="1250" w:type="dxa"/>
            <w:tcBorders>
              <w:righ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-18.3 to 4.0</w:t>
            </w:r>
          </w:p>
        </w:tc>
        <w:tc>
          <w:tcPr>
            <w:tcW w:w="1250" w:type="dxa"/>
            <w:tcBorders>
              <w:lef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-6.366</w:t>
            </w:r>
          </w:p>
        </w:tc>
        <w:tc>
          <w:tcPr>
            <w:tcW w:w="1250" w:type="dxa"/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-16.0 to 3.3</w:t>
            </w:r>
          </w:p>
        </w:tc>
      </w:tr>
    </w:tbl>
    <w:p w:rsidR="004452D4" w:rsidRPr="004452D4" w:rsidRDefault="004452D4" w:rsidP="004452D4">
      <w:pPr>
        <w:spacing w:after="0" w:line="240" w:lineRule="auto"/>
        <w:rPr>
          <w:sz w:val="18"/>
          <w:lang w:val="en-US"/>
        </w:rPr>
      </w:pPr>
      <w:r w:rsidRPr="004452D4">
        <w:rPr>
          <w:sz w:val="18"/>
          <w:lang w:val="en-US"/>
        </w:rPr>
        <w:t xml:space="preserve">*B represents mean difference between PHIV and the comparison group. </w:t>
      </w:r>
      <w:r w:rsidRPr="004452D4">
        <w:rPr>
          <w:rFonts w:cs="Times New Roman"/>
          <w:sz w:val="18"/>
          <w:szCs w:val="20"/>
          <w:lang w:val="en-US"/>
        </w:rPr>
        <w:t>Lower scores indicate more severely fatigued; a negative score therefore means more fatigue in PHIV.</w:t>
      </w:r>
      <w:r w:rsidRPr="004452D4">
        <w:rPr>
          <w:sz w:val="18"/>
          <w:lang w:val="en-US"/>
        </w:rPr>
        <w:t xml:space="preserve"> </w:t>
      </w:r>
      <w:r w:rsidRPr="004452D4">
        <w:rPr>
          <w:rFonts w:cs="Times New Roman"/>
          <w:sz w:val="18"/>
          <w:szCs w:val="20"/>
          <w:lang w:val="en-US"/>
        </w:rPr>
        <w:t xml:space="preserve">Significant differences in bold. </w:t>
      </w:r>
      <w:r w:rsidRPr="004452D4">
        <w:rPr>
          <w:sz w:val="18"/>
          <w:lang w:val="en-US"/>
        </w:rPr>
        <w:t>PedsQL MFS; PedsQL multidimensional fatigue scale.</w:t>
      </w:r>
    </w:p>
    <w:p w:rsidR="004452D4" w:rsidRDefault="004452D4" w:rsidP="004452D4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sz w:val="20"/>
          <w:szCs w:val="20"/>
          <w:lang w:val="en-US"/>
        </w:rPr>
      </w:pPr>
    </w:p>
    <w:p w:rsidR="00C80C82" w:rsidRPr="004452D4" w:rsidRDefault="003D5C5B" w:rsidP="003D5C5B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sz w:val="20"/>
          <w:szCs w:val="20"/>
          <w:lang w:val="en-US"/>
        </w:rPr>
      </w:pPr>
      <w:r>
        <w:rPr>
          <w:rFonts w:cs="Times New Roman"/>
          <w:b/>
          <w:sz w:val="20"/>
          <w:szCs w:val="20"/>
          <w:lang w:val="en-US"/>
        </w:rPr>
        <w:t>Additional t</w:t>
      </w:r>
      <w:r w:rsidR="00C80C82">
        <w:rPr>
          <w:rFonts w:cs="Times New Roman"/>
          <w:b/>
          <w:sz w:val="20"/>
          <w:szCs w:val="20"/>
          <w:lang w:val="en-US"/>
        </w:rPr>
        <w:t>able</w:t>
      </w:r>
      <w:r>
        <w:rPr>
          <w:rFonts w:cs="Times New Roman"/>
          <w:b/>
          <w:sz w:val="20"/>
          <w:szCs w:val="20"/>
          <w:lang w:val="en-US"/>
        </w:rPr>
        <w:t xml:space="preserve"> 2</w:t>
      </w:r>
      <w:r w:rsidR="00C80C82" w:rsidRPr="004452D4">
        <w:rPr>
          <w:rFonts w:cs="Times New Roman"/>
          <w:b/>
          <w:sz w:val="20"/>
          <w:szCs w:val="20"/>
          <w:lang w:val="en-US"/>
        </w:rPr>
        <w:t xml:space="preserve">. </w:t>
      </w:r>
      <w:r w:rsidR="00BF58A7">
        <w:rPr>
          <w:rFonts w:cs="Times New Roman"/>
          <w:b/>
          <w:sz w:val="20"/>
          <w:szCs w:val="20"/>
          <w:lang w:val="en-US"/>
        </w:rPr>
        <w:t>HRQOL</w:t>
      </w:r>
      <w:r w:rsidR="00C80C82" w:rsidRPr="004452D4">
        <w:rPr>
          <w:rFonts w:cs="Times New Roman"/>
          <w:b/>
          <w:sz w:val="20"/>
          <w:szCs w:val="20"/>
          <w:lang w:val="en-US"/>
        </w:rPr>
        <w:t xml:space="preserve"> Scores in </w:t>
      </w:r>
      <w:r w:rsidR="00BF58A7">
        <w:rPr>
          <w:rFonts w:cs="Times New Roman"/>
          <w:b/>
          <w:sz w:val="20"/>
          <w:szCs w:val="20"/>
          <w:lang w:val="en-US"/>
        </w:rPr>
        <w:t>PHIV+ and HIV-</w:t>
      </w:r>
      <w:r w:rsidR="00BF56BD">
        <w:rPr>
          <w:rFonts w:cs="Times New Roman"/>
          <w:b/>
          <w:sz w:val="20"/>
          <w:szCs w:val="20"/>
          <w:lang w:val="en-US"/>
        </w:rPr>
        <w:t>.</w:t>
      </w:r>
    </w:p>
    <w:tbl>
      <w:tblPr>
        <w:tblStyle w:val="Onopgemaaktetabel2"/>
        <w:tblW w:w="5000" w:type="pct"/>
        <w:tblLook w:val="04A0" w:firstRow="1" w:lastRow="0" w:firstColumn="1" w:lastColumn="0" w:noHBand="0" w:noVBand="1"/>
      </w:tblPr>
      <w:tblGrid>
        <w:gridCol w:w="2708"/>
        <w:gridCol w:w="1591"/>
        <w:gridCol w:w="1591"/>
        <w:gridCol w:w="1591"/>
        <w:gridCol w:w="1591"/>
      </w:tblGrid>
      <w:tr w:rsidR="00BF58A7" w:rsidRPr="004452D4" w:rsidTr="00D073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tcBorders>
              <w:right w:val="single" w:sz="4" w:space="0" w:color="auto"/>
            </w:tcBorders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rPr>
                <w:rFonts w:cs="Times New Roman"/>
                <w:sz w:val="20"/>
                <w:szCs w:val="20"/>
                <w:lang w:val="en-US"/>
              </w:rPr>
            </w:pPr>
          </w:p>
        </w:tc>
        <w:tc>
          <w:tcPr>
            <w:tcW w:w="877" w:type="pct"/>
            <w:tcBorders>
              <w:left w:val="single" w:sz="4" w:space="0" w:color="auto"/>
            </w:tcBorders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PHIV+ (n=14)</w:t>
            </w:r>
          </w:p>
        </w:tc>
        <w:tc>
          <w:tcPr>
            <w:tcW w:w="877" w:type="pct"/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HIV- (n=14)</w:t>
            </w:r>
          </w:p>
        </w:tc>
        <w:tc>
          <w:tcPr>
            <w:tcW w:w="877" w:type="pct"/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B</w:t>
            </w:r>
          </w:p>
        </w:tc>
        <w:tc>
          <w:tcPr>
            <w:tcW w:w="878" w:type="pct"/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95% CI</w:t>
            </w:r>
          </w:p>
        </w:tc>
      </w:tr>
      <w:tr w:rsidR="00BF58A7" w:rsidRPr="002D257D" w:rsidTr="00D073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tcBorders>
              <w:right w:val="single" w:sz="4" w:space="0" w:color="auto"/>
            </w:tcBorders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="Arial"/>
                <w:sz w:val="20"/>
                <w:szCs w:val="20"/>
                <w:lang w:val="en-US"/>
              </w:rPr>
            </w:pPr>
            <w:r w:rsidRPr="004452D4">
              <w:rPr>
                <w:rFonts w:cs="Arial"/>
                <w:sz w:val="20"/>
                <w:szCs w:val="20"/>
                <w:lang w:val="en-US"/>
              </w:rPr>
              <w:t>Physical functioning</w:t>
            </w:r>
          </w:p>
        </w:tc>
        <w:tc>
          <w:tcPr>
            <w:tcW w:w="877" w:type="pct"/>
            <w:tcBorders>
              <w:left w:val="single" w:sz="4" w:space="0" w:color="auto"/>
            </w:tcBorders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90.40±2.21</w:t>
            </w:r>
          </w:p>
        </w:tc>
        <w:tc>
          <w:tcPr>
            <w:tcW w:w="877" w:type="pct"/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92.41</w:t>
            </w:r>
            <w:r w:rsidRPr="00BF58A7">
              <w:rPr>
                <w:rFonts w:cs="Times New Roman"/>
                <w:sz w:val="20"/>
                <w:szCs w:val="20"/>
                <w:lang w:val="en-US"/>
              </w:rPr>
              <w:t>±</w:t>
            </w:r>
            <w:r>
              <w:rPr>
                <w:rFonts w:cs="Times New Roman"/>
                <w:sz w:val="20"/>
                <w:szCs w:val="20"/>
                <w:lang w:val="en-US"/>
              </w:rPr>
              <w:t>1.69</w:t>
            </w:r>
          </w:p>
        </w:tc>
        <w:tc>
          <w:tcPr>
            <w:tcW w:w="877" w:type="pct"/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-1.993</w:t>
            </w:r>
          </w:p>
        </w:tc>
        <w:tc>
          <w:tcPr>
            <w:tcW w:w="878" w:type="pct"/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-8.0 to 4.0</w:t>
            </w:r>
          </w:p>
        </w:tc>
      </w:tr>
      <w:tr w:rsidR="00BF58A7" w:rsidRPr="002D257D" w:rsidTr="00D073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tcBorders>
              <w:right w:val="single" w:sz="4" w:space="0" w:color="auto"/>
            </w:tcBorders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="Arial"/>
                <w:sz w:val="20"/>
                <w:szCs w:val="20"/>
                <w:lang w:val="en-US"/>
              </w:rPr>
            </w:pPr>
            <w:r w:rsidRPr="004452D4">
              <w:rPr>
                <w:rFonts w:cs="Arial"/>
                <w:sz w:val="20"/>
                <w:szCs w:val="20"/>
                <w:lang w:val="en-US"/>
              </w:rPr>
              <w:t>Emotional functioning</w:t>
            </w:r>
          </w:p>
        </w:tc>
        <w:tc>
          <w:tcPr>
            <w:tcW w:w="877" w:type="pct"/>
            <w:tcBorders>
              <w:left w:val="single" w:sz="4" w:space="0" w:color="auto"/>
            </w:tcBorders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70.35±4.67</w:t>
            </w:r>
          </w:p>
        </w:tc>
        <w:tc>
          <w:tcPr>
            <w:tcW w:w="877" w:type="pct"/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72.86±4.34</w:t>
            </w:r>
          </w:p>
        </w:tc>
        <w:tc>
          <w:tcPr>
            <w:tcW w:w="877" w:type="pct"/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-1.973</w:t>
            </w:r>
          </w:p>
        </w:tc>
        <w:tc>
          <w:tcPr>
            <w:tcW w:w="878" w:type="pct"/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-15.4 to 11.5</w:t>
            </w:r>
          </w:p>
        </w:tc>
      </w:tr>
      <w:tr w:rsidR="00BF58A7" w:rsidRPr="002D257D" w:rsidTr="00D073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tcBorders>
              <w:right w:val="single" w:sz="4" w:space="0" w:color="auto"/>
            </w:tcBorders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="Arial"/>
                <w:sz w:val="20"/>
                <w:szCs w:val="20"/>
                <w:lang w:val="en-US"/>
              </w:rPr>
            </w:pPr>
            <w:r w:rsidRPr="004452D4">
              <w:rPr>
                <w:rFonts w:cs="Arial"/>
                <w:sz w:val="20"/>
                <w:szCs w:val="20"/>
                <w:lang w:val="en-US"/>
              </w:rPr>
              <w:t>Social functioning</w:t>
            </w:r>
          </w:p>
        </w:tc>
        <w:tc>
          <w:tcPr>
            <w:tcW w:w="877" w:type="pct"/>
            <w:tcBorders>
              <w:left w:val="single" w:sz="4" w:space="0" w:color="auto"/>
            </w:tcBorders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85.71±4.02</w:t>
            </w:r>
          </w:p>
        </w:tc>
        <w:tc>
          <w:tcPr>
            <w:tcW w:w="877" w:type="pct"/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86.43±4.49</w:t>
            </w:r>
          </w:p>
        </w:tc>
        <w:tc>
          <w:tcPr>
            <w:tcW w:w="877" w:type="pct"/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-1.283</w:t>
            </w:r>
          </w:p>
        </w:tc>
        <w:tc>
          <w:tcPr>
            <w:tcW w:w="878" w:type="pct"/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-13.8 to 11.2</w:t>
            </w:r>
          </w:p>
        </w:tc>
      </w:tr>
      <w:tr w:rsidR="00BF58A7" w:rsidRPr="00BF58A7" w:rsidTr="00D073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tcBorders>
              <w:right w:val="single" w:sz="4" w:space="0" w:color="auto"/>
            </w:tcBorders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="Arial"/>
                <w:sz w:val="20"/>
                <w:szCs w:val="20"/>
                <w:lang w:val="en-US"/>
              </w:rPr>
            </w:pPr>
            <w:r w:rsidRPr="004452D4">
              <w:rPr>
                <w:rFonts w:cs="Arial"/>
                <w:sz w:val="20"/>
                <w:szCs w:val="20"/>
                <w:lang w:val="en-US"/>
              </w:rPr>
              <w:t>School functioning</w:t>
            </w:r>
          </w:p>
        </w:tc>
        <w:tc>
          <w:tcPr>
            <w:tcW w:w="877" w:type="pct"/>
            <w:tcBorders>
              <w:left w:val="single" w:sz="4" w:space="0" w:color="auto"/>
            </w:tcBorders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75.36±3.72</w:t>
            </w:r>
          </w:p>
        </w:tc>
        <w:tc>
          <w:tcPr>
            <w:tcW w:w="877" w:type="pct"/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80.36±4.18</w:t>
            </w:r>
          </w:p>
        </w:tc>
        <w:tc>
          <w:tcPr>
            <w:tcW w:w="877" w:type="pct"/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 xml:space="preserve">-6.150 </w:t>
            </w:r>
          </w:p>
        </w:tc>
        <w:tc>
          <w:tcPr>
            <w:tcW w:w="878" w:type="pct"/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-17.8 to 5.5</w:t>
            </w:r>
          </w:p>
        </w:tc>
      </w:tr>
      <w:tr w:rsidR="00BF58A7" w:rsidRPr="00BF58A7" w:rsidTr="00D073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tcBorders>
              <w:right w:val="single" w:sz="4" w:space="0" w:color="auto"/>
            </w:tcBorders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="Arial"/>
                <w:sz w:val="20"/>
                <w:szCs w:val="20"/>
                <w:lang w:val="en-US"/>
              </w:rPr>
            </w:pPr>
            <w:r w:rsidRPr="004452D4">
              <w:rPr>
                <w:rFonts w:cs="Arial"/>
                <w:sz w:val="20"/>
                <w:szCs w:val="20"/>
                <w:lang w:val="en-US"/>
              </w:rPr>
              <w:t>Total</w:t>
            </w:r>
          </w:p>
        </w:tc>
        <w:tc>
          <w:tcPr>
            <w:tcW w:w="877" w:type="pct"/>
            <w:tcBorders>
              <w:left w:val="single" w:sz="4" w:space="0" w:color="auto"/>
            </w:tcBorders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81.75±2.80</w:t>
            </w:r>
          </w:p>
        </w:tc>
        <w:tc>
          <w:tcPr>
            <w:tcW w:w="877" w:type="pct"/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84.24±2.51</w:t>
            </w:r>
          </w:p>
        </w:tc>
        <w:tc>
          <w:tcPr>
            <w:tcW w:w="877" w:type="pct"/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-2.738</w:t>
            </w:r>
          </w:p>
        </w:tc>
        <w:tc>
          <w:tcPr>
            <w:tcW w:w="878" w:type="pct"/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-10.8 to 5.3</w:t>
            </w:r>
          </w:p>
        </w:tc>
      </w:tr>
      <w:tr w:rsidR="00BF58A7" w:rsidRPr="00BF58A7" w:rsidTr="00D0732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2" w:type="pct"/>
            <w:tcBorders>
              <w:right w:val="single" w:sz="4" w:space="0" w:color="auto"/>
            </w:tcBorders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="Arial"/>
                <w:sz w:val="20"/>
                <w:szCs w:val="20"/>
                <w:lang w:val="en-US"/>
              </w:rPr>
            </w:pPr>
            <w:r w:rsidRPr="004452D4">
              <w:rPr>
                <w:rFonts w:cs="Arial"/>
                <w:sz w:val="20"/>
                <w:szCs w:val="20"/>
                <w:lang w:val="en-US"/>
              </w:rPr>
              <w:t>Psychosocial functioning</w:t>
            </w:r>
          </w:p>
        </w:tc>
        <w:tc>
          <w:tcPr>
            <w:tcW w:w="877" w:type="pct"/>
            <w:tcBorders>
              <w:left w:val="single" w:sz="4" w:space="0" w:color="auto"/>
            </w:tcBorders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77.14±3.57</w:t>
            </w:r>
          </w:p>
        </w:tc>
        <w:tc>
          <w:tcPr>
            <w:tcW w:w="877" w:type="pct"/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79.88±3.81</w:t>
            </w:r>
          </w:p>
        </w:tc>
        <w:tc>
          <w:tcPr>
            <w:tcW w:w="877" w:type="pct"/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-3.135</w:t>
            </w:r>
          </w:p>
        </w:tc>
        <w:tc>
          <w:tcPr>
            <w:tcW w:w="878" w:type="pct"/>
          </w:tcPr>
          <w:p w:rsidR="00BF58A7" w:rsidRPr="004452D4" w:rsidRDefault="00BF58A7" w:rsidP="00BF58A7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>
              <w:rPr>
                <w:rFonts w:cs="Times New Roman"/>
                <w:sz w:val="20"/>
                <w:szCs w:val="20"/>
                <w:lang w:val="en-US"/>
              </w:rPr>
              <w:t>-14.2 to 7.9</w:t>
            </w:r>
          </w:p>
        </w:tc>
      </w:tr>
    </w:tbl>
    <w:p w:rsidR="00C80C82" w:rsidRPr="00BF56BD" w:rsidRDefault="00BF58A7" w:rsidP="004452D4">
      <w:pPr>
        <w:autoSpaceDE w:val="0"/>
        <w:autoSpaceDN w:val="0"/>
        <w:adjustRightInd w:val="0"/>
        <w:spacing w:after="0" w:line="240" w:lineRule="auto"/>
        <w:rPr>
          <w:sz w:val="18"/>
          <w:lang w:val="en-US"/>
        </w:rPr>
      </w:pPr>
      <w:r>
        <w:rPr>
          <w:rFonts w:ascii="Calibri" w:hAnsi="Calibri"/>
          <w:color w:val="000000"/>
          <w:sz w:val="18"/>
          <w:szCs w:val="18"/>
          <w:lang w:val="en-US"/>
        </w:rPr>
        <w:t>HRQOL</w:t>
      </w:r>
      <w:r w:rsidR="00C80C82" w:rsidRPr="00C80C82">
        <w:rPr>
          <w:rFonts w:ascii="Calibri" w:hAnsi="Calibri"/>
          <w:color w:val="000000"/>
          <w:sz w:val="18"/>
          <w:szCs w:val="18"/>
          <w:lang w:val="en-US"/>
        </w:rPr>
        <w:t xml:space="preserve"> scores are reported as </w:t>
      </w:r>
      <w:proofErr w:type="spellStart"/>
      <w:r w:rsidR="00C80C82" w:rsidRPr="00C80C82">
        <w:rPr>
          <w:rFonts w:ascii="Calibri" w:hAnsi="Calibri"/>
          <w:color w:val="000000"/>
          <w:sz w:val="18"/>
          <w:szCs w:val="18"/>
          <w:lang w:val="en-US"/>
        </w:rPr>
        <w:t>mean±SD</w:t>
      </w:r>
      <w:proofErr w:type="spellEnd"/>
      <w:r w:rsidR="00C80C82" w:rsidRPr="00C80C82">
        <w:rPr>
          <w:rFonts w:ascii="Calibri" w:hAnsi="Calibri"/>
          <w:color w:val="000000"/>
          <w:sz w:val="18"/>
          <w:szCs w:val="18"/>
          <w:lang w:val="en-US"/>
        </w:rPr>
        <w:t>.</w:t>
      </w:r>
      <w:r w:rsidR="00BF56BD">
        <w:rPr>
          <w:rFonts w:ascii="Calibri" w:hAnsi="Calibri"/>
          <w:color w:val="000000"/>
          <w:sz w:val="18"/>
          <w:szCs w:val="18"/>
          <w:lang w:val="en-US"/>
        </w:rPr>
        <w:t xml:space="preserve"> </w:t>
      </w:r>
      <w:r w:rsidR="00BF56BD" w:rsidRPr="004452D4">
        <w:rPr>
          <w:sz w:val="18"/>
          <w:lang w:val="en-US"/>
        </w:rPr>
        <w:t>B represents mean difference between PHIV and HIV-uninfected matched controls</w:t>
      </w:r>
      <w:r w:rsidR="00BF56BD" w:rsidRPr="004452D4">
        <w:rPr>
          <w:rFonts w:cs="Times New Roman"/>
          <w:sz w:val="18"/>
          <w:szCs w:val="20"/>
          <w:lang w:val="en-US"/>
        </w:rPr>
        <w:t>, adjusted for age and sex</w:t>
      </w:r>
      <w:r w:rsidR="00BF56BD" w:rsidRPr="004452D4">
        <w:rPr>
          <w:sz w:val="18"/>
          <w:lang w:val="en-US"/>
        </w:rPr>
        <w:t xml:space="preserve">. </w:t>
      </w:r>
      <w:r w:rsidR="00C80C82" w:rsidRPr="004452D4">
        <w:rPr>
          <w:rFonts w:ascii="Calibri" w:hAnsi="Calibri"/>
          <w:color w:val="000000"/>
          <w:sz w:val="18"/>
          <w:szCs w:val="18"/>
          <w:lang w:val="en-US"/>
        </w:rPr>
        <w:t xml:space="preserve">Lower scores </w:t>
      </w:r>
      <w:r w:rsidR="00BF56BD">
        <w:rPr>
          <w:rFonts w:ascii="Calibri" w:hAnsi="Calibri"/>
          <w:color w:val="000000"/>
          <w:sz w:val="18"/>
          <w:szCs w:val="18"/>
          <w:lang w:val="en-US"/>
        </w:rPr>
        <w:t>indicate a lower quality of life</w:t>
      </w:r>
      <w:r w:rsidR="00BF56BD" w:rsidRPr="004452D4">
        <w:rPr>
          <w:rFonts w:ascii="Calibri" w:hAnsi="Calibri"/>
          <w:color w:val="000000"/>
          <w:sz w:val="18"/>
          <w:szCs w:val="18"/>
          <w:lang w:val="en-US"/>
        </w:rPr>
        <w:t xml:space="preserve">; </w:t>
      </w:r>
      <w:r w:rsidR="00BF56BD" w:rsidRPr="004452D4">
        <w:rPr>
          <w:rFonts w:cs="Times New Roman"/>
          <w:sz w:val="18"/>
          <w:szCs w:val="20"/>
          <w:lang w:val="en-US"/>
        </w:rPr>
        <w:t xml:space="preserve">a negative </w:t>
      </w:r>
      <w:r w:rsidR="00BF56BD">
        <w:rPr>
          <w:rFonts w:cs="Times New Roman"/>
          <w:sz w:val="18"/>
          <w:szCs w:val="20"/>
          <w:lang w:val="en-US"/>
        </w:rPr>
        <w:t>B</w:t>
      </w:r>
      <w:r w:rsidR="00BF56BD" w:rsidRPr="004452D4">
        <w:rPr>
          <w:rFonts w:cs="Times New Roman"/>
          <w:sz w:val="18"/>
          <w:szCs w:val="20"/>
          <w:lang w:val="en-US"/>
        </w:rPr>
        <w:t xml:space="preserve"> therefore means lower HRQoL in PHIV</w:t>
      </w:r>
      <w:r w:rsidR="00BF56BD">
        <w:rPr>
          <w:rFonts w:cs="Times New Roman"/>
          <w:sz w:val="18"/>
          <w:szCs w:val="20"/>
          <w:lang w:val="en-US"/>
        </w:rPr>
        <w:t>+ compared to HIV-</w:t>
      </w:r>
      <w:r w:rsidR="00C80C82">
        <w:rPr>
          <w:rFonts w:cs="Times New Roman"/>
          <w:sz w:val="18"/>
          <w:szCs w:val="20"/>
          <w:lang w:val="en-US"/>
        </w:rPr>
        <w:t xml:space="preserve">. </w:t>
      </w:r>
      <w:r w:rsidR="00C80C82" w:rsidRPr="00C80C82">
        <w:rPr>
          <w:rFonts w:cs="Times New Roman"/>
          <w:sz w:val="18"/>
          <w:szCs w:val="20"/>
          <w:lang w:val="en-US"/>
        </w:rPr>
        <w:t xml:space="preserve">Abbreviations: n, number; </w:t>
      </w:r>
      <w:r w:rsidR="00BF56BD">
        <w:rPr>
          <w:rFonts w:cs="Times New Roman"/>
          <w:sz w:val="18"/>
          <w:szCs w:val="20"/>
          <w:lang w:val="en-US"/>
        </w:rPr>
        <w:t>HRQOL</w:t>
      </w:r>
      <w:r w:rsidR="00C80C82" w:rsidRPr="00C80C82">
        <w:rPr>
          <w:rFonts w:cs="Times New Roman"/>
          <w:sz w:val="18"/>
          <w:szCs w:val="20"/>
          <w:lang w:val="en-US"/>
        </w:rPr>
        <w:t xml:space="preserve">, </w:t>
      </w:r>
      <w:r w:rsidR="00BF56BD">
        <w:rPr>
          <w:rFonts w:cs="Times New Roman"/>
          <w:sz w:val="18"/>
          <w:szCs w:val="20"/>
          <w:lang w:val="en-US"/>
        </w:rPr>
        <w:t>Health Related Quality of Life</w:t>
      </w:r>
      <w:r w:rsidR="00C80C82" w:rsidRPr="00C80C82">
        <w:rPr>
          <w:rFonts w:cs="Times New Roman"/>
          <w:sz w:val="18"/>
          <w:szCs w:val="20"/>
          <w:lang w:val="en-US"/>
        </w:rPr>
        <w:t>; PHIV+, perinatally human immunodeficiency virus infected; HIV−, HIV-uninfected matched controls.</w:t>
      </w:r>
    </w:p>
    <w:p w:rsidR="00C80C82" w:rsidRDefault="00C80C82" w:rsidP="004452D4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sz w:val="20"/>
          <w:szCs w:val="20"/>
          <w:lang w:val="en-US"/>
        </w:rPr>
      </w:pPr>
    </w:p>
    <w:p w:rsidR="004452D4" w:rsidRPr="004452D4" w:rsidRDefault="003D5C5B" w:rsidP="003D5C5B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sz w:val="20"/>
          <w:szCs w:val="20"/>
          <w:lang w:val="en-US"/>
        </w:rPr>
      </w:pPr>
      <w:r>
        <w:rPr>
          <w:rFonts w:cs="Times New Roman"/>
          <w:b/>
          <w:sz w:val="20"/>
          <w:szCs w:val="20"/>
          <w:lang w:val="en-US"/>
        </w:rPr>
        <w:t>Additional t</w:t>
      </w:r>
      <w:r w:rsidR="004452D4">
        <w:rPr>
          <w:rFonts w:cs="Times New Roman"/>
          <w:b/>
          <w:sz w:val="20"/>
          <w:szCs w:val="20"/>
          <w:lang w:val="en-US"/>
        </w:rPr>
        <w:t>able</w:t>
      </w:r>
      <w:r>
        <w:rPr>
          <w:rFonts w:cs="Times New Roman"/>
          <w:b/>
          <w:sz w:val="20"/>
          <w:szCs w:val="20"/>
          <w:lang w:val="en-US"/>
        </w:rPr>
        <w:t xml:space="preserve"> 3</w:t>
      </w:r>
      <w:r w:rsidR="004452D4" w:rsidRPr="004452D4">
        <w:rPr>
          <w:rFonts w:cs="Times New Roman"/>
          <w:b/>
          <w:sz w:val="20"/>
          <w:szCs w:val="20"/>
          <w:lang w:val="en-US"/>
        </w:rPr>
        <w:t>. Association between cognitive fatigue and cognitive test outcomes in PHIV</w:t>
      </w:r>
      <w:r w:rsidR="00BF56BD">
        <w:rPr>
          <w:rFonts w:cs="Times New Roman"/>
          <w:b/>
          <w:sz w:val="20"/>
          <w:szCs w:val="20"/>
          <w:lang w:val="en-US"/>
        </w:rPr>
        <w:t>+</w:t>
      </w:r>
      <w:r w:rsidR="004452D4" w:rsidRPr="004452D4">
        <w:rPr>
          <w:rFonts w:cs="Times New Roman"/>
          <w:b/>
          <w:sz w:val="20"/>
          <w:szCs w:val="20"/>
          <w:lang w:val="en-US"/>
        </w:rPr>
        <w:t xml:space="preserve"> and</w:t>
      </w:r>
      <w:r w:rsidR="00BF56BD">
        <w:rPr>
          <w:rFonts w:cs="Times New Roman"/>
          <w:b/>
          <w:sz w:val="20"/>
          <w:szCs w:val="20"/>
          <w:lang w:val="en-US"/>
        </w:rPr>
        <w:t xml:space="preserve"> HIV-</w:t>
      </w:r>
      <w:r w:rsidR="004452D4" w:rsidRPr="004452D4">
        <w:rPr>
          <w:rFonts w:cs="Times New Roman"/>
          <w:b/>
          <w:sz w:val="20"/>
          <w:szCs w:val="20"/>
          <w:lang w:val="en-US"/>
        </w:rPr>
        <w:t>.</w:t>
      </w:r>
    </w:p>
    <w:tbl>
      <w:tblPr>
        <w:tblStyle w:val="Onopgemaaktetabel2"/>
        <w:tblW w:w="5000" w:type="pct"/>
        <w:tblLook w:val="04A0" w:firstRow="1" w:lastRow="0" w:firstColumn="1" w:lastColumn="0" w:noHBand="0" w:noVBand="1"/>
      </w:tblPr>
      <w:tblGrid>
        <w:gridCol w:w="3373"/>
        <w:gridCol w:w="2849"/>
        <w:gridCol w:w="2850"/>
      </w:tblGrid>
      <w:tr w:rsidR="004452D4" w:rsidRPr="004452D4" w:rsidTr="00D0732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9" w:type="pct"/>
            <w:tcBorders>
              <w:righ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="Arial"/>
                <w:sz w:val="20"/>
                <w:szCs w:val="20"/>
                <w:lang w:val="en-US"/>
              </w:rPr>
            </w:pPr>
          </w:p>
        </w:tc>
        <w:tc>
          <w:tcPr>
            <w:tcW w:w="1570" w:type="pct"/>
            <w:tcBorders>
              <w:lef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B</w:t>
            </w:r>
            <w:r w:rsidRPr="004452D4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*</w:t>
            </w:r>
          </w:p>
        </w:tc>
        <w:tc>
          <w:tcPr>
            <w:tcW w:w="1571" w:type="pct"/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i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95% CI</w:t>
            </w:r>
          </w:p>
        </w:tc>
      </w:tr>
      <w:tr w:rsidR="004452D4" w:rsidRPr="004452D4" w:rsidTr="00D0732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9" w:type="pct"/>
            <w:tcBorders>
              <w:righ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="Arial"/>
                <w:sz w:val="20"/>
                <w:szCs w:val="20"/>
                <w:lang w:val="en-US"/>
              </w:rPr>
            </w:pPr>
            <w:r w:rsidRPr="004452D4">
              <w:rPr>
                <w:rFonts w:cs="Arial"/>
                <w:sz w:val="20"/>
                <w:szCs w:val="20"/>
                <w:lang w:val="en-US"/>
              </w:rPr>
              <w:t>IQ*</w:t>
            </w:r>
          </w:p>
        </w:tc>
        <w:tc>
          <w:tcPr>
            <w:tcW w:w="1570" w:type="pct"/>
            <w:tcBorders>
              <w:lef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Arial"/>
                <w:color w:val="010205"/>
                <w:sz w:val="20"/>
                <w:szCs w:val="20"/>
                <w:lang w:val="en-US"/>
              </w:rPr>
              <w:t>-0.532</w:t>
            </w:r>
          </w:p>
        </w:tc>
        <w:tc>
          <w:tcPr>
            <w:tcW w:w="1571" w:type="pct"/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b/>
                <w:sz w:val="20"/>
                <w:szCs w:val="20"/>
                <w:lang w:val="en-US"/>
              </w:rPr>
              <w:t>-0.1 to -1.0</w:t>
            </w:r>
          </w:p>
        </w:tc>
      </w:tr>
      <w:tr w:rsidR="004452D4" w:rsidRPr="002D257D" w:rsidTr="00D0732F">
        <w:trPr>
          <w:trHeight w:val="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9" w:type="pct"/>
            <w:tcBorders>
              <w:righ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cs="Arial"/>
                <w:sz w:val="20"/>
                <w:szCs w:val="20"/>
                <w:lang w:val="en-US"/>
              </w:rPr>
            </w:pPr>
            <w:proofErr w:type="spellStart"/>
            <w:r w:rsidRPr="004452D4">
              <w:rPr>
                <w:rFonts w:cs="Arial"/>
                <w:sz w:val="20"/>
                <w:szCs w:val="20"/>
                <w:lang w:val="en-US"/>
              </w:rPr>
              <w:t>Hotelling’s</w:t>
            </w:r>
            <w:proofErr w:type="spellEnd"/>
            <w:r w:rsidRPr="004452D4">
              <w:rPr>
                <w:rFonts w:cs="Arial"/>
                <w:sz w:val="20"/>
                <w:szCs w:val="20"/>
                <w:lang w:val="en-US"/>
              </w:rPr>
              <w:t xml:space="preserve"> T</w:t>
            </w:r>
            <w:r w:rsidRPr="004452D4">
              <w:rPr>
                <w:rFonts w:cs="Times New Roman"/>
                <w:sz w:val="20"/>
                <w:lang w:val="en-US"/>
              </w:rPr>
              <w:t>²</w:t>
            </w:r>
            <w:r w:rsidRPr="004452D4">
              <w:rPr>
                <w:rFonts w:ascii="Times New Roman" w:hAnsi="Times New Roman" w:cs="Times New Roman"/>
                <w:sz w:val="20"/>
                <w:szCs w:val="24"/>
                <w:lang w:val="en-US"/>
              </w:rPr>
              <w:t>*</w:t>
            </w:r>
          </w:p>
        </w:tc>
        <w:tc>
          <w:tcPr>
            <w:tcW w:w="1570" w:type="pct"/>
            <w:tcBorders>
              <w:left w:val="single" w:sz="4" w:space="0" w:color="auto"/>
            </w:tcBorders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sz w:val="20"/>
                <w:szCs w:val="20"/>
                <w:lang w:val="en-US"/>
              </w:rPr>
              <w:t>-1.726</w:t>
            </w:r>
          </w:p>
        </w:tc>
        <w:tc>
          <w:tcPr>
            <w:tcW w:w="1571" w:type="pct"/>
          </w:tcPr>
          <w:p w:rsidR="004452D4" w:rsidRPr="004452D4" w:rsidRDefault="004452D4" w:rsidP="004452D4">
            <w:pPr>
              <w:autoSpaceDE w:val="0"/>
              <w:autoSpaceDN w:val="0"/>
              <w:adjustRightInd w:val="0"/>
              <w:spacing w:line="400" w:lineRule="atLeas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sz w:val="20"/>
                <w:szCs w:val="20"/>
                <w:lang w:val="en-US"/>
              </w:rPr>
            </w:pPr>
            <w:r w:rsidRPr="004452D4">
              <w:rPr>
                <w:rFonts w:cs="Times New Roman"/>
                <w:b/>
                <w:sz w:val="20"/>
                <w:szCs w:val="20"/>
                <w:lang w:val="en-US"/>
              </w:rPr>
              <w:t>-0.6 to -2.9</w:t>
            </w:r>
          </w:p>
        </w:tc>
      </w:tr>
    </w:tbl>
    <w:p w:rsidR="004452D4" w:rsidRPr="004452D4" w:rsidRDefault="004452D4" w:rsidP="004452D4">
      <w:pPr>
        <w:autoSpaceDE w:val="0"/>
        <w:autoSpaceDN w:val="0"/>
        <w:adjustRightInd w:val="0"/>
        <w:spacing w:after="0" w:line="240" w:lineRule="auto"/>
        <w:rPr>
          <w:rFonts w:cs="Times New Roman"/>
          <w:sz w:val="18"/>
          <w:szCs w:val="20"/>
          <w:lang w:val="en-US"/>
        </w:rPr>
      </w:pPr>
      <w:r w:rsidRPr="004452D4">
        <w:rPr>
          <w:rFonts w:cs="Times New Roman"/>
          <w:sz w:val="18"/>
          <w:szCs w:val="24"/>
          <w:lang w:val="en-US"/>
        </w:rPr>
        <w:t>*</w:t>
      </w:r>
      <w:r w:rsidRPr="004452D4">
        <w:rPr>
          <w:rFonts w:cs="Times New Roman"/>
          <w:sz w:val="18"/>
          <w:szCs w:val="20"/>
          <w:lang w:val="en-US"/>
        </w:rPr>
        <w:t xml:space="preserve">B represents the decrease in cognitive test outcome for each 1-point reduction in the PedsQL MFS score (indicating more fatigue). </w:t>
      </w:r>
      <w:proofErr w:type="spellStart"/>
      <w:r w:rsidRPr="004452D4">
        <w:rPr>
          <w:rFonts w:cs="Times New Roman"/>
          <w:sz w:val="18"/>
          <w:szCs w:val="20"/>
          <w:lang w:val="en-US"/>
        </w:rPr>
        <w:t>Hotelling’s</w:t>
      </w:r>
      <w:proofErr w:type="spellEnd"/>
      <w:r w:rsidRPr="004452D4">
        <w:rPr>
          <w:rFonts w:cs="Times New Roman"/>
          <w:sz w:val="18"/>
          <w:szCs w:val="20"/>
          <w:lang w:val="en-US"/>
        </w:rPr>
        <w:t xml:space="preserve"> T</w:t>
      </w:r>
      <w:r w:rsidRPr="004452D4">
        <w:rPr>
          <w:rFonts w:cs="Times New Roman"/>
          <w:sz w:val="18"/>
          <w:lang w:val="en-US"/>
        </w:rPr>
        <w:t>²</w:t>
      </w:r>
      <w:r w:rsidRPr="004452D4">
        <w:rPr>
          <w:rFonts w:cs="Times New Roman"/>
          <w:sz w:val="18"/>
          <w:szCs w:val="20"/>
          <w:lang w:val="en-US"/>
        </w:rPr>
        <w:t xml:space="preserve"> is an outcome generated by multivariate normative comparison and reflects the degree of cognitive deviation of each participant compared to the control sample. Significant differences in bold.</w:t>
      </w:r>
      <w:r w:rsidR="00BF56BD">
        <w:rPr>
          <w:rFonts w:cs="Times New Roman"/>
          <w:sz w:val="18"/>
          <w:szCs w:val="20"/>
          <w:lang w:val="en-US"/>
        </w:rPr>
        <w:t xml:space="preserve"> </w:t>
      </w:r>
      <w:r w:rsidR="00BF56BD" w:rsidRPr="00C80C82">
        <w:rPr>
          <w:rFonts w:cs="Times New Roman"/>
          <w:sz w:val="18"/>
          <w:szCs w:val="20"/>
          <w:lang w:val="en-US"/>
        </w:rPr>
        <w:t xml:space="preserve">Abbreviations: </w:t>
      </w:r>
      <w:r w:rsidR="00BF56BD">
        <w:rPr>
          <w:rFonts w:cs="Times New Roman"/>
          <w:sz w:val="18"/>
          <w:szCs w:val="20"/>
          <w:lang w:val="en-US"/>
        </w:rPr>
        <w:t>IQ; Intelligence Quotient</w:t>
      </w:r>
      <w:r w:rsidR="00BF56BD" w:rsidRPr="00C80C82">
        <w:rPr>
          <w:rFonts w:cs="Times New Roman"/>
          <w:sz w:val="18"/>
          <w:szCs w:val="20"/>
          <w:lang w:val="en-US"/>
        </w:rPr>
        <w:t>; PHIV+, perinatally human immunodeficiency virus infected; HIV−, HIV-uninfected matched controls.</w:t>
      </w:r>
    </w:p>
    <w:p w:rsidR="004452D4" w:rsidRPr="00BF56BD" w:rsidRDefault="004452D4">
      <w:pPr>
        <w:rPr>
          <w:lang w:val="en-US"/>
        </w:rPr>
      </w:pPr>
    </w:p>
    <w:sectPr w:rsidR="004452D4" w:rsidRPr="00BF56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52D4"/>
    <w:rsid w:val="001A75DE"/>
    <w:rsid w:val="002D257D"/>
    <w:rsid w:val="003D5C5B"/>
    <w:rsid w:val="004452D4"/>
    <w:rsid w:val="006A1959"/>
    <w:rsid w:val="00822C3B"/>
    <w:rsid w:val="00907084"/>
    <w:rsid w:val="00964550"/>
    <w:rsid w:val="009B3243"/>
    <w:rsid w:val="00B23B79"/>
    <w:rsid w:val="00BF56BD"/>
    <w:rsid w:val="00BF58A7"/>
    <w:rsid w:val="00C80C82"/>
    <w:rsid w:val="00D0732F"/>
    <w:rsid w:val="00DC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CAF31"/>
  <w15:chartTrackingRefBased/>
  <w15:docId w15:val="{1CC419FA-2EB0-4623-8270-8ED26F046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4452D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Onopgemaaktetabel2">
    <w:name w:val="Plain Table 2"/>
    <w:basedOn w:val="Standaardtabel"/>
    <w:uiPriority w:val="42"/>
    <w:rsid w:val="004452D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Kop1Char">
    <w:name w:val="Kop 1 Char"/>
    <w:basedOn w:val="Standaardalinea-lettertype"/>
    <w:link w:val="Kop1"/>
    <w:uiPriority w:val="9"/>
    <w:rsid w:val="004452D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346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AMC</Company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Haar, A.M. ter</dc:creator>
  <cp:keywords/>
  <dc:description/>
  <cp:lastModifiedBy>Haar, A.M. ter</cp:lastModifiedBy>
  <cp:revision>4</cp:revision>
  <dcterms:created xsi:type="dcterms:W3CDTF">2021-04-21T12:20:00Z</dcterms:created>
  <dcterms:modified xsi:type="dcterms:W3CDTF">2021-04-21T14:34:00Z</dcterms:modified>
</cp:coreProperties>
</file>