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6BD9" w:rsidRPr="00172D55" w:rsidRDefault="00AA6BD9" w:rsidP="00AA6BD9">
      <w:pPr>
        <w:rPr>
          <w:rFonts w:ascii="Times New Roman" w:hAnsi="Times New Roman" w:cs="Times New Roman"/>
          <w:sz w:val="22"/>
        </w:rPr>
      </w:pPr>
      <w:r>
        <w:rPr>
          <w:rFonts w:ascii="Times New Roman" w:hAnsi="Times New Roman" w:cs="Times New Roman"/>
          <w:sz w:val="22"/>
        </w:rPr>
        <w:t>Supplementary table 1</w:t>
      </w:r>
      <w:r w:rsidRPr="00172D55">
        <w:rPr>
          <w:rFonts w:ascii="Times New Roman" w:hAnsi="Times New Roman" w:cs="Times New Roman"/>
          <w:sz w:val="22"/>
        </w:rPr>
        <w:t>. PRISMA 2009 Checklist</w:t>
      </w:r>
    </w:p>
    <w:tbl>
      <w:tblPr>
        <w:tblW w:w="15200" w:type="dxa"/>
        <w:tblBorders>
          <w:top w:val="nil"/>
          <w:left w:val="nil"/>
          <w:bottom w:val="nil"/>
          <w:right w:val="nil"/>
        </w:tblBorders>
        <w:tblLook w:val="0000" w:firstRow="0" w:lastRow="0" w:firstColumn="0" w:lastColumn="0" w:noHBand="0" w:noVBand="0"/>
      </w:tblPr>
      <w:tblGrid>
        <w:gridCol w:w="2798"/>
        <w:gridCol w:w="553"/>
        <w:gridCol w:w="10589"/>
        <w:gridCol w:w="1260"/>
      </w:tblGrid>
      <w:tr w:rsidR="00AA6BD9" w:rsidRPr="00172D55" w:rsidTr="004A7692">
        <w:trPr>
          <w:trHeight w:val="663"/>
        </w:trPr>
        <w:tc>
          <w:tcPr>
            <w:tcW w:w="2798"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AA6BD9" w:rsidRPr="00172D55" w:rsidRDefault="00AA6BD9" w:rsidP="004A7692">
            <w:pPr>
              <w:pStyle w:val="Default"/>
              <w:rPr>
                <w:rFonts w:ascii="Times New Roman" w:hAnsi="Times New Roman" w:cs="Times New Roman"/>
                <w:color w:val="FFFFFF"/>
                <w:sz w:val="22"/>
                <w:szCs w:val="22"/>
              </w:rPr>
            </w:pPr>
            <w:r w:rsidRPr="00172D55">
              <w:rPr>
                <w:rFonts w:ascii="Times New Roman" w:hAnsi="Times New Roman" w:cs="Times New Roman"/>
                <w:b/>
                <w:bCs/>
                <w:color w:val="FFFFFF"/>
                <w:sz w:val="22"/>
                <w:szCs w:val="22"/>
              </w:rPr>
              <w:t xml:space="preserve">Section/topic </w:t>
            </w:r>
          </w:p>
        </w:tc>
        <w:tc>
          <w:tcPr>
            <w:tcW w:w="553"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AA6BD9" w:rsidRPr="00172D55" w:rsidRDefault="00AA6BD9" w:rsidP="004A7692">
            <w:pPr>
              <w:pStyle w:val="Default"/>
              <w:jc w:val="right"/>
              <w:rPr>
                <w:rFonts w:ascii="Times New Roman" w:hAnsi="Times New Roman" w:cs="Times New Roman"/>
                <w:b/>
                <w:bCs/>
                <w:color w:val="FFFFFF"/>
                <w:sz w:val="22"/>
                <w:szCs w:val="22"/>
              </w:rPr>
            </w:pPr>
            <w:r w:rsidRPr="00172D55">
              <w:rPr>
                <w:rFonts w:ascii="Times New Roman" w:hAnsi="Times New Roman" w:cs="Times New Roman"/>
                <w:b/>
                <w:bCs/>
                <w:color w:val="FFFFFF"/>
                <w:sz w:val="22"/>
                <w:szCs w:val="22"/>
              </w:rPr>
              <w:t>#</w:t>
            </w:r>
          </w:p>
        </w:tc>
        <w:tc>
          <w:tcPr>
            <w:tcW w:w="1058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AA6BD9" w:rsidRPr="00172D55" w:rsidRDefault="00AA6BD9" w:rsidP="004A7692">
            <w:pPr>
              <w:pStyle w:val="Default"/>
              <w:rPr>
                <w:rFonts w:ascii="Times New Roman" w:hAnsi="Times New Roman" w:cs="Times New Roman"/>
                <w:color w:val="FFFFFF"/>
                <w:sz w:val="22"/>
                <w:szCs w:val="22"/>
              </w:rPr>
            </w:pPr>
            <w:r w:rsidRPr="00172D55">
              <w:rPr>
                <w:rFonts w:ascii="Times New Roman" w:hAnsi="Times New Roman" w:cs="Times New Roman"/>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AA6BD9" w:rsidRPr="00172D55" w:rsidRDefault="00AA6BD9" w:rsidP="004A7692">
            <w:pPr>
              <w:pStyle w:val="Default"/>
              <w:rPr>
                <w:rFonts w:ascii="Times New Roman" w:hAnsi="Times New Roman" w:cs="Times New Roman"/>
                <w:color w:val="FFFFFF"/>
                <w:sz w:val="22"/>
                <w:szCs w:val="22"/>
              </w:rPr>
            </w:pPr>
            <w:r w:rsidRPr="00172D55">
              <w:rPr>
                <w:rFonts w:ascii="Times New Roman" w:hAnsi="Times New Roman" w:cs="Times New Roman"/>
                <w:b/>
                <w:bCs/>
                <w:color w:val="FFFFFF"/>
                <w:sz w:val="22"/>
                <w:szCs w:val="22"/>
              </w:rPr>
              <w:t xml:space="preserve">Reported on page # </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right"/>
              <w:rPr>
                <w:rFonts w:ascii="Times New Roman" w:hAnsi="Times New Roman" w:cs="Times New Roman"/>
                <w:color w:val="auto"/>
                <w:sz w:val="22"/>
                <w:szCs w:val="22"/>
              </w:rPr>
            </w:pPr>
          </w:p>
        </w:tc>
      </w:tr>
      <w:tr w:rsidR="00AA6BD9" w:rsidRPr="00172D55" w:rsidTr="004A7692">
        <w:trPr>
          <w:trHeight w:val="323"/>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Title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1</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right"/>
              <w:rPr>
                <w:rFonts w:ascii="Times New Roman" w:hAnsi="Times New Roman" w:cs="Times New Roman"/>
                <w:color w:val="auto"/>
                <w:sz w:val="22"/>
                <w:szCs w:val="22"/>
              </w:rPr>
            </w:pPr>
          </w:p>
        </w:tc>
      </w:tr>
      <w:tr w:rsidR="00AA6BD9" w:rsidRPr="00172D55" w:rsidTr="004A7692">
        <w:trPr>
          <w:trHeight w:val="810"/>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Structured summary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2</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right"/>
              <w:rPr>
                <w:rFonts w:ascii="Times New Roman" w:hAnsi="Times New Roman" w:cs="Times New Roman"/>
                <w:color w:val="auto"/>
                <w:sz w:val="22"/>
                <w:szCs w:val="22"/>
              </w:rPr>
            </w:pPr>
          </w:p>
        </w:tc>
      </w:tr>
      <w:tr w:rsidR="00AA6BD9" w:rsidRPr="00172D55" w:rsidTr="004A7692">
        <w:trPr>
          <w:trHeight w:val="333"/>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Rationale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3</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3</w:t>
            </w:r>
          </w:p>
        </w:tc>
      </w:tr>
      <w:tr w:rsidR="00AA6BD9" w:rsidRPr="00172D55" w:rsidTr="004A7692">
        <w:trPr>
          <w:trHeight w:val="568"/>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Objectives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4</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3</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right"/>
              <w:rPr>
                <w:rFonts w:ascii="Times New Roman" w:hAnsi="Times New Roman" w:cs="Times New Roman"/>
                <w:color w:val="auto"/>
                <w:sz w:val="22"/>
                <w:szCs w:val="22"/>
              </w:rPr>
            </w:pP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Protocol and registration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5</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3</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Eligibility criteria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6</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AA6BD9"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3-4</w:t>
            </w:r>
          </w:p>
          <w:p w:rsidR="00BF64C4" w:rsidRPr="00172D55" w:rsidRDefault="00BF64C4" w:rsidP="004A7692">
            <w:pPr>
              <w:pStyle w:val="Default"/>
              <w:spacing w:before="40" w:after="40"/>
              <w:rPr>
                <w:rFonts w:ascii="Times New Roman" w:hAnsi="Times New Roman" w:cs="Times New Roman"/>
                <w:color w:val="auto"/>
                <w:sz w:val="22"/>
                <w:szCs w:val="22"/>
                <w:lang w:eastAsia="zh-CN"/>
              </w:rPr>
            </w:pP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Information sources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7</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AA6BD9"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5</w:t>
            </w:r>
          </w:p>
          <w:p w:rsidR="00BF64C4"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Table 1</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Search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8</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3</w:t>
            </w:r>
            <w:r>
              <w:rPr>
                <w:rFonts w:ascii="Times New Roman" w:hAnsi="Times New Roman" w:cs="Times New Roman"/>
                <w:color w:val="auto"/>
                <w:sz w:val="22"/>
                <w:szCs w:val="22"/>
                <w:lang w:eastAsia="zh-CN"/>
              </w:rPr>
              <w:t>-4</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Study selection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9</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rsidR="00AA6BD9"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5</w:t>
            </w:r>
          </w:p>
          <w:p w:rsidR="00BF64C4"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Figure 1</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Data collection process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10</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3</w:t>
            </w:r>
            <w:r>
              <w:rPr>
                <w:rFonts w:ascii="Times New Roman" w:hAnsi="Times New Roman" w:cs="Times New Roman"/>
                <w:color w:val="auto"/>
                <w:sz w:val="22"/>
                <w:szCs w:val="22"/>
                <w:lang w:eastAsia="zh-CN"/>
              </w:rPr>
              <w:t>-4</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Data items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11</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4</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lastRenderedPageBreak/>
              <w:t xml:space="preserve">Risk of bias in individual studies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12</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4</w:t>
            </w:r>
            <w:r>
              <w:rPr>
                <w:rFonts w:ascii="Times New Roman" w:hAnsi="Times New Roman" w:cs="Times New Roman"/>
                <w:color w:val="auto"/>
                <w:sz w:val="22"/>
                <w:szCs w:val="22"/>
                <w:lang w:eastAsia="zh-CN"/>
              </w:rPr>
              <w:t>-5</w:t>
            </w:r>
          </w:p>
        </w:tc>
      </w:tr>
      <w:tr w:rsidR="00AA6BD9" w:rsidRPr="00172D55" w:rsidTr="004A7692">
        <w:trPr>
          <w:trHeight w:val="333"/>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Summary measures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13</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5</w:t>
            </w:r>
          </w:p>
        </w:tc>
      </w:tr>
      <w:tr w:rsidR="00AA6BD9" w:rsidRPr="00172D55" w:rsidTr="004A7692">
        <w:trPr>
          <w:trHeight w:val="580"/>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Synthesis of results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14</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Describe the methods of handling data and combining results of studies, if done, including measures of consistency (e.g., I</w:t>
            </w:r>
            <w:r w:rsidRPr="00172D55">
              <w:rPr>
                <w:rFonts w:ascii="Times New Roman" w:hAnsi="Times New Roman" w:cs="Times New Roman"/>
                <w:sz w:val="22"/>
                <w:szCs w:val="22"/>
                <w:vertAlign w:val="superscript"/>
              </w:rPr>
              <w:t>2</w:t>
            </w:r>
            <w:r w:rsidRPr="00172D55">
              <w:rPr>
                <w:rFonts w:ascii="Times New Roman" w:hAnsi="Times New Roman" w:cs="Times New Roman"/>
                <w:sz w:val="22"/>
                <w:szCs w:val="22"/>
              </w:rPr>
              <w:t xml:space="preserve">) for each meta-analysis.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5</w:t>
            </w:r>
          </w:p>
        </w:tc>
      </w:tr>
      <w:tr w:rsidR="00AA6BD9" w:rsidRPr="00172D55" w:rsidTr="004A7692">
        <w:trPr>
          <w:trHeight w:val="580"/>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Risk of bias across studies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15</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4</w:t>
            </w:r>
          </w:p>
        </w:tc>
      </w:tr>
      <w:tr w:rsidR="00AA6BD9" w:rsidRPr="00172D55" w:rsidTr="004A7692">
        <w:trPr>
          <w:trHeight w:val="568"/>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Additional analyses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16</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5</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center"/>
              <w:rPr>
                <w:rFonts w:ascii="Times New Roman" w:hAnsi="Times New Roman" w:cs="Times New Roman"/>
                <w:color w:val="auto"/>
                <w:sz w:val="22"/>
                <w:szCs w:val="22"/>
              </w:rPr>
            </w:pP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Study selection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17</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AA6BD9"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5</w:t>
            </w:r>
          </w:p>
          <w:p w:rsidR="00BF64C4"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Figure 1</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Study characteristics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18</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AA6BD9"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5</w:t>
            </w:r>
          </w:p>
          <w:p w:rsidR="00BF64C4"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Table 1</w:t>
            </w:r>
          </w:p>
        </w:tc>
      </w:tr>
      <w:tr w:rsidR="00AA6BD9" w:rsidRPr="00172D55" w:rsidTr="004A7692">
        <w:trPr>
          <w:trHeight w:val="333"/>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Risk of bias within studies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19</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6</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Results of individual studies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20</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F</w:t>
            </w:r>
            <w:r>
              <w:rPr>
                <w:rFonts w:ascii="Times New Roman" w:hAnsi="Times New Roman" w:cs="Times New Roman"/>
                <w:color w:val="auto"/>
                <w:sz w:val="22"/>
                <w:szCs w:val="22"/>
                <w:lang w:eastAsia="zh-CN"/>
              </w:rPr>
              <w:t>igure 2-7</w:t>
            </w:r>
          </w:p>
        </w:tc>
      </w:tr>
      <w:tr w:rsidR="00AA6BD9" w:rsidRPr="00172D55" w:rsidTr="004A7692">
        <w:trPr>
          <w:trHeight w:val="335"/>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Synthesis of results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21</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7</w:t>
            </w:r>
          </w:p>
        </w:tc>
      </w:tr>
      <w:tr w:rsidR="00AA6BD9" w:rsidRPr="00172D55" w:rsidTr="004A7692">
        <w:trPr>
          <w:trHeight w:val="333"/>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Risk of bias across studies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22</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hint="eastAsia"/>
                <w:color w:val="auto"/>
                <w:sz w:val="22"/>
                <w:szCs w:val="22"/>
                <w:lang w:eastAsia="zh-CN"/>
              </w:rPr>
            </w:pPr>
            <w:r>
              <w:rPr>
                <w:rFonts w:ascii="Times New Roman" w:hAnsi="Times New Roman" w:cs="Times New Roman"/>
                <w:color w:val="auto"/>
                <w:sz w:val="22"/>
                <w:szCs w:val="22"/>
                <w:lang w:eastAsia="zh-CN"/>
              </w:rPr>
              <w:t>7</w:t>
            </w:r>
            <w:r>
              <w:rPr>
                <w:rFonts w:ascii="Times New Roman" w:hAnsi="Times New Roman" w:cs="Times New Roman" w:hint="eastAsia"/>
                <w:color w:val="auto"/>
                <w:sz w:val="22"/>
                <w:szCs w:val="22"/>
                <w:lang w:eastAsia="zh-CN"/>
              </w:rPr>
              <w:t>,9</w:t>
            </w:r>
          </w:p>
        </w:tc>
      </w:tr>
      <w:tr w:rsidR="00AA6BD9" w:rsidRPr="00172D55" w:rsidTr="004A7692">
        <w:trPr>
          <w:trHeight w:val="393"/>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Additional analysis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23</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BF64C4"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hint="eastAsia"/>
                <w:color w:val="auto"/>
                <w:sz w:val="22"/>
                <w:szCs w:val="22"/>
                <w:lang w:eastAsia="zh-CN"/>
              </w:rPr>
              <w:t>N</w:t>
            </w:r>
            <w:r>
              <w:rPr>
                <w:rFonts w:ascii="Times New Roman" w:hAnsi="Times New Roman" w:cs="Times New Roman"/>
                <w:color w:val="auto"/>
                <w:sz w:val="22"/>
                <w:szCs w:val="22"/>
                <w:lang w:eastAsia="zh-CN"/>
              </w:rPr>
              <w:t>ONE</w:t>
            </w:r>
          </w:p>
        </w:tc>
      </w:tr>
      <w:tr w:rsidR="00AA6BD9" w:rsidRPr="00172D55" w:rsidTr="004A7692">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center"/>
              <w:rPr>
                <w:rFonts w:ascii="Times New Roman" w:hAnsi="Times New Roman" w:cs="Times New Roman"/>
                <w:color w:val="auto"/>
                <w:sz w:val="22"/>
                <w:szCs w:val="22"/>
              </w:rPr>
            </w:pP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Summary of evidence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24</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7</w:t>
            </w:r>
          </w:p>
        </w:tc>
      </w:tr>
      <w:tr w:rsidR="00AA6BD9" w:rsidRPr="00172D55" w:rsidTr="004A7692">
        <w:trPr>
          <w:trHeight w:val="578"/>
        </w:trPr>
        <w:tc>
          <w:tcPr>
            <w:tcW w:w="2798"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Limitations </w:t>
            </w:r>
          </w:p>
        </w:tc>
        <w:tc>
          <w:tcPr>
            <w:tcW w:w="553"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25</w:t>
            </w:r>
          </w:p>
        </w:tc>
        <w:tc>
          <w:tcPr>
            <w:tcW w:w="10589" w:type="dxa"/>
            <w:tcBorders>
              <w:top w:val="single" w:sz="5" w:space="0" w:color="000000"/>
              <w:left w:val="single" w:sz="5" w:space="0" w:color="000000"/>
              <w:bottom w:val="sing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9</w:t>
            </w:r>
          </w:p>
        </w:tc>
      </w:tr>
      <w:tr w:rsidR="00AA6BD9" w:rsidRPr="00172D55" w:rsidTr="004A7692">
        <w:trPr>
          <w:trHeight w:val="420"/>
        </w:trPr>
        <w:tc>
          <w:tcPr>
            <w:tcW w:w="2798"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Conclusions </w:t>
            </w:r>
          </w:p>
        </w:tc>
        <w:tc>
          <w:tcPr>
            <w:tcW w:w="553" w:type="dxa"/>
            <w:tcBorders>
              <w:top w:val="single" w:sz="5" w:space="0" w:color="000000"/>
              <w:left w:val="single" w:sz="5" w:space="0" w:color="000000"/>
              <w:bottom w:val="double" w:sz="2" w:space="0" w:color="FFFFCC"/>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26</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8</w:t>
            </w:r>
          </w:p>
        </w:tc>
      </w:tr>
      <w:tr w:rsidR="00AA6BD9" w:rsidRPr="00172D55" w:rsidTr="004A7692">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A6BD9" w:rsidRPr="00172D55" w:rsidRDefault="00AA6BD9" w:rsidP="004A7692">
            <w:pPr>
              <w:pStyle w:val="Default"/>
              <w:rPr>
                <w:rFonts w:ascii="Times New Roman" w:hAnsi="Times New Roman" w:cs="Times New Roman"/>
                <w:sz w:val="22"/>
                <w:szCs w:val="22"/>
              </w:rPr>
            </w:pPr>
            <w:r w:rsidRPr="00172D55">
              <w:rPr>
                <w:rFonts w:ascii="Times New Roman" w:hAnsi="Times New Roman" w:cs="Times New Roman"/>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A6BD9" w:rsidRPr="00172D55" w:rsidRDefault="00AA6BD9" w:rsidP="004A7692">
            <w:pPr>
              <w:pStyle w:val="Default"/>
              <w:jc w:val="center"/>
              <w:rPr>
                <w:rFonts w:ascii="Times New Roman" w:hAnsi="Times New Roman" w:cs="Times New Roman"/>
                <w:color w:val="auto"/>
                <w:sz w:val="22"/>
                <w:szCs w:val="22"/>
              </w:rPr>
            </w:pPr>
          </w:p>
        </w:tc>
      </w:tr>
      <w:tr w:rsidR="00AA6BD9" w:rsidRPr="00172D55" w:rsidTr="004A7692">
        <w:trPr>
          <w:trHeight w:val="570"/>
        </w:trPr>
        <w:tc>
          <w:tcPr>
            <w:tcW w:w="2798"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lastRenderedPageBreak/>
              <w:t xml:space="preserve">Funding </w:t>
            </w:r>
          </w:p>
        </w:tc>
        <w:tc>
          <w:tcPr>
            <w:tcW w:w="553"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jc w:val="right"/>
              <w:rPr>
                <w:rFonts w:ascii="Times New Roman" w:hAnsi="Times New Roman" w:cs="Times New Roman"/>
                <w:sz w:val="22"/>
                <w:szCs w:val="22"/>
              </w:rPr>
            </w:pPr>
            <w:r w:rsidRPr="00172D55">
              <w:rPr>
                <w:rFonts w:ascii="Times New Roman" w:hAnsi="Times New Roman" w:cs="Times New Roman"/>
                <w:sz w:val="22"/>
                <w:szCs w:val="22"/>
              </w:rPr>
              <w:t>27</w:t>
            </w:r>
          </w:p>
        </w:tc>
        <w:tc>
          <w:tcPr>
            <w:tcW w:w="10589" w:type="dxa"/>
            <w:tcBorders>
              <w:top w:val="single" w:sz="5" w:space="0" w:color="000000"/>
              <w:left w:val="single" w:sz="5" w:space="0" w:color="000000"/>
              <w:bottom w:val="double" w:sz="5" w:space="0" w:color="000000"/>
              <w:right w:val="single" w:sz="5" w:space="0" w:color="000000"/>
            </w:tcBorders>
          </w:tcPr>
          <w:p w:rsidR="00AA6BD9" w:rsidRPr="00172D55" w:rsidRDefault="00AA6BD9" w:rsidP="004A7692">
            <w:pPr>
              <w:pStyle w:val="Default"/>
              <w:spacing w:before="40" w:after="40"/>
              <w:rPr>
                <w:rFonts w:ascii="Times New Roman" w:hAnsi="Times New Roman" w:cs="Times New Roman"/>
                <w:sz w:val="22"/>
                <w:szCs w:val="22"/>
              </w:rPr>
            </w:pPr>
            <w:r w:rsidRPr="00172D55">
              <w:rPr>
                <w:rFonts w:ascii="Times New Roman" w:hAnsi="Times New Roman" w:cs="Times New Roman"/>
                <w:sz w:val="22"/>
                <w:szCs w:val="22"/>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AA6BD9" w:rsidRPr="00172D55" w:rsidRDefault="00FB3155" w:rsidP="004A7692">
            <w:pPr>
              <w:pStyle w:val="Default"/>
              <w:spacing w:before="40" w:after="40"/>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10</w:t>
            </w:r>
            <w:bookmarkStart w:id="0" w:name="_GoBack"/>
            <w:bookmarkEnd w:id="0"/>
          </w:p>
        </w:tc>
      </w:tr>
    </w:tbl>
    <w:p w:rsidR="00AA6BD9" w:rsidRPr="00363B8D" w:rsidRDefault="00AA6BD9" w:rsidP="00AA6BD9">
      <w:pPr>
        <w:pStyle w:val="Default"/>
        <w:spacing w:line="183" w:lineRule="atLeast"/>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AA6BD9" w:rsidRDefault="00AA6BD9" w:rsidP="00AA6BD9">
      <w:pPr>
        <w:widowControl/>
        <w:rPr>
          <w:rFonts w:ascii="Arial" w:hAnsi="Arial" w:cs="Arial"/>
          <w:b/>
          <w:bCs/>
          <w:color w:val="0063FF"/>
          <w:sz w:val="18"/>
          <w:szCs w:val="18"/>
          <w:u w:val="single"/>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6" w:history="1">
        <w:r w:rsidRPr="00976C85">
          <w:rPr>
            <w:rStyle w:val="a7"/>
            <w:rFonts w:ascii="Arial" w:hAnsi="Arial" w:cs="Arial"/>
            <w:b/>
            <w:bCs/>
            <w:sz w:val="18"/>
            <w:szCs w:val="18"/>
            <w:lang w:val="da-DK"/>
          </w:rPr>
          <w:t>www.prisma</w:t>
        </w:r>
        <w:r w:rsidRPr="00976C85">
          <w:rPr>
            <w:rStyle w:val="a7"/>
            <w:rFonts w:cs="Arial"/>
            <w:b/>
            <w:bCs/>
            <w:sz w:val="18"/>
            <w:szCs w:val="18"/>
            <w:lang w:val="da-DK"/>
          </w:rPr>
          <w:t>-</w:t>
        </w:r>
        <w:r w:rsidRPr="00976C85">
          <w:rPr>
            <w:rStyle w:val="a7"/>
            <w:rFonts w:ascii="Arial" w:hAnsi="Arial" w:cs="Arial"/>
            <w:b/>
            <w:bCs/>
            <w:sz w:val="18"/>
            <w:szCs w:val="18"/>
            <w:lang w:val="da-DK"/>
          </w:rPr>
          <w:t>statement.org</w:t>
        </w:r>
      </w:hyperlink>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Arial" w:hAnsi="Arial" w:cs="Arial"/>
          <w:b/>
          <w:bCs/>
          <w:color w:val="0063FF"/>
          <w:sz w:val="18"/>
          <w:szCs w:val="18"/>
          <w:u w:val="single"/>
          <w:lang w:val="da-DK"/>
        </w:rPr>
      </w:pPr>
    </w:p>
    <w:p w:rsidR="00AA6BD9" w:rsidRDefault="00AA6BD9" w:rsidP="00AA6BD9">
      <w:pPr>
        <w:widowControl/>
        <w:rPr>
          <w:rFonts w:ascii="Times New Roman" w:eastAsia="等线" w:hAnsi="Times New Roman" w:cs="Times New Roman"/>
          <w:color w:val="000000"/>
          <w:kern w:val="0"/>
          <w:sz w:val="22"/>
        </w:rPr>
      </w:pPr>
    </w:p>
    <w:p w:rsidR="00FF3AA5" w:rsidRDefault="00ED674F" w:rsidP="00BA33B9">
      <w:pPr>
        <w:widowControl/>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lastRenderedPageBreak/>
        <w:t>S</w:t>
      </w:r>
      <w:r w:rsidRPr="00BA33B9">
        <w:rPr>
          <w:rFonts w:ascii="Times New Roman" w:eastAsia="等线" w:hAnsi="Times New Roman" w:cs="Times New Roman"/>
          <w:color w:val="000000"/>
          <w:kern w:val="0"/>
          <w:sz w:val="22"/>
        </w:rPr>
        <w:t xml:space="preserve">upplementary table </w:t>
      </w:r>
      <w:r w:rsidR="00AA6BD9">
        <w:rPr>
          <w:rFonts w:ascii="Times New Roman" w:eastAsia="等线" w:hAnsi="Times New Roman" w:cs="Times New Roman"/>
          <w:color w:val="000000"/>
          <w:kern w:val="0"/>
          <w:sz w:val="22"/>
        </w:rPr>
        <w:t>2</w:t>
      </w:r>
      <w:r w:rsidRPr="00BA33B9">
        <w:rPr>
          <w:rFonts w:ascii="Times New Roman" w:eastAsia="等线" w:hAnsi="Times New Roman" w:cs="Times New Roman"/>
          <w:color w:val="000000"/>
          <w:kern w:val="0"/>
          <w:sz w:val="22"/>
        </w:rPr>
        <w:t xml:space="preserve">. </w:t>
      </w:r>
      <w:r w:rsidR="00BA33B9" w:rsidRPr="00BA33B9">
        <w:rPr>
          <w:rFonts w:ascii="Times New Roman" w:eastAsia="等线" w:hAnsi="Times New Roman" w:cs="Times New Roman"/>
          <w:color w:val="000000"/>
          <w:kern w:val="0"/>
          <w:sz w:val="22"/>
        </w:rPr>
        <w:t>The Newcastle-Ottawa Scale (NOS) for assessing the quality of studies in meta-analyses</w:t>
      </w:r>
    </w:p>
    <w:tbl>
      <w:tblPr>
        <w:tblW w:w="5063" w:type="pct"/>
        <w:tblLayout w:type="fixed"/>
        <w:tblLook w:val="04A0" w:firstRow="1" w:lastRow="0" w:firstColumn="1" w:lastColumn="0" w:noHBand="0" w:noVBand="1"/>
      </w:tblPr>
      <w:tblGrid>
        <w:gridCol w:w="709"/>
        <w:gridCol w:w="7939"/>
        <w:gridCol w:w="1559"/>
        <w:gridCol w:w="424"/>
        <w:gridCol w:w="424"/>
        <w:gridCol w:w="424"/>
        <w:gridCol w:w="427"/>
        <w:gridCol w:w="1703"/>
        <w:gridCol w:w="424"/>
        <w:gridCol w:w="424"/>
        <w:gridCol w:w="402"/>
        <w:gridCol w:w="733"/>
      </w:tblGrid>
      <w:tr w:rsidR="003C51CD" w:rsidRPr="0018782E" w:rsidTr="003C51CD">
        <w:trPr>
          <w:trHeight w:val="280"/>
        </w:trPr>
        <w:tc>
          <w:tcPr>
            <w:tcW w:w="227" w:type="pct"/>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No.</w:t>
            </w:r>
          </w:p>
        </w:tc>
        <w:tc>
          <w:tcPr>
            <w:tcW w:w="2546" w:type="pct"/>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Study</w:t>
            </w:r>
          </w:p>
        </w:tc>
        <w:tc>
          <w:tcPr>
            <w:tcW w:w="500" w:type="pct"/>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Design</w:t>
            </w:r>
          </w:p>
        </w:tc>
        <w:tc>
          <w:tcPr>
            <w:tcW w:w="545" w:type="pct"/>
            <w:gridSpan w:val="4"/>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Selection</w:t>
            </w:r>
          </w:p>
        </w:tc>
        <w:tc>
          <w:tcPr>
            <w:tcW w:w="546" w:type="pct"/>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Comparability</w:t>
            </w:r>
          </w:p>
        </w:tc>
        <w:tc>
          <w:tcPr>
            <w:tcW w:w="401" w:type="pct"/>
            <w:gridSpan w:val="3"/>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Outcome</w:t>
            </w:r>
          </w:p>
        </w:tc>
        <w:tc>
          <w:tcPr>
            <w:tcW w:w="235" w:type="pct"/>
            <w:tcBorders>
              <w:top w:val="single" w:sz="4" w:space="0" w:color="auto"/>
              <w:left w:val="nil"/>
              <w:bottom w:val="single" w:sz="4" w:space="0" w:color="auto"/>
              <w:right w:val="nil"/>
            </w:tcBorders>
            <w:shd w:val="clear" w:color="auto" w:fill="auto"/>
            <w:noWrap/>
            <w:vAlign w:val="center"/>
            <w:hideMark/>
          </w:tcPr>
          <w:p w:rsidR="0018782E" w:rsidRPr="0018782E" w:rsidRDefault="0018782E" w:rsidP="0018782E">
            <w:pPr>
              <w:widowControl/>
              <w:jc w:val="center"/>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Total</w:t>
            </w:r>
          </w:p>
        </w:tc>
      </w:tr>
      <w:tr w:rsidR="0018782E" w:rsidRPr="0018782E" w:rsidTr="003C51CD">
        <w:trPr>
          <w:trHeight w:val="500"/>
        </w:trPr>
        <w:tc>
          <w:tcPr>
            <w:tcW w:w="227"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1</w:t>
            </w:r>
          </w:p>
        </w:tc>
        <w:tc>
          <w:tcPr>
            <w:tcW w:w="254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Pulmonary Thrombosis or Embolism in a Large Cohort of Hospitalized Patients With Covid-19</w:t>
            </w:r>
          </w:p>
        </w:tc>
        <w:tc>
          <w:tcPr>
            <w:tcW w:w="500"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54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single" w:sz="4" w:space="0" w:color="auto"/>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5</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2</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Utility of D-dimer for diagnosis of deep vein thrombosis in coronavirus disease-19 infection</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3</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30-day mortality in patients hospitalized with COVID-19 during the first wave of the Italian epidemic: A prospective cohort study</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4</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Thrombotic complications and anticoagulation in COVID-19 pneumonia: a New York City hospital experience</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4</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5</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Intensity of anticoagulation and survival in patients hospitalized with COVID-19 pneumonia</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Deep vein thrombosis in nonecritically ill patients with coronavirus disease 2019 pneumonia: deep vein thrombosis in noneintensive care unit patients</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5</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7</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High incidence of venous thromboembolic events in anticoagulated severe COVID-19 patients</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8</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Anticoagulation and bleeding risk in patients with COVID-19</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7</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9</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Anticoagulation, Bleeding, Mortality, and Pathology in Hospitalized Patients With COVID-19</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8</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10</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Preliminary Experience With Low Molecular Weight Heparin Strategy in COVID-19 Patients</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8</w:t>
            </w:r>
          </w:p>
        </w:tc>
      </w:tr>
      <w:tr w:rsidR="0018782E" w:rsidRPr="0018782E" w:rsidTr="0018782E">
        <w:trPr>
          <w:trHeight w:val="500"/>
        </w:trPr>
        <w:tc>
          <w:tcPr>
            <w:tcW w:w="227"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11</w:t>
            </w:r>
          </w:p>
        </w:tc>
        <w:tc>
          <w:tcPr>
            <w:tcW w:w="2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The hazard of (sub)therapeutic doses of anticoagulants in non-critically ill patients with Covid-19: the Padua province experience</w:t>
            </w:r>
          </w:p>
        </w:tc>
        <w:tc>
          <w:tcPr>
            <w:tcW w:w="500"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7</w:t>
            </w:r>
          </w:p>
        </w:tc>
      </w:tr>
      <w:tr w:rsidR="0018782E" w:rsidRPr="0018782E" w:rsidTr="003C51CD">
        <w:trPr>
          <w:trHeight w:val="500"/>
        </w:trPr>
        <w:tc>
          <w:tcPr>
            <w:tcW w:w="227" w:type="pct"/>
            <w:tcBorders>
              <w:top w:val="nil"/>
              <w:left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12</w:t>
            </w:r>
          </w:p>
        </w:tc>
        <w:tc>
          <w:tcPr>
            <w:tcW w:w="254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A possible benefit from therapeutic anticoagulation in patients with coronavirus disease 2019: the Dolo hospital experience in Veneto, Italy</w:t>
            </w:r>
          </w:p>
        </w:tc>
        <w:tc>
          <w:tcPr>
            <w:tcW w:w="500"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6</w:t>
            </w:r>
          </w:p>
        </w:tc>
      </w:tr>
      <w:tr w:rsidR="0018782E" w:rsidRPr="0018782E" w:rsidTr="003C51CD">
        <w:trPr>
          <w:trHeight w:val="500"/>
        </w:trPr>
        <w:tc>
          <w:tcPr>
            <w:tcW w:w="227"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13</w:t>
            </w:r>
          </w:p>
        </w:tc>
        <w:tc>
          <w:tcPr>
            <w:tcW w:w="254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Association of Padua prediction score with in-hospital prognosis in COVID-19 patients</w:t>
            </w:r>
          </w:p>
        </w:tc>
        <w:tc>
          <w:tcPr>
            <w:tcW w:w="500"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Cohort study</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54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w:t>
            </w:r>
          </w:p>
        </w:tc>
        <w:tc>
          <w:tcPr>
            <w:tcW w:w="136"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等线" w:hAnsi="Times New Roman" w:cs="Times New Roman"/>
                <w:color w:val="000000"/>
                <w:kern w:val="0"/>
                <w:sz w:val="24"/>
                <w:szCs w:val="24"/>
              </w:rPr>
            </w:pPr>
          </w:p>
        </w:tc>
        <w:tc>
          <w:tcPr>
            <w:tcW w:w="128"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left"/>
              <w:rPr>
                <w:rFonts w:ascii="Times New Roman" w:eastAsia="Times New Roman" w:hAnsi="Times New Roman" w:cs="Times New Roman"/>
                <w:kern w:val="0"/>
                <w:sz w:val="24"/>
                <w:szCs w:val="24"/>
              </w:rPr>
            </w:pPr>
          </w:p>
        </w:tc>
        <w:tc>
          <w:tcPr>
            <w:tcW w:w="235" w:type="pct"/>
            <w:tcBorders>
              <w:top w:val="nil"/>
              <w:left w:val="nil"/>
              <w:bottom w:val="single" w:sz="4" w:space="0" w:color="auto"/>
              <w:right w:val="nil"/>
            </w:tcBorders>
            <w:shd w:val="clear" w:color="auto" w:fill="auto"/>
            <w:noWrap/>
            <w:vAlign w:val="bottom"/>
            <w:hideMark/>
          </w:tcPr>
          <w:p w:rsidR="0018782E" w:rsidRPr="0018782E" w:rsidRDefault="0018782E" w:rsidP="0018782E">
            <w:pPr>
              <w:widowControl/>
              <w:jc w:val="right"/>
              <w:rPr>
                <w:rFonts w:ascii="Times New Roman" w:eastAsia="等线" w:hAnsi="Times New Roman" w:cs="Times New Roman"/>
                <w:color w:val="000000"/>
                <w:kern w:val="0"/>
                <w:sz w:val="24"/>
                <w:szCs w:val="24"/>
              </w:rPr>
            </w:pPr>
            <w:r w:rsidRPr="0018782E">
              <w:rPr>
                <w:rFonts w:ascii="Times New Roman" w:eastAsia="等线" w:hAnsi="Times New Roman" w:cs="Times New Roman"/>
                <w:color w:val="000000"/>
                <w:kern w:val="0"/>
                <w:sz w:val="24"/>
                <w:szCs w:val="24"/>
              </w:rPr>
              <w:t>7</w:t>
            </w:r>
          </w:p>
        </w:tc>
      </w:tr>
    </w:tbl>
    <w:p w:rsidR="004E7A03" w:rsidRDefault="00D91606">
      <w:r w:rsidRPr="001956FE">
        <w:rPr>
          <w:rFonts w:ascii="Times New Roman" w:eastAsia="Arial Unicode MS" w:hAnsi="Times New Roman" w:cs="Times New Roman"/>
          <w:bCs/>
          <w:sz w:val="22"/>
        </w:rPr>
        <w:t xml:space="preserve">Abbreviations: </w:t>
      </w:r>
      <w:r w:rsidRPr="00D91606">
        <w:rPr>
          <w:rFonts w:ascii="Times New Roman" w:eastAsia="Arial Unicode MS" w:hAnsi="Times New Roman" w:cs="Times New Roman"/>
          <w:bCs/>
          <w:sz w:val="22"/>
        </w:rPr>
        <w:t>COVID-19</w:t>
      </w:r>
      <w:r w:rsidRPr="001956FE">
        <w:rPr>
          <w:rFonts w:ascii="Times New Roman" w:eastAsia="Arial Unicode MS" w:hAnsi="Times New Roman" w:cs="Times New Roman"/>
          <w:bCs/>
          <w:sz w:val="22"/>
        </w:rPr>
        <w:t>=</w:t>
      </w:r>
      <w:r w:rsidRPr="00D91606">
        <w:t xml:space="preserve"> </w:t>
      </w:r>
      <w:r w:rsidRPr="00D91606">
        <w:rPr>
          <w:rFonts w:ascii="Times New Roman" w:eastAsia="Arial Unicode MS" w:hAnsi="Times New Roman" w:cs="Times New Roman"/>
          <w:bCs/>
          <w:sz w:val="22"/>
        </w:rPr>
        <w:t>Coronavirus disease 2019</w:t>
      </w:r>
      <w:r w:rsidRPr="001956FE">
        <w:rPr>
          <w:rFonts w:ascii="Times New Roman" w:eastAsia="Arial Unicode MS" w:hAnsi="Times New Roman" w:cs="Times New Roman"/>
          <w:bCs/>
          <w:sz w:val="22"/>
        </w:rPr>
        <w:t xml:space="preserve">. </w:t>
      </w:r>
      <w:r w:rsidRPr="00D91606">
        <w:rPr>
          <w:rFonts w:ascii="Times New Roman" w:eastAsia="Arial Unicode MS" w:hAnsi="Times New Roman" w:cs="Times New Roman"/>
          <w:bCs/>
          <w:sz w:val="22"/>
        </w:rPr>
        <w:t>SARS-CoV-2</w:t>
      </w:r>
      <w:r w:rsidRPr="001956FE">
        <w:rPr>
          <w:rFonts w:ascii="Times New Roman" w:eastAsia="Arial Unicode MS" w:hAnsi="Times New Roman" w:cs="Times New Roman"/>
          <w:bCs/>
          <w:sz w:val="22"/>
        </w:rPr>
        <w:t>=</w:t>
      </w:r>
      <w:r w:rsidRPr="00D91606">
        <w:rPr>
          <w:rFonts w:ascii="Times New Roman" w:hAnsi="Times New Roman" w:cs="Times New Roman"/>
          <w:sz w:val="22"/>
        </w:rPr>
        <w:t>Severe acute respiratory syndrome coronavirus 2</w:t>
      </w:r>
      <w:r>
        <w:rPr>
          <w:rFonts w:ascii="Times New Roman" w:hAnsi="Times New Roman" w:cs="Times New Roman"/>
          <w:sz w:val="22"/>
        </w:rPr>
        <w:t>.</w:t>
      </w:r>
    </w:p>
    <w:p w:rsidR="00BA33B9" w:rsidRDefault="00BA33B9"/>
    <w:p w:rsidR="00BA33B9" w:rsidRPr="00D91606" w:rsidRDefault="00BA33B9"/>
    <w:p w:rsidR="00BA33B9" w:rsidRDefault="00BA33B9"/>
    <w:p w:rsidR="00BA33B9" w:rsidRDefault="00BA33B9"/>
    <w:p w:rsidR="0018782E" w:rsidRPr="0018782E" w:rsidRDefault="0018782E"/>
    <w:p w:rsidR="00BA33B9" w:rsidRPr="007E0C23" w:rsidRDefault="00BA33B9" w:rsidP="007E0C23">
      <w:pPr>
        <w:widowControl/>
        <w:rPr>
          <w:rFonts w:ascii="Times New Roman" w:eastAsia="等线" w:hAnsi="Times New Roman" w:cs="Times New Roman"/>
          <w:color w:val="000000"/>
          <w:kern w:val="0"/>
          <w:sz w:val="22"/>
        </w:rPr>
      </w:pPr>
      <w:r w:rsidRPr="007E0C23">
        <w:rPr>
          <w:rFonts w:ascii="Times New Roman" w:eastAsia="等线" w:hAnsi="Times New Roman" w:cs="Times New Roman"/>
          <w:color w:val="000000"/>
          <w:kern w:val="0"/>
          <w:sz w:val="22"/>
        </w:rPr>
        <w:t xml:space="preserve">Supplementary table </w:t>
      </w:r>
      <w:r w:rsidR="00AA6BD9">
        <w:rPr>
          <w:rFonts w:ascii="Times New Roman" w:eastAsia="等线" w:hAnsi="Times New Roman" w:cs="Times New Roman"/>
          <w:color w:val="000000"/>
          <w:kern w:val="0"/>
          <w:sz w:val="22"/>
        </w:rPr>
        <w:t>3</w:t>
      </w:r>
      <w:r w:rsidRPr="007E0C23">
        <w:rPr>
          <w:rFonts w:ascii="Times New Roman" w:eastAsia="等线" w:hAnsi="Times New Roman" w:cs="Times New Roman"/>
          <w:color w:val="000000"/>
          <w:kern w:val="0"/>
          <w:sz w:val="22"/>
        </w:rPr>
        <w:t xml:space="preserve">. </w:t>
      </w:r>
      <w:r w:rsidR="007E0C23" w:rsidRPr="007E0C23">
        <w:rPr>
          <w:rFonts w:ascii="Times New Roman" w:eastAsia="等线" w:hAnsi="Times New Roman" w:cs="Times New Roman"/>
          <w:color w:val="000000"/>
          <w:kern w:val="0"/>
          <w:sz w:val="22"/>
        </w:rPr>
        <w:t>Cochrane collaboration tool for assessing the quality of studies in meta-analyses</w:t>
      </w:r>
    </w:p>
    <w:tbl>
      <w:tblPr>
        <w:tblW w:w="5000" w:type="pct"/>
        <w:tblLayout w:type="fixed"/>
        <w:tblLook w:val="04A0" w:firstRow="1" w:lastRow="0" w:firstColumn="1" w:lastColumn="0" w:noHBand="0" w:noVBand="1"/>
      </w:tblPr>
      <w:tblGrid>
        <w:gridCol w:w="6945"/>
        <w:gridCol w:w="996"/>
        <w:gridCol w:w="854"/>
        <w:gridCol w:w="853"/>
        <w:gridCol w:w="708"/>
        <w:gridCol w:w="705"/>
        <w:gridCol w:w="708"/>
        <w:gridCol w:w="705"/>
        <w:gridCol w:w="714"/>
        <w:gridCol w:w="705"/>
        <w:gridCol w:w="714"/>
        <w:gridCol w:w="791"/>
      </w:tblGrid>
      <w:tr w:rsidR="007E0C23" w:rsidRPr="00BA33B9" w:rsidTr="007E0C23">
        <w:trPr>
          <w:trHeight w:val="280"/>
        </w:trPr>
        <w:tc>
          <w:tcPr>
            <w:tcW w:w="2255" w:type="pct"/>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Study</w:t>
            </w:r>
          </w:p>
        </w:tc>
        <w:tc>
          <w:tcPr>
            <w:tcW w:w="323" w:type="pct"/>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Design</w:t>
            </w:r>
          </w:p>
        </w:tc>
        <w:tc>
          <w:tcPr>
            <w:tcW w:w="554" w:type="pct"/>
            <w:gridSpan w:val="2"/>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 xml:space="preserve">Randomization </w:t>
            </w:r>
          </w:p>
        </w:tc>
        <w:tc>
          <w:tcPr>
            <w:tcW w:w="918" w:type="pct"/>
            <w:gridSpan w:val="4"/>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Blinding</w:t>
            </w:r>
          </w:p>
        </w:tc>
        <w:tc>
          <w:tcPr>
            <w:tcW w:w="693" w:type="pct"/>
            <w:gridSpan w:val="3"/>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Patient attrition</w:t>
            </w:r>
          </w:p>
        </w:tc>
        <w:tc>
          <w:tcPr>
            <w:tcW w:w="257" w:type="pct"/>
            <w:tcBorders>
              <w:top w:val="single" w:sz="4" w:space="0" w:color="auto"/>
              <w:bottom w:val="single" w:sz="4" w:space="0" w:color="auto"/>
            </w:tcBorders>
            <w:shd w:val="clear" w:color="auto" w:fill="auto"/>
            <w:noWrap/>
            <w:vAlign w:val="bottom"/>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Total</w:t>
            </w:r>
          </w:p>
        </w:tc>
      </w:tr>
      <w:tr w:rsidR="007E0C23" w:rsidRPr="00BA33B9" w:rsidTr="007E0C23">
        <w:trPr>
          <w:trHeight w:val="280"/>
        </w:trPr>
        <w:tc>
          <w:tcPr>
            <w:tcW w:w="2255"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Therapeutic versus prophylactic anticoagulation for severe COVID-19: A randomized phase II clinical trial (HESACOVID)</w:t>
            </w:r>
          </w:p>
        </w:tc>
        <w:tc>
          <w:tcPr>
            <w:tcW w:w="323"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RCT</w:t>
            </w:r>
          </w:p>
        </w:tc>
        <w:tc>
          <w:tcPr>
            <w:tcW w:w="277"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1</w:t>
            </w:r>
          </w:p>
        </w:tc>
        <w:tc>
          <w:tcPr>
            <w:tcW w:w="277"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1</w:t>
            </w:r>
          </w:p>
        </w:tc>
        <w:tc>
          <w:tcPr>
            <w:tcW w:w="230"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0</w:t>
            </w:r>
          </w:p>
        </w:tc>
        <w:tc>
          <w:tcPr>
            <w:tcW w:w="229"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0</w:t>
            </w:r>
          </w:p>
        </w:tc>
        <w:tc>
          <w:tcPr>
            <w:tcW w:w="230"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0</w:t>
            </w:r>
          </w:p>
        </w:tc>
        <w:tc>
          <w:tcPr>
            <w:tcW w:w="229"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0</w:t>
            </w:r>
          </w:p>
        </w:tc>
        <w:tc>
          <w:tcPr>
            <w:tcW w:w="232"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1</w:t>
            </w:r>
          </w:p>
        </w:tc>
        <w:tc>
          <w:tcPr>
            <w:tcW w:w="229"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1</w:t>
            </w:r>
          </w:p>
        </w:tc>
        <w:tc>
          <w:tcPr>
            <w:tcW w:w="232"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1</w:t>
            </w:r>
          </w:p>
        </w:tc>
        <w:tc>
          <w:tcPr>
            <w:tcW w:w="257" w:type="pct"/>
            <w:tcBorders>
              <w:top w:val="single" w:sz="4" w:space="0" w:color="auto"/>
              <w:bottom w:val="single" w:sz="4" w:space="0" w:color="auto"/>
            </w:tcBorders>
            <w:shd w:val="clear" w:color="auto" w:fill="auto"/>
            <w:noWrap/>
            <w:vAlign w:val="center"/>
            <w:hideMark/>
          </w:tcPr>
          <w:p w:rsidR="00BA33B9" w:rsidRPr="00BA33B9" w:rsidRDefault="00BA33B9" w:rsidP="00BA33B9">
            <w:pPr>
              <w:widowControl/>
              <w:jc w:val="center"/>
              <w:rPr>
                <w:rFonts w:ascii="Times New Roman" w:eastAsia="等线" w:hAnsi="Times New Roman" w:cs="Times New Roman"/>
                <w:color w:val="000000"/>
                <w:kern w:val="0"/>
                <w:sz w:val="22"/>
              </w:rPr>
            </w:pPr>
            <w:r w:rsidRPr="00BA33B9">
              <w:rPr>
                <w:rFonts w:ascii="Times New Roman" w:eastAsia="等线" w:hAnsi="Times New Roman" w:cs="Times New Roman" w:hint="eastAsia"/>
                <w:color w:val="000000"/>
                <w:kern w:val="0"/>
                <w:sz w:val="22"/>
              </w:rPr>
              <w:t>5</w:t>
            </w:r>
          </w:p>
        </w:tc>
      </w:tr>
    </w:tbl>
    <w:p w:rsidR="00F86B5B" w:rsidRDefault="00F86B5B" w:rsidP="00F86B5B">
      <w:r w:rsidRPr="001956FE">
        <w:rPr>
          <w:rFonts w:ascii="Times New Roman" w:eastAsia="Arial Unicode MS" w:hAnsi="Times New Roman" w:cs="Times New Roman"/>
          <w:bCs/>
          <w:sz w:val="22"/>
        </w:rPr>
        <w:t xml:space="preserve">Abbreviations: </w:t>
      </w:r>
      <w:r w:rsidRPr="00D91606">
        <w:rPr>
          <w:rFonts w:ascii="Times New Roman" w:eastAsia="Arial Unicode MS" w:hAnsi="Times New Roman" w:cs="Times New Roman"/>
          <w:bCs/>
          <w:sz w:val="22"/>
        </w:rPr>
        <w:t>COVID-19</w:t>
      </w:r>
      <w:r w:rsidRPr="001956FE">
        <w:rPr>
          <w:rFonts w:ascii="Times New Roman" w:eastAsia="Arial Unicode MS" w:hAnsi="Times New Roman" w:cs="Times New Roman"/>
          <w:bCs/>
          <w:sz w:val="22"/>
        </w:rPr>
        <w:t>=</w:t>
      </w:r>
      <w:r w:rsidRPr="00D91606">
        <w:t xml:space="preserve"> </w:t>
      </w:r>
      <w:r w:rsidRPr="00D91606">
        <w:rPr>
          <w:rFonts w:ascii="Times New Roman" w:eastAsia="Arial Unicode MS" w:hAnsi="Times New Roman" w:cs="Times New Roman"/>
          <w:bCs/>
          <w:sz w:val="22"/>
        </w:rPr>
        <w:t>Coronavirus disease 2019</w:t>
      </w:r>
      <w:r w:rsidRPr="001956FE">
        <w:rPr>
          <w:rFonts w:ascii="Times New Roman" w:eastAsia="Arial Unicode MS" w:hAnsi="Times New Roman" w:cs="Times New Roman"/>
          <w:bCs/>
          <w:sz w:val="22"/>
        </w:rPr>
        <w:t xml:space="preserve">. </w:t>
      </w:r>
      <w:r>
        <w:rPr>
          <w:rFonts w:ascii="Times New Roman" w:eastAsia="Arial Unicode MS" w:hAnsi="Times New Roman" w:cs="Times New Roman"/>
          <w:bCs/>
          <w:sz w:val="22"/>
        </w:rPr>
        <w:t>RCT</w:t>
      </w:r>
      <w:r w:rsidRPr="001956FE">
        <w:rPr>
          <w:rFonts w:ascii="Times New Roman" w:eastAsia="Arial Unicode MS" w:hAnsi="Times New Roman" w:cs="Times New Roman"/>
          <w:bCs/>
          <w:sz w:val="22"/>
        </w:rPr>
        <w:t>=</w:t>
      </w:r>
      <w:r>
        <w:rPr>
          <w:rFonts w:ascii="Times New Roman" w:eastAsia="等线" w:hAnsi="Times New Roman" w:cs="Times New Roman"/>
          <w:color w:val="000000"/>
          <w:kern w:val="0"/>
          <w:sz w:val="22"/>
        </w:rPr>
        <w:t>R</w:t>
      </w:r>
      <w:r w:rsidRPr="00BA33B9">
        <w:rPr>
          <w:rFonts w:ascii="Times New Roman" w:eastAsia="等线" w:hAnsi="Times New Roman" w:cs="Times New Roman" w:hint="eastAsia"/>
          <w:color w:val="000000"/>
          <w:kern w:val="0"/>
          <w:sz w:val="22"/>
        </w:rPr>
        <w:t>andomized clinical trial</w:t>
      </w:r>
      <w:r>
        <w:rPr>
          <w:rFonts w:ascii="Times New Roman" w:hAnsi="Times New Roman" w:cs="Times New Roman"/>
          <w:sz w:val="22"/>
        </w:rPr>
        <w:t>.</w:t>
      </w:r>
    </w:p>
    <w:p w:rsidR="00BA33B9" w:rsidRPr="00F86B5B" w:rsidRDefault="00BA33B9"/>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F86B5B" w:rsidRDefault="00F86B5B"/>
    <w:p w:rsidR="00D254DA" w:rsidRDefault="00D254DA"/>
    <w:p w:rsidR="00BC7A39" w:rsidRDefault="00BC7A39" w:rsidP="00BC7A39">
      <w:pPr>
        <w:jc w:val="left"/>
        <w:rPr>
          <w:rFonts w:ascii="Times New Roman" w:hAnsi="Times New Roman" w:cs="Times New Roman"/>
          <w:sz w:val="22"/>
          <w:szCs w:val="24"/>
        </w:rPr>
      </w:pPr>
    </w:p>
    <w:p w:rsidR="00BC7A39" w:rsidRPr="00BC7A39" w:rsidRDefault="00BC7A39" w:rsidP="00BC7A39">
      <w:pPr>
        <w:jc w:val="left"/>
        <w:rPr>
          <w:rFonts w:ascii="Times New Roman" w:hAnsi="Times New Roman" w:cs="Times New Roman"/>
          <w:b/>
          <w:sz w:val="22"/>
          <w:szCs w:val="24"/>
        </w:rPr>
      </w:pPr>
      <w:r w:rsidRPr="00BC7A39">
        <w:rPr>
          <w:rFonts w:ascii="Times New Roman" w:hAnsi="Times New Roman" w:cs="Times New Roman"/>
          <w:b/>
          <w:sz w:val="22"/>
          <w:szCs w:val="24"/>
        </w:rPr>
        <w:t>Supplementary Figure Legend</w:t>
      </w:r>
    </w:p>
    <w:p w:rsidR="00452A6A" w:rsidRPr="00BC7A39" w:rsidRDefault="00BC7A39" w:rsidP="00BC7A39">
      <w:pPr>
        <w:jc w:val="left"/>
        <w:rPr>
          <w:rFonts w:ascii="Times New Roman" w:hAnsi="Times New Roman" w:cs="Times New Roman"/>
          <w:sz w:val="22"/>
          <w:szCs w:val="24"/>
        </w:rPr>
      </w:pPr>
      <w:r w:rsidRPr="00BC7A39">
        <w:rPr>
          <w:rFonts w:ascii="Times New Roman" w:hAnsi="Times New Roman" w:cs="Times New Roman"/>
          <w:sz w:val="22"/>
          <w:szCs w:val="24"/>
        </w:rPr>
        <w:t>Supplementary figure 1. Funnel chart-bleeding risk comparison (</w:t>
      </w:r>
      <w:r w:rsidR="002F6AE4" w:rsidRPr="00387B28">
        <w:rPr>
          <w:rFonts w:ascii="Times New Roman" w:hAnsi="Times New Roman" w:cs="Times New Roman"/>
          <w:sz w:val="22"/>
          <w:szCs w:val="24"/>
        </w:rPr>
        <w:t xml:space="preserve">Prophylactic </w:t>
      </w:r>
      <w:r w:rsidR="002F6AE4">
        <w:rPr>
          <w:rFonts w:ascii="Times New Roman" w:hAnsi="Times New Roman" w:cs="Times New Roman"/>
          <w:sz w:val="22"/>
          <w:szCs w:val="24"/>
        </w:rPr>
        <w:t>anticoagulated</w:t>
      </w:r>
      <w:r w:rsidR="002F6AE4" w:rsidRPr="00990A58">
        <w:rPr>
          <w:rFonts w:ascii="Times New Roman" w:hAnsi="Times New Roman" w:cs="Times New Roman"/>
          <w:sz w:val="22"/>
          <w:szCs w:val="24"/>
        </w:rPr>
        <w:t xml:space="preserve"> </w:t>
      </w:r>
      <w:r w:rsidR="002F6AE4" w:rsidRPr="00387B28">
        <w:rPr>
          <w:rFonts w:ascii="Times New Roman" w:hAnsi="Times New Roman" w:cs="Times New Roman"/>
          <w:sz w:val="22"/>
          <w:szCs w:val="24"/>
        </w:rPr>
        <w:t>vs</w:t>
      </w:r>
      <w:r w:rsidR="002F6AE4">
        <w:rPr>
          <w:rFonts w:ascii="Times New Roman" w:hAnsi="Times New Roman" w:cs="Times New Roman"/>
          <w:sz w:val="22"/>
          <w:szCs w:val="24"/>
        </w:rPr>
        <w:t xml:space="preserve"> No </w:t>
      </w:r>
      <w:r w:rsidR="002F6AE4"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BC7A39" w:rsidRDefault="00BC7A39" w:rsidP="00BC7A39">
      <w:pPr>
        <w:jc w:val="left"/>
        <w:rPr>
          <w:rFonts w:ascii="Times New Roman" w:hAnsi="Times New Roman" w:cs="Times New Roman"/>
          <w:sz w:val="22"/>
          <w:szCs w:val="24"/>
        </w:rPr>
      </w:pPr>
      <w:r w:rsidRPr="00BC7A39">
        <w:rPr>
          <w:rFonts w:ascii="Times New Roman" w:hAnsi="Times New Roman" w:cs="Times New Roman"/>
          <w:sz w:val="22"/>
          <w:szCs w:val="24"/>
        </w:rPr>
        <w:t>Supplementary figure 2. Funnel chart-bleeding risk comparison (</w:t>
      </w:r>
      <w:r w:rsidR="002F6AE4">
        <w:rPr>
          <w:rFonts w:ascii="Times New Roman" w:hAnsi="Times New Roman" w:cs="Times New Roman"/>
          <w:sz w:val="22"/>
          <w:szCs w:val="24"/>
        </w:rPr>
        <w:t>Anticoagulated</w:t>
      </w:r>
      <w:r w:rsidR="002F6AE4" w:rsidRPr="00990A58">
        <w:rPr>
          <w:rFonts w:ascii="Times New Roman" w:hAnsi="Times New Roman" w:cs="Times New Roman"/>
          <w:sz w:val="22"/>
          <w:szCs w:val="24"/>
        </w:rPr>
        <w:t xml:space="preserve"> </w:t>
      </w:r>
      <w:r w:rsidR="002F6AE4" w:rsidRPr="00387B28">
        <w:rPr>
          <w:rFonts w:ascii="Times New Roman" w:hAnsi="Times New Roman" w:cs="Times New Roman"/>
          <w:sz w:val="22"/>
          <w:szCs w:val="24"/>
        </w:rPr>
        <w:t>vs</w:t>
      </w:r>
      <w:r w:rsidR="002F6AE4">
        <w:rPr>
          <w:rFonts w:ascii="Times New Roman" w:hAnsi="Times New Roman" w:cs="Times New Roman"/>
          <w:sz w:val="22"/>
          <w:szCs w:val="24"/>
        </w:rPr>
        <w:t xml:space="preserve"> No </w:t>
      </w:r>
      <w:r w:rsidR="002F6AE4"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Default="002F6AE4" w:rsidP="00BC7A39">
      <w:pPr>
        <w:jc w:val="left"/>
        <w:rPr>
          <w:rFonts w:ascii="Times New Roman" w:hAnsi="Times New Roman" w:cs="Times New Roman"/>
          <w:sz w:val="22"/>
          <w:szCs w:val="24"/>
        </w:rPr>
      </w:pPr>
      <w:r>
        <w:rPr>
          <w:rFonts w:ascii="Times New Roman" w:hAnsi="Times New Roman" w:cs="Times New Roman"/>
          <w:sz w:val="22"/>
          <w:szCs w:val="24"/>
        </w:rPr>
        <w:t>Supplementary figure 3</w:t>
      </w:r>
      <w:r w:rsidRPr="00BC7A39">
        <w:rPr>
          <w:rFonts w:ascii="Times New Roman" w:hAnsi="Times New Roman" w:cs="Times New Roman"/>
          <w:sz w:val="22"/>
          <w:szCs w:val="24"/>
        </w:rPr>
        <w:t>. Funnel chart-bleeding risk comparison (</w:t>
      </w:r>
      <w:r w:rsidRPr="00387B28">
        <w:rPr>
          <w:rFonts w:ascii="Times New Roman" w:hAnsi="Times New Roman" w:cs="Times New Roman"/>
          <w:sz w:val="22"/>
          <w:szCs w:val="24"/>
        </w:rPr>
        <w:t xml:space="preserve">Prophylactic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w:t>
      </w:r>
      <w:r w:rsidRPr="00387B28">
        <w:rPr>
          <w:rFonts w:ascii="Times New Roman" w:hAnsi="Times New Roman" w:cs="Times New Roman"/>
          <w:sz w:val="22"/>
          <w:szCs w:val="24"/>
        </w:rPr>
        <w:t xml:space="preserve">Therapeutic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Pr="00BC7A39"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4</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rPr>
        <w:t>t</w:t>
      </w:r>
      <w:r w:rsidRPr="00BC7A39">
        <w:rPr>
          <w:rFonts w:ascii="Times New Roman" w:hAnsi="Times New Roman" w:cs="Times New Roman"/>
          <w:sz w:val="22"/>
          <w:szCs w:val="24"/>
        </w:rPr>
        <w:t>hrombosis risk comparison (</w:t>
      </w:r>
      <w:r w:rsidRPr="00387B28">
        <w:rPr>
          <w:rFonts w:ascii="Times New Roman" w:hAnsi="Times New Roman" w:cs="Times New Roman"/>
          <w:sz w:val="22"/>
          <w:szCs w:val="24"/>
        </w:rPr>
        <w:t xml:space="preserve">Prophylactic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No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5</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rPr>
        <w:t>t</w:t>
      </w:r>
      <w:r w:rsidRPr="00BC7A39">
        <w:rPr>
          <w:rFonts w:ascii="Times New Roman" w:hAnsi="Times New Roman" w:cs="Times New Roman"/>
          <w:sz w:val="22"/>
          <w:szCs w:val="24"/>
        </w:rPr>
        <w:t>hrombosis risk comparison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No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Pr="00BC7A39"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6</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rPr>
        <w:t>t</w:t>
      </w:r>
      <w:r w:rsidRPr="00BC7A39">
        <w:rPr>
          <w:rFonts w:ascii="Times New Roman" w:hAnsi="Times New Roman" w:cs="Times New Roman"/>
          <w:sz w:val="22"/>
          <w:szCs w:val="24"/>
        </w:rPr>
        <w:t>hrombosis risk comparison (</w:t>
      </w:r>
      <w:r w:rsidRPr="00387B28">
        <w:rPr>
          <w:rFonts w:ascii="Times New Roman" w:hAnsi="Times New Roman" w:cs="Times New Roman"/>
          <w:sz w:val="22"/>
          <w:szCs w:val="24"/>
        </w:rPr>
        <w:t xml:space="preserve">Prophylactic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w:t>
      </w:r>
      <w:r w:rsidRPr="00387B28">
        <w:rPr>
          <w:rFonts w:ascii="Times New Roman" w:hAnsi="Times New Roman" w:cs="Times New Roman"/>
          <w:sz w:val="22"/>
          <w:szCs w:val="24"/>
        </w:rPr>
        <w:t xml:space="preserve">Therapeutic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Pr="00BC7A39"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7</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sz w:val="22"/>
          <w:szCs w:val="24"/>
        </w:rPr>
        <w:t>death risk comparison (</w:t>
      </w:r>
      <w:r w:rsidRPr="00387B28">
        <w:rPr>
          <w:rFonts w:ascii="Times New Roman" w:hAnsi="Times New Roman" w:cs="Times New Roman"/>
          <w:sz w:val="22"/>
          <w:szCs w:val="24"/>
        </w:rPr>
        <w:t xml:space="preserve">Prophylactic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No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8</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sz w:val="22"/>
          <w:szCs w:val="24"/>
        </w:rPr>
        <w:t>death risk comparison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No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2F6AE4" w:rsidRPr="00BC7A39" w:rsidRDefault="002F6AE4" w:rsidP="002F6AE4">
      <w:pPr>
        <w:jc w:val="left"/>
        <w:rPr>
          <w:rFonts w:ascii="Times New Roman" w:hAnsi="Times New Roman" w:cs="Times New Roman"/>
          <w:sz w:val="22"/>
          <w:szCs w:val="24"/>
        </w:rPr>
      </w:pPr>
      <w:r>
        <w:rPr>
          <w:rFonts w:ascii="Times New Roman" w:hAnsi="Times New Roman" w:cs="Times New Roman"/>
          <w:sz w:val="22"/>
          <w:szCs w:val="24"/>
        </w:rPr>
        <w:t>Supplementary figure 9</w:t>
      </w:r>
      <w:r w:rsidRPr="00BC7A39">
        <w:rPr>
          <w:rFonts w:ascii="Times New Roman" w:hAnsi="Times New Roman" w:cs="Times New Roman"/>
          <w:sz w:val="22"/>
          <w:szCs w:val="24"/>
        </w:rPr>
        <w:t>. Funnel chart-</w:t>
      </w:r>
      <w:r w:rsidRPr="002F6AE4">
        <w:rPr>
          <w:rFonts w:ascii="Times New Roman" w:hAnsi="Times New Roman" w:cs="Times New Roman"/>
        </w:rPr>
        <w:t xml:space="preserve"> </w:t>
      </w:r>
      <w:r w:rsidRPr="00BC7A39">
        <w:rPr>
          <w:rFonts w:ascii="Times New Roman" w:hAnsi="Times New Roman" w:cs="Times New Roman"/>
          <w:sz w:val="22"/>
          <w:szCs w:val="24"/>
        </w:rPr>
        <w:t>death risk comparison (</w:t>
      </w:r>
      <w:r w:rsidRPr="00387B28">
        <w:rPr>
          <w:rFonts w:ascii="Times New Roman" w:hAnsi="Times New Roman" w:cs="Times New Roman"/>
          <w:sz w:val="22"/>
          <w:szCs w:val="24"/>
        </w:rPr>
        <w:t xml:space="preserve">Prophylactic </w:t>
      </w:r>
      <w:r>
        <w:rPr>
          <w:rFonts w:ascii="Times New Roman" w:hAnsi="Times New Roman" w:cs="Times New Roman"/>
          <w:sz w:val="22"/>
          <w:szCs w:val="24"/>
        </w:rPr>
        <w:t>anticoagulated</w:t>
      </w:r>
      <w:r w:rsidRPr="00990A58">
        <w:rPr>
          <w:rFonts w:ascii="Times New Roman" w:hAnsi="Times New Roman" w:cs="Times New Roman"/>
          <w:sz w:val="22"/>
          <w:szCs w:val="24"/>
        </w:rPr>
        <w:t xml:space="preserve"> </w:t>
      </w:r>
      <w:r w:rsidRPr="00387B28">
        <w:rPr>
          <w:rFonts w:ascii="Times New Roman" w:hAnsi="Times New Roman" w:cs="Times New Roman"/>
          <w:sz w:val="22"/>
          <w:szCs w:val="24"/>
        </w:rPr>
        <w:t>vs</w:t>
      </w:r>
      <w:r>
        <w:rPr>
          <w:rFonts w:ascii="Times New Roman" w:hAnsi="Times New Roman" w:cs="Times New Roman"/>
          <w:sz w:val="22"/>
          <w:szCs w:val="24"/>
        </w:rPr>
        <w:t xml:space="preserve"> </w:t>
      </w:r>
      <w:r w:rsidRPr="00387B28">
        <w:rPr>
          <w:rFonts w:ascii="Times New Roman" w:hAnsi="Times New Roman" w:cs="Times New Roman"/>
          <w:sz w:val="22"/>
          <w:szCs w:val="24"/>
        </w:rPr>
        <w:t xml:space="preserve">Therapeutic </w:t>
      </w:r>
      <w:r w:rsidRPr="00990A58">
        <w:rPr>
          <w:rFonts w:ascii="Times New Roman" w:hAnsi="Times New Roman" w:cs="Times New Roman"/>
          <w:sz w:val="22"/>
          <w:szCs w:val="24"/>
        </w:rPr>
        <w:t>anticoagulated</w:t>
      </w:r>
      <w:r w:rsidRPr="00BC7A39">
        <w:rPr>
          <w:rFonts w:ascii="Times New Roman" w:hAnsi="Times New Roman" w:cs="Times New Roman"/>
          <w:sz w:val="22"/>
          <w:szCs w:val="24"/>
        </w:rPr>
        <w:t>)</w:t>
      </w:r>
    </w:p>
    <w:p w:rsidR="00BC7A39" w:rsidRPr="00BC7A39" w:rsidRDefault="00BC7A39" w:rsidP="00BC7A39">
      <w:pPr>
        <w:jc w:val="left"/>
        <w:rPr>
          <w:rFonts w:ascii="Times New Roman" w:hAnsi="Times New Roman" w:cs="Times New Roman"/>
          <w:sz w:val="22"/>
          <w:szCs w:val="24"/>
        </w:rPr>
      </w:pPr>
    </w:p>
    <w:sectPr w:rsidR="00BC7A39" w:rsidRPr="00BC7A39" w:rsidSect="004E7A03">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2E16" w:rsidRDefault="00F52E16" w:rsidP="004E7A03">
      <w:r>
        <w:separator/>
      </w:r>
    </w:p>
  </w:endnote>
  <w:endnote w:type="continuationSeparator" w:id="0">
    <w:p w:rsidR="00F52E16" w:rsidRDefault="00F52E16" w:rsidP="004E7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2E16" w:rsidRDefault="00F52E16" w:rsidP="004E7A03">
      <w:r>
        <w:separator/>
      </w:r>
    </w:p>
  </w:footnote>
  <w:footnote w:type="continuationSeparator" w:id="0">
    <w:p w:rsidR="00F52E16" w:rsidRDefault="00F52E16" w:rsidP="004E7A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686"/>
    <w:rsid w:val="00172D55"/>
    <w:rsid w:val="0018782E"/>
    <w:rsid w:val="002F6AE4"/>
    <w:rsid w:val="003C51CD"/>
    <w:rsid w:val="00452A6A"/>
    <w:rsid w:val="0046719F"/>
    <w:rsid w:val="004E7A03"/>
    <w:rsid w:val="0063349A"/>
    <w:rsid w:val="007E0C23"/>
    <w:rsid w:val="0095033D"/>
    <w:rsid w:val="00A6382D"/>
    <w:rsid w:val="00AA6BD9"/>
    <w:rsid w:val="00AB3B43"/>
    <w:rsid w:val="00B11CC5"/>
    <w:rsid w:val="00B3482D"/>
    <w:rsid w:val="00BA33B9"/>
    <w:rsid w:val="00BC7A39"/>
    <w:rsid w:val="00BF64C4"/>
    <w:rsid w:val="00D02BC2"/>
    <w:rsid w:val="00D254DA"/>
    <w:rsid w:val="00D91606"/>
    <w:rsid w:val="00EB2686"/>
    <w:rsid w:val="00ED674F"/>
    <w:rsid w:val="00F52E16"/>
    <w:rsid w:val="00F86B5B"/>
    <w:rsid w:val="00FB3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E0D13"/>
  <w15:chartTrackingRefBased/>
  <w15:docId w15:val="{9C46411E-E86B-4ABC-83B7-85D5BF53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7A0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E7A03"/>
    <w:rPr>
      <w:sz w:val="18"/>
      <w:szCs w:val="18"/>
    </w:rPr>
  </w:style>
  <w:style w:type="paragraph" w:styleId="a5">
    <w:name w:val="footer"/>
    <w:basedOn w:val="a"/>
    <w:link w:val="a6"/>
    <w:uiPriority w:val="99"/>
    <w:unhideWhenUsed/>
    <w:rsid w:val="004E7A03"/>
    <w:pPr>
      <w:tabs>
        <w:tab w:val="center" w:pos="4153"/>
        <w:tab w:val="right" w:pos="8306"/>
      </w:tabs>
      <w:snapToGrid w:val="0"/>
      <w:jc w:val="left"/>
    </w:pPr>
    <w:rPr>
      <w:sz w:val="18"/>
      <w:szCs w:val="18"/>
    </w:rPr>
  </w:style>
  <w:style w:type="character" w:customStyle="1" w:styleId="a6">
    <w:name w:val="页脚 字符"/>
    <w:basedOn w:val="a0"/>
    <w:link w:val="a5"/>
    <w:uiPriority w:val="99"/>
    <w:rsid w:val="004E7A03"/>
    <w:rPr>
      <w:sz w:val="18"/>
      <w:szCs w:val="18"/>
    </w:rPr>
  </w:style>
  <w:style w:type="paragraph" w:customStyle="1" w:styleId="Default">
    <w:name w:val="Default"/>
    <w:rsid w:val="00D254DA"/>
    <w:pPr>
      <w:widowControl w:val="0"/>
      <w:autoSpaceDE w:val="0"/>
      <w:autoSpaceDN w:val="0"/>
      <w:adjustRightInd w:val="0"/>
    </w:pPr>
    <w:rPr>
      <w:rFonts w:ascii="Calibri" w:hAnsi="Calibri" w:cs="Calibri"/>
      <w:color w:val="000000"/>
      <w:kern w:val="0"/>
      <w:sz w:val="24"/>
      <w:szCs w:val="24"/>
      <w:lang w:val="en-CA" w:eastAsia="en-CA"/>
    </w:rPr>
  </w:style>
  <w:style w:type="character" w:styleId="a7">
    <w:name w:val="Hyperlink"/>
    <w:basedOn w:val="a0"/>
    <w:uiPriority w:val="99"/>
    <w:unhideWhenUsed/>
    <w:rsid w:val="00AA6B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522562">
      <w:bodyDiv w:val="1"/>
      <w:marLeft w:val="0"/>
      <w:marRight w:val="0"/>
      <w:marTop w:val="0"/>
      <w:marBottom w:val="0"/>
      <w:divBdr>
        <w:top w:val="none" w:sz="0" w:space="0" w:color="auto"/>
        <w:left w:val="none" w:sz="0" w:space="0" w:color="auto"/>
        <w:bottom w:val="none" w:sz="0" w:space="0" w:color="auto"/>
        <w:right w:val="none" w:sz="0" w:space="0" w:color="auto"/>
      </w:divBdr>
    </w:div>
    <w:div w:id="272175740">
      <w:bodyDiv w:val="1"/>
      <w:marLeft w:val="0"/>
      <w:marRight w:val="0"/>
      <w:marTop w:val="0"/>
      <w:marBottom w:val="0"/>
      <w:divBdr>
        <w:top w:val="none" w:sz="0" w:space="0" w:color="auto"/>
        <w:left w:val="none" w:sz="0" w:space="0" w:color="auto"/>
        <w:bottom w:val="none" w:sz="0" w:space="0" w:color="auto"/>
        <w:right w:val="none" w:sz="0" w:space="0" w:color="auto"/>
      </w:divBdr>
    </w:div>
    <w:div w:id="207488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6</Pages>
  <Words>1311</Words>
  <Characters>7474</Characters>
  <Application>Microsoft Office Word</Application>
  <DocSecurity>0</DocSecurity>
  <Lines>62</Lines>
  <Paragraphs>17</Paragraphs>
  <ScaleCrop>false</ScaleCrop>
  <Company/>
  <LinksUpToDate>false</LinksUpToDate>
  <CharactersWithSpaces>8768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 凯亮</dc:creator>
  <cp:keywords/>
  <dc:description/>
  <cp:lastModifiedBy>程 凯亮</cp:lastModifiedBy>
  <cp:revision>12</cp:revision>
  <dcterms:created xsi:type="dcterms:W3CDTF">2021-02-09T07:44:00Z</dcterms:created>
  <dcterms:modified xsi:type="dcterms:W3CDTF">2021-04-28T01:41:00Z</dcterms:modified>
</cp:coreProperties>
</file>