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C77AE" w14:textId="0146D196" w:rsidR="00931A60" w:rsidRPr="00B6585E" w:rsidRDefault="00931A60">
      <w:pPr>
        <w:widowControl w:val="0"/>
        <w:spacing w:after="120"/>
        <w:ind w:right="-7"/>
        <w:jc w:val="center"/>
        <w:rPr>
          <w:rFonts w:ascii="Arial" w:hAnsi="Arial" w:cs="Arial"/>
          <w:bCs/>
          <w:color w:val="000000" w:themeColor="text1"/>
          <w:sz w:val="22"/>
          <w:szCs w:val="22"/>
        </w:rPr>
      </w:pPr>
    </w:p>
    <w:p w14:paraId="14483DC8" w14:textId="77777777" w:rsidR="00931A60" w:rsidRPr="00B6585E" w:rsidRDefault="00931A60">
      <w:pPr>
        <w:widowControl w:val="0"/>
        <w:spacing w:after="120"/>
        <w:ind w:right="-7"/>
        <w:jc w:val="center"/>
        <w:rPr>
          <w:rFonts w:ascii="Arial" w:hAnsi="Arial" w:cs="Arial"/>
          <w:bCs/>
          <w:color w:val="000000" w:themeColor="text1"/>
          <w:sz w:val="22"/>
          <w:szCs w:val="22"/>
        </w:rPr>
      </w:pPr>
    </w:p>
    <w:p w14:paraId="3276E6F7" w14:textId="77777777" w:rsidR="00931A60" w:rsidRPr="00B6585E" w:rsidRDefault="00931A60">
      <w:pPr>
        <w:widowControl w:val="0"/>
        <w:spacing w:after="120"/>
        <w:ind w:right="-7"/>
        <w:rPr>
          <w:rFonts w:ascii="Arial" w:hAnsi="Arial" w:cs="Arial"/>
          <w:b/>
          <w:bCs/>
          <w:color w:val="000000" w:themeColor="text1"/>
          <w:sz w:val="22"/>
          <w:szCs w:val="22"/>
        </w:rPr>
      </w:pPr>
    </w:p>
    <w:p w14:paraId="16876C3F" w14:textId="77777777" w:rsidR="00931A60" w:rsidRPr="00B6585E" w:rsidRDefault="00931A60">
      <w:pPr>
        <w:spacing w:after="120"/>
        <w:ind w:right="-7"/>
        <w:rPr>
          <w:rFonts w:ascii="Arial" w:hAnsi="Arial" w:cs="Arial"/>
          <w:b/>
          <w:color w:val="000000" w:themeColor="text1"/>
          <w:sz w:val="22"/>
          <w:szCs w:val="22"/>
        </w:rPr>
      </w:pPr>
    </w:p>
    <w:p w14:paraId="6450708C" w14:textId="5C673CBF" w:rsidR="00931A60" w:rsidRPr="00B6585E" w:rsidRDefault="00C628A4">
      <w:pPr>
        <w:spacing w:after="120"/>
        <w:ind w:right="-7"/>
        <w:jc w:val="center"/>
        <w:rPr>
          <w:rFonts w:ascii="Arial" w:hAnsi="Arial" w:cs="Arial"/>
          <w:color w:val="000000" w:themeColor="text1"/>
          <w:sz w:val="28"/>
          <w:szCs w:val="28"/>
        </w:rPr>
      </w:pPr>
      <w:r w:rsidRPr="00B6585E">
        <w:rPr>
          <w:rFonts w:ascii="Arial" w:hAnsi="Arial" w:cs="Arial"/>
          <w:color w:val="000000" w:themeColor="text1"/>
          <w:sz w:val="28"/>
          <w:szCs w:val="28"/>
        </w:rPr>
        <w:t>The effect of perioperative</w:t>
      </w:r>
      <w:r w:rsidR="00A221DB" w:rsidRPr="00B6585E">
        <w:rPr>
          <w:rFonts w:ascii="Arial" w:hAnsi="Arial" w:cs="Arial"/>
          <w:color w:val="000000" w:themeColor="text1"/>
          <w:sz w:val="28"/>
          <w:szCs w:val="28"/>
        </w:rPr>
        <w:t xml:space="preserve"> Levos</w:t>
      </w:r>
      <w:r w:rsidR="00A221DB" w:rsidRPr="00B6585E">
        <w:rPr>
          <w:rFonts w:ascii="Arial" w:hAnsi="Arial" w:cs="Arial"/>
          <w:b/>
          <w:color w:val="000000" w:themeColor="text1"/>
          <w:sz w:val="34"/>
          <w:szCs w:val="34"/>
        </w:rPr>
        <w:t>IM</w:t>
      </w:r>
      <w:r w:rsidR="00A221DB" w:rsidRPr="00B6585E">
        <w:rPr>
          <w:rFonts w:ascii="Arial" w:hAnsi="Arial" w:cs="Arial"/>
          <w:color w:val="000000" w:themeColor="text1"/>
          <w:sz w:val="28"/>
          <w:szCs w:val="28"/>
        </w:rPr>
        <w:t xml:space="preserve">endan administration </w:t>
      </w:r>
      <w:r w:rsidRPr="00B6585E">
        <w:rPr>
          <w:rFonts w:ascii="Arial" w:hAnsi="Arial" w:cs="Arial"/>
          <w:color w:val="000000" w:themeColor="text1"/>
          <w:sz w:val="28"/>
          <w:szCs w:val="28"/>
        </w:rPr>
        <w:t xml:space="preserve">on </w:t>
      </w:r>
      <w:r w:rsidRPr="00B6585E">
        <w:rPr>
          <w:rFonts w:ascii="Arial" w:hAnsi="Arial" w:cs="Arial"/>
          <w:b/>
          <w:color w:val="000000" w:themeColor="text1"/>
          <w:sz w:val="34"/>
          <w:szCs w:val="34"/>
        </w:rPr>
        <w:t>P</w:t>
      </w:r>
      <w:r w:rsidRPr="00B6585E">
        <w:rPr>
          <w:rFonts w:ascii="Arial" w:hAnsi="Arial" w:cs="Arial"/>
          <w:color w:val="000000" w:themeColor="text1"/>
          <w:sz w:val="28"/>
          <w:szCs w:val="28"/>
        </w:rPr>
        <w:t>ostoperative N</w:t>
      </w:r>
      <w:r w:rsidR="0030520E" w:rsidRPr="00B6585E">
        <w:rPr>
          <w:rFonts w:ascii="Arial" w:hAnsi="Arial" w:cs="Arial"/>
          <w:color w:val="000000" w:themeColor="text1"/>
          <w:sz w:val="28"/>
          <w:szCs w:val="28"/>
        </w:rPr>
        <w:t>-</w:t>
      </w:r>
      <w:r w:rsidR="00A82196" w:rsidRPr="00B6585E">
        <w:rPr>
          <w:rFonts w:ascii="Arial" w:hAnsi="Arial" w:cs="Arial"/>
          <w:color w:val="000000" w:themeColor="text1"/>
          <w:sz w:val="28"/>
          <w:szCs w:val="28"/>
        </w:rPr>
        <w:t>t</w:t>
      </w:r>
      <w:r w:rsidR="0030520E" w:rsidRPr="00B6585E">
        <w:rPr>
          <w:rFonts w:ascii="Arial" w:hAnsi="Arial" w:cs="Arial"/>
          <w:color w:val="000000" w:themeColor="text1"/>
          <w:sz w:val="28"/>
          <w:szCs w:val="28"/>
        </w:rPr>
        <w:t xml:space="preserve">erminal </w:t>
      </w:r>
      <w:r w:rsidR="00A82196" w:rsidRPr="00B6585E">
        <w:rPr>
          <w:rFonts w:ascii="Arial" w:hAnsi="Arial" w:cs="Arial"/>
          <w:color w:val="000000" w:themeColor="text1"/>
          <w:sz w:val="28"/>
          <w:szCs w:val="28"/>
        </w:rPr>
        <w:t>p</w:t>
      </w:r>
      <w:r w:rsidR="00A82196" w:rsidRPr="00B6585E">
        <w:rPr>
          <w:rFonts w:ascii="Arial" w:hAnsi="Arial" w:cs="Arial"/>
          <w:b/>
          <w:color w:val="000000" w:themeColor="text1"/>
          <w:sz w:val="34"/>
          <w:szCs w:val="34"/>
        </w:rPr>
        <w:t>R</w:t>
      </w:r>
      <w:r w:rsidRPr="00B6585E">
        <w:rPr>
          <w:rFonts w:ascii="Arial" w:hAnsi="Arial" w:cs="Arial"/>
          <w:color w:val="000000" w:themeColor="text1"/>
          <w:sz w:val="28"/>
          <w:szCs w:val="28"/>
        </w:rPr>
        <w:t>o</w:t>
      </w:r>
      <w:r w:rsidR="00237FAE" w:rsidRPr="00B6585E">
        <w:rPr>
          <w:rFonts w:ascii="Arial" w:hAnsi="Arial" w:cs="Arial"/>
          <w:color w:val="000000" w:themeColor="text1"/>
          <w:sz w:val="28"/>
          <w:szCs w:val="28"/>
        </w:rPr>
        <w:t xml:space="preserve"> </w:t>
      </w:r>
      <w:r w:rsidRPr="00B6585E">
        <w:rPr>
          <w:rFonts w:ascii="Arial" w:hAnsi="Arial" w:cs="Arial"/>
          <w:color w:val="000000" w:themeColor="text1"/>
          <w:sz w:val="28"/>
          <w:szCs w:val="28"/>
        </w:rPr>
        <w:t>B</w:t>
      </w:r>
      <w:r w:rsidR="0030520E" w:rsidRPr="00B6585E">
        <w:rPr>
          <w:rFonts w:ascii="Arial" w:hAnsi="Arial" w:cs="Arial"/>
          <w:color w:val="000000" w:themeColor="text1"/>
          <w:sz w:val="28"/>
          <w:szCs w:val="28"/>
        </w:rPr>
        <w:t xml:space="preserve">rain </w:t>
      </w:r>
      <w:r w:rsidRPr="00B6585E">
        <w:rPr>
          <w:rFonts w:ascii="Arial" w:hAnsi="Arial" w:cs="Arial"/>
          <w:color w:val="000000" w:themeColor="text1"/>
          <w:sz w:val="28"/>
          <w:szCs w:val="28"/>
        </w:rPr>
        <w:t>N</w:t>
      </w:r>
      <w:r w:rsidR="0030520E" w:rsidRPr="00B6585E">
        <w:rPr>
          <w:rFonts w:ascii="Arial" w:hAnsi="Arial" w:cs="Arial"/>
          <w:color w:val="000000" w:themeColor="text1"/>
          <w:sz w:val="28"/>
          <w:szCs w:val="28"/>
        </w:rPr>
        <w:t xml:space="preserve">atriuretic </w:t>
      </w:r>
      <w:r w:rsidRPr="00B6585E">
        <w:rPr>
          <w:rFonts w:ascii="Arial" w:hAnsi="Arial" w:cs="Arial"/>
          <w:color w:val="000000" w:themeColor="text1"/>
          <w:sz w:val="28"/>
          <w:szCs w:val="28"/>
        </w:rPr>
        <w:t>P</w:t>
      </w:r>
      <w:r w:rsidR="0030520E" w:rsidRPr="00B6585E">
        <w:rPr>
          <w:rFonts w:ascii="Arial" w:hAnsi="Arial" w:cs="Arial"/>
          <w:color w:val="000000" w:themeColor="text1"/>
          <w:sz w:val="28"/>
          <w:szCs w:val="28"/>
        </w:rPr>
        <w:t>eptide</w:t>
      </w:r>
      <w:r w:rsidR="00237FAE" w:rsidRPr="00B6585E">
        <w:rPr>
          <w:rFonts w:ascii="Arial" w:hAnsi="Arial" w:cs="Arial"/>
          <w:color w:val="000000" w:themeColor="text1"/>
          <w:sz w:val="28"/>
          <w:szCs w:val="28"/>
        </w:rPr>
        <w:t xml:space="preserve"> concentration</w:t>
      </w:r>
      <w:r w:rsidRPr="00B6585E">
        <w:rPr>
          <w:rFonts w:ascii="Arial" w:hAnsi="Arial" w:cs="Arial"/>
          <w:color w:val="000000" w:themeColor="text1"/>
          <w:sz w:val="28"/>
          <w:szCs w:val="28"/>
        </w:rPr>
        <w:t xml:space="preserve"> </w:t>
      </w:r>
      <w:r w:rsidR="00A221DB" w:rsidRPr="00B6585E">
        <w:rPr>
          <w:rFonts w:ascii="Arial" w:hAnsi="Arial" w:cs="Arial"/>
          <w:color w:val="000000" w:themeColor="text1"/>
          <w:sz w:val="28"/>
          <w:szCs w:val="28"/>
        </w:rPr>
        <w:t>in patients with increased cardi</w:t>
      </w:r>
      <w:r w:rsidR="00A221DB" w:rsidRPr="00B6585E">
        <w:rPr>
          <w:rFonts w:ascii="Arial" w:hAnsi="Arial" w:cs="Arial"/>
          <w:b/>
          <w:color w:val="000000" w:themeColor="text1"/>
          <w:sz w:val="34"/>
          <w:szCs w:val="34"/>
        </w:rPr>
        <w:t>OV</w:t>
      </w:r>
      <w:r w:rsidR="00A221DB" w:rsidRPr="00B6585E">
        <w:rPr>
          <w:rFonts w:ascii="Arial" w:hAnsi="Arial" w:cs="Arial"/>
          <w:color w:val="000000" w:themeColor="text1"/>
          <w:sz w:val="28"/>
          <w:szCs w:val="28"/>
        </w:rPr>
        <w:t>ascular risk factors undergoing noncardiac surg</w:t>
      </w:r>
      <w:r w:rsidR="00A221DB" w:rsidRPr="00B6585E">
        <w:rPr>
          <w:rFonts w:ascii="Arial" w:hAnsi="Arial" w:cs="Arial"/>
          <w:b/>
          <w:color w:val="000000" w:themeColor="text1"/>
          <w:sz w:val="34"/>
          <w:szCs w:val="34"/>
        </w:rPr>
        <w:t>E</w:t>
      </w:r>
      <w:r w:rsidR="00A221DB" w:rsidRPr="00B6585E">
        <w:rPr>
          <w:rFonts w:ascii="Arial" w:hAnsi="Arial" w:cs="Arial"/>
          <w:color w:val="000000" w:themeColor="text1"/>
          <w:sz w:val="28"/>
          <w:szCs w:val="28"/>
        </w:rPr>
        <w:t xml:space="preserve">ry – </w:t>
      </w:r>
    </w:p>
    <w:p w14:paraId="7CFA8585" w14:textId="77777777" w:rsidR="00931A60" w:rsidRPr="00B6585E" w:rsidRDefault="00A221DB">
      <w:pPr>
        <w:spacing w:after="120"/>
        <w:ind w:right="-7"/>
        <w:jc w:val="center"/>
        <w:rPr>
          <w:rFonts w:ascii="Arial" w:hAnsi="Arial" w:cs="Arial"/>
          <w:color w:val="000000" w:themeColor="text1"/>
          <w:sz w:val="28"/>
          <w:szCs w:val="28"/>
        </w:rPr>
      </w:pPr>
      <w:r w:rsidRPr="00B6585E">
        <w:rPr>
          <w:rFonts w:ascii="Arial" w:hAnsi="Arial" w:cs="Arial"/>
          <w:color w:val="000000" w:themeColor="text1"/>
          <w:sz w:val="28"/>
          <w:szCs w:val="28"/>
        </w:rPr>
        <w:t>A double-blinded randomized clinical trial</w:t>
      </w:r>
    </w:p>
    <w:p w14:paraId="31E13747" w14:textId="77777777" w:rsidR="00931A60" w:rsidRPr="00B6585E" w:rsidRDefault="00931A60">
      <w:pPr>
        <w:spacing w:after="120"/>
        <w:ind w:right="-7"/>
        <w:jc w:val="center"/>
        <w:rPr>
          <w:rFonts w:ascii="Arial" w:hAnsi="Arial" w:cs="Arial"/>
          <w:color w:val="000000" w:themeColor="text1"/>
          <w:sz w:val="22"/>
          <w:szCs w:val="22"/>
        </w:rPr>
      </w:pPr>
    </w:p>
    <w:p w14:paraId="2812714A" w14:textId="77777777" w:rsidR="00931A60" w:rsidRPr="00B6585E" w:rsidRDefault="00931A60">
      <w:pPr>
        <w:widowControl w:val="0"/>
        <w:spacing w:after="120"/>
        <w:ind w:right="-7"/>
        <w:jc w:val="center"/>
        <w:rPr>
          <w:rFonts w:ascii="Arial" w:hAnsi="Arial" w:cs="Arial"/>
          <w:b/>
          <w:color w:val="000000" w:themeColor="text1"/>
          <w:sz w:val="22"/>
          <w:szCs w:val="22"/>
        </w:rPr>
      </w:pPr>
    </w:p>
    <w:p w14:paraId="634E54C8" w14:textId="0E5B3F6D" w:rsidR="00931A60" w:rsidRPr="00B6585E" w:rsidRDefault="00A221DB" w:rsidP="0047246D">
      <w:pPr>
        <w:widowControl w:val="0"/>
        <w:spacing w:after="120"/>
        <w:ind w:right="-7"/>
        <w:rPr>
          <w:rFonts w:ascii="Arial" w:hAnsi="Arial" w:cs="Arial"/>
          <w:b/>
          <w:color w:val="000000" w:themeColor="text1"/>
          <w:sz w:val="22"/>
          <w:szCs w:val="22"/>
        </w:rPr>
      </w:pPr>
      <w:r w:rsidRPr="00B6585E">
        <w:rPr>
          <w:noProof/>
          <w:color w:val="000000" w:themeColor="text1"/>
          <w:lang w:val="de-DE" w:eastAsia="de-DE"/>
        </w:rPr>
        <w:drawing>
          <wp:anchor distT="0" distB="0" distL="114300" distR="114300" simplePos="0" relativeHeight="251662336" behindDoc="0" locked="0" layoutInCell="1" allowOverlap="1" wp14:anchorId="7681A7AC" wp14:editId="255D7B98">
            <wp:simplePos x="2803161" y="3777521"/>
            <wp:positionH relativeFrom="column">
              <wp:posOffset>2803723</wp:posOffset>
            </wp:positionH>
            <wp:positionV relativeFrom="paragraph">
              <wp:align>top</wp:align>
            </wp:positionV>
            <wp:extent cx="1964055" cy="1542415"/>
            <wp:effectExtent l="0" t="0" r="4445" b="0"/>
            <wp:wrapSquare wrapText="bothSides"/>
            <wp:docPr id="1"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A close up of a logo&#10;&#10;Description automatically generated"/>
                    <pic:cNvPicPr>
                      <a:picLocks noChangeAspect="1" noChangeArrowheads="1"/>
                    </pic:cNvPicPr>
                  </pic:nvPicPr>
                  <pic:blipFill>
                    <a:blip r:embed="rId8"/>
                    <a:stretch>
                      <a:fillRect/>
                    </a:stretch>
                  </pic:blipFill>
                  <pic:spPr bwMode="auto">
                    <a:xfrm>
                      <a:off x="0" y="0"/>
                      <a:ext cx="1964055" cy="1542415"/>
                    </a:xfrm>
                    <a:prstGeom prst="rect">
                      <a:avLst/>
                    </a:prstGeom>
                  </pic:spPr>
                </pic:pic>
              </a:graphicData>
            </a:graphic>
          </wp:anchor>
        </w:drawing>
      </w:r>
      <w:r w:rsidR="0047246D">
        <w:rPr>
          <w:rFonts w:ascii="Arial" w:hAnsi="Arial" w:cs="Arial"/>
          <w:b/>
          <w:color w:val="000000" w:themeColor="text1"/>
          <w:sz w:val="22"/>
          <w:szCs w:val="22"/>
        </w:rPr>
        <w:br w:type="textWrapping" w:clear="all"/>
      </w:r>
    </w:p>
    <w:p w14:paraId="4F1772E4" w14:textId="1DE74C92" w:rsidR="00931A60" w:rsidRPr="00B6585E" w:rsidRDefault="001D0536">
      <w:pPr>
        <w:widowControl w:val="0"/>
        <w:spacing w:after="120"/>
        <w:ind w:right="-7"/>
        <w:jc w:val="center"/>
        <w:rPr>
          <w:rFonts w:ascii="Arial" w:hAnsi="Arial" w:cs="Arial"/>
          <w:b/>
          <w:color w:val="000000" w:themeColor="text1"/>
          <w:lang w:val="de-AT"/>
        </w:rPr>
      </w:pPr>
      <w:r w:rsidRPr="00B6585E">
        <w:rPr>
          <w:rFonts w:ascii="Arial" w:hAnsi="Arial" w:cs="Arial"/>
          <w:b/>
          <w:color w:val="000000" w:themeColor="text1"/>
          <w:lang w:val="de-AT"/>
        </w:rPr>
        <w:t>IMPROVE_</w:t>
      </w:r>
      <w:r w:rsidR="00A86DC6" w:rsidRPr="00B6585E">
        <w:rPr>
          <w:rFonts w:ascii="Arial" w:hAnsi="Arial" w:cs="Arial"/>
          <w:b/>
          <w:color w:val="000000" w:themeColor="text1"/>
          <w:lang w:val="de-AT"/>
        </w:rPr>
        <w:t>2</w:t>
      </w:r>
      <w:r w:rsidRPr="00B6585E">
        <w:rPr>
          <w:rFonts w:ascii="Arial" w:hAnsi="Arial" w:cs="Arial"/>
          <w:b/>
          <w:color w:val="000000" w:themeColor="text1"/>
          <w:lang w:val="de-AT"/>
        </w:rPr>
        <w:t>.</w:t>
      </w:r>
      <w:r w:rsidR="0043348C" w:rsidRPr="00B6585E">
        <w:rPr>
          <w:rFonts w:ascii="Arial" w:hAnsi="Arial" w:cs="Arial"/>
          <w:b/>
          <w:color w:val="000000" w:themeColor="text1"/>
          <w:lang w:val="de-AT"/>
        </w:rPr>
        <w:t>3</w:t>
      </w:r>
    </w:p>
    <w:p w14:paraId="136B9D28" w14:textId="77777777" w:rsidR="001D0536" w:rsidRPr="00B6585E" w:rsidRDefault="001D0536" w:rsidP="001D0536">
      <w:pPr>
        <w:jc w:val="center"/>
        <w:rPr>
          <w:rFonts w:ascii="Arial" w:hAnsi="Arial" w:cs="Arial"/>
          <w:color w:val="000000" w:themeColor="text1"/>
          <w:lang w:val="de-AT"/>
        </w:rPr>
      </w:pPr>
      <w:r w:rsidRPr="00B6585E">
        <w:rPr>
          <w:rFonts w:ascii="Arial" w:hAnsi="Arial" w:cs="Arial"/>
          <w:b/>
          <w:color w:val="000000" w:themeColor="text1"/>
          <w:lang w:val="de-AT"/>
        </w:rPr>
        <w:t xml:space="preserve">EudraCT: </w:t>
      </w:r>
      <w:r w:rsidRPr="00B6585E">
        <w:rPr>
          <w:rFonts w:ascii="Arial" w:hAnsi="Arial" w:cs="Arial"/>
          <w:b/>
          <w:bCs/>
          <w:color w:val="000000" w:themeColor="text1"/>
          <w:shd w:val="clear" w:color="auto" w:fill="FFFFFF"/>
          <w:lang w:val="de-AT"/>
        </w:rPr>
        <w:t>2019-004464-22</w:t>
      </w:r>
    </w:p>
    <w:p w14:paraId="54D8440F" w14:textId="1C3585E1" w:rsidR="001D0536" w:rsidRPr="00B6585E" w:rsidRDefault="001D0536">
      <w:pPr>
        <w:widowControl w:val="0"/>
        <w:spacing w:after="120"/>
        <w:ind w:right="-7"/>
        <w:jc w:val="center"/>
        <w:rPr>
          <w:rFonts w:ascii="Arial" w:hAnsi="Arial" w:cs="Arial"/>
          <w:b/>
          <w:color w:val="000000" w:themeColor="text1"/>
          <w:sz w:val="22"/>
          <w:szCs w:val="22"/>
          <w:lang w:val="de-AT"/>
        </w:rPr>
      </w:pPr>
    </w:p>
    <w:p w14:paraId="519F86CB" w14:textId="77777777" w:rsidR="00931A60" w:rsidRPr="00B6585E" w:rsidRDefault="00931A60">
      <w:pPr>
        <w:widowControl w:val="0"/>
        <w:spacing w:after="120"/>
        <w:ind w:right="-7"/>
        <w:jc w:val="center"/>
        <w:rPr>
          <w:rFonts w:ascii="Arial" w:hAnsi="Arial" w:cs="Arial"/>
          <w:b/>
          <w:color w:val="000000" w:themeColor="text1"/>
          <w:sz w:val="22"/>
          <w:szCs w:val="22"/>
          <w:lang w:val="de-AT"/>
        </w:rPr>
      </w:pPr>
    </w:p>
    <w:p w14:paraId="7002FE26" w14:textId="77777777" w:rsidR="00931A60" w:rsidRPr="00B6585E" w:rsidRDefault="00931A60">
      <w:pPr>
        <w:widowControl w:val="0"/>
        <w:spacing w:after="120"/>
        <w:ind w:right="-7"/>
        <w:rPr>
          <w:rFonts w:ascii="Arial" w:hAnsi="Arial" w:cs="Arial"/>
          <w:b/>
          <w:color w:val="000000" w:themeColor="text1"/>
          <w:sz w:val="22"/>
          <w:szCs w:val="22"/>
          <w:lang w:val="de-AT"/>
        </w:rPr>
      </w:pPr>
    </w:p>
    <w:p w14:paraId="3DDCE0EE" w14:textId="77777777" w:rsidR="00931A60" w:rsidRPr="00B6585E" w:rsidRDefault="00A221DB">
      <w:pPr>
        <w:widowControl w:val="0"/>
        <w:spacing w:after="120"/>
        <w:ind w:right="-7"/>
        <w:rPr>
          <w:rFonts w:ascii="Arial" w:hAnsi="Arial" w:cs="Arial"/>
          <w:color w:val="000000" w:themeColor="text1"/>
          <w:sz w:val="22"/>
          <w:szCs w:val="22"/>
          <w:lang w:val="de-AT"/>
        </w:rPr>
      </w:pPr>
      <w:r w:rsidRPr="00B6585E">
        <w:rPr>
          <w:rFonts w:ascii="Arial" w:hAnsi="Arial" w:cs="Arial"/>
          <w:color w:val="000000" w:themeColor="text1"/>
          <w:sz w:val="22"/>
          <w:szCs w:val="22"/>
          <w:lang w:val="de-AT"/>
        </w:rPr>
        <w:t>Christian Reiterer</w:t>
      </w:r>
      <w:r w:rsidRPr="00B6585E">
        <w:rPr>
          <w:rFonts w:ascii="Arial" w:hAnsi="Arial" w:cs="Arial"/>
          <w:color w:val="000000" w:themeColor="text1"/>
          <w:sz w:val="22"/>
          <w:szCs w:val="22"/>
          <w:vertAlign w:val="superscript"/>
          <w:lang w:val="de-AT"/>
        </w:rPr>
        <w:t>1</w:t>
      </w:r>
      <w:r w:rsidRPr="00B6585E">
        <w:rPr>
          <w:rFonts w:ascii="Arial" w:hAnsi="Arial" w:cs="Arial"/>
          <w:color w:val="000000" w:themeColor="text1"/>
          <w:sz w:val="22"/>
          <w:szCs w:val="22"/>
          <w:lang w:val="de-AT"/>
        </w:rPr>
        <w:t>, MD</w:t>
      </w:r>
    </w:p>
    <w:p w14:paraId="5DADDE4E" w14:textId="77777777" w:rsidR="00931A60" w:rsidRPr="00B6585E" w:rsidRDefault="00A221DB">
      <w:pPr>
        <w:widowControl w:val="0"/>
        <w:spacing w:after="120"/>
        <w:ind w:right="-7"/>
        <w:rPr>
          <w:rFonts w:ascii="Arial" w:hAnsi="Arial" w:cs="Arial"/>
          <w:color w:val="000000" w:themeColor="text1"/>
          <w:sz w:val="22"/>
          <w:szCs w:val="22"/>
          <w:lang w:val="de-AT"/>
        </w:rPr>
      </w:pPr>
      <w:r w:rsidRPr="00B6585E">
        <w:rPr>
          <w:rFonts w:ascii="Arial" w:hAnsi="Arial" w:cs="Arial"/>
          <w:color w:val="000000" w:themeColor="text1"/>
          <w:sz w:val="22"/>
          <w:szCs w:val="22"/>
          <w:lang w:val="de-AT"/>
        </w:rPr>
        <w:t>Markus Falkner von Sonnenburg</w:t>
      </w:r>
      <w:r w:rsidRPr="00B6585E">
        <w:rPr>
          <w:rFonts w:ascii="Arial" w:hAnsi="Arial" w:cs="Arial"/>
          <w:color w:val="000000" w:themeColor="text1"/>
          <w:sz w:val="22"/>
          <w:szCs w:val="22"/>
          <w:vertAlign w:val="superscript"/>
          <w:lang w:val="de-AT"/>
        </w:rPr>
        <w:t>1</w:t>
      </w:r>
      <w:r w:rsidRPr="00B6585E">
        <w:rPr>
          <w:rFonts w:ascii="Arial" w:hAnsi="Arial" w:cs="Arial"/>
          <w:color w:val="000000" w:themeColor="text1"/>
          <w:sz w:val="22"/>
          <w:szCs w:val="22"/>
          <w:lang w:val="de-AT"/>
        </w:rPr>
        <w:t>, MD</w:t>
      </w:r>
    </w:p>
    <w:p w14:paraId="723639FD" w14:textId="77777777" w:rsidR="00931A60" w:rsidRPr="00B6585E" w:rsidRDefault="00A221DB">
      <w:pPr>
        <w:widowControl w:val="0"/>
        <w:spacing w:after="120"/>
        <w:ind w:right="-7"/>
        <w:rPr>
          <w:rFonts w:ascii="Arial" w:hAnsi="Arial" w:cs="Arial"/>
          <w:color w:val="000000" w:themeColor="text1"/>
          <w:sz w:val="22"/>
          <w:szCs w:val="22"/>
          <w:lang w:val="de-AT"/>
        </w:rPr>
      </w:pPr>
      <w:r w:rsidRPr="00B6585E">
        <w:rPr>
          <w:rFonts w:ascii="Arial" w:hAnsi="Arial" w:cs="Arial"/>
          <w:color w:val="000000" w:themeColor="text1"/>
          <w:sz w:val="22"/>
          <w:szCs w:val="22"/>
          <w:lang w:val="de-AT"/>
        </w:rPr>
        <w:t>Lukas Baumann, Bsc. Bsc.</w:t>
      </w:r>
      <w:r w:rsidRPr="00B6585E">
        <w:rPr>
          <w:rFonts w:ascii="Arial" w:hAnsi="Arial" w:cs="Arial"/>
          <w:color w:val="000000" w:themeColor="text1"/>
          <w:sz w:val="22"/>
          <w:szCs w:val="22"/>
          <w:vertAlign w:val="superscript"/>
          <w:lang w:val="de-AT"/>
        </w:rPr>
        <w:t>2</w:t>
      </w:r>
    </w:p>
    <w:p w14:paraId="255B8F14" w14:textId="77777777" w:rsidR="00931A60" w:rsidRPr="00B6585E" w:rsidRDefault="00A221DB">
      <w:pPr>
        <w:widowControl w:val="0"/>
        <w:spacing w:after="120"/>
        <w:ind w:right="-7"/>
        <w:rPr>
          <w:rFonts w:ascii="Arial" w:hAnsi="Arial" w:cs="Arial"/>
          <w:color w:val="000000" w:themeColor="text1"/>
          <w:sz w:val="22"/>
          <w:szCs w:val="22"/>
          <w:lang w:val="de-AT"/>
        </w:rPr>
      </w:pPr>
      <w:r w:rsidRPr="00B6585E">
        <w:rPr>
          <w:rFonts w:ascii="Arial" w:hAnsi="Arial" w:cs="Arial"/>
          <w:color w:val="000000" w:themeColor="text1"/>
          <w:sz w:val="22"/>
          <w:szCs w:val="22"/>
          <w:lang w:val="de-AT"/>
        </w:rPr>
        <w:t>Barbara Kabon</w:t>
      </w:r>
      <w:r w:rsidRPr="00B6585E">
        <w:rPr>
          <w:rFonts w:ascii="Arial" w:hAnsi="Arial" w:cs="Arial"/>
          <w:color w:val="000000" w:themeColor="text1"/>
          <w:sz w:val="22"/>
          <w:szCs w:val="22"/>
          <w:vertAlign w:val="superscript"/>
          <w:lang w:val="de-AT"/>
        </w:rPr>
        <w:t>1</w:t>
      </w:r>
      <w:r w:rsidRPr="00B6585E">
        <w:rPr>
          <w:rFonts w:ascii="Arial" w:hAnsi="Arial" w:cs="Arial"/>
          <w:color w:val="000000" w:themeColor="text1"/>
          <w:sz w:val="22"/>
          <w:szCs w:val="22"/>
          <w:lang w:val="de-AT"/>
        </w:rPr>
        <w:t>, MD</w:t>
      </w:r>
    </w:p>
    <w:p w14:paraId="448CC8F5" w14:textId="77777777" w:rsidR="00931A60" w:rsidRPr="00B6585E" w:rsidRDefault="00A221DB">
      <w:pPr>
        <w:widowControl w:val="0"/>
        <w:spacing w:after="120"/>
        <w:ind w:right="-7"/>
        <w:rPr>
          <w:rFonts w:ascii="Arial" w:hAnsi="Arial" w:cs="Arial"/>
          <w:color w:val="000000" w:themeColor="text1"/>
          <w:sz w:val="22"/>
          <w:szCs w:val="22"/>
          <w:lang w:val="de-AT"/>
        </w:rPr>
      </w:pPr>
      <w:r w:rsidRPr="00B6585E">
        <w:rPr>
          <w:rFonts w:ascii="Arial" w:hAnsi="Arial" w:cs="Arial"/>
          <w:color w:val="000000" w:themeColor="text1"/>
          <w:sz w:val="22"/>
          <w:szCs w:val="22"/>
          <w:lang w:val="de-AT"/>
        </w:rPr>
        <w:t>Edith Fleischmann</w:t>
      </w:r>
      <w:r w:rsidRPr="00B6585E">
        <w:rPr>
          <w:rFonts w:ascii="Arial" w:hAnsi="Arial" w:cs="Arial"/>
          <w:color w:val="000000" w:themeColor="text1"/>
          <w:sz w:val="22"/>
          <w:szCs w:val="22"/>
          <w:vertAlign w:val="superscript"/>
          <w:lang w:val="de-AT"/>
        </w:rPr>
        <w:t>1</w:t>
      </w:r>
      <w:r w:rsidRPr="00B6585E">
        <w:rPr>
          <w:rFonts w:ascii="Arial" w:hAnsi="Arial" w:cs="Arial"/>
          <w:color w:val="000000" w:themeColor="text1"/>
          <w:sz w:val="22"/>
          <w:szCs w:val="22"/>
          <w:lang w:val="de-AT"/>
        </w:rPr>
        <w:t>, MD</w:t>
      </w:r>
    </w:p>
    <w:p w14:paraId="68063EE9" w14:textId="77777777" w:rsidR="00931A60" w:rsidRPr="00B6585E" w:rsidRDefault="00931A60">
      <w:pPr>
        <w:widowControl w:val="0"/>
        <w:spacing w:after="120"/>
        <w:ind w:right="-7"/>
        <w:rPr>
          <w:rFonts w:ascii="Arial" w:hAnsi="Arial" w:cs="Arial"/>
          <w:color w:val="000000" w:themeColor="text1"/>
          <w:sz w:val="22"/>
          <w:szCs w:val="22"/>
          <w:lang w:val="de-AT"/>
        </w:rPr>
      </w:pPr>
    </w:p>
    <w:p w14:paraId="52A85DAA" w14:textId="77777777" w:rsidR="00931A60" w:rsidRPr="00B6585E" w:rsidRDefault="00931A60">
      <w:pPr>
        <w:widowControl w:val="0"/>
        <w:spacing w:after="120"/>
        <w:ind w:right="-7"/>
        <w:rPr>
          <w:rFonts w:ascii="Arial" w:hAnsi="Arial" w:cs="Arial"/>
          <w:color w:val="000000" w:themeColor="text1"/>
          <w:sz w:val="22"/>
          <w:szCs w:val="22"/>
          <w:lang w:val="de-AT"/>
        </w:rPr>
      </w:pPr>
    </w:p>
    <w:p w14:paraId="201E279D" w14:textId="3D47063C" w:rsidR="00931A60" w:rsidRPr="00B6585E" w:rsidRDefault="00A221DB">
      <w:pPr>
        <w:widowControl w:val="0"/>
        <w:spacing w:after="120"/>
        <w:ind w:right="-7"/>
        <w:rPr>
          <w:rFonts w:ascii="Arial" w:hAnsi="Arial" w:cs="Arial"/>
          <w:color w:val="000000" w:themeColor="text1"/>
          <w:sz w:val="22"/>
          <w:szCs w:val="22"/>
        </w:rPr>
      </w:pPr>
      <w:r w:rsidRPr="00B6585E">
        <w:rPr>
          <w:rFonts w:ascii="Arial" w:hAnsi="Arial" w:cs="Arial"/>
          <w:color w:val="000000" w:themeColor="text1"/>
          <w:sz w:val="22"/>
          <w:szCs w:val="22"/>
          <w:vertAlign w:val="superscript"/>
        </w:rPr>
        <w:t xml:space="preserve">1 </w:t>
      </w:r>
      <w:r w:rsidRPr="00B6585E">
        <w:rPr>
          <w:rFonts w:ascii="Arial" w:hAnsi="Arial" w:cs="Arial"/>
          <w:color w:val="000000" w:themeColor="text1"/>
          <w:sz w:val="22"/>
          <w:szCs w:val="22"/>
        </w:rPr>
        <w:t>Department of Anesthesia, Intensive Care</w:t>
      </w:r>
      <w:r w:rsidR="00E40B08" w:rsidRPr="00B6585E">
        <w:rPr>
          <w:rFonts w:ascii="Arial" w:hAnsi="Arial" w:cs="Arial"/>
          <w:color w:val="000000" w:themeColor="text1"/>
          <w:sz w:val="22"/>
          <w:szCs w:val="22"/>
        </w:rPr>
        <w:t xml:space="preserve"> Medicine</w:t>
      </w:r>
      <w:r w:rsidRPr="00B6585E">
        <w:rPr>
          <w:rFonts w:ascii="Arial" w:hAnsi="Arial" w:cs="Arial"/>
          <w:color w:val="000000" w:themeColor="text1"/>
          <w:sz w:val="22"/>
          <w:szCs w:val="22"/>
        </w:rPr>
        <w:t xml:space="preserve"> and Pain Medicine, Medical University of Vienna</w:t>
      </w:r>
    </w:p>
    <w:p w14:paraId="3FE2783E" w14:textId="77777777" w:rsidR="00931A60" w:rsidRPr="00B6585E" w:rsidRDefault="00A221DB">
      <w:pPr>
        <w:widowControl w:val="0"/>
        <w:spacing w:after="120"/>
        <w:ind w:right="-7"/>
        <w:rPr>
          <w:rFonts w:ascii="Arial" w:hAnsi="Arial" w:cs="Arial"/>
          <w:color w:val="000000" w:themeColor="text1"/>
          <w:sz w:val="22"/>
          <w:szCs w:val="22"/>
        </w:rPr>
      </w:pPr>
      <w:r w:rsidRPr="00B6585E">
        <w:rPr>
          <w:rFonts w:ascii="Arial" w:hAnsi="Arial" w:cs="Arial"/>
          <w:color w:val="000000" w:themeColor="text1"/>
          <w:sz w:val="22"/>
          <w:szCs w:val="22"/>
          <w:vertAlign w:val="superscript"/>
        </w:rPr>
        <w:t>2</w:t>
      </w:r>
      <w:r w:rsidRPr="00B6585E">
        <w:rPr>
          <w:rFonts w:ascii="Arial" w:hAnsi="Arial" w:cs="Arial"/>
          <w:color w:val="000000" w:themeColor="text1"/>
          <w:sz w:val="22"/>
          <w:szCs w:val="22"/>
        </w:rPr>
        <w:t xml:space="preserve"> Center for Medical Statistics, Informatics and Intelligent Systems, Medical University of Vienna</w:t>
      </w:r>
    </w:p>
    <w:p w14:paraId="6E2BC3ED" w14:textId="77777777" w:rsidR="00931A60" w:rsidRPr="00B6585E" w:rsidRDefault="00931A60">
      <w:pPr>
        <w:widowControl w:val="0"/>
        <w:spacing w:after="240" w:line="340" w:lineRule="atLeast"/>
        <w:jc w:val="both"/>
        <w:rPr>
          <w:rFonts w:ascii="Arial" w:hAnsi="Arial" w:cs="Arial"/>
          <w:color w:val="000000" w:themeColor="text1"/>
          <w:sz w:val="22"/>
          <w:szCs w:val="22"/>
        </w:rPr>
      </w:pPr>
    </w:p>
    <w:p w14:paraId="026B6533" w14:textId="77777777" w:rsidR="00931A60" w:rsidRPr="00B6585E" w:rsidRDefault="00A221DB">
      <w:pPr>
        <w:widowControl w:val="0"/>
        <w:spacing w:after="240" w:line="340" w:lineRule="atLeast"/>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This protocol has been developed by Dr. Reiterer and </w:t>
      </w:r>
      <w:r w:rsidR="00607C87" w:rsidRPr="00B6585E">
        <w:rPr>
          <w:rFonts w:ascii="Arial" w:hAnsi="Arial" w:cs="Arial"/>
          <w:color w:val="000000" w:themeColor="text1"/>
          <w:sz w:val="22"/>
          <w:szCs w:val="22"/>
        </w:rPr>
        <w:t xml:space="preserve">the </w:t>
      </w:r>
      <w:r w:rsidRPr="00B6585E">
        <w:rPr>
          <w:rFonts w:ascii="Arial" w:hAnsi="Arial" w:cs="Arial"/>
          <w:color w:val="000000" w:themeColor="text1"/>
          <w:sz w:val="22"/>
          <w:szCs w:val="22"/>
        </w:rPr>
        <w:t xml:space="preserve">content </w:t>
      </w:r>
      <w:r w:rsidR="00607C87" w:rsidRPr="00B6585E">
        <w:rPr>
          <w:rFonts w:ascii="Arial" w:hAnsi="Arial" w:cs="Arial"/>
          <w:color w:val="000000" w:themeColor="text1"/>
          <w:sz w:val="22"/>
          <w:szCs w:val="22"/>
        </w:rPr>
        <w:t xml:space="preserve">is his </w:t>
      </w:r>
      <w:r w:rsidRPr="00B6585E">
        <w:rPr>
          <w:rFonts w:ascii="Arial" w:hAnsi="Arial" w:cs="Arial"/>
          <w:color w:val="000000" w:themeColor="text1"/>
          <w:sz w:val="22"/>
          <w:szCs w:val="22"/>
        </w:rPr>
        <w:t xml:space="preserve">intellectual property. It is an offence to reproduce or use the information and data in this protocol for any purpose other than the </w:t>
      </w:r>
      <w:r w:rsidRPr="00B6585E">
        <w:rPr>
          <w:rFonts w:ascii="Arial" w:hAnsi="Arial" w:cs="Arial"/>
          <w:color w:val="000000" w:themeColor="text1"/>
          <w:sz w:val="22"/>
          <w:szCs w:val="22"/>
        </w:rPr>
        <w:lastRenderedPageBreak/>
        <w:t>IMPROVE-Trial without prior approval from Dr. Reiterer.</w:t>
      </w:r>
    </w:p>
    <w:p w14:paraId="20086066" w14:textId="46F364B6" w:rsidR="006C18E5" w:rsidRPr="00B6585E" w:rsidRDefault="006C18E5">
      <w:pPr>
        <w:widowControl w:val="0"/>
        <w:spacing w:after="240" w:line="340" w:lineRule="atLeast"/>
        <w:jc w:val="both"/>
        <w:rPr>
          <w:rFonts w:ascii="Arial" w:hAnsi="Arial" w:cs="Arial"/>
          <w:color w:val="000000" w:themeColor="text1"/>
          <w:sz w:val="22"/>
          <w:szCs w:val="22"/>
        </w:rPr>
        <w:sectPr w:rsidR="006C18E5" w:rsidRPr="00B6585E" w:rsidSect="00A5257C">
          <w:headerReference w:type="default" r:id="rId9"/>
          <w:footerReference w:type="default" r:id="rId10"/>
          <w:pgSz w:w="11906" w:h="16838"/>
          <w:pgMar w:top="1418" w:right="1134" w:bottom="1134" w:left="1134" w:header="709" w:footer="737" w:gutter="0"/>
          <w:cols w:space="720"/>
          <w:formProt w:val="0"/>
          <w:docGrid w:linePitch="360"/>
        </w:sectPr>
      </w:pPr>
    </w:p>
    <w:p w14:paraId="7C66E1EC" w14:textId="77777777" w:rsidR="00931A60" w:rsidRPr="00B6585E" w:rsidRDefault="00A221DB">
      <w:pPr>
        <w:pStyle w:val="TOC1"/>
        <w:rPr>
          <w:color w:val="000000" w:themeColor="text1"/>
        </w:rPr>
      </w:pPr>
      <w:r w:rsidRPr="00B6585E">
        <w:rPr>
          <w:color w:val="000000" w:themeColor="text1"/>
        </w:rPr>
        <w:lastRenderedPageBreak/>
        <w:t>Table of</w:t>
      </w:r>
      <w:r w:rsidRPr="00B6585E">
        <w:rPr>
          <w:color w:val="000000" w:themeColor="text1"/>
          <w:sz w:val="22"/>
          <w:szCs w:val="22"/>
        </w:rPr>
        <w:t xml:space="preserve"> </w:t>
      </w:r>
      <w:r w:rsidRPr="00B6585E">
        <w:rPr>
          <w:color w:val="000000" w:themeColor="text1"/>
        </w:rPr>
        <w:t>Content</w:t>
      </w:r>
    </w:p>
    <w:p w14:paraId="6CC55866" w14:textId="207E829A" w:rsidR="001D162A" w:rsidRPr="00B6585E" w:rsidRDefault="00CF5524">
      <w:pPr>
        <w:pStyle w:val="TOC1"/>
        <w:rPr>
          <w:rFonts w:asciiTheme="minorHAnsi" w:eastAsiaTheme="minorEastAsia" w:hAnsiTheme="minorHAnsi" w:cstheme="minorBidi"/>
          <w:b w:val="0"/>
          <w:bCs w:val="0"/>
          <w:caps w:val="0"/>
          <w:noProof/>
          <w:color w:val="000000" w:themeColor="text1"/>
          <w:sz w:val="24"/>
          <w:szCs w:val="24"/>
          <w:lang w:eastAsia="en-GB"/>
        </w:rPr>
      </w:pPr>
      <w:r w:rsidRPr="00B6585E">
        <w:rPr>
          <w:color w:val="000000" w:themeColor="text1"/>
        </w:rPr>
        <w:fldChar w:fldCharType="begin"/>
      </w:r>
      <w:r w:rsidRPr="00B6585E">
        <w:rPr>
          <w:color w:val="000000" w:themeColor="text1"/>
        </w:rPr>
        <w:instrText xml:space="preserve"> TOC \o "1-3" \h \z \u </w:instrText>
      </w:r>
      <w:r w:rsidRPr="00B6585E">
        <w:rPr>
          <w:color w:val="000000" w:themeColor="text1"/>
        </w:rPr>
        <w:fldChar w:fldCharType="separate"/>
      </w:r>
      <w:hyperlink w:anchor="_Toc96924940" w:history="1">
        <w:r w:rsidR="001D162A" w:rsidRPr="00B6585E">
          <w:rPr>
            <w:rStyle w:val="Hyperlink"/>
            <w:caps w:val="0"/>
            <w:noProof/>
            <w:color w:val="000000" w:themeColor="text1"/>
          </w:rPr>
          <w:t>1</w:t>
        </w:r>
        <w:r w:rsidR="001D162A" w:rsidRPr="00B6585E">
          <w:rPr>
            <w:rFonts w:asciiTheme="minorHAnsi" w:eastAsiaTheme="minorEastAsia" w:hAnsiTheme="minorHAnsi" w:cstheme="minorBidi"/>
            <w:b w:val="0"/>
            <w:bCs w:val="0"/>
            <w:caps w:val="0"/>
            <w:noProof/>
            <w:color w:val="000000" w:themeColor="text1"/>
            <w:sz w:val="24"/>
            <w:szCs w:val="24"/>
            <w:lang w:eastAsia="en-GB"/>
          </w:rPr>
          <w:tab/>
        </w:r>
        <w:r w:rsidR="001D162A" w:rsidRPr="00B6585E">
          <w:rPr>
            <w:rStyle w:val="Hyperlink"/>
            <w:caps w:val="0"/>
            <w:noProof/>
            <w:color w:val="000000" w:themeColor="text1"/>
          </w:rPr>
          <w:t>Abbreviations</w:t>
        </w:r>
        <w:r w:rsidR="001D162A" w:rsidRPr="00B6585E">
          <w:rPr>
            <w:caps w:val="0"/>
            <w:noProof/>
            <w:webHidden/>
            <w:color w:val="000000" w:themeColor="text1"/>
          </w:rPr>
          <w:tab/>
        </w:r>
        <w:r w:rsidR="001D162A" w:rsidRPr="00B6585E">
          <w:rPr>
            <w:caps w:val="0"/>
            <w:noProof/>
            <w:webHidden/>
            <w:color w:val="000000" w:themeColor="text1"/>
          </w:rPr>
          <w:fldChar w:fldCharType="begin"/>
        </w:r>
        <w:r w:rsidR="001D162A" w:rsidRPr="00B6585E">
          <w:rPr>
            <w:caps w:val="0"/>
            <w:noProof/>
            <w:webHidden/>
            <w:color w:val="000000" w:themeColor="text1"/>
          </w:rPr>
          <w:instrText xml:space="preserve"> PAGEREF _Toc96924940 \h </w:instrText>
        </w:r>
        <w:r w:rsidR="001D162A" w:rsidRPr="00B6585E">
          <w:rPr>
            <w:caps w:val="0"/>
            <w:noProof/>
            <w:webHidden/>
            <w:color w:val="000000" w:themeColor="text1"/>
          </w:rPr>
        </w:r>
        <w:r w:rsidR="001D162A" w:rsidRPr="00B6585E">
          <w:rPr>
            <w:caps w:val="0"/>
            <w:noProof/>
            <w:webHidden/>
            <w:color w:val="000000" w:themeColor="text1"/>
          </w:rPr>
          <w:fldChar w:fldCharType="separate"/>
        </w:r>
        <w:r w:rsidR="001D162A" w:rsidRPr="00B6585E">
          <w:rPr>
            <w:caps w:val="0"/>
            <w:noProof/>
            <w:webHidden/>
            <w:color w:val="000000" w:themeColor="text1"/>
          </w:rPr>
          <w:t>6</w:t>
        </w:r>
        <w:r w:rsidR="001D162A" w:rsidRPr="00B6585E">
          <w:rPr>
            <w:caps w:val="0"/>
            <w:noProof/>
            <w:webHidden/>
            <w:color w:val="000000" w:themeColor="text1"/>
          </w:rPr>
          <w:fldChar w:fldCharType="end"/>
        </w:r>
      </w:hyperlink>
    </w:p>
    <w:p w14:paraId="69DD27DB" w14:textId="70977FEA"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41" w:history="1">
        <w:r w:rsidRPr="00B6585E">
          <w:rPr>
            <w:rStyle w:val="Hyperlink"/>
            <w:caps w:val="0"/>
            <w:noProof/>
            <w:color w:val="000000" w:themeColor="text1"/>
          </w:rPr>
          <w:t>2</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Clinical Trial Summary</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_Toc96924941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8</w:t>
        </w:r>
        <w:r w:rsidRPr="00B6585E">
          <w:rPr>
            <w:caps w:val="0"/>
            <w:noProof/>
            <w:webHidden/>
            <w:color w:val="000000" w:themeColor="text1"/>
          </w:rPr>
          <w:fldChar w:fldCharType="end"/>
        </w:r>
      </w:hyperlink>
    </w:p>
    <w:p w14:paraId="644EDE7D" w14:textId="6B8FFE62"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42" w:history="1">
        <w:r w:rsidRPr="00B6585E">
          <w:rPr>
            <w:rStyle w:val="Hyperlink"/>
            <w:caps w:val="0"/>
            <w:noProof/>
            <w:color w:val="000000" w:themeColor="text1"/>
          </w:rPr>
          <w:t>3</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Responsibilities Medical University of Vienna</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_Toc96924942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12</w:t>
        </w:r>
        <w:r w:rsidRPr="00B6585E">
          <w:rPr>
            <w:caps w:val="0"/>
            <w:noProof/>
            <w:webHidden/>
            <w:color w:val="000000" w:themeColor="text1"/>
          </w:rPr>
          <w:fldChar w:fldCharType="end"/>
        </w:r>
      </w:hyperlink>
    </w:p>
    <w:p w14:paraId="40BA4AC2" w14:textId="1C7C7A9E"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43" w:history="1">
        <w:r w:rsidRPr="00B6585E">
          <w:rPr>
            <w:rStyle w:val="Hyperlink"/>
            <w:caps w:val="0"/>
            <w:noProof/>
            <w:color w:val="000000" w:themeColor="text1"/>
          </w:rPr>
          <w:t>4</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Responsibilities Charité - Universitätsmedizin Berlin</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_Toc96924943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13</w:t>
        </w:r>
        <w:r w:rsidRPr="00B6585E">
          <w:rPr>
            <w:caps w:val="0"/>
            <w:noProof/>
            <w:webHidden/>
            <w:color w:val="000000" w:themeColor="text1"/>
          </w:rPr>
          <w:fldChar w:fldCharType="end"/>
        </w:r>
      </w:hyperlink>
    </w:p>
    <w:p w14:paraId="45D2DD27" w14:textId="1AC50213"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44" w:history="1">
        <w:r w:rsidRPr="00B6585E">
          <w:rPr>
            <w:rStyle w:val="Hyperlink"/>
            <w:caps w:val="0"/>
            <w:noProof/>
            <w:color w:val="000000" w:themeColor="text1"/>
          </w:rPr>
          <w:t>5</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Abstract</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_Toc96924944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14</w:t>
        </w:r>
        <w:r w:rsidRPr="00B6585E">
          <w:rPr>
            <w:caps w:val="0"/>
            <w:noProof/>
            <w:webHidden/>
            <w:color w:val="000000" w:themeColor="text1"/>
          </w:rPr>
          <w:fldChar w:fldCharType="end"/>
        </w:r>
      </w:hyperlink>
    </w:p>
    <w:p w14:paraId="457AF17E" w14:textId="7EFB8B0F"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45" w:history="1">
        <w:r w:rsidRPr="00B6585E">
          <w:rPr>
            <w:rStyle w:val="Hyperlink"/>
            <w:caps w:val="0"/>
            <w:noProof/>
            <w:color w:val="000000" w:themeColor="text1"/>
          </w:rPr>
          <w:t>6</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Zusammenfassung</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_Toc96924945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15</w:t>
        </w:r>
        <w:r w:rsidRPr="00B6585E">
          <w:rPr>
            <w:caps w:val="0"/>
            <w:noProof/>
            <w:webHidden/>
            <w:color w:val="000000" w:themeColor="text1"/>
          </w:rPr>
          <w:fldChar w:fldCharType="end"/>
        </w:r>
      </w:hyperlink>
    </w:p>
    <w:p w14:paraId="188F3DD3" w14:textId="5149BB0B"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46" w:history="1">
        <w:r w:rsidRPr="00B6585E">
          <w:rPr>
            <w:rStyle w:val="Hyperlink"/>
            <w:caps w:val="0"/>
            <w:noProof/>
            <w:color w:val="000000" w:themeColor="text1"/>
          </w:rPr>
          <w:t>7</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Background</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_Toc96924946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16</w:t>
        </w:r>
        <w:r w:rsidRPr="00B6585E">
          <w:rPr>
            <w:caps w:val="0"/>
            <w:noProof/>
            <w:webHidden/>
            <w:color w:val="000000" w:themeColor="text1"/>
          </w:rPr>
          <w:fldChar w:fldCharType="end"/>
        </w:r>
      </w:hyperlink>
    </w:p>
    <w:p w14:paraId="4A439354" w14:textId="1824CDB9"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47" w:history="1">
        <w:r w:rsidRPr="00B6585E">
          <w:rPr>
            <w:rStyle w:val="Hyperlink"/>
            <w:noProof/>
            <w:color w:val="000000" w:themeColor="text1"/>
          </w:rPr>
          <w:t>7.1</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Introduction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_Toc96924947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16</w:t>
        </w:r>
        <w:r w:rsidRPr="00B6585E">
          <w:rPr>
            <w:noProof/>
            <w:webHidden/>
            <w:color w:val="000000" w:themeColor="text1"/>
          </w:rPr>
          <w:fldChar w:fldCharType="end"/>
        </w:r>
      </w:hyperlink>
    </w:p>
    <w:p w14:paraId="1D77E8E4" w14:textId="2B82E351"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48" w:history="1">
        <w:r w:rsidRPr="00B6585E">
          <w:rPr>
            <w:rStyle w:val="Hyperlink"/>
            <w:noProof/>
            <w:color w:val="000000" w:themeColor="text1"/>
          </w:rPr>
          <w:t>7.2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Levosimendan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_Toc96924948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16</w:t>
        </w:r>
        <w:r w:rsidRPr="00B6585E">
          <w:rPr>
            <w:noProof/>
            <w:webHidden/>
            <w:color w:val="000000" w:themeColor="text1"/>
          </w:rPr>
          <w:fldChar w:fldCharType="end"/>
        </w:r>
      </w:hyperlink>
    </w:p>
    <w:p w14:paraId="1C2E3178" w14:textId="0B8C9DF3"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49" w:history="1">
        <w:r w:rsidRPr="00B6585E">
          <w:rPr>
            <w:rStyle w:val="Hyperlink"/>
            <w:noProof/>
            <w:color w:val="000000" w:themeColor="text1"/>
          </w:rPr>
          <w:t>7.2.1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Clinical evidence regarding safety of Levosimendan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_Toc96924949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16</w:t>
        </w:r>
        <w:r w:rsidRPr="00B6585E">
          <w:rPr>
            <w:noProof/>
            <w:webHidden/>
            <w:color w:val="000000" w:themeColor="text1"/>
          </w:rPr>
          <w:fldChar w:fldCharType="end"/>
        </w:r>
      </w:hyperlink>
    </w:p>
    <w:p w14:paraId="332C9CBD" w14:textId="710ECDDC"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50" w:history="1">
        <w:r w:rsidRPr="00B6585E">
          <w:rPr>
            <w:rStyle w:val="Hyperlink"/>
            <w:noProof/>
            <w:color w:val="000000" w:themeColor="text1"/>
          </w:rPr>
          <w:t>7.2.2</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Biomarkers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_Toc96924950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17</w:t>
        </w:r>
        <w:r w:rsidRPr="00B6585E">
          <w:rPr>
            <w:noProof/>
            <w:webHidden/>
            <w:color w:val="000000" w:themeColor="text1"/>
          </w:rPr>
          <w:fldChar w:fldCharType="end"/>
        </w:r>
      </w:hyperlink>
    </w:p>
    <w:p w14:paraId="5185D7D3" w14:textId="7DBC4515"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51" w:history="1">
        <w:r w:rsidRPr="00B6585E">
          <w:rPr>
            <w:rStyle w:val="Hyperlink"/>
            <w:caps w:val="0"/>
            <w:noProof/>
            <w:color w:val="000000" w:themeColor="text1"/>
          </w:rPr>
          <w:t>8</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Plan of Investigation</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_Toc96924951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18</w:t>
        </w:r>
        <w:r w:rsidRPr="00B6585E">
          <w:rPr>
            <w:caps w:val="0"/>
            <w:noProof/>
            <w:webHidden/>
            <w:color w:val="000000" w:themeColor="text1"/>
          </w:rPr>
          <w:fldChar w:fldCharType="end"/>
        </w:r>
      </w:hyperlink>
    </w:p>
    <w:p w14:paraId="16B59957" w14:textId="3019E106"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52" w:history="1">
        <w:r w:rsidRPr="00B6585E">
          <w:rPr>
            <w:rStyle w:val="Hyperlink"/>
            <w:noProof/>
            <w:color w:val="000000" w:themeColor="text1"/>
          </w:rPr>
          <w:t>8.1</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Trial Design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18</w:t>
        </w:r>
        <w:r w:rsidRPr="00B6585E">
          <w:rPr>
            <w:noProof/>
            <w:webHidden/>
            <w:color w:val="000000" w:themeColor="text1"/>
          </w:rPr>
          <w:fldChar w:fldCharType="end"/>
        </w:r>
      </w:hyperlink>
    </w:p>
    <w:p w14:paraId="4FC8505B" w14:textId="3D428755"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53" w:history="1">
        <w:r w:rsidRPr="00B6585E">
          <w:rPr>
            <w:rStyle w:val="Hyperlink"/>
            <w:noProof/>
            <w:color w:val="000000" w:themeColor="text1"/>
          </w:rPr>
          <w:t>8.2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Primary Outcome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18</w:t>
        </w:r>
        <w:r w:rsidRPr="00B6585E">
          <w:rPr>
            <w:noProof/>
            <w:webHidden/>
            <w:color w:val="000000" w:themeColor="text1"/>
          </w:rPr>
          <w:fldChar w:fldCharType="end"/>
        </w:r>
      </w:hyperlink>
    </w:p>
    <w:p w14:paraId="52BFA446" w14:textId="7A38752F"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54" w:history="1">
        <w:r w:rsidRPr="00B6585E">
          <w:rPr>
            <w:rStyle w:val="Hyperlink"/>
            <w:noProof/>
            <w:color w:val="000000" w:themeColor="text1"/>
          </w:rPr>
          <w:t>8.3</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Secondary Outcomes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18</w:t>
        </w:r>
        <w:r w:rsidRPr="00B6585E">
          <w:rPr>
            <w:noProof/>
            <w:webHidden/>
            <w:color w:val="000000" w:themeColor="text1"/>
          </w:rPr>
          <w:fldChar w:fldCharType="end"/>
        </w:r>
      </w:hyperlink>
    </w:p>
    <w:p w14:paraId="1D0DFCE1" w14:textId="669CF205"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55" w:history="1">
        <w:r w:rsidRPr="00B6585E">
          <w:rPr>
            <w:rStyle w:val="Hyperlink"/>
            <w:noProof/>
            <w:color w:val="000000" w:themeColor="text1"/>
          </w:rPr>
          <w:t>8.3.1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Aim 1</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18</w:t>
        </w:r>
        <w:r w:rsidRPr="00B6585E">
          <w:rPr>
            <w:noProof/>
            <w:webHidden/>
            <w:color w:val="000000" w:themeColor="text1"/>
          </w:rPr>
          <w:fldChar w:fldCharType="end"/>
        </w:r>
      </w:hyperlink>
    </w:p>
    <w:p w14:paraId="3CAB0959" w14:textId="0645D283"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56" w:history="1">
        <w:r w:rsidRPr="00B6585E">
          <w:rPr>
            <w:rStyle w:val="Hyperlink"/>
            <w:noProof/>
            <w:color w:val="000000" w:themeColor="text1"/>
          </w:rPr>
          <w:t>8.3.2</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Aim 2</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18</w:t>
        </w:r>
        <w:r w:rsidRPr="00B6585E">
          <w:rPr>
            <w:noProof/>
            <w:webHidden/>
            <w:color w:val="000000" w:themeColor="text1"/>
          </w:rPr>
          <w:fldChar w:fldCharType="end"/>
        </w:r>
      </w:hyperlink>
    </w:p>
    <w:p w14:paraId="08926B5C" w14:textId="4D4BBD09"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57" w:history="1">
        <w:r w:rsidRPr="00B6585E">
          <w:rPr>
            <w:rStyle w:val="Hyperlink"/>
            <w:noProof/>
            <w:color w:val="000000" w:themeColor="text1"/>
          </w:rPr>
          <w:t>8.3.3</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Aim 3</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_Toc96924957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18</w:t>
        </w:r>
        <w:r w:rsidRPr="00B6585E">
          <w:rPr>
            <w:noProof/>
            <w:webHidden/>
            <w:color w:val="000000" w:themeColor="text1"/>
          </w:rPr>
          <w:fldChar w:fldCharType="end"/>
        </w:r>
      </w:hyperlink>
    </w:p>
    <w:p w14:paraId="742D5B98" w14:textId="652EAF3F"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58" w:history="1">
        <w:r w:rsidRPr="00B6585E">
          <w:rPr>
            <w:rStyle w:val="Hyperlink"/>
            <w:noProof/>
            <w:color w:val="000000" w:themeColor="text1"/>
          </w:rPr>
          <w:t>8.3.4</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Aim 4</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19</w:t>
        </w:r>
        <w:r w:rsidRPr="00B6585E">
          <w:rPr>
            <w:noProof/>
            <w:webHidden/>
            <w:color w:val="000000" w:themeColor="text1"/>
          </w:rPr>
          <w:fldChar w:fldCharType="end"/>
        </w:r>
      </w:hyperlink>
    </w:p>
    <w:p w14:paraId="0B1FD8BF" w14:textId="42C8228F"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59" w:history="1">
        <w:r w:rsidRPr="00B6585E">
          <w:rPr>
            <w:rStyle w:val="Hyperlink"/>
            <w:noProof/>
            <w:color w:val="000000" w:themeColor="text1"/>
          </w:rPr>
          <w:t>8.4</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Exploratory Outcome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_Toc96924959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19</w:t>
        </w:r>
        <w:r w:rsidRPr="00B6585E">
          <w:rPr>
            <w:noProof/>
            <w:webHidden/>
            <w:color w:val="000000" w:themeColor="text1"/>
          </w:rPr>
          <w:fldChar w:fldCharType="end"/>
        </w:r>
      </w:hyperlink>
    </w:p>
    <w:p w14:paraId="5FCADB0C" w14:textId="271DAA71"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60" w:history="1">
        <w:r w:rsidRPr="00B6585E">
          <w:rPr>
            <w:rStyle w:val="Hyperlink"/>
            <w:caps w:val="0"/>
            <w:noProof/>
            <w:color w:val="000000" w:themeColor="text1"/>
          </w:rPr>
          <w:t>9</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Material and Methods</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_Toc96924960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20</w:t>
        </w:r>
        <w:r w:rsidRPr="00B6585E">
          <w:rPr>
            <w:caps w:val="0"/>
            <w:noProof/>
            <w:webHidden/>
            <w:color w:val="000000" w:themeColor="text1"/>
          </w:rPr>
          <w:fldChar w:fldCharType="end"/>
        </w:r>
      </w:hyperlink>
    </w:p>
    <w:p w14:paraId="04423607" w14:textId="31543544"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1" w:history="1">
        <w:r w:rsidRPr="00B6585E">
          <w:rPr>
            <w:rStyle w:val="Hyperlink"/>
            <w:noProof/>
            <w:color w:val="000000" w:themeColor="text1"/>
          </w:rPr>
          <w:t>9.1</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Eligibility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_Toc96924961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20</w:t>
        </w:r>
        <w:r w:rsidRPr="00B6585E">
          <w:rPr>
            <w:noProof/>
            <w:webHidden/>
            <w:color w:val="000000" w:themeColor="text1"/>
          </w:rPr>
          <w:fldChar w:fldCharType="end"/>
        </w:r>
      </w:hyperlink>
    </w:p>
    <w:p w14:paraId="7B1F55C6" w14:textId="4C04BECF"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62" w:history="1">
        <w:r w:rsidRPr="00B6585E">
          <w:rPr>
            <w:rStyle w:val="Hyperlink"/>
            <w:noProof/>
            <w:color w:val="000000" w:themeColor="text1"/>
          </w:rPr>
          <w:t>9.1.1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Inclusion Criteria (A – 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20</w:t>
        </w:r>
        <w:r w:rsidRPr="00B6585E">
          <w:rPr>
            <w:noProof/>
            <w:webHidden/>
            <w:color w:val="000000" w:themeColor="text1"/>
          </w:rPr>
          <w:fldChar w:fldCharType="end"/>
        </w:r>
      </w:hyperlink>
    </w:p>
    <w:p w14:paraId="7C2A85B6" w14:textId="15792132"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3" w:history="1">
        <w:r w:rsidRPr="00B6585E">
          <w:rPr>
            <w:rStyle w:val="Hyperlink"/>
            <w:noProof/>
            <w:color w:val="000000" w:themeColor="text1"/>
          </w:rPr>
          <w:t>9.2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Exclusion Criteria</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21</w:t>
        </w:r>
        <w:r w:rsidRPr="00B6585E">
          <w:rPr>
            <w:noProof/>
            <w:webHidden/>
            <w:color w:val="000000" w:themeColor="text1"/>
          </w:rPr>
          <w:fldChar w:fldCharType="end"/>
        </w:r>
      </w:hyperlink>
    </w:p>
    <w:p w14:paraId="06588FD5" w14:textId="311DA761"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4" w:history="1">
        <w:r w:rsidRPr="00B6585E">
          <w:rPr>
            <w:rStyle w:val="Hyperlink"/>
            <w:noProof/>
            <w:color w:val="000000" w:themeColor="text1"/>
          </w:rPr>
          <w:t>9.3</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Patient Recruitment and Informed Consent</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21</w:t>
        </w:r>
        <w:r w:rsidRPr="00B6585E">
          <w:rPr>
            <w:noProof/>
            <w:webHidden/>
            <w:color w:val="000000" w:themeColor="text1"/>
          </w:rPr>
          <w:fldChar w:fldCharType="end"/>
        </w:r>
      </w:hyperlink>
    </w:p>
    <w:p w14:paraId="0E928379" w14:textId="11DC6F57"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5" w:history="1">
        <w:r w:rsidRPr="00B6585E">
          <w:rPr>
            <w:rStyle w:val="Hyperlink"/>
            <w:noProof/>
            <w:color w:val="000000" w:themeColor="text1"/>
          </w:rPr>
          <w:t>9.4</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Randomization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21</w:t>
        </w:r>
        <w:r w:rsidRPr="00B6585E">
          <w:rPr>
            <w:noProof/>
            <w:webHidden/>
            <w:color w:val="000000" w:themeColor="text1"/>
          </w:rPr>
          <w:fldChar w:fldCharType="end"/>
        </w:r>
      </w:hyperlink>
    </w:p>
    <w:p w14:paraId="25CA6910" w14:textId="3E4617B0"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6" w:history="1">
        <w:r w:rsidRPr="00B6585E">
          <w:rPr>
            <w:rStyle w:val="Hyperlink"/>
            <w:noProof/>
            <w:color w:val="000000" w:themeColor="text1"/>
          </w:rPr>
          <w:t>9.5</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Anonymization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21</w:t>
        </w:r>
        <w:r w:rsidRPr="00B6585E">
          <w:rPr>
            <w:noProof/>
            <w:webHidden/>
            <w:color w:val="000000" w:themeColor="text1"/>
          </w:rPr>
          <w:fldChar w:fldCharType="end"/>
        </w:r>
      </w:hyperlink>
    </w:p>
    <w:p w14:paraId="612D55D0" w14:textId="7AACA54E"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7" w:history="1">
        <w:r w:rsidRPr="00B6585E">
          <w:rPr>
            <w:rStyle w:val="Hyperlink"/>
            <w:noProof/>
            <w:color w:val="000000" w:themeColor="text1"/>
          </w:rPr>
          <w:t>9.6</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Trial Interventions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_Toc96924967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22</w:t>
        </w:r>
        <w:r w:rsidRPr="00B6585E">
          <w:rPr>
            <w:noProof/>
            <w:webHidden/>
            <w:color w:val="000000" w:themeColor="text1"/>
          </w:rPr>
          <w:fldChar w:fldCharType="end"/>
        </w:r>
      </w:hyperlink>
    </w:p>
    <w:p w14:paraId="234205F3" w14:textId="3EF85695"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68" w:history="1">
        <w:r w:rsidRPr="00B6585E">
          <w:rPr>
            <w:rStyle w:val="Hyperlink"/>
            <w:noProof/>
            <w:color w:val="000000" w:themeColor="text1"/>
          </w:rPr>
          <w:t>9.7</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Study Drug Preparation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22</w:t>
        </w:r>
        <w:r w:rsidRPr="00B6585E">
          <w:rPr>
            <w:noProof/>
            <w:webHidden/>
            <w:color w:val="000000" w:themeColor="text1"/>
          </w:rPr>
          <w:fldChar w:fldCharType="end"/>
        </w:r>
      </w:hyperlink>
    </w:p>
    <w:p w14:paraId="36EAF8A5" w14:textId="57D2F263"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69" w:history="1">
        <w:r w:rsidRPr="00B6585E">
          <w:rPr>
            <w:rStyle w:val="Hyperlink"/>
            <w:noProof/>
            <w:color w:val="000000" w:themeColor="text1"/>
          </w:rPr>
          <w:t>9.7.1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Placebo</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_Toc96924969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23</w:t>
        </w:r>
        <w:r w:rsidRPr="00B6585E">
          <w:rPr>
            <w:noProof/>
            <w:webHidden/>
            <w:color w:val="000000" w:themeColor="text1"/>
          </w:rPr>
          <w:fldChar w:fldCharType="end"/>
        </w:r>
      </w:hyperlink>
    </w:p>
    <w:p w14:paraId="6F51A2B6" w14:textId="69A4E7C0"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70" w:history="1">
        <w:r w:rsidRPr="00B6585E">
          <w:rPr>
            <w:rStyle w:val="Hyperlink"/>
            <w:noProof/>
            <w:color w:val="000000" w:themeColor="text1"/>
          </w:rPr>
          <w:t>9.7.2</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Packaging</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_Toc96924970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23</w:t>
        </w:r>
        <w:r w:rsidRPr="00B6585E">
          <w:rPr>
            <w:noProof/>
            <w:webHidden/>
            <w:color w:val="000000" w:themeColor="text1"/>
          </w:rPr>
          <w:fldChar w:fldCharType="end"/>
        </w:r>
      </w:hyperlink>
    </w:p>
    <w:p w14:paraId="29DC18FA" w14:textId="14108C5C"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71" w:history="1">
        <w:r w:rsidRPr="00B6585E">
          <w:rPr>
            <w:rStyle w:val="Hyperlink"/>
            <w:noProof/>
            <w:color w:val="000000" w:themeColor="text1"/>
          </w:rPr>
          <w:t>9.7.3</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Labeling</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_Toc96924971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23</w:t>
        </w:r>
        <w:r w:rsidRPr="00B6585E">
          <w:rPr>
            <w:noProof/>
            <w:webHidden/>
            <w:color w:val="000000" w:themeColor="text1"/>
          </w:rPr>
          <w:fldChar w:fldCharType="end"/>
        </w:r>
      </w:hyperlink>
    </w:p>
    <w:p w14:paraId="7BB70835" w14:textId="25FAD881"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72" w:history="1">
        <w:r w:rsidRPr="00B6585E">
          <w:rPr>
            <w:rStyle w:val="Hyperlink"/>
            <w:noProof/>
            <w:color w:val="000000" w:themeColor="text1"/>
          </w:rPr>
          <w:t>9.7.4</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Preparation and Handling</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23</w:t>
        </w:r>
        <w:r w:rsidRPr="00B6585E">
          <w:rPr>
            <w:noProof/>
            <w:webHidden/>
            <w:color w:val="000000" w:themeColor="text1"/>
          </w:rPr>
          <w:fldChar w:fldCharType="end"/>
        </w:r>
      </w:hyperlink>
    </w:p>
    <w:p w14:paraId="37C2CDD8" w14:textId="4B875D41"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73" w:history="1">
        <w:r w:rsidRPr="00B6585E">
          <w:rPr>
            <w:rStyle w:val="Hyperlink"/>
            <w:noProof/>
            <w:color w:val="000000" w:themeColor="text1"/>
          </w:rPr>
          <w:t>9.8</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Anesthesia protocol</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23</w:t>
        </w:r>
        <w:r w:rsidRPr="00B6585E">
          <w:rPr>
            <w:noProof/>
            <w:webHidden/>
            <w:color w:val="000000" w:themeColor="text1"/>
          </w:rPr>
          <w:fldChar w:fldCharType="end"/>
        </w:r>
      </w:hyperlink>
    </w:p>
    <w:p w14:paraId="475FA339" w14:textId="3050EECD" w:rsidR="001D162A" w:rsidRPr="00B6585E" w:rsidRDefault="001D162A">
      <w:pPr>
        <w:pStyle w:val="TOC3"/>
        <w:tabs>
          <w:tab w:val="left" w:pos="960"/>
          <w:tab w:val="right" w:pos="9628"/>
        </w:tabs>
        <w:rPr>
          <w:rFonts w:asciiTheme="minorHAnsi" w:eastAsiaTheme="minorEastAsia" w:hAnsiTheme="minorHAnsi" w:cstheme="minorBidi"/>
          <w:noProof/>
          <w:color w:val="000000" w:themeColor="text1"/>
          <w:sz w:val="24"/>
          <w:szCs w:val="24"/>
          <w:lang w:eastAsia="en-GB"/>
        </w:rPr>
      </w:pPr>
      <w:hyperlink w:anchor="_Toc96924974" w:history="1">
        <w:r w:rsidRPr="00B6585E">
          <w:rPr>
            <w:rStyle w:val="Hyperlink"/>
            <w:noProof/>
            <w:color w:val="000000" w:themeColor="text1"/>
          </w:rPr>
          <w:t>9.8.1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Blood Pressure Management</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24</w:t>
        </w:r>
        <w:r w:rsidRPr="00B6585E">
          <w:rPr>
            <w:noProof/>
            <w:webHidden/>
            <w:color w:val="000000" w:themeColor="text1"/>
          </w:rPr>
          <w:fldChar w:fldCharType="end"/>
        </w:r>
      </w:hyperlink>
    </w:p>
    <w:p w14:paraId="3B058DAF" w14:textId="5CEBF205"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75" w:history="1">
        <w:r w:rsidRPr="00B6585E">
          <w:rPr>
            <w:rStyle w:val="Hyperlink"/>
            <w:noProof/>
            <w:color w:val="000000" w:themeColor="text1"/>
          </w:rPr>
          <w:t>9.9</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Follow-Up</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26</w:t>
        </w:r>
        <w:r w:rsidRPr="00B6585E">
          <w:rPr>
            <w:noProof/>
            <w:webHidden/>
            <w:color w:val="000000" w:themeColor="text1"/>
          </w:rPr>
          <w:fldChar w:fldCharType="end"/>
        </w:r>
      </w:hyperlink>
    </w:p>
    <w:p w14:paraId="5F195374" w14:textId="1191B3DF"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76" w:history="1">
        <w:r w:rsidRPr="00B6585E">
          <w:rPr>
            <w:rStyle w:val="Hyperlink"/>
            <w:noProof/>
            <w:color w:val="000000" w:themeColor="text1"/>
          </w:rPr>
          <w:t>9.10</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Perioperative Patient Management</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26</w:t>
        </w:r>
        <w:r w:rsidRPr="00B6585E">
          <w:rPr>
            <w:noProof/>
            <w:webHidden/>
            <w:color w:val="000000" w:themeColor="text1"/>
          </w:rPr>
          <w:fldChar w:fldCharType="end"/>
        </w:r>
      </w:hyperlink>
    </w:p>
    <w:p w14:paraId="69A38405" w14:textId="5FE372CE"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77" w:history="1">
        <w:r w:rsidRPr="00B6585E">
          <w:rPr>
            <w:rStyle w:val="Hyperlink"/>
            <w:caps w:val="0"/>
            <w:noProof/>
            <w:color w:val="000000" w:themeColor="text1"/>
          </w:rPr>
          <w:t>10</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Measurements</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_Toc96924977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27</w:t>
        </w:r>
        <w:r w:rsidRPr="00B6585E">
          <w:rPr>
            <w:caps w:val="0"/>
            <w:noProof/>
            <w:webHidden/>
            <w:color w:val="000000" w:themeColor="text1"/>
          </w:rPr>
          <w:fldChar w:fldCharType="end"/>
        </w:r>
      </w:hyperlink>
    </w:p>
    <w:p w14:paraId="410CAFD3" w14:textId="21A718DB"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78" w:history="1">
        <w:r w:rsidRPr="00B6585E">
          <w:rPr>
            <w:rStyle w:val="Hyperlink"/>
            <w:noProof/>
            <w:color w:val="000000" w:themeColor="text1"/>
          </w:rPr>
          <w:t>10.1</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Demographic and Morphometric Data</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1EC1FCBC" w14:textId="07A3141D"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79" w:history="1">
        <w:r w:rsidRPr="00B6585E">
          <w:rPr>
            <w:rStyle w:val="Hyperlink"/>
            <w:noProof/>
            <w:color w:val="000000" w:themeColor="text1"/>
          </w:rPr>
          <w:t>10.2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Laboratory Measurements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_Toc96924979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13096BED" w14:textId="5BAD2AA8"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80" w:history="1">
        <w:r w:rsidRPr="00B6585E">
          <w:rPr>
            <w:rStyle w:val="Hyperlink"/>
            <w:noProof/>
            <w:color w:val="000000" w:themeColor="text1"/>
          </w:rPr>
          <w:t>10.2.1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Cardiac Biomarker</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_Toc96924980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6B7E1C57" w14:textId="1985724F"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81" w:history="1">
        <w:r w:rsidRPr="00B6585E">
          <w:rPr>
            <w:rStyle w:val="Hyperlink"/>
            <w:noProof/>
            <w:color w:val="000000" w:themeColor="text1"/>
          </w:rPr>
          <w:t>10.3</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Records of Routine Data</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_Toc96924981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60122D1D" w14:textId="7B3CD6A0"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82" w:history="1">
        <w:r w:rsidRPr="00B6585E">
          <w:rPr>
            <w:rStyle w:val="Hyperlink"/>
            <w:noProof/>
            <w:color w:val="000000" w:themeColor="text1"/>
          </w:rPr>
          <w:t>10.3.1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Intra/postoperative Data</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3459A6F3" w14:textId="6FE457D7"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83" w:history="1">
        <w:r w:rsidRPr="00B6585E">
          <w:rPr>
            <w:rStyle w:val="Hyperlink"/>
            <w:noProof/>
            <w:color w:val="000000" w:themeColor="text1"/>
          </w:rPr>
          <w:t>10.3.2</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Laboratory Measurements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6E6683F4" w14:textId="301C3B2E"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84" w:history="1">
        <w:r w:rsidRPr="00B6585E">
          <w:rPr>
            <w:rStyle w:val="Hyperlink"/>
            <w:noProof/>
            <w:color w:val="000000" w:themeColor="text1"/>
          </w:rPr>
          <w:t>10.4</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Follow Up</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27</w:t>
        </w:r>
        <w:r w:rsidRPr="00B6585E">
          <w:rPr>
            <w:noProof/>
            <w:webHidden/>
            <w:color w:val="000000" w:themeColor="text1"/>
          </w:rPr>
          <w:fldChar w:fldCharType="end"/>
        </w:r>
      </w:hyperlink>
    </w:p>
    <w:p w14:paraId="6DE11303" w14:textId="339CD9C7"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85" w:history="1">
        <w:r w:rsidRPr="00B6585E">
          <w:rPr>
            <w:rStyle w:val="Hyperlink"/>
            <w:noProof/>
            <w:color w:val="000000" w:themeColor="text1"/>
          </w:rPr>
          <w:t>10.5</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Data Analysis and Sample Size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28</w:t>
        </w:r>
        <w:r w:rsidRPr="00B6585E">
          <w:rPr>
            <w:noProof/>
            <w:webHidden/>
            <w:color w:val="000000" w:themeColor="text1"/>
          </w:rPr>
          <w:fldChar w:fldCharType="end"/>
        </w:r>
      </w:hyperlink>
    </w:p>
    <w:p w14:paraId="6EA33F2A" w14:textId="4470B2FC"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86" w:history="1">
        <w:r w:rsidRPr="00B6585E">
          <w:rPr>
            <w:rStyle w:val="Hyperlink"/>
            <w:noProof/>
            <w:color w:val="000000" w:themeColor="text1"/>
          </w:rPr>
          <w:t>10.5.1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Primary Endpoint and Hypothesis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28</w:t>
        </w:r>
        <w:r w:rsidRPr="00B6585E">
          <w:rPr>
            <w:noProof/>
            <w:webHidden/>
            <w:color w:val="000000" w:themeColor="text1"/>
          </w:rPr>
          <w:fldChar w:fldCharType="end"/>
        </w:r>
      </w:hyperlink>
    </w:p>
    <w:p w14:paraId="07BB2FD0" w14:textId="1C6EA558"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87" w:history="1">
        <w:r w:rsidRPr="00B6585E">
          <w:rPr>
            <w:rStyle w:val="Hyperlink"/>
            <w:noProof/>
            <w:color w:val="000000" w:themeColor="text1"/>
          </w:rPr>
          <w:t>10.5.2</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Statistical Analysis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_Toc96924987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28</w:t>
        </w:r>
        <w:r w:rsidRPr="00B6585E">
          <w:rPr>
            <w:noProof/>
            <w:webHidden/>
            <w:color w:val="000000" w:themeColor="text1"/>
          </w:rPr>
          <w:fldChar w:fldCharType="end"/>
        </w:r>
      </w:hyperlink>
    </w:p>
    <w:p w14:paraId="3325F44A" w14:textId="6D55D0E7"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88" w:history="1">
        <w:r w:rsidRPr="00B6585E">
          <w:rPr>
            <w:rStyle w:val="Hyperlink"/>
            <w:noProof/>
            <w:color w:val="000000" w:themeColor="text1"/>
          </w:rPr>
          <w:t>10.5.3</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Sample Size Considerations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_Toc96924988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28</w:t>
        </w:r>
        <w:r w:rsidRPr="00B6585E">
          <w:rPr>
            <w:noProof/>
            <w:webHidden/>
            <w:color w:val="000000" w:themeColor="text1"/>
          </w:rPr>
          <w:fldChar w:fldCharType="end"/>
        </w:r>
      </w:hyperlink>
    </w:p>
    <w:p w14:paraId="5219776D" w14:textId="01437133"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89" w:history="1">
        <w:r w:rsidRPr="00B6585E">
          <w:rPr>
            <w:rStyle w:val="Hyperlink"/>
            <w:caps w:val="0"/>
            <w:noProof/>
            <w:color w:val="000000" w:themeColor="text1"/>
          </w:rPr>
          <w:t>11</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Risk/benefit assessment</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_Toc96924989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30</w:t>
        </w:r>
        <w:r w:rsidRPr="00B6585E">
          <w:rPr>
            <w:caps w:val="0"/>
            <w:noProof/>
            <w:webHidden/>
            <w:color w:val="000000" w:themeColor="text1"/>
          </w:rPr>
          <w:fldChar w:fldCharType="end"/>
        </w:r>
      </w:hyperlink>
    </w:p>
    <w:p w14:paraId="36076172" w14:textId="2D2F1BDB"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90" w:history="1">
        <w:r w:rsidRPr="00B6585E">
          <w:rPr>
            <w:rStyle w:val="Hyperlink"/>
            <w:noProof/>
            <w:color w:val="000000" w:themeColor="text1"/>
          </w:rPr>
          <w:t>11.1</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Risk</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_Toc96924990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30</w:t>
        </w:r>
        <w:r w:rsidRPr="00B6585E">
          <w:rPr>
            <w:noProof/>
            <w:webHidden/>
            <w:color w:val="000000" w:themeColor="text1"/>
          </w:rPr>
          <w:fldChar w:fldCharType="end"/>
        </w:r>
      </w:hyperlink>
    </w:p>
    <w:p w14:paraId="54322BE1" w14:textId="794F0B4B"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91" w:history="1">
        <w:r w:rsidRPr="00B6585E">
          <w:rPr>
            <w:rStyle w:val="Hyperlink"/>
            <w:noProof/>
            <w:color w:val="000000" w:themeColor="text1"/>
          </w:rPr>
          <w:t>11.2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Benefit</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_Toc96924991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30</w:t>
        </w:r>
        <w:r w:rsidRPr="00B6585E">
          <w:rPr>
            <w:noProof/>
            <w:webHidden/>
            <w:color w:val="000000" w:themeColor="text1"/>
          </w:rPr>
          <w:fldChar w:fldCharType="end"/>
        </w:r>
      </w:hyperlink>
    </w:p>
    <w:p w14:paraId="23CA2BEF" w14:textId="23B4AA3C"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92" w:history="1">
        <w:r w:rsidRPr="00B6585E">
          <w:rPr>
            <w:rStyle w:val="Hyperlink"/>
            <w:noProof/>
            <w:color w:val="000000" w:themeColor="text1"/>
          </w:rPr>
          <w:t>11.3</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Patient privacy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31</w:t>
        </w:r>
        <w:r w:rsidRPr="00B6585E">
          <w:rPr>
            <w:noProof/>
            <w:webHidden/>
            <w:color w:val="000000" w:themeColor="text1"/>
          </w:rPr>
          <w:fldChar w:fldCharType="end"/>
        </w:r>
      </w:hyperlink>
    </w:p>
    <w:p w14:paraId="1E043775" w14:textId="29AF1C8A"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93" w:history="1">
        <w:r w:rsidRPr="00B6585E">
          <w:rPr>
            <w:rStyle w:val="Hyperlink"/>
            <w:noProof/>
            <w:color w:val="000000" w:themeColor="text1"/>
          </w:rPr>
          <w:t>11.4</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Recruitment and Informed Consent</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31</w:t>
        </w:r>
        <w:r w:rsidRPr="00B6585E">
          <w:rPr>
            <w:noProof/>
            <w:webHidden/>
            <w:color w:val="000000" w:themeColor="text1"/>
          </w:rPr>
          <w:fldChar w:fldCharType="end"/>
        </w:r>
      </w:hyperlink>
    </w:p>
    <w:p w14:paraId="22D04FDC" w14:textId="2E216BBD"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94" w:history="1">
        <w:r w:rsidRPr="00B6585E">
          <w:rPr>
            <w:rStyle w:val="Hyperlink"/>
            <w:noProof/>
            <w:color w:val="000000" w:themeColor="text1"/>
          </w:rPr>
          <w:t>11.5</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Gender Aspects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31</w:t>
        </w:r>
        <w:r w:rsidRPr="00B6585E">
          <w:rPr>
            <w:noProof/>
            <w:webHidden/>
            <w:color w:val="000000" w:themeColor="text1"/>
          </w:rPr>
          <w:fldChar w:fldCharType="end"/>
        </w:r>
      </w:hyperlink>
    </w:p>
    <w:p w14:paraId="2C9461EC" w14:textId="36FBBB4F"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4995" w:history="1">
        <w:r w:rsidRPr="00B6585E">
          <w:rPr>
            <w:rStyle w:val="Hyperlink"/>
            <w:caps w:val="0"/>
            <w:noProof/>
            <w:color w:val="000000" w:themeColor="text1"/>
          </w:rPr>
          <w:t>12</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Reporting Events</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_Toc96924995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32</w:t>
        </w:r>
        <w:r w:rsidRPr="00B6585E">
          <w:rPr>
            <w:caps w:val="0"/>
            <w:noProof/>
            <w:webHidden/>
            <w:color w:val="000000" w:themeColor="text1"/>
          </w:rPr>
          <w:fldChar w:fldCharType="end"/>
        </w:r>
      </w:hyperlink>
    </w:p>
    <w:p w14:paraId="537D5AA6" w14:textId="3D974CA8"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96" w:history="1">
        <w:r w:rsidRPr="00B6585E">
          <w:rPr>
            <w:rStyle w:val="Hyperlink"/>
            <w:noProof/>
            <w:color w:val="000000" w:themeColor="text1"/>
          </w:rPr>
          <w:t>12.1.1</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Adverse (Drug) Reaction (ADR)</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32</w:t>
        </w:r>
        <w:r w:rsidRPr="00B6585E">
          <w:rPr>
            <w:noProof/>
            <w:webHidden/>
            <w:color w:val="000000" w:themeColor="text1"/>
          </w:rPr>
          <w:fldChar w:fldCharType="end"/>
        </w:r>
      </w:hyperlink>
    </w:p>
    <w:p w14:paraId="0B0B69D3" w14:textId="298961DF"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97" w:history="1">
        <w:r w:rsidRPr="00B6585E">
          <w:rPr>
            <w:rStyle w:val="Hyperlink"/>
            <w:noProof/>
            <w:color w:val="000000" w:themeColor="text1"/>
          </w:rPr>
          <w:t>12.1.2</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Suspected Unexpected Serious Adverse Reactions (SUSAR)</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_Toc96924997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32</w:t>
        </w:r>
        <w:r w:rsidRPr="00B6585E">
          <w:rPr>
            <w:noProof/>
            <w:webHidden/>
            <w:color w:val="000000" w:themeColor="text1"/>
          </w:rPr>
          <w:fldChar w:fldCharType="end"/>
        </w:r>
      </w:hyperlink>
    </w:p>
    <w:p w14:paraId="4FE77D1F" w14:textId="1FF4FAB9" w:rsidR="001D162A" w:rsidRPr="00B6585E" w:rsidRDefault="001D162A">
      <w:pPr>
        <w:pStyle w:val="TOC3"/>
        <w:tabs>
          <w:tab w:val="left" w:pos="1200"/>
          <w:tab w:val="right" w:pos="9628"/>
        </w:tabs>
        <w:rPr>
          <w:rFonts w:asciiTheme="minorHAnsi" w:eastAsiaTheme="minorEastAsia" w:hAnsiTheme="minorHAnsi" w:cstheme="minorBidi"/>
          <w:noProof/>
          <w:color w:val="000000" w:themeColor="text1"/>
          <w:sz w:val="24"/>
          <w:szCs w:val="24"/>
          <w:lang w:eastAsia="en-GB"/>
        </w:rPr>
      </w:pPr>
      <w:hyperlink w:anchor="_Toc96924998" w:history="1">
        <w:r w:rsidRPr="00B6585E">
          <w:rPr>
            <w:rStyle w:val="Hyperlink"/>
            <w:noProof/>
            <w:color w:val="000000" w:themeColor="text1"/>
          </w:rPr>
          <w:t>12.1.3</w:t>
        </w:r>
        <w:r w:rsidRPr="00B6585E">
          <w:rPr>
            <w:rFonts w:asciiTheme="minorHAnsi" w:eastAsiaTheme="minorEastAsia" w:hAnsiTheme="minorHAnsi" w:cstheme="minorBidi"/>
            <w:noProof/>
            <w:color w:val="000000" w:themeColor="text1"/>
            <w:sz w:val="24"/>
            <w:szCs w:val="24"/>
            <w:lang w:eastAsia="en-GB"/>
          </w:rPr>
          <w:tab/>
        </w:r>
        <w:r w:rsidRPr="00B6585E">
          <w:rPr>
            <w:rStyle w:val="Hyperlink"/>
            <w:noProof/>
            <w:color w:val="000000" w:themeColor="text1"/>
          </w:rPr>
          <w:t>Serious Adverse Events (SAE)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32</w:t>
        </w:r>
        <w:r w:rsidRPr="00B6585E">
          <w:rPr>
            <w:noProof/>
            <w:webHidden/>
            <w:color w:val="000000" w:themeColor="text1"/>
          </w:rPr>
          <w:fldChar w:fldCharType="end"/>
        </w:r>
      </w:hyperlink>
    </w:p>
    <w:p w14:paraId="7EB7F450" w14:textId="47774B49"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4999" w:history="1">
        <w:r w:rsidRPr="00B6585E">
          <w:rPr>
            <w:rStyle w:val="Hyperlink"/>
            <w:noProof/>
            <w:color w:val="000000" w:themeColor="text1"/>
          </w:rPr>
          <w:t>12.2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Pregnancy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_Toc96924999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33</w:t>
        </w:r>
        <w:r w:rsidRPr="00B6585E">
          <w:rPr>
            <w:noProof/>
            <w:webHidden/>
            <w:color w:val="000000" w:themeColor="text1"/>
          </w:rPr>
          <w:fldChar w:fldCharType="end"/>
        </w:r>
      </w:hyperlink>
    </w:p>
    <w:p w14:paraId="72248A09" w14:textId="0BDEF390"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0" w:history="1">
        <w:r w:rsidRPr="00B6585E">
          <w:rPr>
            <w:rStyle w:val="Hyperlink"/>
            <w:noProof/>
            <w:color w:val="000000" w:themeColor="text1"/>
          </w:rPr>
          <w:t>12.3</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Data and Safety Monitoring Board</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_Toc96925000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33</w:t>
        </w:r>
        <w:r w:rsidRPr="00B6585E">
          <w:rPr>
            <w:noProof/>
            <w:webHidden/>
            <w:color w:val="000000" w:themeColor="text1"/>
          </w:rPr>
          <w:fldChar w:fldCharType="end"/>
        </w:r>
      </w:hyperlink>
    </w:p>
    <w:p w14:paraId="7ED0678A" w14:textId="3C9EF939"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1" w:history="1">
        <w:r w:rsidRPr="00B6585E">
          <w:rPr>
            <w:rStyle w:val="Hyperlink"/>
            <w:noProof/>
            <w:color w:val="000000" w:themeColor="text1"/>
          </w:rPr>
          <w:t>12.4</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Emergency Unblinding and Termination of the Study Drug</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_Toc96925001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33</w:t>
        </w:r>
        <w:r w:rsidRPr="00B6585E">
          <w:rPr>
            <w:noProof/>
            <w:webHidden/>
            <w:color w:val="000000" w:themeColor="text1"/>
          </w:rPr>
          <w:fldChar w:fldCharType="end"/>
        </w:r>
      </w:hyperlink>
    </w:p>
    <w:p w14:paraId="1C21051B" w14:textId="3EB4BC9E"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2" w:history="1">
        <w:r w:rsidRPr="00B6585E">
          <w:rPr>
            <w:rStyle w:val="Hyperlink"/>
            <w:noProof/>
            <w:color w:val="000000" w:themeColor="text1"/>
          </w:rPr>
          <w:t>12.5</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Termination of the study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33</w:t>
        </w:r>
        <w:r w:rsidRPr="00B6585E">
          <w:rPr>
            <w:noProof/>
            <w:webHidden/>
            <w:color w:val="000000" w:themeColor="text1"/>
          </w:rPr>
          <w:fldChar w:fldCharType="end"/>
        </w:r>
      </w:hyperlink>
    </w:p>
    <w:p w14:paraId="39CDACE8" w14:textId="0239116F"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3" w:history="1">
        <w:r w:rsidRPr="00B6585E">
          <w:rPr>
            <w:rStyle w:val="Hyperlink"/>
            <w:noProof/>
            <w:color w:val="000000" w:themeColor="text1"/>
          </w:rPr>
          <w:t>12.6</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Adjudication of Trial Outcomes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33</w:t>
        </w:r>
        <w:r w:rsidRPr="00B6585E">
          <w:rPr>
            <w:noProof/>
            <w:webHidden/>
            <w:color w:val="000000" w:themeColor="text1"/>
          </w:rPr>
          <w:fldChar w:fldCharType="end"/>
        </w:r>
      </w:hyperlink>
    </w:p>
    <w:p w14:paraId="226F20CB" w14:textId="62E3B7A1"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4" w:history="1">
        <w:r w:rsidRPr="00B6585E">
          <w:rPr>
            <w:rStyle w:val="Hyperlink"/>
            <w:noProof/>
            <w:color w:val="000000" w:themeColor="text1"/>
          </w:rPr>
          <w:t>12.7</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Data Monitoring</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33</w:t>
        </w:r>
        <w:r w:rsidRPr="00B6585E">
          <w:rPr>
            <w:noProof/>
            <w:webHidden/>
            <w:color w:val="000000" w:themeColor="text1"/>
          </w:rPr>
          <w:fldChar w:fldCharType="end"/>
        </w:r>
      </w:hyperlink>
    </w:p>
    <w:p w14:paraId="1C49BD6D" w14:textId="6B3ED9C9"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5" w:history="1">
        <w:r w:rsidRPr="00B6585E">
          <w:rPr>
            <w:rStyle w:val="Hyperlink"/>
            <w:noProof/>
            <w:color w:val="000000" w:themeColor="text1"/>
          </w:rPr>
          <w:t>12.8</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Direct access to source data/documents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34</w:t>
        </w:r>
        <w:r w:rsidRPr="00B6585E">
          <w:rPr>
            <w:noProof/>
            <w:webHidden/>
            <w:color w:val="000000" w:themeColor="text1"/>
          </w:rPr>
          <w:fldChar w:fldCharType="end"/>
        </w:r>
      </w:hyperlink>
    </w:p>
    <w:p w14:paraId="53F4C27B" w14:textId="684E41B2"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6" w:history="1">
        <w:r w:rsidRPr="00B6585E">
          <w:rPr>
            <w:rStyle w:val="Hyperlink"/>
            <w:noProof/>
            <w:color w:val="000000" w:themeColor="text1"/>
          </w:rPr>
          <w:t>12.9</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Other Management at the discretion of the attending physician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34</w:t>
        </w:r>
        <w:r w:rsidRPr="00B6585E">
          <w:rPr>
            <w:noProof/>
            <w:webHidden/>
            <w:color w:val="000000" w:themeColor="text1"/>
          </w:rPr>
          <w:fldChar w:fldCharType="end"/>
        </w:r>
      </w:hyperlink>
    </w:p>
    <w:p w14:paraId="6FD5D840" w14:textId="4D50B981"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5007" w:history="1">
        <w:r w:rsidRPr="00B6585E">
          <w:rPr>
            <w:rStyle w:val="Hyperlink"/>
            <w:caps w:val="0"/>
            <w:noProof/>
            <w:color w:val="000000" w:themeColor="text1"/>
          </w:rPr>
          <w:t>13</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Ethical and Legal Aspects</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_Toc96925007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35</w:t>
        </w:r>
        <w:r w:rsidRPr="00B6585E">
          <w:rPr>
            <w:caps w:val="0"/>
            <w:noProof/>
            <w:webHidden/>
            <w:color w:val="000000" w:themeColor="text1"/>
          </w:rPr>
          <w:fldChar w:fldCharType="end"/>
        </w:r>
      </w:hyperlink>
    </w:p>
    <w:p w14:paraId="79D5FAD8" w14:textId="0D32C7A9"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8" w:history="1">
        <w:r w:rsidRPr="00B6585E">
          <w:rPr>
            <w:rStyle w:val="Hyperlink"/>
            <w:noProof/>
            <w:color w:val="000000" w:themeColor="text1"/>
          </w:rPr>
          <w:t>13.1</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Informed consent subjects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35</w:t>
        </w:r>
        <w:r w:rsidRPr="00B6585E">
          <w:rPr>
            <w:noProof/>
            <w:webHidden/>
            <w:color w:val="000000" w:themeColor="text1"/>
          </w:rPr>
          <w:fldChar w:fldCharType="end"/>
        </w:r>
      </w:hyperlink>
    </w:p>
    <w:p w14:paraId="21052A61" w14:textId="2A438AED"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09" w:history="1">
        <w:r w:rsidRPr="00B6585E">
          <w:rPr>
            <w:rStyle w:val="Hyperlink"/>
            <w:noProof/>
            <w:color w:val="000000" w:themeColor="text1"/>
          </w:rPr>
          <w:t>13.2</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Ethical and good clinical practice (GCP)</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_Toc96925009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35</w:t>
        </w:r>
        <w:r w:rsidRPr="00B6585E">
          <w:rPr>
            <w:noProof/>
            <w:webHidden/>
            <w:color w:val="000000" w:themeColor="text1"/>
          </w:rPr>
          <w:fldChar w:fldCharType="end"/>
        </w:r>
      </w:hyperlink>
    </w:p>
    <w:p w14:paraId="5E379318" w14:textId="6C54CEAE"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0" w:history="1">
        <w:r w:rsidRPr="00B6585E">
          <w:rPr>
            <w:rStyle w:val="Hyperlink"/>
            <w:noProof/>
            <w:color w:val="000000" w:themeColor="text1"/>
          </w:rPr>
          <w:t>13.3</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Acknowledgement / approval of the study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_Toc96925010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35</w:t>
        </w:r>
        <w:r w:rsidRPr="00B6585E">
          <w:rPr>
            <w:noProof/>
            <w:webHidden/>
            <w:color w:val="000000" w:themeColor="text1"/>
          </w:rPr>
          <w:fldChar w:fldCharType="end"/>
        </w:r>
      </w:hyperlink>
    </w:p>
    <w:p w14:paraId="1512E0FB" w14:textId="31A898D2"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1" w:history="1">
        <w:r w:rsidRPr="00B6585E">
          <w:rPr>
            <w:rStyle w:val="Hyperlink"/>
            <w:noProof/>
            <w:color w:val="000000" w:themeColor="text1"/>
          </w:rPr>
          <w:t>13.4</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Data Management and Safety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_Toc96925011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35</w:t>
        </w:r>
        <w:r w:rsidRPr="00B6585E">
          <w:rPr>
            <w:noProof/>
            <w:webHidden/>
            <w:color w:val="000000" w:themeColor="text1"/>
          </w:rPr>
          <w:fldChar w:fldCharType="end"/>
        </w:r>
      </w:hyperlink>
    </w:p>
    <w:p w14:paraId="104DA7D2" w14:textId="09ED92FC"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2" w:history="1">
        <w:r w:rsidRPr="00B6585E">
          <w:rPr>
            <w:rStyle w:val="Hyperlink"/>
            <w:noProof/>
            <w:color w:val="000000" w:themeColor="text1"/>
          </w:rPr>
          <w:t>13.5</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Quality assurance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_Toc96925012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36</w:t>
        </w:r>
        <w:r w:rsidRPr="00B6585E">
          <w:rPr>
            <w:noProof/>
            <w:webHidden/>
            <w:color w:val="000000" w:themeColor="text1"/>
          </w:rPr>
          <w:fldChar w:fldCharType="end"/>
        </w:r>
      </w:hyperlink>
    </w:p>
    <w:p w14:paraId="0E2BE455" w14:textId="3531F620"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3" w:history="1">
        <w:r w:rsidRPr="00B6585E">
          <w:rPr>
            <w:rStyle w:val="Hyperlink"/>
            <w:noProof/>
            <w:color w:val="000000" w:themeColor="text1"/>
          </w:rPr>
          <w:t>13.6</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Dissemination policy</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_Toc96925013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36</w:t>
        </w:r>
        <w:r w:rsidRPr="00B6585E">
          <w:rPr>
            <w:noProof/>
            <w:webHidden/>
            <w:color w:val="000000" w:themeColor="text1"/>
          </w:rPr>
          <w:fldChar w:fldCharType="end"/>
        </w:r>
      </w:hyperlink>
    </w:p>
    <w:p w14:paraId="44E33778" w14:textId="4B4BAD31"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4" w:history="1">
        <w:r w:rsidRPr="00B6585E">
          <w:rPr>
            <w:rStyle w:val="Hyperlink"/>
            <w:noProof/>
            <w:color w:val="000000" w:themeColor="text1"/>
          </w:rPr>
          <w:t>13.7</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Insurance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36</w:t>
        </w:r>
        <w:r w:rsidRPr="00B6585E">
          <w:rPr>
            <w:noProof/>
            <w:webHidden/>
            <w:color w:val="000000" w:themeColor="text1"/>
          </w:rPr>
          <w:fldChar w:fldCharType="end"/>
        </w:r>
      </w:hyperlink>
    </w:p>
    <w:p w14:paraId="5BD3BEF9" w14:textId="2939CAF8"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5" w:history="1">
        <w:r w:rsidRPr="00B6585E">
          <w:rPr>
            <w:rStyle w:val="Hyperlink"/>
            <w:noProof/>
            <w:color w:val="000000" w:themeColor="text1"/>
          </w:rPr>
          <w:t>13.8</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Financing</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36</w:t>
        </w:r>
        <w:r w:rsidRPr="00B6585E">
          <w:rPr>
            <w:noProof/>
            <w:webHidden/>
            <w:color w:val="000000" w:themeColor="text1"/>
          </w:rPr>
          <w:fldChar w:fldCharType="end"/>
        </w:r>
      </w:hyperlink>
    </w:p>
    <w:p w14:paraId="65524221" w14:textId="779A5518" w:rsidR="001D162A" w:rsidRPr="00B6585E" w:rsidRDefault="001D162A">
      <w:pPr>
        <w:pStyle w:val="TOC2"/>
        <w:tabs>
          <w:tab w:val="left" w:pos="720"/>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6" w:history="1">
        <w:r w:rsidRPr="00B6585E">
          <w:rPr>
            <w:rStyle w:val="Hyperlink"/>
            <w:noProof/>
            <w:color w:val="000000" w:themeColor="text1"/>
          </w:rPr>
          <w:t>13.9</w:t>
        </w:r>
        <w:r w:rsidRPr="00B6585E">
          <w:rPr>
            <w:rFonts w:asciiTheme="minorHAnsi" w:eastAsiaTheme="minorEastAsia" w:hAnsiTheme="minorHAnsi" w:cstheme="minorBidi"/>
            <w:b w:val="0"/>
            <w:bCs w:val="0"/>
            <w:noProof/>
            <w:color w:val="000000" w:themeColor="text1"/>
            <w:sz w:val="24"/>
            <w:szCs w:val="24"/>
            <w:lang w:eastAsia="en-GB"/>
          </w:rPr>
          <w:tab/>
        </w:r>
        <w:r w:rsidRPr="00B6585E">
          <w:rPr>
            <w:rStyle w:val="Hyperlink"/>
            <w:noProof/>
            <w:color w:val="000000" w:themeColor="text1"/>
          </w:rPr>
          <w:t>Substudies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36</w:t>
        </w:r>
        <w:r w:rsidRPr="00B6585E">
          <w:rPr>
            <w:noProof/>
            <w:webHidden/>
            <w:color w:val="000000" w:themeColor="text1"/>
          </w:rPr>
          <w:fldChar w:fldCharType="end"/>
        </w:r>
      </w:hyperlink>
    </w:p>
    <w:p w14:paraId="1FBFC681" w14:textId="46E97394"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5017" w:history="1">
        <w:r w:rsidRPr="00B6585E">
          <w:rPr>
            <w:rStyle w:val="Hyperlink"/>
            <w:caps w:val="0"/>
            <w:noProof/>
            <w:color w:val="000000" w:themeColor="text1"/>
          </w:rPr>
          <w:t>14</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References</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_Toc96925017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37</w:t>
        </w:r>
        <w:r w:rsidRPr="00B6585E">
          <w:rPr>
            <w:caps w:val="0"/>
            <w:noProof/>
            <w:webHidden/>
            <w:color w:val="000000" w:themeColor="text1"/>
          </w:rPr>
          <w:fldChar w:fldCharType="end"/>
        </w:r>
      </w:hyperlink>
    </w:p>
    <w:p w14:paraId="1B2F0687" w14:textId="6CB1A95C" w:rsidR="001D162A" w:rsidRPr="00B6585E" w:rsidRDefault="001D162A">
      <w:pPr>
        <w:pStyle w:val="TOC1"/>
        <w:rPr>
          <w:rFonts w:asciiTheme="minorHAnsi" w:eastAsiaTheme="minorEastAsia" w:hAnsiTheme="minorHAnsi" w:cstheme="minorBidi"/>
          <w:b w:val="0"/>
          <w:bCs w:val="0"/>
          <w:caps w:val="0"/>
          <w:noProof/>
          <w:color w:val="000000" w:themeColor="text1"/>
          <w:sz w:val="24"/>
          <w:szCs w:val="24"/>
          <w:lang w:eastAsia="en-GB"/>
        </w:rPr>
      </w:pPr>
      <w:hyperlink w:anchor="_Toc96925018" w:history="1">
        <w:r w:rsidRPr="00B6585E">
          <w:rPr>
            <w:rStyle w:val="Hyperlink"/>
            <w:caps w:val="0"/>
            <w:noProof/>
            <w:color w:val="000000" w:themeColor="text1"/>
          </w:rPr>
          <w:t>15</w:t>
        </w:r>
        <w:r w:rsidRPr="00B6585E">
          <w:rPr>
            <w:rFonts w:asciiTheme="minorHAnsi" w:eastAsiaTheme="minorEastAsia" w:hAnsiTheme="minorHAnsi" w:cstheme="minorBidi"/>
            <w:b w:val="0"/>
            <w:bCs w:val="0"/>
            <w:caps w:val="0"/>
            <w:noProof/>
            <w:color w:val="000000" w:themeColor="text1"/>
            <w:sz w:val="24"/>
            <w:szCs w:val="24"/>
            <w:lang w:eastAsia="en-GB"/>
          </w:rPr>
          <w:tab/>
        </w:r>
        <w:r w:rsidRPr="00B6585E">
          <w:rPr>
            <w:rStyle w:val="Hyperlink"/>
            <w:caps w:val="0"/>
            <w:noProof/>
            <w:color w:val="000000" w:themeColor="text1"/>
          </w:rPr>
          <w:t>APPENDIX</w:t>
        </w:r>
        <w:r w:rsidRPr="00B6585E">
          <w:rPr>
            <w:caps w:val="0"/>
            <w:noProof/>
            <w:webHidden/>
            <w:color w:val="000000" w:themeColor="text1"/>
          </w:rPr>
          <w:tab/>
        </w:r>
        <w:r w:rsidRPr="00B6585E">
          <w:rPr>
            <w:caps w:val="0"/>
            <w:noProof/>
            <w:webHidden/>
            <w:color w:val="000000" w:themeColor="text1"/>
          </w:rPr>
          <w:fldChar w:fldCharType="begin"/>
        </w:r>
        <w:r w:rsidRPr="00B6585E">
          <w:rPr>
            <w:caps w:val="0"/>
            <w:noProof/>
            <w:webHidden/>
            <w:color w:val="000000" w:themeColor="text1"/>
          </w:rPr>
          <w:instrText xml:space="preserve"> PAGEREF _Toc96925018 \h </w:instrText>
        </w:r>
        <w:r w:rsidRPr="00B6585E">
          <w:rPr>
            <w:caps w:val="0"/>
            <w:noProof/>
            <w:webHidden/>
            <w:color w:val="000000" w:themeColor="text1"/>
          </w:rPr>
        </w:r>
        <w:r w:rsidRPr="00B6585E">
          <w:rPr>
            <w:caps w:val="0"/>
            <w:noProof/>
            <w:webHidden/>
            <w:color w:val="000000" w:themeColor="text1"/>
          </w:rPr>
          <w:fldChar w:fldCharType="separate"/>
        </w:r>
        <w:r w:rsidRPr="00B6585E">
          <w:rPr>
            <w:caps w:val="0"/>
            <w:noProof/>
            <w:webHidden/>
            <w:color w:val="000000" w:themeColor="text1"/>
          </w:rPr>
          <w:t>42</w:t>
        </w:r>
        <w:r w:rsidRPr="00B6585E">
          <w:rPr>
            <w:caps w:val="0"/>
            <w:noProof/>
            <w:webHidden/>
            <w:color w:val="000000" w:themeColor="text1"/>
          </w:rPr>
          <w:fldChar w:fldCharType="end"/>
        </w:r>
      </w:hyperlink>
    </w:p>
    <w:p w14:paraId="761A1D57" w14:textId="6504E8AC"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19" w:history="1">
        <w:r w:rsidRPr="00B6585E">
          <w:rPr>
            <w:rStyle w:val="Hyperlink"/>
            <w:noProof/>
            <w:color w:val="000000" w:themeColor="text1"/>
          </w:rPr>
          <w:t>15.1 Appendix I: Definition of Perioperative Complications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_Toc96925019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42</w:t>
        </w:r>
        <w:r w:rsidRPr="00B6585E">
          <w:rPr>
            <w:noProof/>
            <w:webHidden/>
            <w:color w:val="000000" w:themeColor="text1"/>
          </w:rPr>
          <w:fldChar w:fldCharType="end"/>
        </w:r>
      </w:hyperlink>
    </w:p>
    <w:p w14:paraId="285B3829" w14:textId="5571B90B"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29" w:history="1">
        <w:r w:rsidRPr="00B6585E">
          <w:rPr>
            <w:rStyle w:val="Hyperlink"/>
            <w:noProof/>
            <w:color w:val="000000" w:themeColor="text1"/>
          </w:rPr>
          <w:t>15.2 Appendix II: Sub-study I: Body Composition Monitor</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_Toc96925029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44</w:t>
        </w:r>
        <w:r w:rsidRPr="00B6585E">
          <w:rPr>
            <w:noProof/>
            <w:webHidden/>
            <w:color w:val="000000" w:themeColor="text1"/>
          </w:rPr>
          <w:fldChar w:fldCharType="end"/>
        </w:r>
      </w:hyperlink>
    </w:p>
    <w:p w14:paraId="1279D17B" w14:textId="0980614C"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35" w:history="1">
        <w:r w:rsidRPr="00B6585E">
          <w:rPr>
            <w:rStyle w:val="Hyperlink"/>
            <w:noProof/>
            <w:color w:val="000000" w:themeColor="text1"/>
          </w:rPr>
          <w:t>15.3 Appendix III: Sub-study II: Renal Function</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_Toc96925035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46</w:t>
        </w:r>
        <w:r w:rsidRPr="00B6585E">
          <w:rPr>
            <w:noProof/>
            <w:webHidden/>
            <w:color w:val="000000" w:themeColor="text1"/>
          </w:rPr>
          <w:fldChar w:fldCharType="end"/>
        </w:r>
      </w:hyperlink>
    </w:p>
    <w:p w14:paraId="7595B716" w14:textId="33E4547E"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39" w:history="1">
        <w:r w:rsidRPr="00B6585E">
          <w:rPr>
            <w:rStyle w:val="Hyperlink"/>
            <w:noProof/>
            <w:color w:val="000000" w:themeColor="text1"/>
          </w:rPr>
          <w:t>15.4 Appendix IV: Sub-study III: Inflammatory Response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_Toc96925039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48</w:t>
        </w:r>
        <w:r w:rsidRPr="00B6585E">
          <w:rPr>
            <w:noProof/>
            <w:webHidden/>
            <w:color w:val="000000" w:themeColor="text1"/>
          </w:rPr>
          <w:fldChar w:fldCharType="end"/>
        </w:r>
      </w:hyperlink>
    </w:p>
    <w:p w14:paraId="4CFDB7FA" w14:textId="01DBF9D5"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44" w:history="1">
        <w:r w:rsidRPr="00B6585E">
          <w:rPr>
            <w:rStyle w:val="Hyperlink"/>
            <w:noProof/>
            <w:color w:val="000000" w:themeColor="text1"/>
          </w:rPr>
          <w:t>15.5 Appendix IV: Time Schedule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_Toc96925044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50</w:t>
        </w:r>
        <w:r w:rsidRPr="00B6585E">
          <w:rPr>
            <w:noProof/>
            <w:webHidden/>
            <w:color w:val="000000" w:themeColor="text1"/>
          </w:rPr>
          <w:fldChar w:fldCharType="end"/>
        </w:r>
      </w:hyperlink>
    </w:p>
    <w:p w14:paraId="3C87E2D0" w14:textId="32B5B375"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45" w:history="1">
        <w:r w:rsidRPr="00B6585E">
          <w:rPr>
            <w:rStyle w:val="Hyperlink"/>
            <w:noProof/>
            <w:color w:val="000000" w:themeColor="text1"/>
          </w:rPr>
          <w:t>15.6 Appendix V: Study specific laboratory measurements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_Toc96925045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51</w:t>
        </w:r>
        <w:r w:rsidRPr="00B6585E">
          <w:rPr>
            <w:noProof/>
            <w:webHidden/>
            <w:color w:val="000000" w:themeColor="text1"/>
          </w:rPr>
          <w:fldChar w:fldCharType="end"/>
        </w:r>
      </w:hyperlink>
    </w:p>
    <w:p w14:paraId="44151C1B" w14:textId="4CB6A656"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46" w:history="1">
        <w:r w:rsidRPr="00B6585E">
          <w:rPr>
            <w:rStyle w:val="Hyperlink"/>
            <w:noProof/>
            <w:color w:val="000000" w:themeColor="text1"/>
          </w:rPr>
          <w:t>15.7 Appendix VI: WHODAS 2.0</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_Toc96925046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52</w:t>
        </w:r>
        <w:r w:rsidRPr="00B6585E">
          <w:rPr>
            <w:noProof/>
            <w:webHidden/>
            <w:color w:val="000000" w:themeColor="text1"/>
          </w:rPr>
          <w:fldChar w:fldCharType="end"/>
        </w:r>
      </w:hyperlink>
    </w:p>
    <w:p w14:paraId="78E409C7" w14:textId="32692715"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47" w:history="1">
        <w:r w:rsidRPr="00B6585E">
          <w:rPr>
            <w:rStyle w:val="Hyperlink"/>
            <w:noProof/>
            <w:color w:val="000000" w:themeColor="text1"/>
          </w:rPr>
          <w:t>15.8 Appendix VII: Definitions of surgeries</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_Toc96925047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53</w:t>
        </w:r>
        <w:r w:rsidRPr="00B6585E">
          <w:rPr>
            <w:noProof/>
            <w:webHidden/>
            <w:color w:val="000000" w:themeColor="text1"/>
          </w:rPr>
          <w:fldChar w:fldCharType="end"/>
        </w:r>
      </w:hyperlink>
    </w:p>
    <w:p w14:paraId="5F580C8E" w14:textId="1ABF42EA" w:rsidR="001D162A" w:rsidRPr="00B6585E" w:rsidRDefault="001D162A">
      <w:pPr>
        <w:pStyle w:val="TOC2"/>
        <w:tabs>
          <w:tab w:val="right" w:pos="9628"/>
        </w:tabs>
        <w:rPr>
          <w:rFonts w:asciiTheme="minorHAnsi" w:eastAsiaTheme="minorEastAsia" w:hAnsiTheme="minorHAnsi" w:cstheme="minorBidi"/>
          <w:b w:val="0"/>
          <w:bCs w:val="0"/>
          <w:noProof/>
          <w:color w:val="000000" w:themeColor="text1"/>
          <w:sz w:val="24"/>
          <w:szCs w:val="24"/>
          <w:lang w:eastAsia="en-GB"/>
        </w:rPr>
      </w:pPr>
      <w:hyperlink w:anchor="_Toc96925048" w:history="1">
        <w:r w:rsidRPr="00B6585E">
          <w:rPr>
            <w:rStyle w:val="Hyperlink"/>
            <w:noProof/>
            <w:color w:val="000000" w:themeColor="text1"/>
          </w:rPr>
          <w:t>15.9  Appendix VII: IMPROVE Trial - Incidence of neurocognitive decline</w:t>
        </w:r>
        <w:r w:rsidRPr="00B6585E">
          <w:rPr>
            <w:noProof/>
            <w:webHidden/>
            <w:color w:val="000000" w:themeColor="text1"/>
          </w:rPr>
          <w:tab/>
        </w:r>
        <w:r w:rsidRPr="00B6585E">
          <w:rPr>
            <w:noProof/>
            <w:webHidden/>
            <w:color w:val="000000" w:themeColor="text1"/>
          </w:rPr>
          <w:fldChar w:fldCharType="begin"/>
        </w:r>
        <w:r w:rsidRPr="00B6585E">
          <w:rPr>
            <w:noProof/>
            <w:webHidden/>
            <w:color w:val="000000" w:themeColor="text1"/>
          </w:rPr>
          <w:instrText xml:space="preserve"> PAGEREF _Toc96925048 \h </w:instrText>
        </w:r>
        <w:r w:rsidRPr="00B6585E">
          <w:rPr>
            <w:noProof/>
            <w:webHidden/>
            <w:color w:val="000000" w:themeColor="text1"/>
          </w:rPr>
        </w:r>
        <w:r w:rsidRPr="00B6585E">
          <w:rPr>
            <w:noProof/>
            <w:webHidden/>
            <w:color w:val="000000" w:themeColor="text1"/>
          </w:rPr>
          <w:fldChar w:fldCharType="separate"/>
        </w:r>
        <w:r w:rsidRPr="00B6585E">
          <w:rPr>
            <w:noProof/>
            <w:webHidden/>
            <w:color w:val="000000" w:themeColor="text1"/>
          </w:rPr>
          <w:t>54</w:t>
        </w:r>
        <w:r w:rsidRPr="00B6585E">
          <w:rPr>
            <w:noProof/>
            <w:webHidden/>
            <w:color w:val="000000" w:themeColor="text1"/>
          </w:rPr>
          <w:fldChar w:fldCharType="end"/>
        </w:r>
      </w:hyperlink>
    </w:p>
    <w:p w14:paraId="11F615C5" w14:textId="727D90E3" w:rsidR="00931A60" w:rsidRPr="00B6585E" w:rsidRDefault="00CF5524">
      <w:pPr>
        <w:spacing w:after="120"/>
        <w:ind w:right="-7"/>
        <w:rPr>
          <w:color w:val="000000" w:themeColor="text1"/>
        </w:rPr>
      </w:pPr>
      <w:r w:rsidRPr="00B6585E">
        <w:rPr>
          <w:color w:val="000000" w:themeColor="text1"/>
        </w:rPr>
        <w:fldChar w:fldCharType="end"/>
      </w:r>
    </w:p>
    <w:p w14:paraId="38EF33CA" w14:textId="115F7B2E" w:rsidR="00CF5524" w:rsidRPr="00B6585E" w:rsidRDefault="00CF5524" w:rsidP="00CF5524">
      <w:pPr>
        <w:pStyle w:val="TOC1"/>
        <w:rPr>
          <w:rFonts w:eastAsia="MS Gothic"/>
          <w:b w:val="0"/>
          <w:bCs w:val="0"/>
          <w:color w:val="000000" w:themeColor="text1"/>
          <w:szCs w:val="22"/>
        </w:rPr>
      </w:pPr>
    </w:p>
    <w:p w14:paraId="358AEE0B" w14:textId="0ACCFA63" w:rsidR="00CF5524" w:rsidRPr="00B6585E" w:rsidRDefault="00CF5524" w:rsidP="00304D11">
      <w:pPr>
        <w:pStyle w:val="Heading1"/>
      </w:pPr>
      <w:bookmarkStart w:id="0" w:name="_Toc96924940"/>
      <w:bookmarkStart w:id="1" w:name="_Toc23231293"/>
      <w:r w:rsidRPr="00B6585E">
        <w:lastRenderedPageBreak/>
        <w:t>Abbreviations</w:t>
      </w:r>
      <w:bookmarkEnd w:id="0"/>
    </w:p>
    <w:bookmarkEnd w:id="1"/>
    <w:p w14:paraId="7E46C4DD" w14:textId="223D1B18"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AE</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Adverse event</w:t>
      </w:r>
    </w:p>
    <w:p w14:paraId="7BFB45D2" w14:textId="1D452B15"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AKI</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Acute kidney injury</w:t>
      </w:r>
    </w:p>
    <w:p w14:paraId="71B28D16" w14:textId="0192836C"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ASA</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American Society of Anesthesiologist physical status</w:t>
      </w:r>
    </w:p>
    <w:p w14:paraId="69DB724F" w14:textId="6CC881F3" w:rsidR="004E2CF1" w:rsidRPr="00B6585E" w:rsidRDefault="004E2CF1" w:rsidP="009427C5">
      <w:pPr>
        <w:spacing w:after="120" w:line="360" w:lineRule="auto"/>
        <w:ind w:right="-7"/>
        <w:jc w:val="both"/>
        <w:rPr>
          <w:rFonts w:ascii="Arial" w:hAnsi="Arial" w:cs="Arial"/>
          <w:bCs/>
          <w:color w:val="000000" w:themeColor="text1"/>
          <w:sz w:val="22"/>
          <w:szCs w:val="22"/>
        </w:rPr>
      </w:pPr>
      <w:r w:rsidRPr="00B6585E">
        <w:rPr>
          <w:rFonts w:ascii="Arial" w:hAnsi="Arial" w:cs="Arial"/>
          <w:bCs/>
          <w:color w:val="000000" w:themeColor="text1"/>
          <w:sz w:val="22"/>
          <w:szCs w:val="22"/>
        </w:rPr>
        <w:t xml:space="preserve">BCM </w:t>
      </w:r>
      <w:r w:rsidRPr="00B6585E">
        <w:rPr>
          <w:rFonts w:ascii="Arial" w:hAnsi="Arial" w:cs="Arial"/>
          <w:bCs/>
          <w:color w:val="000000" w:themeColor="text1"/>
          <w:sz w:val="22"/>
          <w:szCs w:val="22"/>
        </w:rPr>
        <w:tab/>
      </w:r>
      <w:r w:rsidRPr="00B6585E">
        <w:rPr>
          <w:rFonts w:ascii="Arial" w:hAnsi="Arial" w:cs="Arial"/>
          <w:bCs/>
          <w:color w:val="000000" w:themeColor="text1"/>
          <w:sz w:val="22"/>
          <w:szCs w:val="22"/>
        </w:rPr>
        <w:tab/>
      </w:r>
      <w:r w:rsidR="00EA06B0" w:rsidRPr="00B6585E">
        <w:rPr>
          <w:rFonts w:ascii="Arial" w:hAnsi="Arial" w:cs="Arial"/>
          <w:bCs/>
          <w:color w:val="000000" w:themeColor="text1"/>
          <w:sz w:val="22"/>
          <w:szCs w:val="22"/>
        </w:rPr>
        <w:tab/>
      </w:r>
      <w:r w:rsidRPr="00B6585E">
        <w:rPr>
          <w:rFonts w:ascii="Arial" w:hAnsi="Arial" w:cs="Arial"/>
          <w:bCs/>
          <w:color w:val="000000" w:themeColor="text1"/>
          <w:sz w:val="22"/>
          <w:szCs w:val="22"/>
        </w:rPr>
        <w:t>Body Composition Monitor</w:t>
      </w:r>
    </w:p>
    <w:p w14:paraId="22BD4181" w14:textId="632E3E90"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BNP</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brain natriuretic peptide</w:t>
      </w:r>
    </w:p>
    <w:p w14:paraId="5186AE8E" w14:textId="0023064A"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CHF</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congestive heart failure</w:t>
      </w:r>
    </w:p>
    <w:p w14:paraId="36E35C5F" w14:textId="5AB4EE8B"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CO</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cardiac output</w:t>
      </w:r>
    </w:p>
    <w:p w14:paraId="4B5B79BC" w14:textId="6A302409"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cTnI</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cardiac troponin I</w:t>
      </w:r>
    </w:p>
    <w:p w14:paraId="0F59F73E" w14:textId="53E357D1"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cTnT</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cardiac troponin T</w:t>
      </w:r>
    </w:p>
    <w:p w14:paraId="096EC61E" w14:textId="53ACD201"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CVP</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central venous pressure</w:t>
      </w:r>
    </w:p>
    <w:p w14:paraId="79B31009" w14:textId="28014B7A"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DSMB</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Data Safety Monitoring Board</w:t>
      </w:r>
    </w:p>
    <w:p w14:paraId="657B30BD" w14:textId="54B95C5D"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eCRF</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electronic Case Report Form</w:t>
      </w:r>
    </w:p>
    <w:p w14:paraId="4209AC16" w14:textId="66193BD7" w:rsidR="004E2CF1" w:rsidRPr="00B6585E" w:rsidRDefault="004E2CF1" w:rsidP="009427C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ECW</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extracellular body water</w:t>
      </w:r>
    </w:p>
    <w:p w14:paraId="081B9147" w14:textId="4AEF546D" w:rsidR="004E2CF1" w:rsidRPr="00B6585E" w:rsidRDefault="004E2CF1" w:rsidP="009427C5">
      <w:pPr>
        <w:spacing w:after="120" w:line="360" w:lineRule="auto"/>
        <w:ind w:right="-7"/>
        <w:jc w:val="both"/>
        <w:rPr>
          <w:rFonts w:ascii="Arial" w:hAnsi="Arial" w:cs="Arial"/>
          <w:color w:val="000000" w:themeColor="text1"/>
          <w:sz w:val="22"/>
          <w:szCs w:val="22"/>
        </w:rPr>
      </w:pPr>
      <w:r w:rsidRPr="00B6585E">
        <w:rPr>
          <w:rFonts w:ascii="Arial" w:hAnsi="Arial" w:cs="Arial"/>
          <w:bCs/>
          <w:color w:val="000000" w:themeColor="text1"/>
          <w:sz w:val="22"/>
          <w:szCs w:val="22"/>
        </w:rPr>
        <w:t>eGFR</w:t>
      </w:r>
      <w:r w:rsidRPr="00B6585E">
        <w:rPr>
          <w:rFonts w:ascii="Arial" w:hAnsi="Arial" w:cs="Arial"/>
          <w:bCs/>
          <w:color w:val="000000" w:themeColor="text1"/>
          <w:sz w:val="22"/>
          <w:szCs w:val="22"/>
        </w:rPr>
        <w:tab/>
      </w:r>
      <w:r w:rsidRPr="00B6585E">
        <w:rPr>
          <w:rFonts w:ascii="Arial" w:hAnsi="Arial" w:cs="Arial"/>
          <w:bCs/>
          <w:color w:val="000000" w:themeColor="text1"/>
          <w:sz w:val="22"/>
          <w:szCs w:val="22"/>
        </w:rPr>
        <w:tab/>
      </w:r>
      <w:r w:rsidR="00EA06B0" w:rsidRPr="00B6585E">
        <w:rPr>
          <w:rFonts w:ascii="Arial" w:hAnsi="Arial" w:cs="Arial"/>
          <w:bCs/>
          <w:color w:val="000000" w:themeColor="text1"/>
          <w:sz w:val="22"/>
          <w:szCs w:val="22"/>
        </w:rPr>
        <w:tab/>
      </w:r>
      <w:r w:rsidRPr="00B6585E">
        <w:rPr>
          <w:rFonts w:ascii="Arial" w:hAnsi="Arial" w:cs="Arial"/>
          <w:bCs/>
          <w:color w:val="000000" w:themeColor="text1"/>
          <w:sz w:val="22"/>
          <w:szCs w:val="22"/>
        </w:rPr>
        <w:t xml:space="preserve">estimated </w:t>
      </w:r>
      <w:r w:rsidR="00EA06B0" w:rsidRPr="00B6585E">
        <w:rPr>
          <w:rFonts w:ascii="Arial" w:hAnsi="Arial" w:cs="Arial"/>
          <w:bCs/>
          <w:color w:val="000000" w:themeColor="text1"/>
          <w:sz w:val="22"/>
          <w:szCs w:val="22"/>
        </w:rPr>
        <w:t>G</w:t>
      </w:r>
      <w:r w:rsidRPr="00B6585E">
        <w:rPr>
          <w:rFonts w:ascii="Arial" w:hAnsi="Arial" w:cs="Arial"/>
          <w:bCs/>
          <w:color w:val="000000" w:themeColor="text1"/>
          <w:sz w:val="22"/>
          <w:szCs w:val="22"/>
        </w:rPr>
        <w:t xml:space="preserve">lomerular </w:t>
      </w:r>
      <w:r w:rsidR="00EA06B0" w:rsidRPr="00B6585E">
        <w:rPr>
          <w:rFonts w:ascii="Arial" w:hAnsi="Arial" w:cs="Arial"/>
          <w:bCs/>
          <w:color w:val="000000" w:themeColor="text1"/>
          <w:sz w:val="22"/>
          <w:szCs w:val="22"/>
        </w:rPr>
        <w:t>F</w:t>
      </w:r>
      <w:r w:rsidRPr="00B6585E">
        <w:rPr>
          <w:rFonts w:ascii="Arial" w:hAnsi="Arial" w:cs="Arial"/>
          <w:bCs/>
          <w:color w:val="000000" w:themeColor="text1"/>
          <w:sz w:val="22"/>
          <w:szCs w:val="22"/>
        </w:rPr>
        <w:t>iltration</w:t>
      </w:r>
      <w:r w:rsidRPr="00B6585E">
        <w:rPr>
          <w:rFonts w:ascii="Arial" w:hAnsi="Arial" w:cs="Arial"/>
          <w:color w:val="000000" w:themeColor="text1"/>
          <w:sz w:val="22"/>
          <w:szCs w:val="22"/>
        </w:rPr>
        <w:t xml:space="preserve"> </w:t>
      </w:r>
      <w:r w:rsidR="00EA06B0" w:rsidRPr="00B6585E">
        <w:rPr>
          <w:rFonts w:ascii="Arial" w:hAnsi="Arial" w:cs="Arial"/>
          <w:color w:val="000000" w:themeColor="text1"/>
          <w:sz w:val="22"/>
          <w:szCs w:val="22"/>
        </w:rPr>
        <w:t>R</w:t>
      </w:r>
      <w:r w:rsidRPr="00B6585E">
        <w:rPr>
          <w:rFonts w:ascii="Arial" w:hAnsi="Arial" w:cs="Arial"/>
          <w:color w:val="000000" w:themeColor="text1"/>
          <w:sz w:val="22"/>
          <w:szCs w:val="22"/>
        </w:rPr>
        <w:t>ate</w:t>
      </w:r>
    </w:p>
    <w:p w14:paraId="24A0F6A2" w14:textId="5A86B682"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FiO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vertAlign w:val="subscript"/>
        </w:rPr>
        <w:tab/>
      </w:r>
      <w:r w:rsidRPr="00B6585E">
        <w:rPr>
          <w:rFonts w:ascii="Arial" w:hAnsi="Arial" w:cs="Arial"/>
          <w:color w:val="000000" w:themeColor="text1"/>
          <w:sz w:val="22"/>
          <w:szCs w:val="22"/>
          <w:vertAlign w:val="subscript"/>
        </w:rPr>
        <w:tab/>
      </w:r>
      <w:r w:rsidR="00EA06B0" w:rsidRPr="00B6585E">
        <w:rPr>
          <w:rFonts w:ascii="Arial" w:hAnsi="Arial" w:cs="Arial"/>
          <w:color w:val="000000" w:themeColor="text1"/>
          <w:sz w:val="22"/>
          <w:szCs w:val="22"/>
          <w:vertAlign w:val="subscript"/>
        </w:rPr>
        <w:tab/>
      </w:r>
      <w:r w:rsidRPr="00B6585E">
        <w:rPr>
          <w:rFonts w:ascii="Arial" w:hAnsi="Arial" w:cs="Arial"/>
          <w:color w:val="000000" w:themeColor="text1"/>
          <w:sz w:val="22"/>
          <w:szCs w:val="22"/>
        </w:rPr>
        <w:t xml:space="preserve">inspired oxygen fraction </w:t>
      </w:r>
    </w:p>
    <w:p w14:paraId="4E227446" w14:textId="7D147C0E"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FTc</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corrected flow time</w:t>
      </w:r>
    </w:p>
    <w:p w14:paraId="1AD38FF4" w14:textId="15E81555"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HFpEF</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heart failure with preserved ejection fraction</w:t>
      </w:r>
    </w:p>
    <w:p w14:paraId="4146340B" w14:textId="03871541"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HFrEF</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heart failure with reduced ejection fraction</w:t>
      </w:r>
    </w:p>
    <w:p w14:paraId="3D4770E0" w14:textId="70471B01"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HR</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Heart Rate</w:t>
      </w:r>
    </w:p>
    <w:p w14:paraId="78C203E8" w14:textId="72E3DEA2"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ICU</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Intensive care unit</w:t>
      </w:r>
    </w:p>
    <w:p w14:paraId="461CE6DF" w14:textId="2AE0F4FF"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ICW</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intracellular body water</w:t>
      </w:r>
    </w:p>
    <w:p w14:paraId="4AC6D29D" w14:textId="1323B621" w:rsidR="00091B2B" w:rsidRPr="00B6585E" w:rsidRDefault="00091B2B"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IRB</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Institutional Review Board</w:t>
      </w:r>
    </w:p>
    <w:p w14:paraId="5DD1E222" w14:textId="5C0EBB25"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LVEF</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Left ventricular ejection fraction</w:t>
      </w:r>
    </w:p>
    <w:p w14:paraId="57DD2C7C" w14:textId="3C2E6C42"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MAP</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mean arterial pressure</w:t>
      </w:r>
    </w:p>
    <w:p w14:paraId="5B006DBB" w14:textId="3A59CDE8"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maxNT-</w:t>
      </w:r>
      <w:r w:rsidR="00EA06B0" w:rsidRPr="00B6585E">
        <w:rPr>
          <w:rFonts w:ascii="Arial" w:hAnsi="Arial" w:cs="Arial"/>
          <w:color w:val="000000" w:themeColor="text1"/>
          <w:sz w:val="22"/>
          <w:szCs w:val="22"/>
        </w:rPr>
        <w:t>pro</w:t>
      </w:r>
      <w:r w:rsidRPr="00B6585E">
        <w:rPr>
          <w:rFonts w:ascii="Arial" w:hAnsi="Arial" w:cs="Arial"/>
          <w:color w:val="000000" w:themeColor="text1"/>
          <w:sz w:val="22"/>
          <w:szCs w:val="22"/>
        </w:rPr>
        <w:t>BNP</w:t>
      </w:r>
      <w:r w:rsidRPr="00B6585E">
        <w:rPr>
          <w:rFonts w:ascii="Arial" w:hAnsi="Arial" w:cs="Arial"/>
          <w:color w:val="000000" w:themeColor="text1"/>
          <w:sz w:val="22"/>
          <w:szCs w:val="22"/>
        </w:rPr>
        <w:tab/>
        <w:t>maximum NT-</w:t>
      </w:r>
      <w:r w:rsidR="00EA06B0" w:rsidRPr="00B6585E">
        <w:rPr>
          <w:rFonts w:ascii="Arial" w:hAnsi="Arial" w:cs="Arial"/>
          <w:color w:val="000000" w:themeColor="text1"/>
          <w:sz w:val="22"/>
          <w:szCs w:val="22"/>
        </w:rPr>
        <w:t>pro</w:t>
      </w:r>
      <w:r w:rsidRPr="00B6585E">
        <w:rPr>
          <w:rFonts w:ascii="Arial" w:hAnsi="Arial" w:cs="Arial"/>
          <w:color w:val="000000" w:themeColor="text1"/>
          <w:sz w:val="22"/>
          <w:szCs w:val="22"/>
        </w:rPr>
        <w:t>BNP</w:t>
      </w:r>
    </w:p>
    <w:p w14:paraId="3A7E9339" w14:textId="2BA961E5"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maxTnT</w:t>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maximum TnT</w:t>
      </w:r>
    </w:p>
    <w:p w14:paraId="24E2C7F4" w14:textId="1C1D4B8F"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MI</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Myocardial Infarction</w:t>
      </w:r>
    </w:p>
    <w:p w14:paraId="2B1D91BE" w14:textId="2AE87DB9"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lastRenderedPageBreak/>
        <w:t>MINS</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myocardial injury after noncardiac surgery</w:t>
      </w:r>
    </w:p>
    <w:p w14:paraId="286CDF0C" w14:textId="7980FDA2"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NT-</w:t>
      </w:r>
      <w:r w:rsidR="00EA06B0" w:rsidRPr="00B6585E">
        <w:rPr>
          <w:rFonts w:ascii="Arial" w:hAnsi="Arial" w:cs="Arial"/>
          <w:color w:val="000000" w:themeColor="text1"/>
          <w:sz w:val="22"/>
          <w:szCs w:val="22"/>
        </w:rPr>
        <w:t>pro</w:t>
      </w:r>
      <w:r w:rsidRPr="00B6585E">
        <w:rPr>
          <w:rFonts w:ascii="Arial" w:hAnsi="Arial" w:cs="Arial"/>
          <w:color w:val="000000" w:themeColor="text1"/>
          <w:sz w:val="22"/>
          <w:szCs w:val="22"/>
        </w:rPr>
        <w:t>BNP</w:t>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 xml:space="preserve">n-terminal </w:t>
      </w:r>
      <w:r w:rsidR="00EA06B0" w:rsidRPr="00B6585E">
        <w:rPr>
          <w:rFonts w:ascii="Arial" w:hAnsi="Arial" w:cs="Arial"/>
          <w:color w:val="000000" w:themeColor="text1"/>
          <w:sz w:val="22"/>
          <w:szCs w:val="22"/>
        </w:rPr>
        <w:t xml:space="preserve">pro </w:t>
      </w:r>
      <w:r w:rsidRPr="00B6585E">
        <w:rPr>
          <w:rFonts w:ascii="Arial" w:hAnsi="Arial" w:cs="Arial"/>
          <w:color w:val="000000" w:themeColor="text1"/>
          <w:sz w:val="22"/>
          <w:szCs w:val="22"/>
        </w:rPr>
        <w:t>brain natriuretic peptide</w:t>
      </w:r>
    </w:p>
    <w:p w14:paraId="73B58B99" w14:textId="155776B5"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PACU</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Post anesthesia care unit</w:t>
      </w:r>
    </w:p>
    <w:p w14:paraId="16B96E49" w14:textId="5771C502" w:rsidR="004E2CF1" w:rsidRPr="00B6585E" w:rsidRDefault="004E2CF1" w:rsidP="000C7315">
      <w:pPr>
        <w:spacing w:after="120" w:line="360" w:lineRule="auto"/>
        <w:ind w:right="-7"/>
        <w:jc w:val="both"/>
        <w:rPr>
          <w:rFonts w:ascii="Arial" w:hAnsi="Arial" w:cs="Arial"/>
          <w:bCs/>
          <w:color w:val="000000" w:themeColor="text1"/>
          <w:sz w:val="22"/>
          <w:szCs w:val="22"/>
        </w:rPr>
      </w:pPr>
      <w:r w:rsidRPr="00B6585E">
        <w:rPr>
          <w:rFonts w:ascii="Arial" w:hAnsi="Arial" w:cs="Arial"/>
          <w:bCs/>
          <w:color w:val="000000" w:themeColor="text1"/>
          <w:sz w:val="22"/>
          <w:szCs w:val="22"/>
        </w:rPr>
        <w:t>pCO</w:t>
      </w:r>
      <w:r w:rsidRPr="00B6585E">
        <w:rPr>
          <w:rFonts w:ascii="Arial" w:hAnsi="Arial" w:cs="Arial"/>
          <w:bCs/>
          <w:color w:val="000000" w:themeColor="text1"/>
          <w:sz w:val="22"/>
          <w:szCs w:val="22"/>
          <w:vertAlign w:val="subscript"/>
        </w:rPr>
        <w:t>2</w:t>
      </w:r>
      <w:r w:rsidRPr="00B6585E">
        <w:rPr>
          <w:rFonts w:ascii="Arial" w:hAnsi="Arial" w:cs="Arial"/>
          <w:bCs/>
          <w:color w:val="000000" w:themeColor="text1"/>
          <w:sz w:val="22"/>
          <w:szCs w:val="22"/>
          <w:vertAlign w:val="subscript"/>
        </w:rPr>
        <w:tab/>
      </w:r>
      <w:r w:rsidRPr="00B6585E">
        <w:rPr>
          <w:rFonts w:ascii="Arial" w:hAnsi="Arial" w:cs="Arial"/>
          <w:bCs/>
          <w:color w:val="000000" w:themeColor="text1"/>
          <w:sz w:val="22"/>
          <w:szCs w:val="22"/>
          <w:vertAlign w:val="subscript"/>
        </w:rPr>
        <w:tab/>
      </w:r>
      <w:r w:rsidR="00EA06B0" w:rsidRPr="00B6585E">
        <w:rPr>
          <w:rFonts w:ascii="Arial" w:hAnsi="Arial" w:cs="Arial"/>
          <w:bCs/>
          <w:color w:val="000000" w:themeColor="text1"/>
          <w:sz w:val="22"/>
          <w:szCs w:val="22"/>
          <w:vertAlign w:val="subscript"/>
        </w:rPr>
        <w:tab/>
      </w:r>
      <w:r w:rsidRPr="00B6585E">
        <w:rPr>
          <w:rFonts w:ascii="Arial" w:hAnsi="Arial" w:cs="Arial"/>
          <w:bCs/>
          <w:color w:val="000000" w:themeColor="text1"/>
          <w:sz w:val="22"/>
          <w:szCs w:val="22"/>
        </w:rPr>
        <w:t>Carbon dioxide partial pressure</w:t>
      </w:r>
    </w:p>
    <w:p w14:paraId="62C8AA2E" w14:textId="648F318D"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bCs/>
          <w:color w:val="000000" w:themeColor="text1"/>
          <w:sz w:val="22"/>
          <w:szCs w:val="22"/>
        </w:rPr>
        <w:t>pO</w:t>
      </w:r>
      <w:r w:rsidRPr="00B6585E">
        <w:rPr>
          <w:rFonts w:ascii="Arial" w:hAnsi="Arial" w:cs="Arial"/>
          <w:bCs/>
          <w:color w:val="000000" w:themeColor="text1"/>
          <w:sz w:val="22"/>
          <w:szCs w:val="22"/>
          <w:vertAlign w:val="subscript"/>
        </w:rPr>
        <w:t>2</w:t>
      </w:r>
      <w:r w:rsidRPr="00B6585E">
        <w:rPr>
          <w:rFonts w:ascii="Arial" w:hAnsi="Arial" w:cs="Arial"/>
          <w:bCs/>
          <w:color w:val="000000" w:themeColor="text1"/>
          <w:sz w:val="22"/>
          <w:szCs w:val="22"/>
          <w:vertAlign w:val="subscript"/>
        </w:rPr>
        <w:tab/>
      </w:r>
      <w:r w:rsidRPr="00B6585E">
        <w:rPr>
          <w:rFonts w:ascii="Arial" w:hAnsi="Arial" w:cs="Arial"/>
          <w:bCs/>
          <w:color w:val="000000" w:themeColor="text1"/>
          <w:sz w:val="22"/>
          <w:szCs w:val="22"/>
          <w:vertAlign w:val="subscript"/>
        </w:rPr>
        <w:tab/>
      </w:r>
      <w:r w:rsidR="00EA06B0" w:rsidRPr="00B6585E">
        <w:rPr>
          <w:rFonts w:ascii="Arial" w:hAnsi="Arial" w:cs="Arial"/>
          <w:bCs/>
          <w:color w:val="000000" w:themeColor="text1"/>
          <w:sz w:val="22"/>
          <w:szCs w:val="22"/>
          <w:vertAlign w:val="subscript"/>
        </w:rPr>
        <w:tab/>
      </w:r>
      <w:r w:rsidRPr="00B6585E">
        <w:rPr>
          <w:rFonts w:ascii="Arial" w:hAnsi="Arial" w:cs="Arial"/>
          <w:bCs/>
          <w:color w:val="000000" w:themeColor="text1"/>
          <w:sz w:val="22"/>
          <w:szCs w:val="22"/>
        </w:rPr>
        <w:t>Oxygen partial pressure</w:t>
      </w:r>
    </w:p>
    <w:p w14:paraId="47358160" w14:textId="646CD83F"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ROS</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reactive oxygen species</w:t>
      </w:r>
    </w:p>
    <w:p w14:paraId="38DFDB73" w14:textId="3EB0C38D" w:rsidR="004E2CF1" w:rsidRPr="00B6585E" w:rsidRDefault="004E2CF1" w:rsidP="009427C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RRT </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Renal replacement therapy</w:t>
      </w:r>
    </w:p>
    <w:p w14:paraId="25F82161" w14:textId="1E4AC9D2" w:rsidR="004E2CF1" w:rsidRPr="00B6585E" w:rsidRDefault="004E2CF1" w:rsidP="000C731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SAE</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Serious Adverse Event</w:t>
      </w:r>
    </w:p>
    <w:p w14:paraId="3B255896" w14:textId="362D4FB6" w:rsidR="004E2CF1" w:rsidRPr="00B6585E" w:rsidRDefault="004E2CF1" w:rsidP="000C7315">
      <w:pPr>
        <w:spacing w:after="120" w:line="360" w:lineRule="auto"/>
        <w:ind w:right="-7"/>
        <w:jc w:val="both"/>
        <w:rPr>
          <w:rFonts w:ascii="Arial" w:hAnsi="Arial" w:cs="Arial"/>
          <w:bCs/>
          <w:color w:val="000000" w:themeColor="text1"/>
          <w:sz w:val="22"/>
          <w:szCs w:val="22"/>
        </w:rPr>
      </w:pPr>
      <w:r w:rsidRPr="00B6585E">
        <w:rPr>
          <w:rFonts w:ascii="Arial" w:hAnsi="Arial" w:cs="Arial"/>
          <w:bCs/>
          <w:color w:val="000000" w:themeColor="text1"/>
          <w:sz w:val="22"/>
          <w:szCs w:val="22"/>
        </w:rPr>
        <w:t>SV</w:t>
      </w:r>
      <w:r w:rsidRPr="00B6585E">
        <w:rPr>
          <w:rFonts w:ascii="Arial" w:hAnsi="Arial" w:cs="Arial"/>
          <w:bCs/>
          <w:color w:val="000000" w:themeColor="text1"/>
          <w:sz w:val="22"/>
          <w:szCs w:val="22"/>
        </w:rPr>
        <w:tab/>
      </w:r>
      <w:r w:rsidRPr="00B6585E">
        <w:rPr>
          <w:rFonts w:ascii="Arial" w:hAnsi="Arial" w:cs="Arial"/>
          <w:bCs/>
          <w:color w:val="000000" w:themeColor="text1"/>
          <w:sz w:val="22"/>
          <w:szCs w:val="22"/>
        </w:rPr>
        <w:tab/>
      </w:r>
      <w:r w:rsidR="00EA06B0" w:rsidRPr="00B6585E">
        <w:rPr>
          <w:rFonts w:ascii="Arial" w:hAnsi="Arial" w:cs="Arial"/>
          <w:bCs/>
          <w:color w:val="000000" w:themeColor="text1"/>
          <w:sz w:val="22"/>
          <w:szCs w:val="22"/>
        </w:rPr>
        <w:tab/>
      </w:r>
      <w:r w:rsidRPr="00B6585E">
        <w:rPr>
          <w:rFonts w:ascii="Arial" w:hAnsi="Arial" w:cs="Arial"/>
          <w:bCs/>
          <w:color w:val="000000" w:themeColor="text1"/>
          <w:sz w:val="22"/>
          <w:szCs w:val="22"/>
        </w:rPr>
        <w:t>Stroke Volume</w:t>
      </w:r>
    </w:p>
    <w:p w14:paraId="22C43DDF" w14:textId="0357CB78" w:rsidR="004E2CF1" w:rsidRPr="00B6585E" w:rsidRDefault="004E2CF1" w:rsidP="000C7315">
      <w:pPr>
        <w:spacing w:after="120" w:line="360" w:lineRule="auto"/>
        <w:ind w:right="-7"/>
        <w:jc w:val="both"/>
        <w:rPr>
          <w:rFonts w:ascii="Arial" w:hAnsi="Arial" w:cs="Arial"/>
          <w:bCs/>
          <w:color w:val="000000" w:themeColor="text1"/>
          <w:sz w:val="22"/>
          <w:szCs w:val="22"/>
        </w:rPr>
      </w:pPr>
      <w:r w:rsidRPr="00B6585E">
        <w:rPr>
          <w:rFonts w:ascii="Arial" w:hAnsi="Arial" w:cs="Arial"/>
          <w:bCs/>
          <w:color w:val="000000" w:themeColor="text1"/>
          <w:sz w:val="22"/>
          <w:szCs w:val="22"/>
        </w:rPr>
        <w:t>SVR</w:t>
      </w:r>
      <w:r w:rsidRPr="00B6585E">
        <w:rPr>
          <w:rFonts w:ascii="Arial" w:hAnsi="Arial" w:cs="Arial"/>
          <w:bCs/>
          <w:color w:val="000000" w:themeColor="text1"/>
          <w:sz w:val="22"/>
          <w:szCs w:val="22"/>
        </w:rPr>
        <w:tab/>
      </w:r>
      <w:r w:rsidRPr="00B6585E">
        <w:rPr>
          <w:rFonts w:ascii="Arial" w:hAnsi="Arial" w:cs="Arial"/>
          <w:bCs/>
          <w:color w:val="000000" w:themeColor="text1"/>
          <w:sz w:val="22"/>
          <w:szCs w:val="22"/>
        </w:rPr>
        <w:tab/>
      </w:r>
      <w:r w:rsidR="00EA06B0" w:rsidRPr="00B6585E">
        <w:rPr>
          <w:rFonts w:ascii="Arial" w:hAnsi="Arial" w:cs="Arial"/>
          <w:bCs/>
          <w:color w:val="000000" w:themeColor="text1"/>
          <w:sz w:val="22"/>
          <w:szCs w:val="22"/>
        </w:rPr>
        <w:tab/>
      </w:r>
      <w:r w:rsidRPr="00B6585E">
        <w:rPr>
          <w:rFonts w:ascii="Arial" w:hAnsi="Arial" w:cs="Arial"/>
          <w:bCs/>
          <w:color w:val="000000" w:themeColor="text1"/>
          <w:sz w:val="22"/>
          <w:szCs w:val="22"/>
        </w:rPr>
        <w:t>systemic vascular resistance</w:t>
      </w:r>
    </w:p>
    <w:p w14:paraId="5D866382" w14:textId="5A255F9B" w:rsidR="004E2CF1" w:rsidRPr="00B6585E" w:rsidRDefault="004E2CF1" w:rsidP="009427C5">
      <w:pPr>
        <w:spacing w:after="120" w:line="360" w:lineRule="auto"/>
        <w:ind w:right="-7"/>
        <w:jc w:val="both"/>
        <w:rPr>
          <w:rFonts w:ascii="Arial" w:hAnsi="Arial" w:cs="Arial"/>
          <w:color w:val="000000" w:themeColor="text1"/>
          <w:sz w:val="22"/>
          <w:szCs w:val="22"/>
        </w:rPr>
      </w:pPr>
      <w:r w:rsidRPr="00B6585E">
        <w:rPr>
          <w:rFonts w:ascii="Arial" w:hAnsi="Arial" w:cs="Arial"/>
          <w:color w:val="000000" w:themeColor="text1"/>
          <w:sz w:val="22"/>
          <w:szCs w:val="22"/>
        </w:rPr>
        <w:t>TBW</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EA06B0" w:rsidRPr="00B6585E">
        <w:rPr>
          <w:rFonts w:ascii="Arial" w:hAnsi="Arial" w:cs="Arial"/>
          <w:color w:val="000000" w:themeColor="text1"/>
          <w:sz w:val="22"/>
          <w:szCs w:val="22"/>
        </w:rPr>
        <w:tab/>
      </w:r>
      <w:r w:rsidRPr="00B6585E">
        <w:rPr>
          <w:rFonts w:ascii="Arial" w:hAnsi="Arial" w:cs="Arial"/>
          <w:color w:val="000000" w:themeColor="text1"/>
          <w:sz w:val="22"/>
          <w:szCs w:val="22"/>
        </w:rPr>
        <w:t>total body water</w:t>
      </w:r>
    </w:p>
    <w:p w14:paraId="07A467B8" w14:textId="66D1B32B" w:rsidR="004E2CF1" w:rsidRPr="00B6585E" w:rsidRDefault="004E2CF1" w:rsidP="009427C5">
      <w:pPr>
        <w:spacing w:after="120" w:line="360" w:lineRule="auto"/>
        <w:ind w:right="-7"/>
        <w:jc w:val="both"/>
        <w:rPr>
          <w:rFonts w:ascii="Arial" w:hAnsi="Arial" w:cs="Arial"/>
          <w:bCs/>
          <w:color w:val="000000" w:themeColor="text1"/>
          <w:sz w:val="22"/>
          <w:szCs w:val="22"/>
        </w:rPr>
      </w:pPr>
      <w:r w:rsidRPr="00B6585E">
        <w:rPr>
          <w:rFonts w:ascii="Arial" w:hAnsi="Arial" w:cs="Arial"/>
          <w:bCs/>
          <w:color w:val="000000" w:themeColor="text1"/>
          <w:sz w:val="22"/>
          <w:szCs w:val="22"/>
        </w:rPr>
        <w:t>TnT</w:t>
      </w:r>
      <w:r w:rsidRPr="00B6585E">
        <w:rPr>
          <w:rFonts w:ascii="Arial" w:hAnsi="Arial" w:cs="Arial"/>
          <w:bCs/>
          <w:color w:val="000000" w:themeColor="text1"/>
          <w:sz w:val="22"/>
          <w:szCs w:val="22"/>
        </w:rPr>
        <w:tab/>
      </w:r>
      <w:r w:rsidRPr="00B6585E">
        <w:rPr>
          <w:rFonts w:ascii="Arial" w:hAnsi="Arial" w:cs="Arial"/>
          <w:bCs/>
          <w:color w:val="000000" w:themeColor="text1"/>
          <w:sz w:val="22"/>
          <w:szCs w:val="22"/>
        </w:rPr>
        <w:tab/>
      </w:r>
      <w:r w:rsidR="00EA06B0" w:rsidRPr="00B6585E">
        <w:rPr>
          <w:rFonts w:ascii="Arial" w:hAnsi="Arial" w:cs="Arial"/>
          <w:bCs/>
          <w:color w:val="000000" w:themeColor="text1"/>
          <w:sz w:val="22"/>
          <w:szCs w:val="22"/>
        </w:rPr>
        <w:tab/>
      </w:r>
      <w:r w:rsidRPr="00B6585E">
        <w:rPr>
          <w:rFonts w:ascii="Arial" w:hAnsi="Arial" w:cs="Arial"/>
          <w:bCs/>
          <w:color w:val="000000" w:themeColor="text1"/>
          <w:sz w:val="22"/>
          <w:szCs w:val="22"/>
        </w:rPr>
        <w:t>Troponin T</w:t>
      </w:r>
    </w:p>
    <w:p w14:paraId="78977EEF" w14:textId="77777777" w:rsidR="00931A60" w:rsidRPr="00B6585E" w:rsidRDefault="00A221DB" w:rsidP="00304D11">
      <w:pPr>
        <w:pStyle w:val="Heading1"/>
      </w:pPr>
      <w:bookmarkStart w:id="2" w:name="_Toc23231294"/>
      <w:bookmarkStart w:id="3" w:name="_Toc96924941"/>
      <w:r w:rsidRPr="00B6585E">
        <w:lastRenderedPageBreak/>
        <w:t>Clinical Trial Summary</w:t>
      </w:r>
      <w:bookmarkEnd w:id="2"/>
      <w:bookmarkEnd w:id="3"/>
    </w:p>
    <w:p w14:paraId="66ED8378" w14:textId="77777777" w:rsidR="00931A60" w:rsidRPr="00B6585E" w:rsidRDefault="00931A60">
      <w:pPr>
        <w:rPr>
          <w:rFonts w:ascii="Arial" w:hAnsi="Arial" w:cs="Arial"/>
          <w:color w:val="000000" w:themeColor="text1"/>
        </w:rPr>
      </w:pPr>
    </w:p>
    <w:tbl>
      <w:tblPr>
        <w:tblStyle w:val="TableGrid"/>
        <w:tblW w:w="9010" w:type="dxa"/>
        <w:tblLook w:val="04A0" w:firstRow="1" w:lastRow="0" w:firstColumn="1" w:lastColumn="0" w:noHBand="0" w:noVBand="1"/>
      </w:tblPr>
      <w:tblGrid>
        <w:gridCol w:w="2148"/>
        <w:gridCol w:w="6862"/>
      </w:tblGrid>
      <w:tr w:rsidR="00B6585E" w:rsidRPr="00B6585E" w14:paraId="4552B599" w14:textId="77777777" w:rsidTr="00E54CC3">
        <w:tc>
          <w:tcPr>
            <w:tcW w:w="1980" w:type="dxa"/>
            <w:shd w:val="clear" w:color="auto" w:fill="FFD966" w:themeFill="accent4" w:themeFillTint="99"/>
            <w:vAlign w:val="center"/>
          </w:tcPr>
          <w:p w14:paraId="40D97B1E" w14:textId="77777777"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Title</w:t>
            </w:r>
          </w:p>
        </w:tc>
        <w:tc>
          <w:tcPr>
            <w:tcW w:w="7030" w:type="dxa"/>
            <w:shd w:val="clear" w:color="auto" w:fill="auto"/>
          </w:tcPr>
          <w:p w14:paraId="725516A5" w14:textId="48AF69E1" w:rsidR="00931A60" w:rsidRPr="00B6585E" w:rsidRDefault="00AD5166" w:rsidP="00AD5166">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effect of perioperative Levos</w:t>
            </w:r>
            <w:r w:rsidRPr="00B6585E">
              <w:rPr>
                <w:rFonts w:ascii="Arial" w:hAnsi="Arial" w:cs="Arial"/>
                <w:b/>
                <w:color w:val="000000" w:themeColor="text1"/>
                <w:sz w:val="22"/>
                <w:szCs w:val="22"/>
              </w:rPr>
              <w:t>IM</w:t>
            </w:r>
            <w:r w:rsidRPr="00B6585E">
              <w:rPr>
                <w:rFonts w:ascii="Arial" w:hAnsi="Arial" w:cs="Arial"/>
                <w:color w:val="000000" w:themeColor="text1"/>
                <w:sz w:val="22"/>
                <w:szCs w:val="22"/>
              </w:rPr>
              <w:t xml:space="preserve">endan administration on </w:t>
            </w:r>
            <w:r w:rsidRPr="00B6585E">
              <w:rPr>
                <w:rFonts w:ascii="Arial" w:hAnsi="Arial" w:cs="Arial"/>
                <w:b/>
                <w:color w:val="000000" w:themeColor="text1"/>
                <w:sz w:val="22"/>
                <w:szCs w:val="22"/>
              </w:rPr>
              <w:t>P</w:t>
            </w:r>
            <w:r w:rsidRPr="00B6585E">
              <w:rPr>
                <w:rFonts w:ascii="Arial" w:hAnsi="Arial" w:cs="Arial"/>
                <w:color w:val="000000" w:themeColor="text1"/>
                <w:sz w:val="22"/>
                <w:szCs w:val="22"/>
              </w:rPr>
              <w:t>ostoperative N-terminal p</w:t>
            </w:r>
            <w:r w:rsidRPr="00B6585E">
              <w:rPr>
                <w:rFonts w:ascii="Arial" w:hAnsi="Arial" w:cs="Arial"/>
                <w:b/>
                <w:color w:val="000000" w:themeColor="text1"/>
                <w:sz w:val="22"/>
                <w:szCs w:val="22"/>
              </w:rPr>
              <w:t>R</w:t>
            </w:r>
            <w:r w:rsidRPr="00B6585E">
              <w:rPr>
                <w:rFonts w:ascii="Arial" w:hAnsi="Arial" w:cs="Arial"/>
                <w:color w:val="000000" w:themeColor="text1"/>
                <w:sz w:val="22"/>
                <w:szCs w:val="22"/>
              </w:rPr>
              <w:t>o</w:t>
            </w:r>
            <w:r w:rsidR="00C428FE"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Brain Natriuretic Peptide</w:t>
            </w:r>
            <w:r w:rsidR="00C428FE" w:rsidRPr="00B6585E">
              <w:rPr>
                <w:rFonts w:ascii="Arial" w:hAnsi="Arial" w:cs="Arial"/>
                <w:color w:val="000000" w:themeColor="text1"/>
                <w:sz w:val="22"/>
                <w:szCs w:val="22"/>
              </w:rPr>
              <w:t xml:space="preserve"> concntration</w:t>
            </w:r>
            <w:r w:rsidRPr="00B6585E">
              <w:rPr>
                <w:rFonts w:ascii="Arial" w:hAnsi="Arial" w:cs="Arial"/>
                <w:color w:val="000000" w:themeColor="text1"/>
                <w:sz w:val="22"/>
                <w:szCs w:val="22"/>
              </w:rPr>
              <w:t xml:space="preserve"> in patients with increased cardi</w:t>
            </w:r>
            <w:r w:rsidRPr="00B6585E">
              <w:rPr>
                <w:rFonts w:ascii="Arial" w:hAnsi="Arial" w:cs="Arial"/>
                <w:b/>
                <w:color w:val="000000" w:themeColor="text1"/>
                <w:sz w:val="22"/>
                <w:szCs w:val="22"/>
              </w:rPr>
              <w:t>OV</w:t>
            </w:r>
            <w:r w:rsidRPr="00B6585E">
              <w:rPr>
                <w:rFonts w:ascii="Arial" w:hAnsi="Arial" w:cs="Arial"/>
                <w:color w:val="000000" w:themeColor="text1"/>
                <w:sz w:val="22"/>
                <w:szCs w:val="22"/>
              </w:rPr>
              <w:t>ascular risk factors undergoing noncardiac surg</w:t>
            </w:r>
            <w:r w:rsidRPr="00B6585E">
              <w:rPr>
                <w:rFonts w:ascii="Arial" w:hAnsi="Arial" w:cs="Arial"/>
                <w:b/>
                <w:color w:val="000000" w:themeColor="text1"/>
                <w:sz w:val="22"/>
                <w:szCs w:val="22"/>
              </w:rPr>
              <w:t>E</w:t>
            </w:r>
            <w:r w:rsidRPr="00B6585E">
              <w:rPr>
                <w:rFonts w:ascii="Arial" w:hAnsi="Arial" w:cs="Arial"/>
                <w:color w:val="000000" w:themeColor="text1"/>
                <w:sz w:val="22"/>
                <w:szCs w:val="22"/>
              </w:rPr>
              <w:t>ry – A double-blinded randomized clinical trial</w:t>
            </w:r>
          </w:p>
        </w:tc>
      </w:tr>
      <w:tr w:rsidR="00B6585E" w:rsidRPr="00B6585E" w14:paraId="514A7F52" w14:textId="77777777" w:rsidTr="00E54CC3">
        <w:tc>
          <w:tcPr>
            <w:tcW w:w="1980" w:type="dxa"/>
            <w:shd w:val="clear" w:color="auto" w:fill="FFD966" w:themeFill="accent4" w:themeFillTint="99"/>
            <w:vAlign w:val="center"/>
          </w:tcPr>
          <w:p w14:paraId="110D7997" w14:textId="77777777"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Research Facility</w:t>
            </w:r>
          </w:p>
        </w:tc>
        <w:tc>
          <w:tcPr>
            <w:tcW w:w="7030" w:type="dxa"/>
            <w:shd w:val="clear" w:color="auto" w:fill="auto"/>
          </w:tcPr>
          <w:p w14:paraId="7D0C6BEB" w14:textId="55BCFD65" w:rsidR="00EE0048" w:rsidRPr="00B6585E" w:rsidRDefault="00EE0048">
            <w:pPr>
              <w:spacing w:before="120" w:after="120"/>
              <w:rPr>
                <w:rFonts w:ascii="Arial" w:hAnsi="Arial" w:cs="Arial"/>
                <w:color w:val="000000" w:themeColor="text1"/>
                <w:sz w:val="22"/>
                <w:szCs w:val="22"/>
              </w:rPr>
            </w:pPr>
            <w:r w:rsidRPr="00B6585E">
              <w:rPr>
                <w:rFonts w:ascii="Arial" w:hAnsi="Arial" w:cs="Arial"/>
                <w:color w:val="000000" w:themeColor="text1"/>
                <w:sz w:val="22"/>
                <w:szCs w:val="22"/>
              </w:rPr>
              <w:t>Mulitce</w:t>
            </w:r>
            <w:r w:rsidR="00A221DB" w:rsidRPr="00B6585E">
              <w:rPr>
                <w:rFonts w:ascii="Arial" w:hAnsi="Arial" w:cs="Arial"/>
                <w:color w:val="000000" w:themeColor="text1"/>
                <w:sz w:val="22"/>
                <w:szCs w:val="22"/>
              </w:rPr>
              <w:t>nt</w:t>
            </w:r>
            <w:r w:rsidRPr="00B6585E">
              <w:rPr>
                <w:rFonts w:ascii="Arial" w:hAnsi="Arial" w:cs="Arial"/>
                <w:color w:val="000000" w:themeColor="text1"/>
                <w:sz w:val="22"/>
                <w:szCs w:val="22"/>
              </w:rPr>
              <w:t xml:space="preserve">er </w:t>
            </w:r>
          </w:p>
          <w:p w14:paraId="3047D3E3" w14:textId="2A3A2CA5" w:rsidR="00EE0048" w:rsidRPr="00B6585E" w:rsidRDefault="00EE0048">
            <w:pPr>
              <w:spacing w:before="120" w:after="120"/>
              <w:rPr>
                <w:rFonts w:ascii="Arial" w:hAnsi="Arial" w:cs="Arial"/>
                <w:color w:val="000000" w:themeColor="text1"/>
                <w:sz w:val="22"/>
                <w:szCs w:val="22"/>
              </w:rPr>
            </w:pPr>
            <w:r w:rsidRPr="00B6585E">
              <w:rPr>
                <w:rFonts w:ascii="Arial" w:hAnsi="Arial" w:cs="Arial"/>
                <w:color w:val="000000" w:themeColor="text1"/>
                <w:sz w:val="22"/>
                <w:szCs w:val="22"/>
              </w:rPr>
              <w:t>1.</w:t>
            </w:r>
            <w:r w:rsidR="00A221DB" w:rsidRPr="00B6585E">
              <w:rPr>
                <w:rFonts w:ascii="Arial" w:hAnsi="Arial" w:cs="Arial"/>
                <w:color w:val="000000" w:themeColor="text1"/>
                <w:sz w:val="22"/>
                <w:szCs w:val="22"/>
              </w:rPr>
              <w:t>Dep. for Anaesthesia, Intensive Care Medicine and Pain Medicine, Medical University of Vienn</w:t>
            </w:r>
            <w:r w:rsidRPr="00B6585E">
              <w:rPr>
                <w:rFonts w:ascii="Arial" w:hAnsi="Arial" w:cs="Arial"/>
                <w:color w:val="000000" w:themeColor="text1"/>
                <w:sz w:val="22"/>
                <w:szCs w:val="22"/>
              </w:rPr>
              <w:t>a, Spitalgasse 23, 1090 Vienna</w:t>
            </w:r>
          </w:p>
          <w:p w14:paraId="4D18278D" w14:textId="77777777" w:rsidR="00EE0048" w:rsidRPr="00B6585E" w:rsidRDefault="00EE0048" w:rsidP="00EE0048">
            <w:pPr>
              <w:rPr>
                <w:color w:val="000000" w:themeColor="text1"/>
              </w:rPr>
            </w:pPr>
            <w:r w:rsidRPr="00B6585E">
              <w:rPr>
                <w:rFonts w:ascii="Arial" w:hAnsi="Arial" w:cs="Arial"/>
                <w:color w:val="000000" w:themeColor="text1"/>
                <w:sz w:val="22"/>
                <w:szCs w:val="22"/>
              </w:rPr>
              <w:t>2. Charité – Universitätsmedizin Berlin, corporate member of Freie Universität Berlin and Humboldt Universität zu Berlin, Department of Anesthesiology and Intensive Care Medicine, Campus Benjamin Franklin Hindenburgdamm 30, 12203 Berlin, Germany</w:t>
            </w:r>
          </w:p>
          <w:p w14:paraId="4CFE4283" w14:textId="32B230A1" w:rsidR="00EE0048" w:rsidRPr="00B6585E" w:rsidRDefault="00EE0048">
            <w:pPr>
              <w:spacing w:before="120" w:after="120"/>
              <w:rPr>
                <w:rFonts w:ascii="Arial" w:hAnsi="Arial" w:cs="Arial"/>
                <w:color w:val="000000" w:themeColor="text1"/>
                <w:sz w:val="22"/>
                <w:szCs w:val="22"/>
              </w:rPr>
            </w:pPr>
          </w:p>
        </w:tc>
      </w:tr>
      <w:tr w:rsidR="00B6585E" w:rsidRPr="00B6585E" w14:paraId="3D62D184" w14:textId="77777777" w:rsidTr="00E54CC3">
        <w:tc>
          <w:tcPr>
            <w:tcW w:w="1980" w:type="dxa"/>
            <w:shd w:val="clear" w:color="auto" w:fill="FFD966" w:themeFill="accent4" w:themeFillTint="99"/>
            <w:vAlign w:val="center"/>
          </w:tcPr>
          <w:p w14:paraId="32033D90" w14:textId="77777777"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Study Size</w:t>
            </w:r>
          </w:p>
        </w:tc>
        <w:tc>
          <w:tcPr>
            <w:tcW w:w="7030" w:type="dxa"/>
            <w:shd w:val="clear" w:color="auto" w:fill="auto"/>
          </w:tcPr>
          <w:p w14:paraId="415D8FCF" w14:textId="00DCFAA2" w:rsidR="00931A60" w:rsidRPr="00B6585E" w:rsidRDefault="00A221DB">
            <w:pPr>
              <w:spacing w:before="120" w:after="120"/>
              <w:rPr>
                <w:rFonts w:ascii="Arial" w:hAnsi="Arial" w:cs="Arial"/>
                <w:color w:val="000000" w:themeColor="text1"/>
                <w:sz w:val="22"/>
                <w:szCs w:val="22"/>
              </w:rPr>
            </w:pPr>
            <w:r w:rsidRPr="00B6585E">
              <w:rPr>
                <w:rFonts w:ascii="Arial" w:hAnsi="Arial" w:cs="Arial"/>
                <w:color w:val="000000" w:themeColor="text1"/>
                <w:sz w:val="22"/>
                <w:szCs w:val="22"/>
              </w:rPr>
              <w:t>2</w:t>
            </w:r>
            <w:r w:rsidR="00F6182A" w:rsidRPr="00B6585E">
              <w:rPr>
                <w:rFonts w:ascii="Arial" w:hAnsi="Arial" w:cs="Arial"/>
                <w:color w:val="000000" w:themeColor="text1"/>
                <w:sz w:val="22"/>
                <w:szCs w:val="22"/>
              </w:rPr>
              <w:t>30</w:t>
            </w:r>
            <w:r w:rsidRPr="00B6585E">
              <w:rPr>
                <w:rFonts w:ascii="Arial" w:hAnsi="Arial" w:cs="Arial"/>
                <w:color w:val="000000" w:themeColor="text1"/>
                <w:sz w:val="22"/>
                <w:szCs w:val="22"/>
              </w:rPr>
              <w:t xml:space="preserve"> patients</w:t>
            </w:r>
          </w:p>
        </w:tc>
      </w:tr>
      <w:tr w:rsidR="00B6585E" w:rsidRPr="00B6585E" w14:paraId="3C5AF460" w14:textId="77777777" w:rsidTr="00E54CC3">
        <w:tc>
          <w:tcPr>
            <w:tcW w:w="1980" w:type="dxa"/>
            <w:shd w:val="clear" w:color="auto" w:fill="FFD966" w:themeFill="accent4" w:themeFillTint="99"/>
            <w:vAlign w:val="center"/>
          </w:tcPr>
          <w:p w14:paraId="130C7C37" w14:textId="77777777"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Study Design</w:t>
            </w:r>
          </w:p>
        </w:tc>
        <w:tc>
          <w:tcPr>
            <w:tcW w:w="7030" w:type="dxa"/>
            <w:shd w:val="clear" w:color="auto" w:fill="auto"/>
          </w:tcPr>
          <w:p w14:paraId="6105F37D" w14:textId="487D3F6C" w:rsidR="00931A60" w:rsidRPr="00B6585E" w:rsidRDefault="00A221DB">
            <w:pPr>
              <w:spacing w:before="120" w:after="120"/>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IMPROVE trial is a </w:t>
            </w:r>
            <w:r w:rsidR="009E4FD7" w:rsidRPr="00B6585E">
              <w:rPr>
                <w:rFonts w:ascii="Arial" w:hAnsi="Arial" w:cs="Arial"/>
                <w:color w:val="000000" w:themeColor="text1"/>
                <w:sz w:val="22"/>
                <w:szCs w:val="22"/>
              </w:rPr>
              <w:t>multi</w:t>
            </w:r>
            <w:r w:rsidRPr="00B6585E">
              <w:rPr>
                <w:rFonts w:ascii="Arial" w:hAnsi="Arial" w:cs="Arial"/>
                <w:color w:val="000000" w:themeColor="text1"/>
                <w:sz w:val="22"/>
                <w:szCs w:val="22"/>
              </w:rPr>
              <w:t>-center group sequential double-blinded randomized clinical trial of levosimendan versus placebo</w:t>
            </w:r>
          </w:p>
        </w:tc>
      </w:tr>
      <w:tr w:rsidR="00B6585E" w:rsidRPr="00B6585E" w14:paraId="7B590420" w14:textId="77777777" w:rsidTr="00E54CC3">
        <w:tc>
          <w:tcPr>
            <w:tcW w:w="1980" w:type="dxa"/>
            <w:shd w:val="clear" w:color="auto" w:fill="FFD966" w:themeFill="accent4" w:themeFillTint="99"/>
            <w:vAlign w:val="center"/>
          </w:tcPr>
          <w:p w14:paraId="085DEB48" w14:textId="3BECDBE2"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 xml:space="preserve">Primary </w:t>
            </w:r>
            <w:r w:rsidR="002E6C6E" w:rsidRPr="00B6585E">
              <w:rPr>
                <w:rFonts w:ascii="Arial" w:hAnsi="Arial" w:cs="Arial"/>
                <w:b/>
                <w:color w:val="000000" w:themeColor="text1"/>
                <w:sz w:val="22"/>
                <w:szCs w:val="22"/>
              </w:rPr>
              <w:t>Outcome</w:t>
            </w:r>
          </w:p>
        </w:tc>
        <w:tc>
          <w:tcPr>
            <w:tcW w:w="7030" w:type="dxa"/>
            <w:shd w:val="clear" w:color="auto" w:fill="auto"/>
          </w:tcPr>
          <w:p w14:paraId="736EC3C3" w14:textId="5D156407" w:rsidR="00931A60" w:rsidRPr="00B6585E" w:rsidRDefault="00A221DB">
            <w:pPr>
              <w:widowControl w:val="0"/>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37% decrease of postoperative (during the first three days) maxNT-proBNP concentration</w:t>
            </w:r>
            <w:r w:rsidR="00E21641" w:rsidRPr="00B6585E">
              <w:rPr>
                <w:rFonts w:ascii="Arial" w:hAnsi="Arial" w:cs="Arial"/>
                <w:color w:val="000000" w:themeColor="text1"/>
                <w:sz w:val="22"/>
                <w:szCs w:val="22"/>
              </w:rPr>
              <w:t xml:space="preserve"> i</w:t>
            </w:r>
            <w:r w:rsidRPr="00B6585E">
              <w:rPr>
                <w:rFonts w:ascii="Arial" w:hAnsi="Arial" w:cs="Arial"/>
                <w:color w:val="000000" w:themeColor="text1"/>
                <w:sz w:val="22"/>
                <w:szCs w:val="22"/>
              </w:rPr>
              <w:t>n patients with increased cardiac risk factors undergoing moderate- to high risk noncardiac surgery</w:t>
            </w:r>
          </w:p>
        </w:tc>
      </w:tr>
      <w:tr w:rsidR="00B6585E" w:rsidRPr="00B6585E" w14:paraId="2165EE2C" w14:textId="77777777" w:rsidTr="00E54CC3">
        <w:tc>
          <w:tcPr>
            <w:tcW w:w="1980" w:type="dxa"/>
            <w:shd w:val="clear" w:color="auto" w:fill="FFD966" w:themeFill="accent4" w:themeFillTint="99"/>
            <w:vAlign w:val="center"/>
          </w:tcPr>
          <w:p w14:paraId="21003C3C" w14:textId="336A69A5" w:rsidR="00931A60" w:rsidRPr="00B6585E" w:rsidRDefault="00A221DB">
            <w:pPr>
              <w:spacing w:before="120" w:after="120"/>
              <w:rPr>
                <w:color w:val="000000" w:themeColor="text1"/>
              </w:rPr>
            </w:pPr>
            <w:r w:rsidRPr="00B6585E">
              <w:rPr>
                <w:rFonts w:ascii="Arial" w:hAnsi="Arial" w:cs="Arial"/>
                <w:b/>
                <w:color w:val="000000" w:themeColor="text1"/>
                <w:sz w:val="22"/>
                <w:szCs w:val="22"/>
              </w:rPr>
              <w:t xml:space="preserve">Secondary </w:t>
            </w:r>
            <w:r w:rsidR="002E6C6E" w:rsidRPr="00B6585E">
              <w:rPr>
                <w:rFonts w:ascii="Arial" w:hAnsi="Arial" w:cs="Arial"/>
                <w:b/>
                <w:color w:val="000000" w:themeColor="text1"/>
                <w:sz w:val="22"/>
                <w:szCs w:val="22"/>
              </w:rPr>
              <w:t>Outcomes</w:t>
            </w:r>
          </w:p>
        </w:tc>
        <w:tc>
          <w:tcPr>
            <w:tcW w:w="7030" w:type="dxa"/>
            <w:shd w:val="clear" w:color="auto" w:fill="auto"/>
          </w:tcPr>
          <w:p w14:paraId="081BB75E" w14:textId="77777777" w:rsidR="00C524A8" w:rsidRPr="00B6585E" w:rsidRDefault="00C524A8">
            <w:pPr>
              <w:pStyle w:val="ListParagraph"/>
              <w:widowControl w:val="0"/>
              <w:spacing w:before="120" w:after="120"/>
              <w:ind w:left="0" w:right="-7"/>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1.</w:t>
            </w:r>
          </w:p>
          <w:p w14:paraId="0F2F4819" w14:textId="74D04C8A" w:rsidR="004836D5" w:rsidRPr="00B6585E" w:rsidRDefault="00E21641">
            <w:pPr>
              <w:pStyle w:val="ListParagraph"/>
              <w:widowControl w:val="0"/>
              <w:spacing w:before="120" w:after="120"/>
              <w:ind w:left="0" w:right="-7"/>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We evaluate </w:t>
            </w:r>
            <w:r w:rsidR="004836D5" w:rsidRPr="00B6585E">
              <w:rPr>
                <w:rFonts w:ascii="Arial" w:hAnsi="Arial" w:cs="Arial"/>
                <w:color w:val="000000" w:themeColor="text1"/>
                <w:sz w:val="22"/>
                <w:szCs w:val="22"/>
                <w:lang w:val="en-US"/>
              </w:rPr>
              <w:t xml:space="preserve">the decrease of postoperative maxTnT in patients receiving levosimendan compared to patients receiving placebo. </w:t>
            </w:r>
          </w:p>
          <w:p w14:paraId="04213373" w14:textId="525E75EA" w:rsidR="00931A60" w:rsidRPr="00B6585E" w:rsidRDefault="00931A60">
            <w:pPr>
              <w:pStyle w:val="ListParagraph"/>
              <w:widowControl w:val="0"/>
              <w:spacing w:before="120" w:after="120"/>
              <w:ind w:left="0" w:right="-7"/>
              <w:contextualSpacing/>
              <w:jc w:val="both"/>
              <w:rPr>
                <w:color w:val="000000" w:themeColor="text1"/>
                <w:lang w:val="en-US"/>
              </w:rPr>
            </w:pPr>
          </w:p>
          <w:p w14:paraId="08BF7AE7" w14:textId="41FBB2A2" w:rsidR="00931A60" w:rsidRPr="00B6585E" w:rsidRDefault="00C524A8">
            <w:pPr>
              <w:pStyle w:val="ListParagraph"/>
              <w:widowControl w:val="0"/>
              <w:spacing w:before="120" w:after="120"/>
              <w:ind w:left="0" w:right="-7"/>
              <w:contextualSpacing/>
              <w:jc w:val="both"/>
              <w:rPr>
                <w:color w:val="000000" w:themeColor="text1"/>
                <w:lang w:val="en-US"/>
              </w:rPr>
            </w:pPr>
            <w:r w:rsidRPr="00B6585E">
              <w:rPr>
                <w:rFonts w:ascii="Arial" w:hAnsi="Arial" w:cs="Arial"/>
                <w:color w:val="000000" w:themeColor="text1"/>
                <w:sz w:val="22"/>
                <w:szCs w:val="22"/>
                <w:lang w:val="en-US"/>
              </w:rPr>
              <w:t>2.</w:t>
            </w:r>
          </w:p>
          <w:p w14:paraId="34DAA545" w14:textId="77777777" w:rsidR="00931A60" w:rsidRPr="00B6585E" w:rsidRDefault="00A221DB">
            <w:pPr>
              <w:pStyle w:val="ListParagraph"/>
              <w:widowControl w:val="0"/>
              <w:spacing w:before="120" w:after="120"/>
              <w:ind w:left="0" w:right="-7"/>
              <w:contextualSpacing/>
              <w:jc w:val="both"/>
              <w:rPr>
                <w:color w:val="000000" w:themeColor="text1"/>
                <w:lang w:val="en-US"/>
              </w:rPr>
            </w:pPr>
            <w:r w:rsidRPr="00B6585E">
              <w:rPr>
                <w:rFonts w:ascii="Arial" w:hAnsi="Arial" w:cs="Arial"/>
                <w:color w:val="000000" w:themeColor="text1"/>
                <w:sz w:val="22"/>
                <w:szCs w:val="22"/>
                <w:lang w:val="en-US"/>
              </w:rPr>
              <w:t xml:space="preserve">To determine the impact of levosimendan in the postoperative incidence of myocardial injury after non-cardiac surgery (MINS) during the first 3 postoperative days as compared to placebo. </w:t>
            </w:r>
          </w:p>
          <w:p w14:paraId="43030821" w14:textId="77777777" w:rsidR="00931A60" w:rsidRPr="00B6585E" w:rsidRDefault="00931A60">
            <w:pPr>
              <w:pStyle w:val="ListParagraph"/>
              <w:widowControl w:val="0"/>
              <w:spacing w:before="120" w:after="120"/>
              <w:ind w:left="0" w:right="-7"/>
              <w:contextualSpacing/>
              <w:jc w:val="both"/>
              <w:rPr>
                <w:rFonts w:ascii="Arial" w:hAnsi="Arial" w:cs="Arial"/>
                <w:color w:val="000000" w:themeColor="text1"/>
                <w:sz w:val="22"/>
                <w:szCs w:val="22"/>
                <w:lang w:val="en-US"/>
              </w:rPr>
            </w:pPr>
          </w:p>
          <w:p w14:paraId="665BBF70" w14:textId="699D97C6" w:rsidR="00931A60" w:rsidRPr="00B6585E" w:rsidRDefault="00C524A8">
            <w:pPr>
              <w:pStyle w:val="ListParagraph"/>
              <w:widowControl w:val="0"/>
              <w:spacing w:before="120" w:after="120"/>
              <w:ind w:left="0" w:right="-7"/>
              <w:contextualSpacing/>
              <w:jc w:val="both"/>
              <w:rPr>
                <w:color w:val="000000" w:themeColor="text1"/>
                <w:lang w:val="en-US"/>
              </w:rPr>
            </w:pPr>
            <w:r w:rsidRPr="00B6585E">
              <w:rPr>
                <w:rFonts w:ascii="Arial" w:hAnsi="Arial" w:cs="Arial"/>
                <w:color w:val="000000" w:themeColor="text1"/>
                <w:sz w:val="22"/>
                <w:szCs w:val="22"/>
                <w:lang w:val="en-US"/>
              </w:rPr>
              <w:t>3</w:t>
            </w:r>
            <w:r w:rsidR="00A221DB" w:rsidRPr="00B6585E">
              <w:rPr>
                <w:rFonts w:ascii="Arial" w:hAnsi="Arial" w:cs="Arial"/>
                <w:color w:val="000000" w:themeColor="text1"/>
                <w:sz w:val="22"/>
                <w:szCs w:val="22"/>
                <w:lang w:val="en-US"/>
              </w:rPr>
              <w:t>.</w:t>
            </w:r>
          </w:p>
          <w:p w14:paraId="68CC29A4" w14:textId="27A5E2D8" w:rsidR="00931A60" w:rsidRPr="00B6585E" w:rsidRDefault="00A221DB">
            <w:pPr>
              <w:pStyle w:val="ListParagraph"/>
              <w:widowControl w:val="0"/>
              <w:spacing w:before="120" w:after="120"/>
              <w:ind w:left="0" w:right="-7"/>
              <w:contextualSpacing/>
              <w:jc w:val="both"/>
              <w:rPr>
                <w:color w:val="000000" w:themeColor="text1"/>
                <w:lang w:val="en-US"/>
              </w:rPr>
            </w:pPr>
            <w:r w:rsidRPr="00B6585E">
              <w:rPr>
                <w:rFonts w:ascii="Arial" w:hAnsi="Arial" w:cs="Arial"/>
                <w:color w:val="000000" w:themeColor="text1"/>
                <w:sz w:val="22"/>
                <w:szCs w:val="22"/>
                <w:lang w:val="en-US"/>
              </w:rPr>
              <w:t xml:space="preserve">Levosimendan reduces </w:t>
            </w:r>
            <w:r w:rsidR="00C90B74" w:rsidRPr="00B6585E">
              <w:rPr>
                <w:rFonts w:ascii="Arial" w:hAnsi="Arial" w:cs="Arial"/>
                <w:color w:val="000000" w:themeColor="text1"/>
                <w:sz w:val="22"/>
                <w:szCs w:val="22"/>
                <w:lang w:val="en-US"/>
              </w:rPr>
              <w:t xml:space="preserve">the composite of </w:t>
            </w:r>
            <w:r w:rsidRPr="00B6585E">
              <w:rPr>
                <w:rFonts w:ascii="Arial" w:hAnsi="Arial" w:cs="Arial"/>
                <w:color w:val="000000" w:themeColor="text1"/>
                <w:sz w:val="22"/>
                <w:szCs w:val="22"/>
                <w:lang w:val="en-US"/>
              </w:rPr>
              <w:t xml:space="preserve">myocardial infarction and death </w:t>
            </w:r>
            <w:r w:rsidR="00C90B74" w:rsidRPr="00B6585E">
              <w:rPr>
                <w:rFonts w:ascii="Arial" w:hAnsi="Arial" w:cs="Arial"/>
                <w:color w:val="000000" w:themeColor="text1"/>
                <w:sz w:val="22"/>
                <w:szCs w:val="22"/>
                <w:lang w:val="en-US"/>
              </w:rPr>
              <w:t xml:space="preserve">at </w:t>
            </w:r>
            <w:r w:rsidRPr="00B6585E">
              <w:rPr>
                <w:rFonts w:ascii="Arial" w:hAnsi="Arial" w:cs="Arial"/>
                <w:color w:val="000000" w:themeColor="text1"/>
                <w:sz w:val="22"/>
                <w:szCs w:val="22"/>
                <w:lang w:val="en-US"/>
              </w:rPr>
              <w:t>30 days</w:t>
            </w:r>
            <w:r w:rsidR="00F2380F" w:rsidRPr="00B6585E">
              <w:rPr>
                <w:rFonts w:ascii="Arial" w:hAnsi="Arial" w:cs="Arial"/>
                <w:color w:val="000000" w:themeColor="text1"/>
                <w:sz w:val="22"/>
                <w:szCs w:val="22"/>
                <w:lang w:val="en-US"/>
              </w:rPr>
              <w:t xml:space="preserve"> and 1 year</w:t>
            </w:r>
            <w:r w:rsidRPr="00B6585E">
              <w:rPr>
                <w:rFonts w:ascii="Arial" w:hAnsi="Arial" w:cs="Arial"/>
                <w:color w:val="000000" w:themeColor="text1"/>
                <w:sz w:val="22"/>
                <w:szCs w:val="22"/>
                <w:lang w:val="en-US"/>
              </w:rPr>
              <w:t xml:space="preserve"> after surgery as compared to placebo.</w:t>
            </w:r>
          </w:p>
          <w:p w14:paraId="7B665F60" w14:textId="77777777" w:rsidR="00931A60" w:rsidRPr="00B6585E" w:rsidRDefault="00931A60">
            <w:pPr>
              <w:pStyle w:val="ListParagraph"/>
              <w:widowControl w:val="0"/>
              <w:spacing w:before="120" w:after="120"/>
              <w:ind w:left="0" w:right="-7"/>
              <w:contextualSpacing/>
              <w:jc w:val="both"/>
              <w:rPr>
                <w:rFonts w:ascii="Arial" w:hAnsi="Arial" w:cs="Arial"/>
                <w:color w:val="000000" w:themeColor="text1"/>
                <w:sz w:val="22"/>
                <w:szCs w:val="22"/>
                <w:lang w:val="en-US"/>
              </w:rPr>
            </w:pPr>
          </w:p>
        </w:tc>
      </w:tr>
      <w:tr w:rsidR="00B6585E" w:rsidRPr="00B6585E" w14:paraId="2505B6C9" w14:textId="77777777" w:rsidTr="00E54CC3">
        <w:tc>
          <w:tcPr>
            <w:tcW w:w="1980" w:type="dxa"/>
            <w:shd w:val="clear" w:color="auto" w:fill="FFD966" w:themeFill="accent4" w:themeFillTint="99"/>
            <w:vAlign w:val="center"/>
          </w:tcPr>
          <w:p w14:paraId="5E6ED10B" w14:textId="5FFCA2A0" w:rsidR="00931A60" w:rsidRPr="00B6585E" w:rsidRDefault="00A221DB">
            <w:pPr>
              <w:spacing w:before="120" w:after="120"/>
              <w:rPr>
                <w:color w:val="000000" w:themeColor="text1"/>
              </w:rPr>
            </w:pPr>
            <w:r w:rsidRPr="00B6585E">
              <w:rPr>
                <w:rFonts w:ascii="Arial" w:hAnsi="Arial" w:cs="Arial"/>
                <w:b/>
                <w:color w:val="000000" w:themeColor="text1"/>
                <w:sz w:val="22"/>
                <w:szCs w:val="22"/>
              </w:rPr>
              <w:t xml:space="preserve">Tertiary </w:t>
            </w:r>
            <w:r w:rsidR="002E6C6E" w:rsidRPr="00B6585E">
              <w:rPr>
                <w:rFonts w:ascii="Arial" w:hAnsi="Arial" w:cs="Arial"/>
                <w:b/>
                <w:color w:val="000000" w:themeColor="text1"/>
                <w:sz w:val="22"/>
                <w:szCs w:val="22"/>
              </w:rPr>
              <w:t>Outcome</w:t>
            </w:r>
          </w:p>
        </w:tc>
        <w:tc>
          <w:tcPr>
            <w:tcW w:w="7030" w:type="dxa"/>
            <w:shd w:val="clear" w:color="auto" w:fill="auto"/>
          </w:tcPr>
          <w:p w14:paraId="5C5682A3" w14:textId="77777777" w:rsidR="00931A60" w:rsidRPr="00B6585E" w:rsidRDefault="00931A60">
            <w:pPr>
              <w:widowControl w:val="0"/>
              <w:spacing w:before="120" w:after="120"/>
              <w:ind w:right="-7"/>
              <w:contextualSpacing/>
              <w:jc w:val="both"/>
              <w:rPr>
                <w:rFonts w:ascii="Arial" w:hAnsi="Arial" w:cs="Arial"/>
                <w:color w:val="000000" w:themeColor="text1"/>
                <w:sz w:val="22"/>
                <w:szCs w:val="22"/>
              </w:rPr>
            </w:pPr>
          </w:p>
          <w:p w14:paraId="7DDE99C7" w14:textId="77777777" w:rsidR="00931A60" w:rsidRPr="00B6585E" w:rsidRDefault="00A221DB">
            <w:pPr>
              <w:widowControl w:val="0"/>
              <w:spacing w:before="120" w:after="120"/>
              <w:ind w:right="-7"/>
              <w:contextualSpacing/>
              <w:jc w:val="both"/>
              <w:rPr>
                <w:color w:val="000000" w:themeColor="text1"/>
              </w:rPr>
            </w:pPr>
            <w:r w:rsidRPr="00B6585E">
              <w:rPr>
                <w:rFonts w:ascii="Arial" w:hAnsi="Arial" w:cs="Arial"/>
                <w:color w:val="000000" w:themeColor="text1"/>
                <w:sz w:val="22"/>
                <w:szCs w:val="22"/>
              </w:rPr>
              <w:t xml:space="preserve">Levosimendan reduces the sum of the 12-item WHODAS 2.0 disability score 30 days and 1 year after surgery. </w:t>
            </w:r>
          </w:p>
          <w:p w14:paraId="5FBE5D14" w14:textId="77777777" w:rsidR="00931A60" w:rsidRPr="00B6585E" w:rsidRDefault="00931A60">
            <w:pPr>
              <w:widowControl w:val="0"/>
              <w:spacing w:before="120" w:after="120"/>
              <w:ind w:right="-7"/>
              <w:contextualSpacing/>
              <w:jc w:val="both"/>
              <w:rPr>
                <w:rFonts w:ascii="Arial" w:hAnsi="Arial" w:cs="Arial"/>
                <w:color w:val="000000" w:themeColor="text1"/>
                <w:sz w:val="22"/>
                <w:szCs w:val="22"/>
              </w:rPr>
            </w:pPr>
          </w:p>
        </w:tc>
      </w:tr>
      <w:tr w:rsidR="00B6585E" w:rsidRPr="00B6585E" w14:paraId="760E0CDD" w14:textId="77777777" w:rsidTr="00E54CC3">
        <w:tc>
          <w:tcPr>
            <w:tcW w:w="1980" w:type="dxa"/>
            <w:shd w:val="clear" w:color="auto" w:fill="FFD966" w:themeFill="accent4" w:themeFillTint="99"/>
            <w:vAlign w:val="center"/>
          </w:tcPr>
          <w:p w14:paraId="759403BE" w14:textId="6B22F7D2" w:rsidR="002E6C6E" w:rsidRPr="00B6585E" w:rsidRDefault="002E6C6E">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Exploratory Outcome</w:t>
            </w:r>
          </w:p>
        </w:tc>
        <w:tc>
          <w:tcPr>
            <w:tcW w:w="7030" w:type="dxa"/>
            <w:shd w:val="clear" w:color="auto" w:fill="auto"/>
          </w:tcPr>
          <w:p w14:paraId="4A6093AC" w14:textId="620C08BA" w:rsidR="002E6C6E" w:rsidRPr="00B6585E" w:rsidRDefault="002E6C6E" w:rsidP="002E6C6E">
            <w:pPr>
              <w:widowControl w:val="0"/>
              <w:spacing w:before="120" w:after="120"/>
              <w:ind w:right="-6"/>
              <w:jc w:val="both"/>
              <w:rPr>
                <w:rFonts w:ascii="Arial" w:hAnsi="Arial" w:cs="Arial"/>
                <w:color w:val="000000" w:themeColor="text1"/>
                <w:sz w:val="22"/>
                <w:szCs w:val="22"/>
              </w:rPr>
            </w:pPr>
            <w:r w:rsidRPr="00B6585E">
              <w:rPr>
                <w:rFonts w:ascii="Arial" w:hAnsi="Arial" w:cs="Arial"/>
                <w:color w:val="000000" w:themeColor="text1"/>
                <w:sz w:val="22"/>
                <w:szCs w:val="22"/>
              </w:rPr>
              <w:t>All patients will be stratified based on their postoperative maxNT-proBNP concentrations according to the previous published thresholds predicting the incidence of mortality or nonfatal MI after 30</w:t>
            </w:r>
            <w:r w:rsidR="002C64C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day</w:t>
            </w:r>
            <w:r w:rsidR="00607C87"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of surgery. </w:t>
            </w:r>
          </w:p>
        </w:tc>
      </w:tr>
      <w:tr w:rsidR="00B6585E" w:rsidRPr="00B6585E" w14:paraId="6BA21000" w14:textId="77777777" w:rsidTr="00E54CC3">
        <w:tc>
          <w:tcPr>
            <w:tcW w:w="1980" w:type="dxa"/>
            <w:shd w:val="clear" w:color="auto" w:fill="FFD966" w:themeFill="accent4" w:themeFillTint="99"/>
            <w:vAlign w:val="center"/>
          </w:tcPr>
          <w:p w14:paraId="237BA93C" w14:textId="61F13A45" w:rsidR="00CF5CD2" w:rsidRPr="00B6585E" w:rsidRDefault="00CF5CD2">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Eligibility</w:t>
            </w:r>
            <w:r w:rsidR="00F64673" w:rsidRPr="00B6585E">
              <w:rPr>
                <w:rFonts w:ascii="Arial" w:hAnsi="Arial" w:cs="Arial"/>
                <w:b/>
                <w:color w:val="000000" w:themeColor="text1"/>
                <w:sz w:val="22"/>
                <w:szCs w:val="22"/>
              </w:rPr>
              <w:t xml:space="preserve"> (1-4)</w:t>
            </w:r>
          </w:p>
        </w:tc>
        <w:tc>
          <w:tcPr>
            <w:tcW w:w="7030" w:type="dxa"/>
            <w:shd w:val="clear" w:color="auto" w:fill="auto"/>
          </w:tcPr>
          <w:p w14:paraId="5ED039F7" w14:textId="77777777" w:rsidR="00CF5CD2" w:rsidRPr="00B6585E" w:rsidRDefault="00CF5CD2" w:rsidP="00CF5CD2">
            <w:pPr>
              <w:spacing w:before="120" w:after="120"/>
              <w:ind w:right="-7"/>
              <w:rPr>
                <w:rFonts w:ascii="Arial" w:hAnsi="Arial" w:cs="Arial"/>
                <w:color w:val="000000" w:themeColor="text1"/>
                <w:sz w:val="22"/>
                <w:szCs w:val="22"/>
              </w:rPr>
            </w:pPr>
            <w:r w:rsidRPr="00B6585E">
              <w:rPr>
                <w:rFonts w:ascii="Arial" w:hAnsi="Arial" w:cs="Arial"/>
                <w:color w:val="000000" w:themeColor="text1"/>
                <w:sz w:val="22"/>
                <w:szCs w:val="22"/>
              </w:rPr>
              <w:t xml:space="preserve">All patients need to meet all of the following criteria for inclusion (1-4): </w:t>
            </w:r>
          </w:p>
          <w:p w14:paraId="2A2D239D" w14:textId="65D729BE" w:rsidR="00764EC7" w:rsidRPr="00B6585E" w:rsidRDefault="00764EC7" w:rsidP="00764EC7">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lastRenderedPageBreak/>
              <w:t>1. Major surgery (as defined in appendix VII) planned for more than 2 hours</w:t>
            </w:r>
          </w:p>
          <w:p w14:paraId="20BC0C56" w14:textId="77777777" w:rsidR="00764EC7" w:rsidRPr="00B6585E" w:rsidRDefault="00764EC7" w:rsidP="00764EC7">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2. ≥ 65 years of age and ≤ 85 years of age</w:t>
            </w:r>
          </w:p>
          <w:p w14:paraId="693211F6" w14:textId="77777777" w:rsidR="00764EC7" w:rsidRPr="00B6585E" w:rsidRDefault="00764EC7" w:rsidP="00764EC7">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 xml:space="preserve">3. Provide written informed consent AND </w:t>
            </w:r>
          </w:p>
          <w:p w14:paraId="40E7F896" w14:textId="77777777" w:rsidR="00764EC7" w:rsidRPr="00B6585E" w:rsidRDefault="00764EC7" w:rsidP="00764EC7">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4. Fulfill ≥ 2 of the following criteria (A-E)</w:t>
            </w:r>
          </w:p>
          <w:p w14:paraId="5A182721" w14:textId="343D2E7C" w:rsidR="00CF5CD2" w:rsidRPr="00B6585E" w:rsidRDefault="00CF5CD2" w:rsidP="00764EC7">
            <w:pPr>
              <w:spacing w:before="120" w:after="120"/>
              <w:ind w:right="-7"/>
              <w:contextualSpacing/>
              <w:jc w:val="both"/>
              <w:rPr>
                <w:rFonts w:ascii="Arial" w:hAnsi="Arial" w:cs="Arial"/>
                <w:color w:val="000000" w:themeColor="text1"/>
                <w:sz w:val="22"/>
                <w:szCs w:val="22"/>
              </w:rPr>
            </w:pPr>
          </w:p>
        </w:tc>
      </w:tr>
      <w:tr w:rsidR="00B6585E" w:rsidRPr="00B6585E" w14:paraId="6475F617" w14:textId="77777777" w:rsidTr="00CF5CD2">
        <w:tc>
          <w:tcPr>
            <w:tcW w:w="1980" w:type="dxa"/>
            <w:shd w:val="clear" w:color="auto" w:fill="FFD966" w:themeFill="accent4" w:themeFillTint="99"/>
            <w:vAlign w:val="center"/>
          </w:tcPr>
          <w:p w14:paraId="674213C9" w14:textId="270DDEF5" w:rsidR="00931A60" w:rsidRPr="00B6585E" w:rsidRDefault="00A221DB" w:rsidP="00CF5CD2">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lastRenderedPageBreak/>
              <w:t>Inclusion Criteria</w:t>
            </w:r>
            <w:r w:rsidR="00F64673" w:rsidRPr="00B6585E">
              <w:rPr>
                <w:rFonts w:ascii="Arial" w:hAnsi="Arial" w:cs="Arial"/>
                <w:b/>
                <w:color w:val="000000" w:themeColor="text1"/>
                <w:sz w:val="22"/>
                <w:szCs w:val="22"/>
              </w:rPr>
              <w:t xml:space="preserve"> (A-E)</w:t>
            </w:r>
          </w:p>
        </w:tc>
        <w:tc>
          <w:tcPr>
            <w:tcW w:w="7030" w:type="dxa"/>
            <w:shd w:val="clear" w:color="auto" w:fill="auto"/>
          </w:tcPr>
          <w:p w14:paraId="7A1ED8E4" w14:textId="77777777" w:rsidR="00764EC7" w:rsidRPr="00B6585E" w:rsidRDefault="00764EC7" w:rsidP="00764EC7">
            <w:pPr>
              <w:pStyle w:val="ListParagraph"/>
              <w:numPr>
                <w:ilvl w:val="0"/>
                <w:numId w:val="26"/>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NT-proBNP ≥ 200 ng/L</w:t>
            </w:r>
          </w:p>
          <w:p w14:paraId="0C73A56E" w14:textId="77777777" w:rsidR="00764EC7" w:rsidRPr="00B6585E" w:rsidRDefault="00764EC7" w:rsidP="00764EC7">
            <w:pPr>
              <w:pStyle w:val="ListParagraph"/>
              <w:spacing w:before="120" w:after="120"/>
              <w:ind w:right="-7"/>
              <w:contextualSpacing/>
              <w:rPr>
                <w:rFonts w:ascii="Arial" w:hAnsi="Arial" w:cs="Arial"/>
                <w:color w:val="000000" w:themeColor="text1"/>
                <w:sz w:val="22"/>
                <w:szCs w:val="22"/>
                <w:lang w:val="en-US"/>
              </w:rPr>
            </w:pPr>
          </w:p>
          <w:p w14:paraId="4B9E3784" w14:textId="77777777" w:rsidR="00764EC7" w:rsidRPr="00B6585E" w:rsidRDefault="00764EC7" w:rsidP="00764EC7">
            <w:pPr>
              <w:pStyle w:val="ListParagraph"/>
              <w:numPr>
                <w:ilvl w:val="0"/>
                <w:numId w:val="26"/>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coronary artery disease defined as 1 of the following 7 criteria (I to VII):</w:t>
            </w:r>
          </w:p>
          <w:p w14:paraId="0FC49288" w14:textId="77777777" w:rsidR="00764EC7" w:rsidRPr="00B6585E" w:rsidRDefault="00764EC7" w:rsidP="00764EC7">
            <w:pPr>
              <w:pStyle w:val="ListParagraph"/>
              <w:numPr>
                <w:ilvl w:val="0"/>
                <w:numId w:val="27"/>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angina</w:t>
            </w:r>
          </w:p>
          <w:p w14:paraId="03361B24" w14:textId="77777777" w:rsidR="00764EC7" w:rsidRPr="00B6585E" w:rsidRDefault="00764EC7" w:rsidP="00764EC7">
            <w:pPr>
              <w:pStyle w:val="ListParagraph"/>
              <w:numPr>
                <w:ilvl w:val="0"/>
                <w:numId w:val="27"/>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myocardial infarction or acute coronary syndrome</w:t>
            </w:r>
          </w:p>
          <w:p w14:paraId="4DBBDC3D" w14:textId="77777777" w:rsidR="00764EC7" w:rsidRPr="00B6585E" w:rsidRDefault="00764EC7" w:rsidP="00764EC7">
            <w:pPr>
              <w:pStyle w:val="ListParagraph"/>
              <w:numPr>
                <w:ilvl w:val="0"/>
                <w:numId w:val="27"/>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a segmental cardiac wall motion abnormality on echocardiography/radionuclide imaging</w:t>
            </w:r>
          </w:p>
          <w:p w14:paraId="3AFCF7CA" w14:textId="77777777" w:rsidR="00764EC7" w:rsidRPr="00B6585E" w:rsidRDefault="00764EC7" w:rsidP="00764EC7">
            <w:pPr>
              <w:pStyle w:val="ListParagraph"/>
              <w:numPr>
                <w:ilvl w:val="0"/>
                <w:numId w:val="27"/>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positive myocardial stress test (echocardiographic or radionuclide)</w:t>
            </w:r>
          </w:p>
          <w:p w14:paraId="15BAD2E2" w14:textId="77777777" w:rsidR="00764EC7" w:rsidRPr="00B6585E" w:rsidRDefault="00764EC7" w:rsidP="00764EC7">
            <w:pPr>
              <w:pStyle w:val="ListParagraph"/>
              <w:numPr>
                <w:ilvl w:val="0"/>
                <w:numId w:val="27"/>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a coronary artery stenosis &gt; 50%</w:t>
            </w:r>
          </w:p>
          <w:p w14:paraId="3B38DB0E" w14:textId="77777777" w:rsidR="00764EC7" w:rsidRPr="00B6585E" w:rsidRDefault="00764EC7" w:rsidP="00764EC7">
            <w:pPr>
              <w:pStyle w:val="ListParagraph"/>
              <w:numPr>
                <w:ilvl w:val="0"/>
                <w:numId w:val="27"/>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ECG with pathological Q waves in any two contiguous leads</w:t>
            </w:r>
          </w:p>
          <w:p w14:paraId="0F386F59" w14:textId="77777777" w:rsidR="00764EC7" w:rsidRPr="00B6585E" w:rsidRDefault="00764EC7" w:rsidP="00764EC7">
            <w:pPr>
              <w:pStyle w:val="ListParagraph"/>
              <w:numPr>
                <w:ilvl w:val="0"/>
                <w:numId w:val="27"/>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previous artery revascularizations</w:t>
            </w:r>
          </w:p>
          <w:p w14:paraId="031452D9" w14:textId="77777777" w:rsidR="00764EC7" w:rsidRPr="00B6585E" w:rsidRDefault="00764EC7" w:rsidP="00764EC7">
            <w:pPr>
              <w:pStyle w:val="ListParagraph"/>
              <w:spacing w:before="120" w:after="120"/>
              <w:ind w:left="1440" w:right="-7"/>
              <w:contextualSpacing/>
              <w:rPr>
                <w:rFonts w:ascii="Arial" w:eastAsia="Times New Roman" w:hAnsi="Arial" w:cs="Arial"/>
                <w:color w:val="000000" w:themeColor="text1"/>
                <w:sz w:val="22"/>
                <w:szCs w:val="22"/>
                <w:lang w:val="en-US"/>
              </w:rPr>
            </w:pPr>
          </w:p>
          <w:p w14:paraId="3DBAF412" w14:textId="77777777" w:rsidR="00764EC7" w:rsidRPr="00B6585E" w:rsidRDefault="00764EC7" w:rsidP="00764EC7">
            <w:pPr>
              <w:pStyle w:val="ListParagraph"/>
              <w:numPr>
                <w:ilvl w:val="0"/>
                <w:numId w:val="26"/>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permanent/paroxysmal atrial fibrillation diagnosed by physician/specialist</w:t>
            </w:r>
          </w:p>
          <w:p w14:paraId="48323AF2" w14:textId="77777777" w:rsidR="00764EC7" w:rsidRPr="00B6585E" w:rsidRDefault="00764EC7" w:rsidP="00764EC7">
            <w:pPr>
              <w:pStyle w:val="ListParagraph"/>
              <w:spacing w:before="120" w:after="120"/>
              <w:ind w:left="1440" w:right="-7"/>
              <w:contextualSpacing/>
              <w:rPr>
                <w:rFonts w:ascii="Arial" w:eastAsia="Times New Roman" w:hAnsi="Arial" w:cs="Arial"/>
                <w:color w:val="000000" w:themeColor="text1"/>
                <w:sz w:val="22"/>
                <w:szCs w:val="22"/>
                <w:lang w:val="en-US"/>
              </w:rPr>
            </w:pPr>
          </w:p>
          <w:p w14:paraId="4A0C2FAE" w14:textId="07002C5E" w:rsidR="00764EC7" w:rsidRPr="00B6585E" w:rsidRDefault="00764EC7" w:rsidP="00764EC7">
            <w:pPr>
              <w:pStyle w:val="ListParagraph"/>
              <w:numPr>
                <w:ilvl w:val="0"/>
                <w:numId w:val="26"/>
              </w:numPr>
              <w:tabs>
                <w:tab w:val="left" w:pos="2552"/>
              </w:tabs>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peripheral arterial disease as defined by a physician/specialist diagnosis of a current, or prior history of any 1 of the following 5criteria (I-V)</w:t>
            </w:r>
          </w:p>
          <w:p w14:paraId="508DF0EA" w14:textId="77777777" w:rsidR="00764EC7" w:rsidRPr="00B6585E" w:rsidRDefault="00764EC7" w:rsidP="00764EC7">
            <w:pPr>
              <w:pStyle w:val="ListParagraph"/>
              <w:numPr>
                <w:ilvl w:val="0"/>
                <w:numId w:val="28"/>
              </w:numPr>
              <w:tabs>
                <w:tab w:val="left" w:pos="709"/>
              </w:tabs>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      Intermittent claudication</w:t>
            </w:r>
          </w:p>
          <w:p w14:paraId="327FA22B" w14:textId="77777777" w:rsidR="00764EC7" w:rsidRPr="00B6585E" w:rsidRDefault="00764EC7" w:rsidP="00764EC7">
            <w:pPr>
              <w:pStyle w:val="ListParagraph"/>
              <w:numPr>
                <w:ilvl w:val="0"/>
                <w:numId w:val="29"/>
              </w:numPr>
              <w:tabs>
                <w:tab w:val="left" w:pos="709"/>
              </w:tabs>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Stenosis ≥ 70 % detected by angiography or doppler </w:t>
            </w:r>
          </w:p>
          <w:p w14:paraId="657D1AF8" w14:textId="77777777" w:rsidR="00764EC7" w:rsidRPr="00B6585E" w:rsidRDefault="00764EC7" w:rsidP="00764EC7">
            <w:pPr>
              <w:pStyle w:val="ListParagraph"/>
              <w:numPr>
                <w:ilvl w:val="0"/>
                <w:numId w:val="29"/>
              </w:numPr>
              <w:tabs>
                <w:tab w:val="left" w:pos="709"/>
              </w:tabs>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Stenosis ≤ 70% detected by angiography or doppler AND requiring medical treatment e.g. ASA or other platelet inhibitor</w:t>
            </w:r>
          </w:p>
          <w:p w14:paraId="0B8083A6" w14:textId="77777777" w:rsidR="00764EC7" w:rsidRPr="00B6585E" w:rsidRDefault="00764EC7" w:rsidP="00764EC7">
            <w:pPr>
              <w:pStyle w:val="ListParagraph"/>
              <w:numPr>
                <w:ilvl w:val="0"/>
                <w:numId w:val="29"/>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stroke or TIA – diagnosed by physician or CT/MRI</w:t>
            </w:r>
          </w:p>
          <w:p w14:paraId="5C472BD4" w14:textId="77777777" w:rsidR="00764EC7" w:rsidRPr="00B6585E" w:rsidRDefault="00764EC7" w:rsidP="00764EC7">
            <w:pPr>
              <w:pStyle w:val="ListParagraph"/>
              <w:numPr>
                <w:ilvl w:val="0"/>
                <w:numId w:val="29"/>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Diagnosed cerebral arteriovascular disease (cAVK) diagnosed by a physician/specialist</w:t>
            </w:r>
          </w:p>
          <w:p w14:paraId="31694A85" w14:textId="77777777" w:rsidR="00764EC7" w:rsidRPr="00B6585E" w:rsidRDefault="00764EC7" w:rsidP="00764EC7">
            <w:pPr>
              <w:pStyle w:val="ListParagraph"/>
              <w:spacing w:before="120" w:after="120"/>
              <w:ind w:left="1440" w:right="-7"/>
              <w:contextualSpacing/>
              <w:rPr>
                <w:rFonts w:ascii="Arial" w:eastAsia="Times New Roman" w:hAnsi="Arial" w:cs="Arial"/>
                <w:color w:val="000000" w:themeColor="text1"/>
                <w:sz w:val="22"/>
                <w:szCs w:val="22"/>
                <w:lang w:val="en-US"/>
              </w:rPr>
            </w:pPr>
          </w:p>
          <w:p w14:paraId="2F5C9660" w14:textId="2B049BDD" w:rsidR="00764EC7" w:rsidRPr="00B6585E" w:rsidRDefault="00764EC7" w:rsidP="00764EC7">
            <w:pPr>
              <w:pStyle w:val="ListParagraph"/>
              <w:numPr>
                <w:ilvl w:val="0"/>
                <w:numId w:val="26"/>
              </w:numPr>
              <w:spacing w:before="120" w:after="120"/>
              <w:ind w:right="-7"/>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Any 3 of </w:t>
            </w:r>
            <w:r w:rsidR="00C91F25" w:rsidRPr="00B6585E">
              <w:rPr>
                <w:rFonts w:ascii="Arial" w:hAnsi="Arial" w:cs="Arial"/>
                <w:color w:val="000000" w:themeColor="text1"/>
                <w:sz w:val="22"/>
                <w:szCs w:val="22"/>
                <w:lang w:val="en-US"/>
              </w:rPr>
              <w:t>10</w:t>
            </w:r>
            <w:r w:rsidRPr="00B6585E">
              <w:rPr>
                <w:rFonts w:ascii="Arial" w:hAnsi="Arial" w:cs="Arial"/>
                <w:color w:val="000000" w:themeColor="text1"/>
                <w:sz w:val="22"/>
                <w:szCs w:val="22"/>
                <w:lang w:val="en-US"/>
              </w:rPr>
              <w:t xml:space="preserve"> of the following risk criteria (i – </w:t>
            </w:r>
            <w:r w:rsidR="00C91F25" w:rsidRPr="00B6585E">
              <w:rPr>
                <w:rFonts w:ascii="Arial" w:hAnsi="Arial" w:cs="Arial"/>
                <w:color w:val="000000" w:themeColor="text1"/>
                <w:sz w:val="22"/>
                <w:szCs w:val="22"/>
                <w:lang w:val="en-US"/>
              </w:rPr>
              <w:t>x</w:t>
            </w:r>
            <w:r w:rsidRPr="00B6585E">
              <w:rPr>
                <w:rFonts w:ascii="Arial" w:hAnsi="Arial" w:cs="Arial"/>
                <w:color w:val="000000" w:themeColor="text1"/>
                <w:sz w:val="22"/>
                <w:szCs w:val="22"/>
                <w:lang w:val="en-US"/>
              </w:rPr>
              <w:t>).</w:t>
            </w:r>
          </w:p>
          <w:p w14:paraId="72707B24"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congestive heart failure defined as a physician diagnosis of a current or prior episode of congestive heart failure OR prior radiographic evidence of vascular redistribution, interstitial pulmonary edema, or frank alveolar pulmonary edema; </w:t>
            </w:r>
          </w:p>
          <w:p w14:paraId="603118D9"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a transient ischemic attack; </w:t>
            </w:r>
          </w:p>
          <w:p w14:paraId="569337F0"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Diabetes and currently taking an oral hypoglycemic agent or insulin; </w:t>
            </w:r>
          </w:p>
          <w:p w14:paraId="68D5DCBC"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hypertension; </w:t>
            </w:r>
          </w:p>
          <w:p w14:paraId="0C26E150"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Hyperlipidemia and currently taking a lipid-lowering agent;</w:t>
            </w:r>
          </w:p>
          <w:p w14:paraId="0EC70F43" w14:textId="7229AEB9" w:rsidR="00B67A05" w:rsidRPr="00B6585E" w:rsidRDefault="00B67A05" w:rsidP="00C91F25">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hAnsi="Arial" w:cs="Arial"/>
                <w:color w:val="000000" w:themeColor="text1"/>
                <w:sz w:val="22"/>
                <w:szCs w:val="22"/>
                <w:lang w:val="en-US"/>
              </w:rPr>
              <w:lastRenderedPageBreak/>
              <w:t>Documented chronic kidney disease diagnosed by physician/specialist and creatinine clearance &gt; 30 ml/min</w:t>
            </w:r>
          </w:p>
          <w:p w14:paraId="713C44F3"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smoking within 2 years of surgery</w:t>
            </w:r>
          </w:p>
          <w:p w14:paraId="302E242D"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Diastolic dysfunction (≥ grade 1) documented by echocardiography</w:t>
            </w:r>
          </w:p>
          <w:p w14:paraId="752E9C99" w14:textId="77777777" w:rsidR="00764EC7" w:rsidRPr="00B6585E" w:rsidRDefault="00764EC7" w:rsidP="00764EC7">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Age ≥ 70 years</w:t>
            </w:r>
          </w:p>
          <w:p w14:paraId="6CFDECE5" w14:textId="0132D8F5" w:rsidR="00931A60" w:rsidRPr="00B6585E" w:rsidRDefault="00764EC7" w:rsidP="00C91F25">
            <w:pPr>
              <w:pStyle w:val="ListParagraph"/>
              <w:numPr>
                <w:ilvl w:val="2"/>
                <w:numId w:val="26"/>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Preoperative Troponin T (5</w:t>
            </w:r>
            <w:r w:rsidRPr="00B6585E">
              <w:rPr>
                <w:rFonts w:ascii="Arial" w:eastAsia="Times New Roman" w:hAnsi="Arial" w:cs="Arial"/>
                <w:color w:val="000000" w:themeColor="text1"/>
                <w:sz w:val="22"/>
                <w:szCs w:val="22"/>
                <w:vertAlign w:val="superscript"/>
                <w:lang w:val="en-US"/>
              </w:rPr>
              <w:t>th</w:t>
            </w:r>
            <w:r w:rsidRPr="00B6585E">
              <w:rPr>
                <w:rFonts w:ascii="Arial" w:eastAsia="Times New Roman" w:hAnsi="Arial" w:cs="Arial"/>
                <w:color w:val="000000" w:themeColor="text1"/>
                <w:sz w:val="22"/>
                <w:szCs w:val="22"/>
                <w:lang w:val="en-US"/>
              </w:rPr>
              <w:t xml:space="preserve"> generation) ≥ 25ng/dL</w:t>
            </w:r>
          </w:p>
        </w:tc>
      </w:tr>
      <w:tr w:rsidR="00B6585E" w:rsidRPr="00B6585E" w14:paraId="777C4A24" w14:textId="77777777" w:rsidTr="00E54CC3">
        <w:tc>
          <w:tcPr>
            <w:tcW w:w="1980" w:type="dxa"/>
            <w:shd w:val="clear" w:color="auto" w:fill="FFD966" w:themeFill="accent4" w:themeFillTint="99"/>
            <w:vAlign w:val="center"/>
          </w:tcPr>
          <w:p w14:paraId="5BFE6DD3" w14:textId="31BBEF83" w:rsidR="00CF5CD2" w:rsidRPr="00B6585E" w:rsidRDefault="00CF5CD2">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lastRenderedPageBreak/>
              <w:t>Exclusion Criteria</w:t>
            </w:r>
            <w:r w:rsidR="00F64673" w:rsidRPr="00B6585E">
              <w:rPr>
                <w:rFonts w:ascii="Arial" w:hAnsi="Arial" w:cs="Arial"/>
                <w:b/>
                <w:color w:val="000000" w:themeColor="text1"/>
                <w:sz w:val="22"/>
                <w:szCs w:val="22"/>
              </w:rPr>
              <w:t xml:space="preserve"> (A-</w:t>
            </w:r>
            <w:r w:rsidR="009261E8" w:rsidRPr="00B6585E">
              <w:rPr>
                <w:rFonts w:ascii="Arial" w:hAnsi="Arial" w:cs="Arial"/>
                <w:b/>
                <w:color w:val="000000" w:themeColor="text1"/>
                <w:sz w:val="22"/>
                <w:szCs w:val="22"/>
              </w:rPr>
              <w:t>J</w:t>
            </w:r>
            <w:r w:rsidR="00F64673" w:rsidRPr="00B6585E">
              <w:rPr>
                <w:rFonts w:ascii="Arial" w:hAnsi="Arial" w:cs="Arial"/>
                <w:b/>
                <w:color w:val="000000" w:themeColor="text1"/>
                <w:sz w:val="22"/>
                <w:szCs w:val="22"/>
              </w:rPr>
              <w:t>)</w:t>
            </w:r>
          </w:p>
        </w:tc>
        <w:tc>
          <w:tcPr>
            <w:tcW w:w="7030" w:type="dxa"/>
            <w:shd w:val="clear" w:color="auto" w:fill="auto"/>
          </w:tcPr>
          <w:p w14:paraId="1C48CF27" w14:textId="716B77B1" w:rsidR="00F64673" w:rsidRPr="00B6585E" w:rsidRDefault="00F64673" w:rsidP="00C85F39">
            <w:pPr>
              <w:pStyle w:val="ListParagraph"/>
              <w:numPr>
                <w:ilvl w:val="0"/>
                <w:numId w:val="10"/>
              </w:numPr>
              <w:spacing w:before="120" w:after="120"/>
              <w:ind w:right="-7"/>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Previous adverse response and/or allergy to levosimendan</w:t>
            </w:r>
          </w:p>
          <w:p w14:paraId="303FDA85" w14:textId="77777777" w:rsidR="00F64673" w:rsidRPr="00B6585E" w:rsidRDefault="00F64673"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ICU Patients undergoing surgery  </w:t>
            </w:r>
          </w:p>
          <w:p w14:paraId="1CAEE182" w14:textId="77777777" w:rsidR="00F64673" w:rsidRPr="00B6585E" w:rsidRDefault="00F64673"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Preoperative Sepsis/SIRS needing ICU treatment</w:t>
            </w:r>
          </w:p>
          <w:p w14:paraId="7C0DECBF" w14:textId="704754DA" w:rsidR="00F64673" w:rsidRPr="00B6585E" w:rsidRDefault="00F64673"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Preoperative hemodynamically </w:t>
            </w:r>
            <w:r w:rsidR="00FB1351" w:rsidRPr="00B6585E">
              <w:rPr>
                <w:rFonts w:ascii="Arial" w:eastAsia="Times New Roman" w:hAnsi="Arial" w:cs="Arial"/>
                <w:color w:val="000000" w:themeColor="text1"/>
                <w:sz w:val="22"/>
                <w:szCs w:val="22"/>
                <w:lang w:val="en-US"/>
              </w:rPr>
              <w:t>i</w:t>
            </w:r>
            <w:r w:rsidRPr="00B6585E">
              <w:rPr>
                <w:rFonts w:ascii="Arial" w:eastAsia="Times New Roman" w:hAnsi="Arial" w:cs="Arial"/>
                <w:color w:val="000000" w:themeColor="text1"/>
                <w:sz w:val="22"/>
                <w:szCs w:val="22"/>
                <w:lang w:val="en-US"/>
              </w:rPr>
              <w:t>nstable patients, who require vasopressor or inotropic support</w:t>
            </w:r>
          </w:p>
          <w:p w14:paraId="3D406841" w14:textId="77777777" w:rsidR="00F64673" w:rsidRPr="00B6585E" w:rsidRDefault="00F64673"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Renal or liver transplantation</w:t>
            </w:r>
          </w:p>
          <w:p w14:paraId="6AEC4BAB" w14:textId="79A63833" w:rsidR="00F64673" w:rsidRPr="00B6585E" w:rsidRDefault="00B90900"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severe heart failure (e.g. </w:t>
            </w:r>
            <w:r w:rsidRPr="00B6585E">
              <w:rPr>
                <w:rFonts w:ascii="Arial" w:hAnsi="Arial" w:cs="Arial"/>
                <w:color w:val="000000" w:themeColor="text1"/>
                <w:sz w:val="22"/>
                <w:szCs w:val="22"/>
                <w:lang w:val="en-US"/>
              </w:rPr>
              <w:t xml:space="preserve">LVEF &lt; 30%) </w:t>
            </w:r>
          </w:p>
          <w:p w14:paraId="061FD8F5" w14:textId="77777777" w:rsidR="00F64673" w:rsidRPr="00B6585E" w:rsidRDefault="00F64673"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Patients undergoing surgery for pheochromocytoma </w:t>
            </w:r>
          </w:p>
          <w:p w14:paraId="0CC2F651" w14:textId="77777777" w:rsidR="00CF5CD2" w:rsidRPr="00B6585E" w:rsidRDefault="00F64673"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Liver cirrhosis</w:t>
            </w:r>
          </w:p>
          <w:p w14:paraId="591FD354" w14:textId="2595B97D" w:rsidR="00B62FCE" w:rsidRPr="00B6585E" w:rsidRDefault="00B62FCE"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Pulmonary </w:t>
            </w:r>
            <w:r w:rsidR="00C85F39" w:rsidRPr="00B6585E">
              <w:rPr>
                <w:rFonts w:ascii="Arial" w:eastAsia="Times New Roman" w:hAnsi="Arial" w:cs="Arial"/>
                <w:color w:val="000000" w:themeColor="text1"/>
                <w:sz w:val="22"/>
                <w:szCs w:val="22"/>
                <w:lang w:val="en-US"/>
              </w:rPr>
              <w:t>h</w:t>
            </w:r>
            <w:r w:rsidRPr="00B6585E">
              <w:rPr>
                <w:rFonts w:ascii="Arial" w:eastAsia="Times New Roman" w:hAnsi="Arial" w:cs="Arial"/>
                <w:color w:val="000000" w:themeColor="text1"/>
                <w:sz w:val="22"/>
                <w:szCs w:val="22"/>
                <w:lang w:val="en-US"/>
              </w:rPr>
              <w:t>ypertension (</w:t>
            </w:r>
            <w:r w:rsidR="00821F30" w:rsidRPr="00B6585E">
              <w:rPr>
                <w:rFonts w:ascii="Arial" w:eastAsia="Times New Roman" w:hAnsi="Arial" w:cs="Arial"/>
                <w:color w:val="000000" w:themeColor="text1"/>
                <w:sz w:val="22"/>
                <w:szCs w:val="22"/>
                <w:lang w:val="en-US"/>
              </w:rPr>
              <w:t>m</w:t>
            </w:r>
            <w:r w:rsidRPr="00B6585E">
              <w:rPr>
                <w:rFonts w:ascii="Arial" w:eastAsia="Times New Roman" w:hAnsi="Arial" w:cs="Arial"/>
                <w:color w:val="000000" w:themeColor="text1"/>
                <w:sz w:val="22"/>
                <w:szCs w:val="22"/>
                <w:lang w:val="en-US"/>
              </w:rPr>
              <w:t xml:space="preserve">PAP &gt; 25 mmHg) </w:t>
            </w:r>
          </w:p>
          <w:p w14:paraId="4AC80BDF" w14:textId="1DBAF4D8" w:rsidR="00C85F39" w:rsidRPr="00B6585E" w:rsidRDefault="00C85F39" w:rsidP="00C85F39">
            <w:pPr>
              <w:pStyle w:val="ListParagraph"/>
              <w:numPr>
                <w:ilvl w:val="0"/>
                <w:numId w:val="10"/>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Severe Renal Failure defines as creatinine clearance </w:t>
            </w:r>
            <w:r w:rsidR="00764EC7" w:rsidRPr="00B6585E">
              <w:rPr>
                <w:rFonts w:ascii="Arial" w:eastAsia="Times New Roman" w:hAnsi="Arial" w:cs="Arial"/>
                <w:color w:val="000000" w:themeColor="text1"/>
                <w:sz w:val="22"/>
                <w:szCs w:val="22"/>
                <w:lang w:val="en-US"/>
              </w:rPr>
              <w:t>≤</w:t>
            </w:r>
            <w:r w:rsidRPr="00B6585E">
              <w:rPr>
                <w:rFonts w:ascii="Arial" w:eastAsia="Times New Roman" w:hAnsi="Arial" w:cs="Arial"/>
                <w:color w:val="000000" w:themeColor="text1"/>
                <w:sz w:val="22"/>
                <w:szCs w:val="22"/>
                <w:lang w:val="en-US"/>
              </w:rPr>
              <w:t xml:space="preserve"> 30 ml/min</w:t>
            </w:r>
          </w:p>
        </w:tc>
      </w:tr>
      <w:tr w:rsidR="00B6585E" w:rsidRPr="00B6585E" w14:paraId="4B7BF783" w14:textId="77777777" w:rsidTr="00E54CC3">
        <w:tc>
          <w:tcPr>
            <w:tcW w:w="1980" w:type="dxa"/>
            <w:shd w:val="clear" w:color="auto" w:fill="FFD966" w:themeFill="accent4" w:themeFillTint="99"/>
            <w:vAlign w:val="center"/>
          </w:tcPr>
          <w:p w14:paraId="1C6EB596" w14:textId="77777777"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Treatment Regimen</w:t>
            </w:r>
          </w:p>
        </w:tc>
        <w:tc>
          <w:tcPr>
            <w:tcW w:w="7030" w:type="dxa"/>
            <w:shd w:val="clear" w:color="auto" w:fill="auto"/>
          </w:tcPr>
          <w:p w14:paraId="5E38FE2D" w14:textId="0D913059" w:rsidR="00931A60" w:rsidRPr="00B6585E" w:rsidRDefault="00A221DB">
            <w:pPr>
              <w:widowControl w:val="0"/>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w:t>
            </w:r>
            <w:r w:rsidR="00EE37C3" w:rsidRPr="00B6585E">
              <w:rPr>
                <w:rFonts w:ascii="Arial" w:hAnsi="Arial" w:cs="Arial"/>
                <w:color w:val="000000" w:themeColor="text1"/>
                <w:sz w:val="22"/>
                <w:szCs w:val="22"/>
              </w:rPr>
              <w:t xml:space="preserve">study drug </w:t>
            </w:r>
            <w:r w:rsidRPr="00B6585E">
              <w:rPr>
                <w:rFonts w:ascii="Arial" w:hAnsi="Arial" w:cs="Arial"/>
                <w:color w:val="000000" w:themeColor="text1"/>
                <w:sz w:val="22"/>
                <w:szCs w:val="22"/>
              </w:rPr>
              <w:t>(</w:t>
            </w:r>
            <w:r w:rsidR="009E14F7" w:rsidRPr="00B6585E">
              <w:rPr>
                <w:rFonts w:ascii="Arial" w:hAnsi="Arial" w:cs="Arial"/>
                <w:color w:val="000000" w:themeColor="text1"/>
                <w:sz w:val="22"/>
                <w:szCs w:val="22"/>
              </w:rPr>
              <w:t>500</w:t>
            </w:r>
            <w:r w:rsidRPr="00B6585E">
              <w:rPr>
                <w:rFonts w:ascii="Arial" w:hAnsi="Arial" w:cs="Arial"/>
                <w:color w:val="000000" w:themeColor="text1"/>
                <w:sz w:val="22"/>
                <w:szCs w:val="22"/>
              </w:rPr>
              <w:t xml:space="preserve">mL) will </w:t>
            </w:r>
            <w:r w:rsidR="00912313" w:rsidRPr="00B6585E">
              <w:rPr>
                <w:rFonts w:ascii="Arial" w:hAnsi="Arial" w:cs="Arial"/>
                <w:color w:val="000000" w:themeColor="text1"/>
                <w:sz w:val="22"/>
                <w:szCs w:val="22"/>
              </w:rPr>
              <w:t xml:space="preserve">be </w:t>
            </w:r>
            <w:r w:rsidRPr="00B6585E">
              <w:rPr>
                <w:rFonts w:ascii="Arial" w:hAnsi="Arial" w:cs="Arial"/>
                <w:color w:val="000000" w:themeColor="text1"/>
                <w:sz w:val="22"/>
                <w:szCs w:val="22"/>
              </w:rPr>
              <w:t xml:space="preserve">continuously infused with 0.1 to 0.2 µg/kg/min </w:t>
            </w:r>
            <w:r w:rsidR="00EE37C3" w:rsidRPr="00B6585E">
              <w:rPr>
                <w:rFonts w:ascii="Arial" w:hAnsi="Arial" w:cs="Arial"/>
                <w:color w:val="000000" w:themeColor="text1"/>
                <w:sz w:val="22"/>
                <w:szCs w:val="22"/>
              </w:rPr>
              <w:t>using</w:t>
            </w:r>
            <w:r w:rsidRPr="00B6585E">
              <w:rPr>
                <w:rFonts w:ascii="Arial" w:hAnsi="Arial" w:cs="Arial"/>
                <w:color w:val="000000" w:themeColor="text1"/>
                <w:sz w:val="22"/>
                <w:szCs w:val="22"/>
              </w:rPr>
              <w:t xml:space="preserve"> a</w:t>
            </w:r>
            <w:r w:rsidR="006D1912" w:rsidRPr="00B6585E">
              <w:rPr>
                <w:rFonts w:ascii="Arial" w:hAnsi="Arial" w:cs="Arial"/>
                <w:color w:val="000000" w:themeColor="text1"/>
                <w:sz w:val="22"/>
                <w:szCs w:val="22"/>
              </w:rPr>
              <w:t>n</w:t>
            </w:r>
            <w:r w:rsidRPr="00B6585E">
              <w:rPr>
                <w:rFonts w:ascii="Arial" w:hAnsi="Arial" w:cs="Arial"/>
                <w:color w:val="000000" w:themeColor="text1"/>
                <w:sz w:val="22"/>
                <w:szCs w:val="22"/>
              </w:rPr>
              <w:t xml:space="preserve"> </w:t>
            </w:r>
            <w:r w:rsidR="008D6C39" w:rsidRPr="00B6585E">
              <w:rPr>
                <w:rFonts w:ascii="Arial" w:hAnsi="Arial" w:cs="Arial"/>
                <w:color w:val="000000" w:themeColor="text1"/>
                <w:sz w:val="22"/>
                <w:szCs w:val="22"/>
              </w:rPr>
              <w:t>infusion</w:t>
            </w:r>
            <w:r w:rsidRPr="00B6585E">
              <w:rPr>
                <w:rFonts w:ascii="Arial" w:hAnsi="Arial" w:cs="Arial"/>
                <w:color w:val="000000" w:themeColor="text1"/>
                <w:sz w:val="22"/>
                <w:szCs w:val="22"/>
              </w:rPr>
              <w:t xml:space="preserve">-pump for </w:t>
            </w:r>
            <w:r w:rsidR="006B4CE5" w:rsidRPr="00B6585E">
              <w:rPr>
                <w:rFonts w:ascii="Arial" w:hAnsi="Arial" w:cs="Arial"/>
                <w:color w:val="000000" w:themeColor="text1"/>
                <w:sz w:val="22"/>
                <w:szCs w:val="22"/>
              </w:rPr>
              <w:t>at least 24 hours or until the end of the study medication.</w:t>
            </w:r>
          </w:p>
        </w:tc>
      </w:tr>
      <w:tr w:rsidR="00B6585E" w:rsidRPr="00B6585E" w14:paraId="517FF726" w14:textId="77777777" w:rsidTr="00E54CC3">
        <w:tc>
          <w:tcPr>
            <w:tcW w:w="1980" w:type="dxa"/>
            <w:shd w:val="clear" w:color="auto" w:fill="FFD966" w:themeFill="accent4" w:themeFillTint="99"/>
            <w:vAlign w:val="center"/>
          </w:tcPr>
          <w:p w14:paraId="6DD33D65" w14:textId="39D834AE"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 xml:space="preserve">Study </w:t>
            </w:r>
            <w:r w:rsidR="005179EB" w:rsidRPr="00B6585E">
              <w:rPr>
                <w:rFonts w:ascii="Arial" w:hAnsi="Arial" w:cs="Arial"/>
                <w:b/>
                <w:color w:val="000000" w:themeColor="text1"/>
                <w:sz w:val="22"/>
                <w:szCs w:val="22"/>
              </w:rPr>
              <w:t>Period</w:t>
            </w:r>
          </w:p>
        </w:tc>
        <w:tc>
          <w:tcPr>
            <w:tcW w:w="7030" w:type="dxa"/>
            <w:shd w:val="clear" w:color="auto" w:fill="auto"/>
          </w:tcPr>
          <w:p w14:paraId="5BE73F9B" w14:textId="4CABC805" w:rsidR="00931A60" w:rsidRPr="00B6585E" w:rsidRDefault="006D678A">
            <w:pPr>
              <w:spacing w:before="120" w:after="120"/>
              <w:rPr>
                <w:rFonts w:ascii="Arial" w:hAnsi="Arial" w:cs="Arial"/>
                <w:color w:val="000000" w:themeColor="text1"/>
                <w:sz w:val="22"/>
                <w:szCs w:val="22"/>
              </w:rPr>
            </w:pPr>
            <w:r w:rsidRPr="00B6585E">
              <w:rPr>
                <w:rFonts w:ascii="Arial" w:hAnsi="Arial" w:cs="Arial"/>
                <w:color w:val="000000" w:themeColor="text1"/>
                <w:sz w:val="22"/>
                <w:szCs w:val="22"/>
              </w:rPr>
              <w:t>Day of surgery and the f</w:t>
            </w:r>
            <w:r w:rsidR="00F2380F" w:rsidRPr="00B6585E">
              <w:rPr>
                <w:rFonts w:ascii="Arial" w:hAnsi="Arial" w:cs="Arial"/>
                <w:color w:val="000000" w:themeColor="text1"/>
                <w:sz w:val="22"/>
                <w:szCs w:val="22"/>
              </w:rPr>
              <w:t>ollowing</w:t>
            </w:r>
            <w:r w:rsidR="00EE37C3" w:rsidRPr="00B6585E">
              <w:rPr>
                <w:rFonts w:ascii="Arial" w:hAnsi="Arial" w:cs="Arial"/>
                <w:color w:val="000000" w:themeColor="text1"/>
                <w:sz w:val="22"/>
                <w:szCs w:val="22"/>
              </w:rPr>
              <w:t xml:space="preserve"> five</w:t>
            </w:r>
            <w:r w:rsidRPr="00B6585E">
              <w:rPr>
                <w:rFonts w:ascii="Arial" w:hAnsi="Arial" w:cs="Arial"/>
                <w:color w:val="000000" w:themeColor="text1"/>
                <w:sz w:val="22"/>
                <w:szCs w:val="22"/>
              </w:rPr>
              <w:t xml:space="preserve"> postoperative days</w:t>
            </w:r>
          </w:p>
        </w:tc>
      </w:tr>
      <w:tr w:rsidR="00B6585E" w:rsidRPr="00B6585E" w14:paraId="2DFD5EB9" w14:textId="77777777" w:rsidTr="00E54CC3">
        <w:tc>
          <w:tcPr>
            <w:tcW w:w="1980" w:type="dxa"/>
            <w:shd w:val="clear" w:color="auto" w:fill="FFD966" w:themeFill="accent4" w:themeFillTint="99"/>
            <w:vAlign w:val="center"/>
          </w:tcPr>
          <w:p w14:paraId="35393E7A" w14:textId="77777777" w:rsidR="00931A60" w:rsidRPr="00B6585E" w:rsidRDefault="00A221DB">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Follow-Up</w:t>
            </w:r>
          </w:p>
        </w:tc>
        <w:tc>
          <w:tcPr>
            <w:tcW w:w="7030" w:type="dxa"/>
            <w:shd w:val="clear" w:color="auto" w:fill="auto"/>
          </w:tcPr>
          <w:p w14:paraId="701EA7B5" w14:textId="6FB71585" w:rsidR="00931A60" w:rsidRPr="00B6585E" w:rsidRDefault="00A221DB">
            <w:pPr>
              <w:spacing w:before="120" w:after="120"/>
              <w:rPr>
                <w:rFonts w:ascii="Arial" w:hAnsi="Arial" w:cs="Arial"/>
                <w:color w:val="000000" w:themeColor="text1"/>
                <w:sz w:val="22"/>
                <w:szCs w:val="22"/>
              </w:rPr>
            </w:pPr>
            <w:r w:rsidRPr="00B6585E">
              <w:rPr>
                <w:rFonts w:ascii="Arial" w:hAnsi="Arial" w:cs="Arial"/>
                <w:color w:val="000000" w:themeColor="text1"/>
                <w:sz w:val="22"/>
                <w:szCs w:val="22"/>
              </w:rPr>
              <w:t>30 day</w:t>
            </w:r>
            <w:r w:rsidR="00912313"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phone follow-up</w:t>
            </w:r>
          </w:p>
          <w:p w14:paraId="6314BF57" w14:textId="62783E15" w:rsidR="00931A60" w:rsidRPr="00B6585E" w:rsidRDefault="00A221DB">
            <w:pPr>
              <w:spacing w:before="120" w:after="120"/>
              <w:rPr>
                <w:rFonts w:ascii="Arial" w:hAnsi="Arial" w:cs="Arial"/>
                <w:color w:val="000000" w:themeColor="text1"/>
                <w:sz w:val="22"/>
                <w:szCs w:val="22"/>
              </w:rPr>
            </w:pPr>
            <w:r w:rsidRPr="00B6585E">
              <w:rPr>
                <w:rFonts w:ascii="Arial" w:hAnsi="Arial" w:cs="Arial"/>
                <w:color w:val="000000" w:themeColor="text1"/>
                <w:sz w:val="22"/>
                <w:szCs w:val="22"/>
              </w:rPr>
              <w:t>1</w:t>
            </w:r>
            <w:r w:rsidR="006D1912" w:rsidRPr="00B6585E">
              <w:rPr>
                <w:rFonts w:ascii="Arial" w:hAnsi="Arial" w:cs="Arial"/>
                <w:color w:val="000000" w:themeColor="text1"/>
                <w:sz w:val="22"/>
                <w:szCs w:val="22"/>
              </w:rPr>
              <w:t>-</w:t>
            </w:r>
            <w:r w:rsidRPr="00B6585E">
              <w:rPr>
                <w:rFonts w:ascii="Arial" w:hAnsi="Arial" w:cs="Arial"/>
                <w:color w:val="000000" w:themeColor="text1"/>
                <w:sz w:val="22"/>
                <w:szCs w:val="22"/>
              </w:rPr>
              <w:t>year phone follow-up</w:t>
            </w:r>
          </w:p>
        </w:tc>
      </w:tr>
      <w:tr w:rsidR="00B6585E" w:rsidRPr="00B6585E" w14:paraId="775F5B85" w14:textId="77777777" w:rsidTr="00E54CC3">
        <w:tc>
          <w:tcPr>
            <w:tcW w:w="1980" w:type="dxa"/>
            <w:tcBorders>
              <w:bottom w:val="single" w:sz="4" w:space="0" w:color="auto"/>
            </w:tcBorders>
            <w:shd w:val="clear" w:color="auto" w:fill="FFD966" w:themeFill="accent4" w:themeFillTint="99"/>
            <w:vAlign w:val="center"/>
          </w:tcPr>
          <w:p w14:paraId="3778D480" w14:textId="1C197252" w:rsidR="00931A60" w:rsidRPr="00B6585E" w:rsidRDefault="00F2380F" w:rsidP="00E30A93">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 xml:space="preserve">BCM - </w:t>
            </w:r>
            <w:r w:rsidR="00A221DB" w:rsidRPr="00B6585E">
              <w:rPr>
                <w:rFonts w:ascii="Arial" w:hAnsi="Arial" w:cs="Arial"/>
                <w:b/>
                <w:color w:val="000000" w:themeColor="text1"/>
                <w:sz w:val="22"/>
                <w:szCs w:val="22"/>
              </w:rPr>
              <w:t>Sub-Study</w:t>
            </w:r>
          </w:p>
          <w:p w14:paraId="6C27AB2F" w14:textId="7B2DC12B" w:rsidR="00681C64" w:rsidRPr="00B6585E" w:rsidRDefault="00681C64" w:rsidP="00E30A93">
            <w:pPr>
              <w:spacing w:before="120" w:after="120"/>
              <w:rPr>
                <w:rFonts w:ascii="Arial" w:hAnsi="Arial" w:cs="Arial"/>
                <w:b/>
                <w:color w:val="000000" w:themeColor="text1"/>
                <w:sz w:val="22"/>
                <w:szCs w:val="22"/>
              </w:rPr>
            </w:pPr>
            <w:r w:rsidRPr="00B6585E">
              <w:rPr>
                <w:rFonts w:ascii="Arial" w:hAnsi="Arial" w:cs="Arial"/>
                <w:b/>
                <w:color w:val="000000" w:themeColor="text1"/>
                <w:sz w:val="22"/>
                <w:szCs w:val="22"/>
              </w:rPr>
              <w:t>(Appendix III)</w:t>
            </w:r>
          </w:p>
        </w:tc>
        <w:tc>
          <w:tcPr>
            <w:tcW w:w="7030" w:type="dxa"/>
            <w:shd w:val="clear" w:color="auto" w:fill="auto"/>
          </w:tcPr>
          <w:p w14:paraId="48DF0AF5" w14:textId="2548031A" w:rsidR="00931A60" w:rsidRPr="00B6585E" w:rsidRDefault="00A221DB" w:rsidP="00E30A93">
            <w:pPr>
              <w:widowControl w:val="0"/>
              <w:spacing w:before="120" w:after="120"/>
              <w:ind w:right="-6"/>
              <w:jc w:val="both"/>
              <w:rPr>
                <w:rFonts w:ascii="Arial" w:hAnsi="Arial" w:cs="Arial"/>
                <w:b/>
                <w:bCs/>
                <w:color w:val="000000" w:themeColor="text1"/>
                <w:sz w:val="22"/>
                <w:szCs w:val="22"/>
              </w:rPr>
            </w:pPr>
            <w:r w:rsidRPr="00B6585E">
              <w:rPr>
                <w:rFonts w:ascii="Arial" w:hAnsi="Arial" w:cs="Arial"/>
                <w:b/>
                <w:bCs/>
                <w:color w:val="000000" w:themeColor="text1"/>
                <w:sz w:val="22"/>
                <w:szCs w:val="22"/>
              </w:rPr>
              <w:t>Primary Outcome</w:t>
            </w:r>
          </w:p>
          <w:p w14:paraId="2FB42D99" w14:textId="04601177" w:rsidR="00931A60" w:rsidRPr="00B6585E" w:rsidRDefault="007D5FE4" w:rsidP="00E30A93">
            <w:pPr>
              <w:widowControl w:val="0"/>
              <w:spacing w:before="120" w:after="120"/>
              <w:ind w:right="-6"/>
              <w:jc w:val="both"/>
              <w:rPr>
                <w:rFonts w:ascii="Arial" w:hAnsi="Arial" w:cs="Arial"/>
                <w:color w:val="000000" w:themeColor="text1"/>
                <w:sz w:val="22"/>
                <w:szCs w:val="22"/>
              </w:rPr>
            </w:pPr>
            <w:r w:rsidRPr="00B6585E">
              <w:rPr>
                <w:rFonts w:ascii="Arial" w:hAnsi="Arial" w:cs="Arial"/>
                <w:color w:val="000000" w:themeColor="text1"/>
                <w:sz w:val="22"/>
                <w:szCs w:val="22"/>
              </w:rPr>
              <w:t xml:space="preserve">Levosimendan improves postoperative left ventricular ejection fraction, thus we hypothesize that the number of overhydrated patients is lower in the levosimendan group as compared to the placebo group. Based on previous studies a patient will be considered as overhydrated, when the overhydration exceed 1L. </w:t>
            </w:r>
            <w:r w:rsidR="00F2380F" w:rsidRPr="00B6585E">
              <w:rPr>
                <w:rFonts w:ascii="Arial" w:hAnsi="Arial" w:cs="Arial"/>
                <w:color w:val="000000" w:themeColor="text1"/>
                <w:sz w:val="22"/>
                <w:szCs w:val="22"/>
              </w:rPr>
              <w:t>For measurements we will use the body composition monitor (BCM).</w:t>
            </w:r>
          </w:p>
          <w:p w14:paraId="2E462332" w14:textId="77777777" w:rsidR="00931A60" w:rsidRPr="00B6585E" w:rsidRDefault="00931A60" w:rsidP="00E30A93">
            <w:pPr>
              <w:widowControl w:val="0"/>
              <w:spacing w:before="120" w:after="120"/>
              <w:ind w:right="-6"/>
              <w:jc w:val="both"/>
              <w:rPr>
                <w:rFonts w:ascii="Arial" w:hAnsi="Arial" w:cs="Arial"/>
                <w:color w:val="000000" w:themeColor="text1"/>
                <w:sz w:val="22"/>
                <w:szCs w:val="22"/>
              </w:rPr>
            </w:pPr>
          </w:p>
          <w:p w14:paraId="53C0FC1F" w14:textId="77777777" w:rsidR="00931A60" w:rsidRPr="00B6585E" w:rsidRDefault="00A221DB" w:rsidP="00E30A93">
            <w:pPr>
              <w:widowControl w:val="0"/>
              <w:spacing w:before="120" w:after="120"/>
              <w:ind w:right="-6"/>
              <w:jc w:val="both"/>
              <w:rPr>
                <w:rFonts w:ascii="Arial" w:hAnsi="Arial" w:cs="Arial"/>
                <w:b/>
                <w:bCs/>
                <w:color w:val="000000" w:themeColor="text1"/>
                <w:sz w:val="22"/>
                <w:szCs w:val="22"/>
              </w:rPr>
            </w:pPr>
            <w:r w:rsidRPr="00B6585E">
              <w:rPr>
                <w:rFonts w:ascii="Arial" w:hAnsi="Arial" w:cs="Arial"/>
                <w:b/>
                <w:bCs/>
                <w:color w:val="000000" w:themeColor="text1"/>
                <w:sz w:val="22"/>
                <w:szCs w:val="22"/>
              </w:rPr>
              <w:t>Secondary Outcome</w:t>
            </w:r>
          </w:p>
          <w:p w14:paraId="2D950BA0" w14:textId="77777777" w:rsidR="00931A60" w:rsidRPr="00B6585E" w:rsidRDefault="00A221DB" w:rsidP="00E30A93">
            <w:pPr>
              <w:widowControl w:val="0"/>
              <w:spacing w:before="120" w:after="120"/>
              <w:ind w:right="-6"/>
              <w:jc w:val="both"/>
              <w:rPr>
                <w:rFonts w:ascii="Arial" w:hAnsi="Arial" w:cs="Arial"/>
                <w:color w:val="000000" w:themeColor="text1"/>
                <w:sz w:val="22"/>
                <w:szCs w:val="22"/>
              </w:rPr>
            </w:pPr>
            <w:r w:rsidRPr="00B6585E">
              <w:rPr>
                <w:rFonts w:ascii="Arial" w:hAnsi="Arial" w:cs="Arial"/>
                <w:color w:val="000000" w:themeColor="text1"/>
                <w:sz w:val="22"/>
                <w:szCs w:val="22"/>
              </w:rPr>
              <w:t xml:space="preserve">Reduction in AUC of the total body water (TBW). </w:t>
            </w:r>
          </w:p>
          <w:p w14:paraId="49EBD536" w14:textId="77777777" w:rsidR="00931A60" w:rsidRPr="00B6585E" w:rsidRDefault="00A221DB" w:rsidP="00E30A93">
            <w:pPr>
              <w:widowControl w:val="0"/>
              <w:spacing w:before="120" w:after="120"/>
              <w:ind w:right="-6"/>
              <w:jc w:val="both"/>
              <w:rPr>
                <w:rFonts w:ascii="Arial" w:hAnsi="Arial" w:cs="Arial"/>
                <w:color w:val="000000" w:themeColor="text1"/>
                <w:sz w:val="22"/>
                <w:szCs w:val="22"/>
              </w:rPr>
            </w:pPr>
            <w:r w:rsidRPr="00B6585E">
              <w:rPr>
                <w:rFonts w:ascii="Arial" w:hAnsi="Arial" w:cs="Arial"/>
                <w:color w:val="000000" w:themeColor="text1"/>
                <w:sz w:val="22"/>
                <w:szCs w:val="22"/>
              </w:rPr>
              <w:t>Differences in Lean tissue index, fat tissue index, total body water, extracellular water (ECW), intracellular water (IWC), ECW/ICW, lean tissue mass, fat mass, adipose tissue mass, body cell mass; between both study groups.</w:t>
            </w:r>
          </w:p>
        </w:tc>
      </w:tr>
      <w:tr w:rsidR="00B6585E" w:rsidRPr="00B6585E" w14:paraId="4A15618D" w14:textId="77777777" w:rsidTr="005316AD">
        <w:tc>
          <w:tcPr>
            <w:tcW w:w="1980" w:type="dxa"/>
            <w:tcBorders>
              <w:bottom w:val="single" w:sz="4" w:space="0" w:color="auto"/>
            </w:tcBorders>
            <w:shd w:val="clear" w:color="auto" w:fill="FFD966" w:themeFill="accent4" w:themeFillTint="99"/>
            <w:vAlign w:val="center"/>
          </w:tcPr>
          <w:p w14:paraId="764DFA19" w14:textId="39075766" w:rsidR="00E54CC3" w:rsidRPr="00B6585E" w:rsidRDefault="00F2380F" w:rsidP="00E30A93">
            <w:pPr>
              <w:spacing w:before="120" w:after="120"/>
              <w:jc w:val="center"/>
              <w:rPr>
                <w:rFonts w:ascii="Arial" w:hAnsi="Arial" w:cs="Arial"/>
                <w:b/>
                <w:color w:val="000000" w:themeColor="text1"/>
                <w:sz w:val="22"/>
                <w:szCs w:val="22"/>
              </w:rPr>
            </w:pPr>
            <w:r w:rsidRPr="00B6585E">
              <w:rPr>
                <w:rFonts w:ascii="Arial" w:hAnsi="Arial" w:cs="Arial"/>
                <w:b/>
                <w:color w:val="000000" w:themeColor="text1"/>
                <w:sz w:val="22"/>
                <w:szCs w:val="22"/>
              </w:rPr>
              <w:t xml:space="preserve">Renal - </w:t>
            </w:r>
            <w:r w:rsidR="00E54CC3" w:rsidRPr="00B6585E">
              <w:rPr>
                <w:rFonts w:ascii="Arial" w:hAnsi="Arial" w:cs="Arial"/>
                <w:b/>
                <w:color w:val="000000" w:themeColor="text1"/>
                <w:sz w:val="22"/>
                <w:szCs w:val="22"/>
              </w:rPr>
              <w:t>Sub-Study</w:t>
            </w:r>
          </w:p>
          <w:p w14:paraId="2880964E" w14:textId="77777777" w:rsidR="00E54CC3" w:rsidRPr="00B6585E" w:rsidRDefault="00E54CC3" w:rsidP="00E30A93">
            <w:pPr>
              <w:spacing w:before="120" w:after="120"/>
              <w:jc w:val="center"/>
              <w:rPr>
                <w:rFonts w:ascii="Arial" w:hAnsi="Arial" w:cs="Arial"/>
                <w:b/>
                <w:color w:val="000000" w:themeColor="text1"/>
                <w:sz w:val="22"/>
                <w:szCs w:val="22"/>
              </w:rPr>
            </w:pPr>
            <w:r w:rsidRPr="00B6585E">
              <w:rPr>
                <w:rFonts w:ascii="Arial" w:hAnsi="Arial" w:cs="Arial"/>
                <w:b/>
                <w:color w:val="000000" w:themeColor="text1"/>
                <w:sz w:val="22"/>
                <w:szCs w:val="22"/>
              </w:rPr>
              <w:t>(Appendix III)</w:t>
            </w:r>
          </w:p>
        </w:tc>
        <w:tc>
          <w:tcPr>
            <w:tcW w:w="7030" w:type="dxa"/>
          </w:tcPr>
          <w:p w14:paraId="681306AD" w14:textId="77777777" w:rsidR="00E54CC3" w:rsidRPr="00B6585E" w:rsidRDefault="00E54CC3" w:rsidP="00E30A93">
            <w:pPr>
              <w:widowControl w:val="0"/>
              <w:spacing w:before="120" w:after="120"/>
              <w:ind w:right="-7"/>
              <w:jc w:val="both"/>
              <w:rPr>
                <w:rFonts w:ascii="Arial" w:hAnsi="Arial" w:cs="Arial"/>
                <w:b/>
                <w:bCs/>
                <w:color w:val="000000" w:themeColor="text1"/>
                <w:sz w:val="22"/>
                <w:szCs w:val="22"/>
              </w:rPr>
            </w:pPr>
            <w:r w:rsidRPr="00B6585E">
              <w:rPr>
                <w:rFonts w:ascii="Arial" w:hAnsi="Arial" w:cs="Arial"/>
                <w:b/>
                <w:bCs/>
                <w:color w:val="000000" w:themeColor="text1"/>
                <w:sz w:val="22"/>
                <w:szCs w:val="22"/>
              </w:rPr>
              <w:t>Primary Outcome</w:t>
            </w:r>
          </w:p>
          <w:p w14:paraId="744F1B8E" w14:textId="15F13346" w:rsidR="00E54CC3" w:rsidRPr="00B6585E" w:rsidRDefault="00E54CC3" w:rsidP="00E30A93">
            <w:pPr>
              <w:tabs>
                <w:tab w:val="left" w:pos="952"/>
              </w:tabs>
              <w:spacing w:before="120" w:after="120"/>
              <w:jc w:val="both"/>
              <w:rPr>
                <w:rFonts w:ascii="Arial" w:hAnsi="Arial" w:cs="Arial"/>
                <w:color w:val="000000" w:themeColor="text1"/>
                <w:sz w:val="22"/>
                <w:szCs w:val="22"/>
              </w:rPr>
            </w:pPr>
            <w:r w:rsidRPr="00B6585E">
              <w:rPr>
                <w:rFonts w:ascii="Arial" w:hAnsi="Arial" w:cs="Arial"/>
                <w:color w:val="000000" w:themeColor="text1"/>
                <w:sz w:val="22"/>
                <w:szCs w:val="22"/>
              </w:rPr>
              <w:t>The preemptive administration of levosimendan</w:t>
            </w:r>
            <w:r w:rsidR="00F2380F" w:rsidRPr="00B6585E">
              <w:rPr>
                <w:rFonts w:ascii="Arial" w:hAnsi="Arial" w:cs="Arial"/>
                <w:color w:val="000000" w:themeColor="text1"/>
                <w:sz w:val="22"/>
                <w:szCs w:val="22"/>
              </w:rPr>
              <w:t xml:space="preserve"> will</w:t>
            </w:r>
            <w:r w:rsidRPr="00B6585E">
              <w:rPr>
                <w:rFonts w:ascii="Arial" w:hAnsi="Arial" w:cs="Arial"/>
                <w:color w:val="000000" w:themeColor="text1"/>
                <w:sz w:val="22"/>
                <w:szCs w:val="22"/>
              </w:rPr>
              <w:t xml:space="preserve"> decrease the postoperative number of patients suffering from </w:t>
            </w:r>
            <w:r w:rsidR="004E2CF1" w:rsidRPr="00B6585E">
              <w:rPr>
                <w:rFonts w:ascii="Arial" w:hAnsi="Arial" w:cs="Arial"/>
                <w:color w:val="000000" w:themeColor="text1"/>
                <w:sz w:val="22"/>
                <w:szCs w:val="22"/>
              </w:rPr>
              <w:t>a</w:t>
            </w:r>
            <w:r w:rsidR="005316AD" w:rsidRPr="00B6585E">
              <w:rPr>
                <w:rFonts w:ascii="Arial" w:hAnsi="Arial" w:cs="Arial"/>
                <w:color w:val="000000" w:themeColor="text1"/>
                <w:sz w:val="22"/>
                <w:szCs w:val="22"/>
              </w:rPr>
              <w:t>c</w:t>
            </w:r>
            <w:r w:rsidR="004E2CF1" w:rsidRPr="00B6585E">
              <w:rPr>
                <w:rFonts w:ascii="Arial" w:hAnsi="Arial" w:cs="Arial"/>
                <w:color w:val="000000" w:themeColor="text1"/>
                <w:sz w:val="22"/>
                <w:szCs w:val="22"/>
              </w:rPr>
              <w:t xml:space="preserve">ute kidney injury </w:t>
            </w:r>
            <w:r w:rsidR="004E2CF1" w:rsidRPr="00B6585E">
              <w:rPr>
                <w:rFonts w:ascii="Arial" w:hAnsi="Arial" w:cs="Arial"/>
                <w:color w:val="000000" w:themeColor="text1"/>
                <w:sz w:val="22"/>
                <w:szCs w:val="22"/>
              </w:rPr>
              <w:lastRenderedPageBreak/>
              <w:t>(AKI)</w:t>
            </w:r>
            <w:r w:rsidRPr="00B6585E">
              <w:rPr>
                <w:rFonts w:ascii="Arial" w:hAnsi="Arial" w:cs="Arial"/>
                <w:color w:val="000000" w:themeColor="text1"/>
                <w:sz w:val="22"/>
                <w:szCs w:val="22"/>
              </w:rPr>
              <w:t xml:space="preserve"> evaluated during the first three postoperative days. AKI will be classified according to the KDIGO criteria.</w:t>
            </w:r>
          </w:p>
          <w:p w14:paraId="76E1EB64" w14:textId="77777777" w:rsidR="00E54CC3" w:rsidRPr="00B6585E" w:rsidRDefault="00E54CC3" w:rsidP="00E30A93">
            <w:pPr>
              <w:widowControl w:val="0"/>
              <w:spacing w:before="120" w:after="120"/>
              <w:ind w:right="-7"/>
              <w:contextualSpacing/>
              <w:jc w:val="both"/>
              <w:rPr>
                <w:rFonts w:ascii="Arial" w:hAnsi="Arial" w:cs="Arial"/>
                <w:color w:val="000000" w:themeColor="text1"/>
                <w:sz w:val="22"/>
                <w:szCs w:val="22"/>
              </w:rPr>
            </w:pPr>
          </w:p>
          <w:p w14:paraId="5410486C" w14:textId="6C9D6F44" w:rsidR="00E54CC3" w:rsidRPr="00B6585E" w:rsidRDefault="00A40BBE" w:rsidP="00E30A93">
            <w:pPr>
              <w:widowControl w:val="0"/>
              <w:spacing w:before="120" w:after="120"/>
              <w:ind w:right="-7"/>
              <w:contextualSpacing/>
              <w:jc w:val="both"/>
              <w:rPr>
                <w:rFonts w:ascii="Arial" w:hAnsi="Arial" w:cs="Arial"/>
                <w:b/>
                <w:bCs/>
                <w:color w:val="000000" w:themeColor="text1"/>
                <w:sz w:val="22"/>
                <w:szCs w:val="22"/>
              </w:rPr>
            </w:pPr>
            <w:r w:rsidRPr="00B6585E">
              <w:rPr>
                <w:rFonts w:ascii="Arial" w:hAnsi="Arial" w:cs="Arial"/>
                <w:b/>
                <w:bCs/>
                <w:color w:val="000000" w:themeColor="text1"/>
                <w:sz w:val="22"/>
                <w:szCs w:val="22"/>
              </w:rPr>
              <w:t>Se</w:t>
            </w:r>
            <w:r w:rsidR="006B4CE5" w:rsidRPr="00B6585E">
              <w:rPr>
                <w:rFonts w:ascii="Arial" w:hAnsi="Arial" w:cs="Arial"/>
                <w:b/>
                <w:bCs/>
                <w:color w:val="000000" w:themeColor="text1"/>
                <w:sz w:val="22"/>
                <w:szCs w:val="22"/>
              </w:rPr>
              <w:t>c</w:t>
            </w:r>
            <w:r w:rsidRPr="00B6585E">
              <w:rPr>
                <w:rFonts w:ascii="Arial" w:hAnsi="Arial" w:cs="Arial"/>
                <w:b/>
                <w:bCs/>
                <w:color w:val="000000" w:themeColor="text1"/>
                <w:sz w:val="22"/>
                <w:szCs w:val="22"/>
              </w:rPr>
              <w:t>ondary</w:t>
            </w:r>
            <w:r w:rsidR="00E54CC3" w:rsidRPr="00B6585E">
              <w:rPr>
                <w:rFonts w:ascii="Arial" w:hAnsi="Arial" w:cs="Arial"/>
                <w:b/>
                <w:bCs/>
                <w:color w:val="000000" w:themeColor="text1"/>
                <w:sz w:val="22"/>
                <w:szCs w:val="22"/>
              </w:rPr>
              <w:t xml:space="preserve"> Outcome</w:t>
            </w:r>
          </w:p>
          <w:p w14:paraId="0494588A" w14:textId="5B406062" w:rsidR="00E54CC3" w:rsidRPr="00B6585E" w:rsidRDefault="00E54CC3" w:rsidP="00E30A93">
            <w:pPr>
              <w:tabs>
                <w:tab w:val="left" w:pos="952"/>
              </w:tabs>
              <w:spacing w:before="120" w:after="120"/>
              <w:jc w:val="both"/>
              <w:rPr>
                <w:rFonts w:ascii="Arial" w:hAnsi="Arial" w:cs="Arial"/>
                <w:color w:val="000000" w:themeColor="text1"/>
                <w:sz w:val="22"/>
                <w:szCs w:val="22"/>
              </w:rPr>
            </w:pPr>
            <w:r w:rsidRPr="00B6585E">
              <w:rPr>
                <w:rFonts w:ascii="Arial" w:hAnsi="Arial" w:cs="Arial"/>
                <w:color w:val="000000" w:themeColor="text1"/>
                <w:sz w:val="22"/>
                <w:szCs w:val="22"/>
              </w:rPr>
              <w:t>We will further evaluate the number of patients needing postoperative renal replacement therapy</w:t>
            </w:r>
            <w:r w:rsidR="004E2CF1"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during the first three postoperative days. </w:t>
            </w:r>
          </w:p>
        </w:tc>
      </w:tr>
      <w:tr w:rsidR="00B6585E" w:rsidRPr="00B6585E" w14:paraId="1295A3B0" w14:textId="77777777" w:rsidTr="005316AD">
        <w:tc>
          <w:tcPr>
            <w:tcW w:w="1980" w:type="dxa"/>
            <w:shd w:val="clear" w:color="auto" w:fill="FFD966" w:themeFill="accent4" w:themeFillTint="99"/>
            <w:vAlign w:val="center"/>
          </w:tcPr>
          <w:p w14:paraId="43898E57" w14:textId="5110E777" w:rsidR="005316AD" w:rsidRPr="00B6585E" w:rsidRDefault="005316AD" w:rsidP="005316AD">
            <w:pPr>
              <w:spacing w:before="120" w:after="120"/>
              <w:jc w:val="center"/>
              <w:rPr>
                <w:rFonts w:ascii="Arial" w:hAnsi="Arial" w:cs="Arial"/>
                <w:b/>
                <w:color w:val="000000" w:themeColor="text1"/>
                <w:sz w:val="22"/>
                <w:szCs w:val="22"/>
              </w:rPr>
            </w:pPr>
            <w:r w:rsidRPr="00B6585E">
              <w:rPr>
                <w:rFonts w:ascii="Arial" w:hAnsi="Arial" w:cs="Arial"/>
                <w:b/>
                <w:color w:val="000000" w:themeColor="text1"/>
                <w:sz w:val="22"/>
                <w:szCs w:val="22"/>
              </w:rPr>
              <w:lastRenderedPageBreak/>
              <w:t>Inflammatory Response</w:t>
            </w:r>
          </w:p>
          <w:p w14:paraId="0F2672DB" w14:textId="77777777" w:rsidR="005316AD" w:rsidRPr="00B6585E" w:rsidRDefault="005316AD" w:rsidP="005316AD">
            <w:pPr>
              <w:spacing w:before="120" w:after="120"/>
              <w:jc w:val="center"/>
              <w:rPr>
                <w:rFonts w:ascii="Arial" w:hAnsi="Arial" w:cs="Arial"/>
                <w:b/>
                <w:color w:val="000000" w:themeColor="text1"/>
                <w:sz w:val="22"/>
                <w:szCs w:val="22"/>
              </w:rPr>
            </w:pPr>
            <w:r w:rsidRPr="00B6585E">
              <w:rPr>
                <w:rFonts w:ascii="Arial" w:hAnsi="Arial" w:cs="Arial"/>
                <w:b/>
                <w:color w:val="000000" w:themeColor="text1"/>
                <w:sz w:val="22"/>
                <w:szCs w:val="22"/>
              </w:rPr>
              <w:t>(Appendix IV)</w:t>
            </w:r>
          </w:p>
          <w:p w14:paraId="3E4E4C46" w14:textId="6E1C021A" w:rsidR="005316AD" w:rsidRPr="00B6585E" w:rsidRDefault="005316AD" w:rsidP="005316AD">
            <w:pPr>
              <w:spacing w:before="120" w:after="120"/>
              <w:jc w:val="center"/>
              <w:rPr>
                <w:rFonts w:ascii="Arial" w:hAnsi="Arial" w:cs="Arial"/>
                <w:b/>
                <w:color w:val="000000" w:themeColor="text1"/>
                <w:sz w:val="22"/>
                <w:szCs w:val="22"/>
              </w:rPr>
            </w:pPr>
          </w:p>
        </w:tc>
        <w:tc>
          <w:tcPr>
            <w:tcW w:w="7030" w:type="dxa"/>
          </w:tcPr>
          <w:p w14:paraId="5CD0EE9F" w14:textId="77777777" w:rsidR="005316AD" w:rsidRPr="00B6585E" w:rsidRDefault="005316AD" w:rsidP="002D3F57">
            <w:pPr>
              <w:widowControl w:val="0"/>
              <w:spacing w:before="120" w:after="120"/>
              <w:ind w:right="-7"/>
              <w:jc w:val="both"/>
              <w:rPr>
                <w:rFonts w:ascii="Arial" w:hAnsi="Arial" w:cs="Arial"/>
                <w:b/>
                <w:bCs/>
                <w:color w:val="000000" w:themeColor="text1"/>
                <w:sz w:val="22"/>
                <w:szCs w:val="22"/>
              </w:rPr>
            </w:pPr>
            <w:r w:rsidRPr="00B6585E">
              <w:rPr>
                <w:rFonts w:ascii="Arial" w:hAnsi="Arial" w:cs="Arial"/>
                <w:b/>
                <w:bCs/>
                <w:color w:val="000000" w:themeColor="text1"/>
                <w:sz w:val="22"/>
                <w:szCs w:val="22"/>
              </w:rPr>
              <w:t>Primary Outcome</w:t>
            </w:r>
          </w:p>
          <w:p w14:paraId="0A5C56A9" w14:textId="415DB4F5" w:rsidR="005316AD" w:rsidRPr="00B6585E" w:rsidRDefault="00A40BBE" w:rsidP="005316AD">
            <w:pPr>
              <w:jc w:val="both"/>
              <w:rPr>
                <w:rFonts w:ascii="Arial" w:hAnsi="Arial" w:cs="Arial"/>
                <w:color w:val="000000" w:themeColor="text1"/>
                <w:sz w:val="22"/>
                <w:szCs w:val="22"/>
              </w:rPr>
            </w:pPr>
            <w:r w:rsidRPr="00B6585E">
              <w:rPr>
                <w:rFonts w:ascii="Arial" w:hAnsi="Arial" w:cs="Arial"/>
                <w:color w:val="000000" w:themeColor="text1"/>
                <w:sz w:val="22"/>
                <w:szCs w:val="22"/>
              </w:rPr>
              <w:t>The intraoperative administration of levosimendan will significantly decrease the postoperative inflammatory response determined by consecutive IL-6 measurements during the first five days after surgery.</w:t>
            </w:r>
          </w:p>
          <w:p w14:paraId="1DEAD9D5" w14:textId="7F8918FB" w:rsidR="005316AD" w:rsidRPr="00B6585E" w:rsidRDefault="005316AD" w:rsidP="002D3F57">
            <w:pPr>
              <w:widowControl w:val="0"/>
              <w:spacing w:before="120" w:after="120"/>
              <w:ind w:right="-7"/>
              <w:contextualSpacing/>
              <w:jc w:val="both"/>
              <w:rPr>
                <w:rFonts w:ascii="Arial" w:hAnsi="Arial" w:cs="Arial"/>
                <w:color w:val="000000" w:themeColor="text1"/>
                <w:sz w:val="22"/>
                <w:szCs w:val="22"/>
              </w:rPr>
            </w:pPr>
          </w:p>
          <w:p w14:paraId="49904A4C" w14:textId="77777777" w:rsidR="005316AD" w:rsidRPr="00B6585E" w:rsidRDefault="005316AD" w:rsidP="002D3F57">
            <w:pPr>
              <w:widowControl w:val="0"/>
              <w:spacing w:before="120" w:after="120"/>
              <w:ind w:right="-7"/>
              <w:contextualSpacing/>
              <w:jc w:val="both"/>
              <w:rPr>
                <w:rFonts w:ascii="Arial" w:hAnsi="Arial" w:cs="Arial"/>
                <w:color w:val="000000" w:themeColor="text1"/>
                <w:sz w:val="22"/>
                <w:szCs w:val="22"/>
              </w:rPr>
            </w:pPr>
          </w:p>
          <w:p w14:paraId="55B37760" w14:textId="57FCB586" w:rsidR="005316AD" w:rsidRPr="00B6585E" w:rsidRDefault="00A40BBE" w:rsidP="002D3F57">
            <w:pPr>
              <w:widowControl w:val="0"/>
              <w:spacing w:before="120" w:after="120"/>
              <w:ind w:right="-7"/>
              <w:contextualSpacing/>
              <w:jc w:val="both"/>
              <w:rPr>
                <w:rFonts w:ascii="Arial" w:hAnsi="Arial" w:cs="Arial"/>
                <w:b/>
                <w:bCs/>
                <w:color w:val="000000" w:themeColor="text1"/>
                <w:sz w:val="22"/>
                <w:szCs w:val="22"/>
              </w:rPr>
            </w:pPr>
            <w:r w:rsidRPr="00B6585E">
              <w:rPr>
                <w:rFonts w:ascii="Arial" w:hAnsi="Arial" w:cs="Arial"/>
                <w:b/>
                <w:bCs/>
                <w:color w:val="000000" w:themeColor="text1"/>
                <w:sz w:val="22"/>
                <w:szCs w:val="22"/>
              </w:rPr>
              <w:t>Secondary</w:t>
            </w:r>
            <w:r w:rsidR="005316AD" w:rsidRPr="00B6585E">
              <w:rPr>
                <w:rFonts w:ascii="Arial" w:hAnsi="Arial" w:cs="Arial"/>
                <w:b/>
                <w:bCs/>
                <w:color w:val="000000" w:themeColor="text1"/>
                <w:sz w:val="22"/>
                <w:szCs w:val="22"/>
              </w:rPr>
              <w:t xml:space="preserve"> Outcome</w:t>
            </w:r>
            <w:r w:rsidRPr="00B6585E">
              <w:rPr>
                <w:rFonts w:ascii="Arial" w:hAnsi="Arial" w:cs="Arial"/>
                <w:b/>
                <w:bCs/>
                <w:color w:val="000000" w:themeColor="text1"/>
                <w:sz w:val="22"/>
                <w:szCs w:val="22"/>
              </w:rPr>
              <w:t>s</w:t>
            </w:r>
          </w:p>
          <w:p w14:paraId="0CBCCB24" w14:textId="77777777" w:rsidR="00A40BBE" w:rsidRPr="00B6585E" w:rsidRDefault="00A40BBE" w:rsidP="00A40BBE">
            <w:pPr>
              <w:pStyle w:val="ListParagraph"/>
              <w:numPr>
                <w:ilvl w:val="0"/>
                <w:numId w:val="19"/>
              </w:numPr>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We will evaluate the difference in the maximum postoperative CRP plasma concentration between both study groups. </w:t>
            </w:r>
          </w:p>
          <w:p w14:paraId="41C9D77B" w14:textId="77777777" w:rsidR="00A40BBE" w:rsidRPr="00B6585E" w:rsidRDefault="00A40BBE" w:rsidP="00A40BBE">
            <w:pPr>
              <w:pStyle w:val="ListParagraph"/>
              <w:jc w:val="both"/>
              <w:rPr>
                <w:rFonts w:ascii="Arial" w:hAnsi="Arial" w:cs="Arial"/>
                <w:color w:val="000000" w:themeColor="text1"/>
                <w:sz w:val="22"/>
                <w:szCs w:val="22"/>
                <w:lang w:val="en-US"/>
              </w:rPr>
            </w:pPr>
          </w:p>
          <w:p w14:paraId="6FE07598" w14:textId="77777777" w:rsidR="005316AD" w:rsidRPr="00B6585E" w:rsidRDefault="00A40BBE" w:rsidP="00FB1351">
            <w:pPr>
              <w:pStyle w:val="ListParagraph"/>
              <w:numPr>
                <w:ilvl w:val="0"/>
                <w:numId w:val="19"/>
              </w:numPr>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We further evaluate the correlation between inflammation and MINS. We will further stratify patients according their maximum postoperative IL-6 concentration into a high-risk (&gt;432 pg/dL) and a low-risk group (&lt;432 pg/dL). </w:t>
            </w:r>
          </w:p>
          <w:p w14:paraId="60F78427" w14:textId="0EA1CA74" w:rsidR="008B668F" w:rsidRPr="00B6585E" w:rsidRDefault="008B668F" w:rsidP="008B668F">
            <w:pPr>
              <w:contextualSpacing/>
              <w:jc w:val="both"/>
              <w:rPr>
                <w:rFonts w:ascii="Arial" w:hAnsi="Arial" w:cs="Arial"/>
                <w:color w:val="000000" w:themeColor="text1"/>
                <w:sz w:val="22"/>
                <w:szCs w:val="22"/>
              </w:rPr>
            </w:pPr>
          </w:p>
        </w:tc>
      </w:tr>
      <w:tr w:rsidR="00B6585E" w:rsidRPr="00B6585E" w14:paraId="12C72641" w14:textId="77777777" w:rsidTr="005316AD">
        <w:tc>
          <w:tcPr>
            <w:tcW w:w="1980" w:type="dxa"/>
            <w:shd w:val="clear" w:color="auto" w:fill="FFD966" w:themeFill="accent4" w:themeFillTint="99"/>
            <w:vAlign w:val="center"/>
          </w:tcPr>
          <w:p w14:paraId="6EBECF8D" w14:textId="77777777" w:rsidR="00177E1C" w:rsidRPr="00B6585E" w:rsidRDefault="00177E1C" w:rsidP="005316AD">
            <w:pPr>
              <w:spacing w:before="120" w:after="120"/>
              <w:jc w:val="center"/>
              <w:rPr>
                <w:rFonts w:ascii="Arial" w:hAnsi="Arial" w:cs="Arial"/>
                <w:b/>
                <w:color w:val="000000" w:themeColor="text1"/>
                <w:sz w:val="22"/>
                <w:szCs w:val="22"/>
              </w:rPr>
            </w:pPr>
            <w:r w:rsidRPr="00B6585E">
              <w:rPr>
                <w:rFonts w:ascii="Arial" w:hAnsi="Arial" w:cs="Arial"/>
                <w:b/>
                <w:color w:val="000000" w:themeColor="text1"/>
                <w:sz w:val="22"/>
                <w:szCs w:val="22"/>
              </w:rPr>
              <w:t xml:space="preserve">Echocardiography </w:t>
            </w:r>
          </w:p>
          <w:p w14:paraId="044E97BB" w14:textId="5D655245" w:rsidR="00177E1C" w:rsidRPr="00B6585E" w:rsidRDefault="00177E1C" w:rsidP="005316AD">
            <w:pPr>
              <w:spacing w:before="120" w:after="120"/>
              <w:jc w:val="center"/>
              <w:rPr>
                <w:rFonts w:ascii="Arial" w:hAnsi="Arial" w:cs="Arial"/>
                <w:b/>
                <w:color w:val="000000" w:themeColor="text1"/>
                <w:sz w:val="22"/>
                <w:szCs w:val="22"/>
              </w:rPr>
            </w:pPr>
            <w:r w:rsidRPr="00B6585E">
              <w:rPr>
                <w:rFonts w:ascii="Arial" w:hAnsi="Arial" w:cs="Arial"/>
                <w:b/>
                <w:color w:val="000000" w:themeColor="text1"/>
                <w:sz w:val="22"/>
                <w:szCs w:val="22"/>
              </w:rPr>
              <w:t>(Appendix VII)</w:t>
            </w:r>
          </w:p>
        </w:tc>
        <w:tc>
          <w:tcPr>
            <w:tcW w:w="7030" w:type="dxa"/>
          </w:tcPr>
          <w:p w14:paraId="378ADD26" w14:textId="77777777" w:rsidR="00177E1C" w:rsidRPr="00B6585E" w:rsidRDefault="00177E1C" w:rsidP="00177E1C">
            <w:pPr>
              <w:pStyle w:val="Heading3"/>
              <w:numPr>
                <w:ilvl w:val="0"/>
                <w:numId w:val="0"/>
              </w:numPr>
            </w:pPr>
          </w:p>
          <w:p w14:paraId="060BABB9" w14:textId="131213B6" w:rsidR="00177E1C" w:rsidRPr="00B6585E" w:rsidRDefault="00177E1C" w:rsidP="00177E1C">
            <w:pPr>
              <w:pStyle w:val="Heading3"/>
              <w:numPr>
                <w:ilvl w:val="0"/>
                <w:numId w:val="0"/>
              </w:numPr>
            </w:pPr>
            <w:r w:rsidRPr="00B6585E">
              <w:t>Primary Aim</w:t>
            </w:r>
          </w:p>
          <w:p w14:paraId="08C7920E" w14:textId="3FA71502" w:rsidR="00177E1C" w:rsidRPr="00B6585E" w:rsidRDefault="00177E1C" w:rsidP="00177E1C">
            <w:pPr>
              <w:pStyle w:val="BodyText"/>
              <w:spacing w:before="157" w:line="242" w:lineRule="auto"/>
              <w:ind w:left="155" w:right="142"/>
              <w:jc w:val="both"/>
              <w:rPr>
                <w:rFonts w:ascii="Arial" w:hAnsi="Arial" w:cs="Arial"/>
                <w:color w:val="000000" w:themeColor="text1"/>
                <w:szCs w:val="22"/>
              </w:rPr>
            </w:pPr>
            <w:r w:rsidRPr="00B6585E">
              <w:rPr>
                <w:rFonts w:ascii="Arial" w:hAnsi="Arial" w:cs="Arial"/>
                <w:color w:val="000000" w:themeColor="text1"/>
                <w:szCs w:val="22"/>
              </w:rPr>
              <w:t xml:space="preserve">Our primary outcome systolic and diastolic function between both groups. Systolic ejection fraction, stroke volume and diastolic function grade respectively will function as markers for systolic and diastolic function. Measurements will be taken preoperatively and on postoperative day 1, 3 and 5. </w:t>
            </w:r>
          </w:p>
          <w:p w14:paraId="6B3ADF40" w14:textId="77777777" w:rsidR="00177E1C" w:rsidRPr="00B6585E" w:rsidRDefault="00177E1C" w:rsidP="00177E1C">
            <w:pPr>
              <w:pStyle w:val="BodyText"/>
              <w:spacing w:before="7"/>
              <w:rPr>
                <w:rFonts w:ascii="Arial" w:hAnsi="Arial" w:cs="Arial"/>
                <w:color w:val="000000" w:themeColor="text1"/>
                <w:szCs w:val="22"/>
              </w:rPr>
            </w:pPr>
          </w:p>
          <w:p w14:paraId="4C9394FB" w14:textId="77777777" w:rsidR="00177E1C" w:rsidRPr="00B6585E" w:rsidRDefault="00177E1C" w:rsidP="00177E1C">
            <w:pPr>
              <w:pStyle w:val="Heading3"/>
              <w:numPr>
                <w:ilvl w:val="0"/>
                <w:numId w:val="0"/>
              </w:numPr>
            </w:pPr>
            <w:r w:rsidRPr="00B6585E">
              <w:t>Secondary Aim I</w:t>
            </w:r>
          </w:p>
          <w:p w14:paraId="54C74F67" w14:textId="77777777" w:rsidR="00177E1C" w:rsidRPr="00B6585E" w:rsidRDefault="00177E1C" w:rsidP="00177E1C">
            <w:pPr>
              <w:pStyle w:val="BodyText"/>
              <w:spacing w:before="7"/>
              <w:ind w:left="120"/>
              <w:jc w:val="both"/>
              <w:rPr>
                <w:rFonts w:ascii="Arial" w:hAnsi="Arial" w:cs="Arial"/>
                <w:color w:val="000000" w:themeColor="text1"/>
                <w:szCs w:val="22"/>
              </w:rPr>
            </w:pPr>
            <w:r w:rsidRPr="00B6585E">
              <w:rPr>
                <w:rFonts w:ascii="Arial" w:hAnsi="Arial" w:cs="Arial"/>
                <w:color w:val="000000" w:themeColor="text1"/>
                <w:szCs w:val="22"/>
              </w:rPr>
              <w:t>Our secondary outcome will be the change in heart chamber sizes pre- and postoperatively, with and without Levosimendan.</w:t>
            </w:r>
          </w:p>
          <w:p w14:paraId="561F8892" w14:textId="77777777" w:rsidR="00177E1C" w:rsidRPr="00B6585E" w:rsidRDefault="00177E1C" w:rsidP="002D3F57">
            <w:pPr>
              <w:widowControl w:val="0"/>
              <w:spacing w:before="120" w:after="120"/>
              <w:ind w:right="-7"/>
              <w:jc w:val="both"/>
              <w:rPr>
                <w:rFonts w:ascii="Arial" w:hAnsi="Arial" w:cs="Arial"/>
                <w:b/>
                <w:bCs/>
                <w:color w:val="000000" w:themeColor="text1"/>
                <w:sz w:val="22"/>
                <w:szCs w:val="22"/>
              </w:rPr>
            </w:pPr>
          </w:p>
        </w:tc>
      </w:tr>
    </w:tbl>
    <w:p w14:paraId="0D5B2D6F" w14:textId="7B8F2B20" w:rsidR="00C613D6" w:rsidRPr="00B6585E" w:rsidRDefault="00C613D6">
      <w:pPr>
        <w:rPr>
          <w:rFonts w:ascii="Arial" w:hAnsi="Arial" w:cs="Arial"/>
          <w:color w:val="000000" w:themeColor="text1"/>
          <w:sz w:val="22"/>
          <w:szCs w:val="22"/>
        </w:rPr>
      </w:pPr>
    </w:p>
    <w:p w14:paraId="0080F2E7" w14:textId="0B1855ED" w:rsidR="002E6167" w:rsidRPr="00B6585E" w:rsidRDefault="004D552B" w:rsidP="00304D11">
      <w:pPr>
        <w:pStyle w:val="Heading1"/>
      </w:pPr>
      <w:bookmarkStart w:id="4" w:name="_Toc96924942"/>
      <w:r w:rsidRPr="00B6585E">
        <w:lastRenderedPageBreak/>
        <w:t>Responsibilities</w:t>
      </w:r>
      <w:r w:rsidR="00EE0048" w:rsidRPr="00B6585E">
        <w:t xml:space="preserve"> Medical University of Vienna</w:t>
      </w:r>
      <w:bookmarkEnd w:id="4"/>
    </w:p>
    <w:p w14:paraId="3056C3C6" w14:textId="0BA15E0C" w:rsidR="00C613D6" w:rsidRPr="00B6585E" w:rsidRDefault="00C613D6">
      <w:pPr>
        <w:rPr>
          <w:rFonts w:ascii="Arial" w:hAnsi="Arial" w:cs="Arial"/>
          <w:color w:val="000000" w:themeColor="text1"/>
          <w:sz w:val="22"/>
          <w:szCs w:val="22"/>
        </w:rPr>
      </w:pPr>
    </w:p>
    <w:p w14:paraId="137131E8" w14:textId="0FFB9CB0" w:rsidR="00C613D6" w:rsidRPr="00B6585E" w:rsidRDefault="00C613D6">
      <w:pPr>
        <w:rPr>
          <w:rFonts w:ascii="Arial" w:hAnsi="Arial" w:cs="Arial"/>
          <w:color w:val="000000" w:themeColor="text1"/>
          <w:sz w:val="22"/>
          <w:szCs w:val="22"/>
        </w:rPr>
      </w:pPr>
      <w:r w:rsidRPr="00B6585E">
        <w:rPr>
          <w:rFonts w:ascii="Arial" w:hAnsi="Arial" w:cs="Arial"/>
          <w:b/>
          <w:bCs/>
          <w:color w:val="000000" w:themeColor="text1"/>
          <w:sz w:val="22"/>
          <w:szCs w:val="22"/>
        </w:rPr>
        <w:t>Principal Investigator:</w:t>
      </w:r>
      <w:r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t>Ao Univ. Prof. Dr. Edith Fleischmann</w:t>
      </w:r>
    </w:p>
    <w:p w14:paraId="42B6B885" w14:textId="489807BB"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Univ. Klinik für Anästhesie, Allg. Intensivmedizin und Schmerztherapie</w:t>
      </w:r>
    </w:p>
    <w:p w14:paraId="0B6D5CD7" w14:textId="3E14591D"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Medizinische Universität Wien</w:t>
      </w:r>
    </w:p>
    <w:p w14:paraId="2DAB768E" w14:textId="583EE791"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Spitalgasse 23</w:t>
      </w:r>
    </w:p>
    <w:p w14:paraId="00468D88" w14:textId="3A7A2CD0"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1090 Wien</w:t>
      </w:r>
    </w:p>
    <w:p w14:paraId="2BA61166" w14:textId="1CF63213" w:rsidR="00C613D6" w:rsidRPr="00B6585E" w:rsidRDefault="00C613D6">
      <w:pPr>
        <w:rPr>
          <w:rFonts w:ascii="Arial" w:hAnsi="Arial" w:cs="Arial"/>
          <w:color w:val="000000" w:themeColor="text1"/>
          <w:sz w:val="22"/>
          <w:szCs w:val="22"/>
          <w:lang w:val="de-AT"/>
        </w:rPr>
      </w:pPr>
    </w:p>
    <w:p w14:paraId="2BEBC956" w14:textId="39B90136" w:rsidR="00C613D6" w:rsidRPr="00B6585E" w:rsidRDefault="00B90900">
      <w:pPr>
        <w:rPr>
          <w:rFonts w:ascii="Arial" w:hAnsi="Arial" w:cs="Arial"/>
          <w:color w:val="000000" w:themeColor="text1"/>
          <w:sz w:val="22"/>
          <w:szCs w:val="22"/>
          <w:lang w:val="de-AT"/>
        </w:rPr>
      </w:pPr>
      <w:r w:rsidRPr="00B6585E">
        <w:rPr>
          <w:rFonts w:ascii="Arial" w:hAnsi="Arial" w:cs="Arial"/>
          <w:b/>
          <w:bCs/>
          <w:color w:val="000000" w:themeColor="text1"/>
          <w:sz w:val="22"/>
          <w:szCs w:val="22"/>
          <w:lang w:val="de-AT"/>
        </w:rPr>
        <w:t>Sub-Investigator</w:t>
      </w:r>
      <w:r w:rsidR="00C613D6" w:rsidRPr="00B6585E">
        <w:rPr>
          <w:rFonts w:ascii="Arial" w:hAnsi="Arial" w:cs="Arial"/>
          <w:b/>
          <w:bCs/>
          <w:color w:val="000000" w:themeColor="text1"/>
          <w:sz w:val="22"/>
          <w:szCs w:val="22"/>
          <w:lang w:val="de-AT"/>
        </w:rPr>
        <w:t>:</w:t>
      </w:r>
      <w:r w:rsidR="00C613D6" w:rsidRPr="00B6585E">
        <w:rPr>
          <w:rFonts w:ascii="Arial" w:hAnsi="Arial" w:cs="Arial"/>
          <w:color w:val="000000" w:themeColor="text1"/>
          <w:sz w:val="22"/>
          <w:szCs w:val="22"/>
          <w:lang w:val="de-AT"/>
        </w:rPr>
        <w:tab/>
      </w:r>
      <w:r w:rsidR="00C613D6" w:rsidRPr="00B6585E">
        <w:rPr>
          <w:rFonts w:ascii="Arial" w:hAnsi="Arial" w:cs="Arial"/>
          <w:color w:val="000000" w:themeColor="text1"/>
          <w:sz w:val="22"/>
          <w:szCs w:val="22"/>
          <w:lang w:val="de-AT"/>
        </w:rPr>
        <w:tab/>
      </w:r>
      <w:r w:rsidR="00C613D6" w:rsidRPr="00B6585E">
        <w:rPr>
          <w:rFonts w:ascii="Arial" w:hAnsi="Arial" w:cs="Arial"/>
          <w:color w:val="000000" w:themeColor="text1"/>
          <w:sz w:val="22"/>
          <w:szCs w:val="22"/>
          <w:lang w:val="de-AT"/>
        </w:rPr>
        <w:tab/>
        <w:t>Dr. Christian Reiterer</w:t>
      </w:r>
    </w:p>
    <w:p w14:paraId="6265CB6A" w14:textId="77777777"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Univ. Klinik für Anästhesie, Allg. Intensivmedizin und Schmerztherapie</w:t>
      </w:r>
    </w:p>
    <w:p w14:paraId="7639986B" w14:textId="77777777"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Medizinische Universität Wien</w:t>
      </w:r>
    </w:p>
    <w:p w14:paraId="1A9924D4" w14:textId="77777777"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Spitalgasse 23</w:t>
      </w:r>
    </w:p>
    <w:p w14:paraId="786D27DD" w14:textId="77FF76B0" w:rsidR="00C613D6" w:rsidRPr="00B6585E" w:rsidRDefault="00C613D6" w:rsidP="00B90900">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1090 Wien</w:t>
      </w:r>
    </w:p>
    <w:p w14:paraId="1E793AEC" w14:textId="77777777" w:rsidR="00DA3784" w:rsidRPr="00B6585E" w:rsidRDefault="00DA3784" w:rsidP="00B90900">
      <w:pPr>
        <w:ind w:left="3540"/>
        <w:rPr>
          <w:rFonts w:ascii="Arial" w:hAnsi="Arial" w:cs="Arial"/>
          <w:color w:val="000000" w:themeColor="text1"/>
          <w:sz w:val="22"/>
          <w:szCs w:val="22"/>
          <w:lang w:val="de-AT"/>
        </w:rPr>
      </w:pPr>
    </w:p>
    <w:p w14:paraId="10F56506" w14:textId="383C98E4" w:rsidR="00C613D6" w:rsidRPr="00B6585E" w:rsidRDefault="00C613D6">
      <w:pPr>
        <w:rPr>
          <w:rFonts w:ascii="Arial" w:hAnsi="Arial" w:cs="Arial"/>
          <w:color w:val="000000" w:themeColor="text1"/>
          <w:sz w:val="22"/>
          <w:szCs w:val="22"/>
          <w:lang w:val="de-AT"/>
        </w:rPr>
      </w:pPr>
      <w:r w:rsidRPr="00B6585E">
        <w:rPr>
          <w:rFonts w:ascii="Arial" w:hAnsi="Arial" w:cs="Arial"/>
          <w:b/>
          <w:bCs/>
          <w:color w:val="000000" w:themeColor="text1"/>
          <w:sz w:val="22"/>
          <w:szCs w:val="22"/>
          <w:lang w:val="de-AT"/>
        </w:rPr>
        <w:t>Sponsor:</w:t>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Medizinische Universität Wien</w:t>
      </w:r>
    </w:p>
    <w:p w14:paraId="4C77D6BC" w14:textId="6F300032" w:rsidR="00C613D6" w:rsidRPr="00B6585E" w:rsidRDefault="00C613D6" w:rsidP="00C613D6">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Spitalgasse 23</w:t>
      </w:r>
    </w:p>
    <w:p w14:paraId="07C235C7" w14:textId="41D50052" w:rsidR="00C613D6" w:rsidRPr="00B6585E" w:rsidRDefault="00C613D6" w:rsidP="004D552B">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1090 Wien</w:t>
      </w:r>
    </w:p>
    <w:p w14:paraId="49D1428B" w14:textId="7BF29C0B" w:rsidR="00C613D6" w:rsidRPr="00B6585E" w:rsidRDefault="00C613D6">
      <w:pPr>
        <w:rPr>
          <w:rFonts w:ascii="Arial" w:hAnsi="Arial" w:cs="Arial"/>
          <w:color w:val="000000" w:themeColor="text1"/>
          <w:sz w:val="22"/>
          <w:szCs w:val="22"/>
          <w:lang w:val="de-AT"/>
        </w:rPr>
      </w:pPr>
    </w:p>
    <w:p w14:paraId="25595220" w14:textId="0BFBD49B" w:rsidR="00C613D6" w:rsidRPr="00B6585E" w:rsidRDefault="00C613D6">
      <w:pPr>
        <w:rPr>
          <w:rFonts w:ascii="Arial" w:hAnsi="Arial" w:cs="Arial"/>
          <w:color w:val="000000" w:themeColor="text1"/>
          <w:sz w:val="22"/>
          <w:szCs w:val="22"/>
          <w:lang w:val="de-AT"/>
        </w:rPr>
      </w:pPr>
      <w:r w:rsidRPr="00B6585E">
        <w:rPr>
          <w:rFonts w:ascii="Arial" w:hAnsi="Arial" w:cs="Arial"/>
          <w:b/>
          <w:bCs/>
          <w:color w:val="000000" w:themeColor="text1"/>
          <w:sz w:val="22"/>
          <w:szCs w:val="22"/>
          <w:lang w:val="de-AT"/>
        </w:rPr>
        <w:t>Monitor:</w:t>
      </w:r>
      <w:r w:rsidR="000F44EA" w:rsidRPr="00B6585E">
        <w:rPr>
          <w:rFonts w:ascii="Arial" w:hAnsi="Arial" w:cs="Arial"/>
          <w:b/>
          <w:bCs/>
          <w:color w:val="000000" w:themeColor="text1"/>
          <w:sz w:val="22"/>
          <w:szCs w:val="22"/>
          <w:lang w:val="de-AT"/>
        </w:rPr>
        <w:tab/>
      </w:r>
      <w:r w:rsidRPr="00B6585E">
        <w:rPr>
          <w:rFonts w:ascii="Arial" w:hAnsi="Arial" w:cs="Arial"/>
          <w:b/>
          <w:bCs/>
          <w:color w:val="000000" w:themeColor="text1"/>
          <w:sz w:val="22"/>
          <w:szCs w:val="22"/>
          <w:lang w:val="de-AT"/>
        </w:rPr>
        <w:tab/>
      </w:r>
      <w:r w:rsidRPr="00B6585E">
        <w:rPr>
          <w:rFonts w:ascii="Arial" w:hAnsi="Arial" w:cs="Arial"/>
          <w:b/>
          <w:bCs/>
          <w:color w:val="000000" w:themeColor="text1"/>
          <w:sz w:val="22"/>
          <w:szCs w:val="22"/>
          <w:lang w:val="de-AT"/>
        </w:rPr>
        <w:tab/>
      </w:r>
      <w:r w:rsidRPr="00B6585E">
        <w:rPr>
          <w:rFonts w:ascii="Arial" w:hAnsi="Arial" w:cs="Arial"/>
          <w:b/>
          <w:bCs/>
          <w:color w:val="000000" w:themeColor="text1"/>
          <w:sz w:val="22"/>
          <w:szCs w:val="22"/>
          <w:lang w:val="de-AT"/>
        </w:rPr>
        <w:tab/>
      </w:r>
      <w:r w:rsidR="00B67A29" w:rsidRPr="00B6585E">
        <w:rPr>
          <w:rFonts w:ascii="Arial" w:hAnsi="Arial" w:cs="Arial"/>
          <w:color w:val="000000" w:themeColor="text1"/>
          <w:sz w:val="22"/>
          <w:szCs w:val="22"/>
          <w:lang w:val="de-AT"/>
        </w:rPr>
        <w:t>Dr. Thomas Hamp</w:t>
      </w:r>
    </w:p>
    <w:p w14:paraId="54DCC917" w14:textId="513859F5" w:rsidR="00B90900" w:rsidRPr="00B6585E" w:rsidRDefault="00B90900" w:rsidP="00B90900">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Univ. Klinik für Anästhesie, Allg. Intensivmedizin und Schmerztherapie</w:t>
      </w:r>
    </w:p>
    <w:p w14:paraId="351B4B93" w14:textId="77777777" w:rsidR="00B90900" w:rsidRPr="00B6585E" w:rsidRDefault="00B90900" w:rsidP="00B90900">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Medizinische Universität Wien</w:t>
      </w:r>
    </w:p>
    <w:p w14:paraId="732F2688" w14:textId="77777777" w:rsidR="00B90900" w:rsidRPr="00B6585E" w:rsidRDefault="00B90900" w:rsidP="00B90900">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Spitalgasse 23</w:t>
      </w:r>
    </w:p>
    <w:p w14:paraId="00FCEFCB" w14:textId="1D19E5CC" w:rsidR="00B90900" w:rsidRPr="00B6585E" w:rsidRDefault="00B90900" w:rsidP="00B90900">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1090 Wien</w:t>
      </w:r>
    </w:p>
    <w:p w14:paraId="1B904084" w14:textId="0807D1E9" w:rsidR="00C613D6" w:rsidRPr="00B6585E" w:rsidRDefault="00C613D6">
      <w:pPr>
        <w:rPr>
          <w:rFonts w:ascii="Arial" w:hAnsi="Arial" w:cs="Arial"/>
          <w:color w:val="000000" w:themeColor="text1"/>
          <w:sz w:val="22"/>
          <w:szCs w:val="22"/>
          <w:lang w:val="de-AT"/>
        </w:rPr>
      </w:pPr>
    </w:p>
    <w:p w14:paraId="49EAE4A8" w14:textId="2A58A1EB" w:rsidR="00C613D6" w:rsidRPr="00B6585E" w:rsidRDefault="00937440">
      <w:pPr>
        <w:rPr>
          <w:rFonts w:ascii="Arial" w:hAnsi="Arial" w:cs="Arial"/>
          <w:color w:val="000000" w:themeColor="text1"/>
          <w:sz w:val="22"/>
          <w:szCs w:val="22"/>
          <w:lang w:val="de-AT"/>
        </w:rPr>
      </w:pPr>
      <w:r w:rsidRPr="00B6585E">
        <w:rPr>
          <w:rFonts w:ascii="Arial" w:hAnsi="Arial" w:cs="Arial"/>
          <w:b/>
          <w:bCs/>
          <w:color w:val="000000" w:themeColor="text1"/>
          <w:sz w:val="22"/>
          <w:szCs w:val="22"/>
          <w:lang w:val="de-AT"/>
        </w:rPr>
        <w:t>Statistics</w:t>
      </w:r>
      <w:r w:rsidR="002E6167" w:rsidRPr="00B6585E">
        <w:rPr>
          <w:rFonts w:ascii="Arial" w:hAnsi="Arial" w:cs="Arial"/>
          <w:b/>
          <w:bCs/>
          <w:color w:val="000000" w:themeColor="text1"/>
          <w:sz w:val="22"/>
          <w:szCs w:val="22"/>
          <w:lang w:val="de-AT"/>
        </w:rPr>
        <w:t>:</w:t>
      </w:r>
      <w:r w:rsidR="00C613D6"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00C613D6" w:rsidRPr="00B6585E">
        <w:rPr>
          <w:rFonts w:ascii="Arial" w:hAnsi="Arial" w:cs="Arial"/>
          <w:color w:val="000000" w:themeColor="text1"/>
          <w:sz w:val="22"/>
          <w:szCs w:val="22"/>
          <w:lang w:val="de-AT"/>
        </w:rPr>
        <w:tab/>
      </w:r>
      <w:r w:rsidR="00FB1351" w:rsidRPr="00B6585E">
        <w:rPr>
          <w:rFonts w:ascii="Arial" w:hAnsi="Arial" w:cs="Arial"/>
          <w:color w:val="000000" w:themeColor="text1"/>
          <w:sz w:val="22"/>
          <w:szCs w:val="22"/>
          <w:lang w:val="de-AT"/>
        </w:rPr>
        <w:tab/>
      </w:r>
      <w:r w:rsidR="00C613D6" w:rsidRPr="00B6585E">
        <w:rPr>
          <w:rFonts w:ascii="Arial" w:hAnsi="Arial" w:cs="Arial"/>
          <w:color w:val="000000" w:themeColor="text1"/>
          <w:sz w:val="22"/>
          <w:szCs w:val="22"/>
          <w:lang w:val="de-AT"/>
        </w:rPr>
        <w:t xml:space="preserve">Zentrum für Medizinische Statistik, Informatik und </w:t>
      </w:r>
    </w:p>
    <w:p w14:paraId="16007D85" w14:textId="77777777" w:rsidR="00C613D6" w:rsidRPr="00B6585E" w:rsidRDefault="00C613D6">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Intelligente Systeme</w:t>
      </w:r>
    </w:p>
    <w:p w14:paraId="53BC1ABE" w14:textId="4F0F1008" w:rsidR="004D552B" w:rsidRPr="00B6585E" w:rsidRDefault="00C613D6">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002E6167" w:rsidRPr="00B6585E">
        <w:rPr>
          <w:rFonts w:ascii="Arial" w:hAnsi="Arial" w:cs="Arial"/>
          <w:color w:val="000000" w:themeColor="text1"/>
          <w:sz w:val="22"/>
          <w:szCs w:val="22"/>
          <w:lang w:val="de-AT"/>
        </w:rPr>
        <w:t>Spitalgasse 23, BT88/E03</w:t>
      </w:r>
      <w:r w:rsidRPr="00B6585E">
        <w:rPr>
          <w:rFonts w:ascii="Arial" w:hAnsi="Arial" w:cs="Arial"/>
          <w:color w:val="000000" w:themeColor="text1"/>
          <w:sz w:val="22"/>
          <w:szCs w:val="22"/>
          <w:lang w:val="de-AT"/>
        </w:rPr>
        <w:tab/>
      </w:r>
    </w:p>
    <w:p w14:paraId="0FE6E571" w14:textId="77777777" w:rsidR="004D552B" w:rsidRPr="00B6585E" w:rsidRDefault="004D552B">
      <w:pPr>
        <w:rPr>
          <w:rFonts w:ascii="Arial" w:hAnsi="Arial" w:cs="Arial"/>
          <w:color w:val="000000" w:themeColor="text1"/>
          <w:sz w:val="22"/>
          <w:szCs w:val="22"/>
          <w:lang w:val="de-AT"/>
        </w:rPr>
      </w:pPr>
    </w:p>
    <w:p w14:paraId="2F0C95D6" w14:textId="6580B0C5" w:rsidR="00C613D6" w:rsidRPr="00B6585E" w:rsidRDefault="004D552B">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*Sample Size Calculation:</w:t>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Lukas Baumann, Bsc.Bsc.</w:t>
      </w:r>
    </w:p>
    <w:p w14:paraId="4C5223E1" w14:textId="1CD82E4F" w:rsidR="004D552B" w:rsidRPr="00B6585E" w:rsidRDefault="004D552B" w:rsidP="004D552B">
      <w:pPr>
        <w:ind w:left="2832" w:firstLine="708"/>
        <w:rPr>
          <w:rFonts w:ascii="Arial" w:hAnsi="Arial" w:cs="Arial"/>
          <w:color w:val="000000" w:themeColor="text1"/>
          <w:sz w:val="22"/>
          <w:szCs w:val="22"/>
          <w:lang w:val="de-AT"/>
        </w:rPr>
      </w:pPr>
      <w:r w:rsidRPr="00B6585E">
        <w:rPr>
          <w:rFonts w:ascii="Arial" w:hAnsi="Arial" w:cs="Arial"/>
          <w:color w:val="000000" w:themeColor="text1"/>
          <w:sz w:val="22"/>
          <w:szCs w:val="22"/>
          <w:lang w:val="de-AT"/>
        </w:rPr>
        <w:t xml:space="preserve">Zentrum für Medizinische Statistik, Informatik und </w:t>
      </w:r>
    </w:p>
    <w:p w14:paraId="06373B65" w14:textId="77777777" w:rsidR="004D552B" w:rsidRPr="00B6585E" w:rsidRDefault="004D552B" w:rsidP="004D552B">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Intelligente Systeme</w:t>
      </w:r>
    </w:p>
    <w:p w14:paraId="0FEE3E34" w14:textId="77777777" w:rsidR="004D552B" w:rsidRPr="00B6585E" w:rsidRDefault="004D552B" w:rsidP="004D552B">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Spitalgasse 23, BT88/E03</w:t>
      </w:r>
      <w:r w:rsidRPr="00B6585E">
        <w:rPr>
          <w:rFonts w:ascii="Arial" w:hAnsi="Arial" w:cs="Arial"/>
          <w:color w:val="000000" w:themeColor="text1"/>
          <w:sz w:val="22"/>
          <w:szCs w:val="22"/>
          <w:lang w:val="de-AT"/>
        </w:rPr>
        <w:tab/>
      </w:r>
    </w:p>
    <w:p w14:paraId="150A6F07" w14:textId="512D3BD1" w:rsidR="004D552B" w:rsidRPr="00B6585E" w:rsidRDefault="004D552B">
      <w:pPr>
        <w:rPr>
          <w:rFonts w:ascii="Arial" w:hAnsi="Arial" w:cs="Arial"/>
          <w:color w:val="000000" w:themeColor="text1"/>
          <w:sz w:val="22"/>
          <w:szCs w:val="22"/>
          <w:lang w:val="de-AT"/>
        </w:rPr>
      </w:pPr>
    </w:p>
    <w:p w14:paraId="4F5C8F3A" w14:textId="182676F6" w:rsidR="00937440" w:rsidRPr="00B6585E" w:rsidRDefault="00937440">
      <w:pPr>
        <w:rPr>
          <w:rFonts w:ascii="Arial" w:hAnsi="Arial" w:cs="Arial"/>
          <w:color w:val="000000" w:themeColor="text1"/>
          <w:sz w:val="22"/>
          <w:szCs w:val="22"/>
          <w:lang w:val="de-AT"/>
        </w:rPr>
      </w:pPr>
      <w:r w:rsidRPr="00B6585E">
        <w:rPr>
          <w:rFonts w:ascii="Arial" w:hAnsi="Arial" w:cs="Arial"/>
          <w:color w:val="000000" w:themeColor="text1"/>
          <w:sz w:val="22"/>
          <w:szCs w:val="22"/>
        </w:rPr>
        <w:t>*Statistical Analysis:</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Pr="00B6585E">
        <w:rPr>
          <w:rFonts w:ascii="Arial" w:hAnsi="Arial" w:cs="Arial"/>
          <w:color w:val="000000" w:themeColor="text1"/>
          <w:sz w:val="22"/>
          <w:szCs w:val="22"/>
        </w:rPr>
        <w:tab/>
        <w:t xml:space="preserve">Assoc. Prof. MMag. </w:t>
      </w:r>
      <w:r w:rsidRPr="00B6585E">
        <w:rPr>
          <w:rFonts w:ascii="Arial" w:hAnsi="Arial" w:cs="Arial"/>
          <w:color w:val="000000" w:themeColor="text1"/>
          <w:sz w:val="22"/>
          <w:szCs w:val="22"/>
          <w:lang w:val="de-AT"/>
        </w:rPr>
        <w:t>Dr. Alexandra Graf</w:t>
      </w:r>
    </w:p>
    <w:p w14:paraId="0C68A51E" w14:textId="5488E04D" w:rsidR="00937440" w:rsidRPr="00B6585E" w:rsidRDefault="00937440" w:rsidP="00937440">
      <w:pPr>
        <w:ind w:left="2832" w:firstLine="708"/>
        <w:rPr>
          <w:rFonts w:ascii="Arial" w:hAnsi="Arial" w:cs="Arial"/>
          <w:color w:val="000000" w:themeColor="text1"/>
          <w:sz w:val="22"/>
          <w:szCs w:val="22"/>
          <w:lang w:val="de-AT"/>
        </w:rPr>
      </w:pPr>
      <w:r w:rsidRPr="00B6585E">
        <w:rPr>
          <w:rFonts w:ascii="Arial" w:hAnsi="Arial" w:cs="Arial"/>
          <w:color w:val="000000" w:themeColor="text1"/>
          <w:sz w:val="22"/>
          <w:szCs w:val="22"/>
          <w:lang w:val="de-AT"/>
        </w:rPr>
        <w:t xml:space="preserve">Zentrum für Medizinische Statistik, Informatik und </w:t>
      </w:r>
    </w:p>
    <w:p w14:paraId="259334AF" w14:textId="77777777" w:rsidR="00937440" w:rsidRPr="00B6585E" w:rsidRDefault="00937440" w:rsidP="00937440">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Intelligente Systeme</w:t>
      </w:r>
    </w:p>
    <w:p w14:paraId="1B58EDAD" w14:textId="3159B856" w:rsidR="00937440" w:rsidRPr="00B6585E" w:rsidRDefault="00937440" w:rsidP="00937440">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Spitalgasse 23, BT88/E03</w:t>
      </w:r>
      <w:r w:rsidRPr="00B6585E">
        <w:rPr>
          <w:rFonts w:ascii="Arial" w:hAnsi="Arial" w:cs="Arial"/>
          <w:color w:val="000000" w:themeColor="text1"/>
          <w:sz w:val="22"/>
          <w:szCs w:val="22"/>
          <w:lang w:val="de-AT"/>
        </w:rPr>
        <w:tab/>
      </w:r>
    </w:p>
    <w:p w14:paraId="5A01941B" w14:textId="099BB9FC" w:rsidR="00602457" w:rsidRPr="00B6585E" w:rsidRDefault="00602457" w:rsidP="00937440">
      <w:pPr>
        <w:rPr>
          <w:rFonts w:ascii="Arial" w:hAnsi="Arial" w:cs="Arial"/>
          <w:color w:val="000000" w:themeColor="text1"/>
          <w:sz w:val="22"/>
          <w:szCs w:val="22"/>
          <w:lang w:val="de-AT"/>
        </w:rPr>
      </w:pPr>
    </w:p>
    <w:p w14:paraId="72300F7D" w14:textId="37C4CE87" w:rsidR="00602457" w:rsidRPr="00B6585E" w:rsidRDefault="00602457" w:rsidP="00937440">
      <w:pPr>
        <w:rPr>
          <w:rFonts w:ascii="Arial" w:hAnsi="Arial" w:cs="Arial"/>
          <w:color w:val="000000" w:themeColor="text1"/>
          <w:sz w:val="22"/>
          <w:szCs w:val="22"/>
        </w:rPr>
      </w:pPr>
      <w:r w:rsidRPr="00B6585E">
        <w:rPr>
          <w:rFonts w:ascii="Arial" w:hAnsi="Arial" w:cs="Arial"/>
          <w:color w:val="000000" w:themeColor="text1"/>
          <w:sz w:val="22"/>
          <w:szCs w:val="22"/>
        </w:rPr>
        <w:t>Cardiology Consultant:</w:t>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00A01E5A" w:rsidRPr="00B6585E">
        <w:rPr>
          <w:rFonts w:ascii="Arial" w:hAnsi="Arial" w:cs="Arial"/>
          <w:color w:val="000000" w:themeColor="text1"/>
          <w:sz w:val="22"/>
          <w:szCs w:val="22"/>
        </w:rPr>
        <w:t xml:space="preserve">Univ. Prof. Bernhard </w:t>
      </w:r>
      <w:r w:rsidRPr="00B6585E">
        <w:rPr>
          <w:rFonts w:ascii="Arial" w:hAnsi="Arial" w:cs="Arial"/>
          <w:color w:val="000000" w:themeColor="text1"/>
          <w:sz w:val="22"/>
          <w:szCs w:val="22"/>
        </w:rPr>
        <w:t>Frey</w:t>
      </w:r>
    </w:p>
    <w:p w14:paraId="0153D25B" w14:textId="77777777" w:rsidR="00602457" w:rsidRPr="00B6585E" w:rsidRDefault="00602457" w:rsidP="00937440">
      <w:pPr>
        <w:rPr>
          <w:rFonts w:ascii="Arial" w:hAnsi="Arial" w:cs="Arial"/>
          <w:color w:val="000000" w:themeColor="text1"/>
          <w:sz w:val="22"/>
          <w:szCs w:val="22"/>
          <w:lang w:val="de-AT"/>
        </w:rPr>
      </w:pP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Pr="00B6585E">
        <w:rPr>
          <w:rFonts w:ascii="Arial" w:hAnsi="Arial" w:cs="Arial"/>
          <w:color w:val="000000" w:themeColor="text1"/>
          <w:sz w:val="22"/>
          <w:szCs w:val="22"/>
        </w:rPr>
        <w:tab/>
      </w:r>
      <w:r w:rsidRPr="00B6585E">
        <w:rPr>
          <w:rFonts w:ascii="Arial" w:hAnsi="Arial" w:cs="Arial"/>
          <w:color w:val="000000" w:themeColor="text1"/>
          <w:sz w:val="22"/>
          <w:szCs w:val="22"/>
          <w:lang w:val="de-AT"/>
        </w:rPr>
        <w:t xml:space="preserve">Univ. Klinik für Innere Medizin II </w:t>
      </w:r>
    </w:p>
    <w:p w14:paraId="7BF0B970" w14:textId="77777777" w:rsidR="00640E56" w:rsidRPr="00B6585E" w:rsidRDefault="00602457" w:rsidP="00937440">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00640E56" w:rsidRPr="00B6585E">
        <w:rPr>
          <w:rFonts w:ascii="Arial" w:hAnsi="Arial" w:cs="Arial"/>
          <w:color w:val="000000" w:themeColor="text1"/>
          <w:sz w:val="22"/>
          <w:szCs w:val="22"/>
          <w:lang w:val="de-AT"/>
        </w:rPr>
        <w:t>Klinische Abteilung für Kardiologie</w:t>
      </w:r>
    </w:p>
    <w:p w14:paraId="24716C7A" w14:textId="77777777" w:rsidR="00640E56" w:rsidRPr="00B6585E" w:rsidRDefault="00640E56" w:rsidP="00937440">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Spitalgasse 23</w:t>
      </w:r>
    </w:p>
    <w:p w14:paraId="363ABAC9" w14:textId="3DCECB7F" w:rsidR="00602457" w:rsidRPr="00B6585E" w:rsidRDefault="00640E56" w:rsidP="00937440">
      <w:pPr>
        <w:rPr>
          <w:rFonts w:ascii="Arial" w:hAnsi="Arial" w:cs="Arial"/>
          <w:color w:val="000000" w:themeColor="text1"/>
          <w:sz w:val="22"/>
          <w:szCs w:val="22"/>
          <w:lang w:val="de-AT"/>
        </w:rPr>
      </w:pP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1090 Wien</w:t>
      </w:r>
      <w:r w:rsidR="00602457" w:rsidRPr="00B6585E">
        <w:rPr>
          <w:rFonts w:ascii="Arial" w:hAnsi="Arial" w:cs="Arial"/>
          <w:color w:val="000000" w:themeColor="text1"/>
          <w:sz w:val="22"/>
          <w:szCs w:val="22"/>
          <w:lang w:val="de-AT"/>
        </w:rPr>
        <w:tab/>
      </w:r>
    </w:p>
    <w:p w14:paraId="45060033" w14:textId="3E6431C7" w:rsidR="00937440" w:rsidRPr="00B6585E" w:rsidRDefault="00937440">
      <w:pPr>
        <w:rPr>
          <w:rFonts w:ascii="Arial" w:hAnsi="Arial" w:cs="Arial"/>
          <w:color w:val="000000" w:themeColor="text1"/>
          <w:sz w:val="22"/>
          <w:szCs w:val="22"/>
          <w:lang w:val="de-AT"/>
        </w:rPr>
      </w:pPr>
    </w:p>
    <w:p w14:paraId="52E65F8A" w14:textId="20AC3AF1" w:rsidR="00EE0048" w:rsidRPr="00B6585E" w:rsidRDefault="00EE0048" w:rsidP="00304D11">
      <w:pPr>
        <w:pStyle w:val="Heading1"/>
      </w:pPr>
      <w:bookmarkStart w:id="5" w:name="_Toc96924943"/>
      <w:r w:rsidRPr="00B6585E">
        <w:lastRenderedPageBreak/>
        <w:t xml:space="preserve">Responsibilities Charité </w:t>
      </w:r>
      <w:r w:rsidR="00805866" w:rsidRPr="00B6585E">
        <w:t xml:space="preserve">- Universitätsmedizin </w:t>
      </w:r>
      <w:r w:rsidRPr="00B6585E">
        <w:t>Berlin</w:t>
      </w:r>
      <w:bookmarkEnd w:id="5"/>
    </w:p>
    <w:p w14:paraId="3EB250DB" w14:textId="59D4ABBD" w:rsidR="00EE0048" w:rsidRPr="00B6585E" w:rsidRDefault="00EE0048" w:rsidP="00EE0048">
      <w:pPr>
        <w:rPr>
          <w:color w:val="000000" w:themeColor="text1"/>
          <w:lang w:val="de-AT"/>
        </w:rPr>
      </w:pPr>
    </w:p>
    <w:p w14:paraId="4ECD44C1" w14:textId="471D6F0E" w:rsidR="00EE0048" w:rsidRPr="00B6585E" w:rsidRDefault="00EE0048" w:rsidP="00EE0048">
      <w:pPr>
        <w:rPr>
          <w:rFonts w:ascii="Arial" w:hAnsi="Arial" w:cs="Arial"/>
          <w:color w:val="000000" w:themeColor="text1"/>
          <w:lang w:val="de-AT"/>
        </w:rPr>
      </w:pPr>
    </w:p>
    <w:p w14:paraId="468DAFD1" w14:textId="7F70FAC4" w:rsidR="00484929" w:rsidRPr="00B6585E" w:rsidRDefault="00EA6B0D" w:rsidP="00484929">
      <w:pPr>
        <w:rPr>
          <w:rFonts w:ascii="Arial" w:hAnsi="Arial" w:cs="Arial"/>
          <w:color w:val="000000" w:themeColor="text1"/>
          <w:sz w:val="22"/>
          <w:szCs w:val="22"/>
        </w:rPr>
      </w:pPr>
      <w:r w:rsidRPr="00B6585E">
        <w:rPr>
          <w:rFonts w:ascii="Arial" w:hAnsi="Arial" w:cs="Arial"/>
          <w:b/>
          <w:bCs/>
          <w:color w:val="000000" w:themeColor="text1"/>
          <w:sz w:val="22"/>
          <w:szCs w:val="22"/>
        </w:rPr>
        <w:t>Principal Investigator</w:t>
      </w:r>
      <w:r w:rsidR="00484929" w:rsidRPr="00B6585E">
        <w:rPr>
          <w:rFonts w:ascii="Arial" w:hAnsi="Arial" w:cs="Arial"/>
          <w:b/>
          <w:bCs/>
          <w:color w:val="000000" w:themeColor="text1"/>
          <w:sz w:val="22"/>
          <w:szCs w:val="22"/>
        </w:rPr>
        <w:t>:</w:t>
      </w:r>
      <w:r w:rsidR="00484929" w:rsidRPr="00B6585E">
        <w:rPr>
          <w:rFonts w:ascii="Arial" w:hAnsi="Arial" w:cs="Arial"/>
          <w:color w:val="000000" w:themeColor="text1"/>
          <w:sz w:val="22"/>
          <w:szCs w:val="22"/>
        </w:rPr>
        <w:t xml:space="preserve"> </w:t>
      </w:r>
      <w:r w:rsidR="00484929" w:rsidRPr="00B6585E">
        <w:rPr>
          <w:rFonts w:ascii="Arial" w:hAnsi="Arial" w:cs="Arial"/>
          <w:color w:val="000000" w:themeColor="text1"/>
          <w:sz w:val="22"/>
          <w:szCs w:val="22"/>
        </w:rPr>
        <w:tab/>
      </w:r>
      <w:r w:rsidR="00484929" w:rsidRPr="00B6585E">
        <w:rPr>
          <w:rFonts w:ascii="Arial" w:hAnsi="Arial" w:cs="Arial"/>
          <w:color w:val="000000" w:themeColor="text1"/>
          <w:sz w:val="22"/>
          <w:szCs w:val="22"/>
        </w:rPr>
        <w:tab/>
        <w:t>Univ. Prof. Dr. Sascha Treskatsch</w:t>
      </w:r>
    </w:p>
    <w:p w14:paraId="2B59461D"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Charité - Universitätsmedizin Berlin</w:t>
      </w:r>
    </w:p>
    <w:p w14:paraId="1AE389D3"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Klinik für Anästhesiologie m. S. operative Intensivmedizin </w:t>
      </w:r>
    </w:p>
    <w:p w14:paraId="262B1B7A" w14:textId="763A6E94"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Charité Campus Benjamin Franklin</w:t>
      </w:r>
    </w:p>
    <w:p w14:paraId="0827B18E" w14:textId="2FEFF613"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Hindenburgdamm 30</w:t>
      </w:r>
    </w:p>
    <w:p w14:paraId="4740CB4F" w14:textId="282FDC44"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12202 Berlin</w:t>
      </w:r>
    </w:p>
    <w:p w14:paraId="4F21F079" w14:textId="77777777" w:rsidR="00484929" w:rsidRPr="00B6585E" w:rsidRDefault="00484929" w:rsidP="00484929">
      <w:pPr>
        <w:ind w:left="3540"/>
        <w:rPr>
          <w:rFonts w:ascii="Arial" w:hAnsi="Arial" w:cs="Arial"/>
          <w:color w:val="000000" w:themeColor="text1"/>
          <w:sz w:val="22"/>
          <w:szCs w:val="22"/>
          <w:lang w:val="de-AT"/>
        </w:rPr>
      </w:pPr>
    </w:p>
    <w:p w14:paraId="2A7F1149" w14:textId="13CE991A" w:rsidR="00484929" w:rsidRPr="00B6585E" w:rsidRDefault="00484929" w:rsidP="00484929">
      <w:pPr>
        <w:rPr>
          <w:rFonts w:ascii="Arial" w:hAnsi="Arial" w:cs="Arial"/>
          <w:color w:val="000000" w:themeColor="text1"/>
          <w:sz w:val="22"/>
          <w:szCs w:val="22"/>
          <w:lang w:val="de-AT"/>
        </w:rPr>
      </w:pPr>
      <w:r w:rsidRPr="00B6585E">
        <w:rPr>
          <w:rFonts w:ascii="Arial" w:hAnsi="Arial" w:cs="Arial"/>
          <w:b/>
          <w:bCs/>
          <w:color w:val="000000" w:themeColor="text1"/>
          <w:sz w:val="22"/>
          <w:szCs w:val="22"/>
          <w:lang w:val="de-AT"/>
        </w:rPr>
        <w:t>Sub-Investigator:</w:t>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r>
      <w:r w:rsidRPr="00B6585E">
        <w:rPr>
          <w:rFonts w:ascii="Arial" w:hAnsi="Arial" w:cs="Arial"/>
          <w:color w:val="000000" w:themeColor="text1"/>
          <w:sz w:val="22"/>
          <w:szCs w:val="22"/>
          <w:lang w:val="de-AT"/>
        </w:rPr>
        <w:tab/>
        <w:t>Dr. Christian Berger</w:t>
      </w:r>
    </w:p>
    <w:p w14:paraId="67C6F3D6"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Charité - Universitätsmedizin Berlin</w:t>
      </w:r>
    </w:p>
    <w:p w14:paraId="56853C2C"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Klinik für Anästhesiologie m. S. operative Intensivmedizin </w:t>
      </w:r>
    </w:p>
    <w:p w14:paraId="50623F3F"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Charité Campus Benjamin Franklin</w:t>
      </w:r>
    </w:p>
    <w:p w14:paraId="642136DD"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Hindenburgdamm 30</w:t>
      </w:r>
    </w:p>
    <w:p w14:paraId="6942BA76" w14:textId="77777777" w:rsidR="00484929" w:rsidRPr="00B6585E" w:rsidRDefault="00484929" w:rsidP="00484929">
      <w:pPr>
        <w:ind w:left="3540"/>
        <w:rPr>
          <w:rFonts w:ascii="Arial" w:hAnsi="Arial" w:cs="Arial"/>
          <w:color w:val="000000" w:themeColor="text1"/>
          <w:sz w:val="22"/>
          <w:szCs w:val="22"/>
          <w:lang w:val="de-AT"/>
        </w:rPr>
      </w:pPr>
      <w:r w:rsidRPr="00B6585E">
        <w:rPr>
          <w:rFonts w:ascii="Arial" w:hAnsi="Arial" w:cs="Arial"/>
          <w:color w:val="000000" w:themeColor="text1"/>
          <w:sz w:val="22"/>
          <w:szCs w:val="22"/>
          <w:lang w:val="de-AT"/>
        </w:rPr>
        <w:t>12202 Berlin</w:t>
      </w:r>
    </w:p>
    <w:p w14:paraId="24D678D6" w14:textId="77777777" w:rsidR="00EE0048" w:rsidRPr="00B6585E" w:rsidRDefault="00EE0048">
      <w:pPr>
        <w:rPr>
          <w:rFonts w:ascii="Arial" w:hAnsi="Arial" w:cs="Arial"/>
          <w:color w:val="000000" w:themeColor="text1"/>
          <w:sz w:val="22"/>
          <w:szCs w:val="22"/>
          <w:lang w:val="de-AT"/>
        </w:rPr>
      </w:pPr>
    </w:p>
    <w:p w14:paraId="5D1FB895" w14:textId="77777777" w:rsidR="00931A60" w:rsidRPr="00B6585E" w:rsidRDefault="00A221DB" w:rsidP="00304D11">
      <w:pPr>
        <w:pStyle w:val="Heading1"/>
      </w:pPr>
      <w:bookmarkStart w:id="6" w:name="_Toc9107169"/>
      <w:bookmarkStart w:id="7" w:name="_Toc472863427"/>
      <w:bookmarkStart w:id="8" w:name="_Toc23231295"/>
      <w:bookmarkStart w:id="9" w:name="_Toc96924944"/>
      <w:r w:rsidRPr="00B6585E">
        <w:lastRenderedPageBreak/>
        <w:t>Abstract</w:t>
      </w:r>
      <w:bookmarkEnd w:id="6"/>
      <w:bookmarkEnd w:id="7"/>
      <w:bookmarkEnd w:id="8"/>
      <w:bookmarkEnd w:id="9"/>
    </w:p>
    <w:p w14:paraId="24F9084B" w14:textId="176FC6F5"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i/>
          <w:color w:val="000000" w:themeColor="text1"/>
          <w:sz w:val="22"/>
          <w:szCs w:val="22"/>
        </w:rPr>
        <w:t>Background</w:t>
      </w:r>
      <w:r w:rsidRPr="00B6585E">
        <w:rPr>
          <w:rFonts w:ascii="Arial" w:hAnsi="Arial" w:cs="Arial"/>
          <w:color w:val="000000" w:themeColor="text1"/>
          <w:sz w:val="22"/>
          <w:szCs w:val="22"/>
        </w:rPr>
        <w:t xml:space="preserve">: Major cardiovascular complications occur in about 3 % of all patients undergoing non- cardiac surgery and are even higher in patients with increased preoperative risk factors. N-terminal pro brain natriuretic peptide (NT-proBNP) increases in over two third of patients undergoing surgery and is a strong </w:t>
      </w:r>
      <w:r w:rsidR="00C63804" w:rsidRPr="00B6585E">
        <w:rPr>
          <w:rFonts w:ascii="Arial" w:hAnsi="Arial" w:cs="Arial"/>
          <w:color w:val="000000" w:themeColor="text1"/>
          <w:sz w:val="22"/>
          <w:szCs w:val="22"/>
        </w:rPr>
        <w:t>predictor</w:t>
      </w:r>
      <w:r w:rsidRPr="00B6585E">
        <w:rPr>
          <w:rFonts w:ascii="Arial" w:hAnsi="Arial" w:cs="Arial"/>
          <w:color w:val="000000" w:themeColor="text1"/>
          <w:sz w:val="22"/>
          <w:szCs w:val="22"/>
        </w:rPr>
        <w:t xml:space="preserve"> for perioperative myocardial complications. Levosimendan is a positive inotropic Ca</w:t>
      </w:r>
      <w:r w:rsidRPr="00B6585E">
        <w:rPr>
          <w:rFonts w:ascii="Arial" w:hAnsi="Arial" w:cs="Arial"/>
          <w:color w:val="000000" w:themeColor="text1"/>
          <w:sz w:val="22"/>
          <w:szCs w:val="22"/>
          <w:vertAlign w:val="superscript"/>
        </w:rPr>
        <w:t>2+</w:t>
      </w:r>
      <w:r w:rsidRPr="00B6585E">
        <w:rPr>
          <w:rFonts w:ascii="Arial" w:hAnsi="Arial" w:cs="Arial"/>
          <w:color w:val="000000" w:themeColor="text1"/>
          <w:sz w:val="22"/>
          <w:szCs w:val="22"/>
        </w:rPr>
        <w:t xml:space="preserve"> sensitizer and significantly reduces postoperative BNP concentration in cardiac surgery. The evidence </w:t>
      </w:r>
      <w:r w:rsidR="008A5E75" w:rsidRPr="00B6585E">
        <w:rPr>
          <w:rFonts w:ascii="Arial" w:hAnsi="Arial" w:cs="Arial"/>
          <w:color w:val="000000" w:themeColor="text1"/>
          <w:sz w:val="22"/>
          <w:szCs w:val="22"/>
        </w:rPr>
        <w:t xml:space="preserve">in the </w:t>
      </w:r>
      <w:r w:rsidRPr="00B6585E">
        <w:rPr>
          <w:rFonts w:ascii="Arial" w:hAnsi="Arial" w:cs="Arial"/>
          <w:color w:val="000000" w:themeColor="text1"/>
          <w:sz w:val="22"/>
          <w:szCs w:val="22"/>
        </w:rPr>
        <w:t>non-cardiac surgery</w:t>
      </w:r>
      <w:r w:rsidR="008A5E75" w:rsidRPr="00B6585E">
        <w:rPr>
          <w:rFonts w:ascii="Arial" w:hAnsi="Arial" w:cs="Arial"/>
          <w:color w:val="000000" w:themeColor="text1"/>
          <w:sz w:val="22"/>
          <w:szCs w:val="22"/>
        </w:rPr>
        <w:t xml:space="preserve"> setting</w:t>
      </w:r>
      <w:r w:rsidRPr="00B6585E">
        <w:rPr>
          <w:rFonts w:ascii="Arial" w:hAnsi="Arial" w:cs="Arial"/>
          <w:color w:val="000000" w:themeColor="text1"/>
          <w:sz w:val="22"/>
          <w:szCs w:val="22"/>
        </w:rPr>
        <w:t xml:space="preserve">, however, is weak. Therefore, we will test our primary hypothesis that </w:t>
      </w:r>
      <w:r w:rsidR="00F741CD" w:rsidRPr="00B6585E">
        <w:rPr>
          <w:rFonts w:ascii="Arial" w:hAnsi="Arial" w:cs="Arial"/>
          <w:color w:val="000000" w:themeColor="text1"/>
          <w:sz w:val="22"/>
          <w:szCs w:val="22"/>
        </w:rPr>
        <w:t xml:space="preserve">the </w:t>
      </w:r>
      <w:r w:rsidRPr="00B6585E">
        <w:rPr>
          <w:rFonts w:ascii="Arial" w:hAnsi="Arial" w:cs="Arial"/>
          <w:color w:val="000000" w:themeColor="text1"/>
          <w:sz w:val="22"/>
          <w:szCs w:val="22"/>
        </w:rPr>
        <w:t>perioperative administration of levosimendan significantly</w:t>
      </w:r>
      <w:r w:rsidR="002C38AF" w:rsidRPr="00B6585E">
        <w:rPr>
          <w:rFonts w:ascii="Arial" w:hAnsi="Arial" w:cs="Arial"/>
          <w:color w:val="000000" w:themeColor="text1"/>
          <w:sz w:val="22"/>
          <w:szCs w:val="22"/>
        </w:rPr>
        <w:t xml:space="preserve"> will</w:t>
      </w:r>
      <w:r w:rsidRPr="00B6585E">
        <w:rPr>
          <w:rFonts w:ascii="Arial" w:hAnsi="Arial" w:cs="Arial"/>
          <w:color w:val="000000" w:themeColor="text1"/>
          <w:sz w:val="22"/>
          <w:szCs w:val="22"/>
        </w:rPr>
        <w:t xml:space="preserve"> reduce</w:t>
      </w:r>
      <w:r w:rsidR="002C38AF" w:rsidRPr="00B6585E">
        <w:rPr>
          <w:rFonts w:ascii="Arial" w:hAnsi="Arial" w:cs="Arial"/>
          <w:color w:val="000000" w:themeColor="text1"/>
          <w:sz w:val="22"/>
          <w:szCs w:val="22"/>
        </w:rPr>
        <w:t xml:space="preserve"> p</w:t>
      </w:r>
      <w:r w:rsidRPr="00B6585E">
        <w:rPr>
          <w:rFonts w:ascii="Arial" w:hAnsi="Arial" w:cs="Arial"/>
          <w:color w:val="000000" w:themeColor="text1"/>
          <w:sz w:val="22"/>
          <w:szCs w:val="22"/>
        </w:rPr>
        <w:t>ostoperative NT-proBNP concentration</w:t>
      </w:r>
      <w:r w:rsidR="00C63804"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in patients undergoing moderate- to high-risk non-cardiac surgery. We will also test the secondary hypotheses that levosimendan will reduce</w:t>
      </w:r>
      <w:r w:rsidR="00F2380F" w:rsidRPr="00B6585E">
        <w:rPr>
          <w:rFonts w:ascii="Arial" w:hAnsi="Arial" w:cs="Arial"/>
          <w:color w:val="000000" w:themeColor="text1"/>
          <w:sz w:val="22"/>
          <w:szCs w:val="22"/>
        </w:rPr>
        <w:t xml:space="preserve"> postoperative maximum troponin T (maxTnT) concentration, the</w:t>
      </w:r>
      <w:r w:rsidRPr="00B6585E">
        <w:rPr>
          <w:rFonts w:ascii="Arial" w:hAnsi="Arial" w:cs="Arial"/>
          <w:color w:val="000000" w:themeColor="text1"/>
          <w:sz w:val="22"/>
          <w:szCs w:val="22"/>
        </w:rPr>
        <w:t xml:space="preserve"> incidence of myocardial injury after noncardiac surgery (MINS), myocardial infarction and death</w:t>
      </w:r>
      <w:r w:rsidR="00F2380F" w:rsidRPr="00B6585E">
        <w:rPr>
          <w:rFonts w:ascii="Arial" w:hAnsi="Arial" w:cs="Arial"/>
          <w:color w:val="000000" w:themeColor="text1"/>
          <w:sz w:val="22"/>
          <w:szCs w:val="22"/>
        </w:rPr>
        <w:t xml:space="preserve"> within 30 days and</w:t>
      </w:r>
      <w:r w:rsidR="00C63804" w:rsidRPr="00B6585E">
        <w:rPr>
          <w:rFonts w:ascii="Arial" w:hAnsi="Arial" w:cs="Arial"/>
          <w:color w:val="000000" w:themeColor="text1"/>
          <w:sz w:val="22"/>
          <w:szCs w:val="22"/>
        </w:rPr>
        <w:t xml:space="preserve"> </w:t>
      </w:r>
      <w:r w:rsidR="008F3A70" w:rsidRPr="00B6585E">
        <w:rPr>
          <w:rFonts w:ascii="Arial" w:hAnsi="Arial" w:cs="Arial"/>
          <w:color w:val="000000" w:themeColor="text1"/>
          <w:sz w:val="22"/>
          <w:szCs w:val="22"/>
        </w:rPr>
        <w:t>one</w:t>
      </w:r>
      <w:r w:rsidR="00F2380F" w:rsidRPr="00B6585E">
        <w:rPr>
          <w:rFonts w:ascii="Arial" w:hAnsi="Arial" w:cs="Arial"/>
          <w:color w:val="000000" w:themeColor="text1"/>
          <w:sz w:val="22"/>
          <w:szCs w:val="22"/>
        </w:rPr>
        <w:t xml:space="preserve"> year</w:t>
      </w:r>
      <w:r w:rsidR="00C63804" w:rsidRPr="00B6585E">
        <w:rPr>
          <w:rFonts w:ascii="Arial" w:hAnsi="Arial" w:cs="Arial"/>
          <w:color w:val="000000" w:themeColor="text1"/>
          <w:sz w:val="22"/>
          <w:szCs w:val="22"/>
        </w:rPr>
        <w:t xml:space="preserve"> after surgery</w:t>
      </w:r>
      <w:r w:rsidR="00F2380F" w:rsidRPr="00B6585E">
        <w:rPr>
          <w:rFonts w:ascii="Arial" w:hAnsi="Arial" w:cs="Arial"/>
          <w:color w:val="000000" w:themeColor="text1"/>
          <w:sz w:val="22"/>
          <w:szCs w:val="22"/>
        </w:rPr>
        <w:t xml:space="preserve">. </w:t>
      </w:r>
    </w:p>
    <w:p w14:paraId="00BFE8C3" w14:textId="6B6DEE56" w:rsidR="00931A60" w:rsidRPr="00B6585E" w:rsidRDefault="00A221DB">
      <w:pPr>
        <w:spacing w:after="120"/>
        <w:ind w:right="-7"/>
        <w:jc w:val="both"/>
        <w:rPr>
          <w:color w:val="000000" w:themeColor="text1"/>
        </w:rPr>
      </w:pPr>
      <w:r w:rsidRPr="00B6585E">
        <w:rPr>
          <w:rFonts w:ascii="Arial" w:hAnsi="Arial" w:cs="Arial"/>
          <w:i/>
          <w:color w:val="000000" w:themeColor="text1"/>
          <w:sz w:val="22"/>
          <w:szCs w:val="22"/>
        </w:rPr>
        <w:t>Methods</w:t>
      </w:r>
      <w:r w:rsidRPr="00B6585E">
        <w:rPr>
          <w:rFonts w:ascii="Arial" w:hAnsi="Arial" w:cs="Arial"/>
          <w:color w:val="000000" w:themeColor="text1"/>
          <w:sz w:val="22"/>
          <w:szCs w:val="22"/>
        </w:rPr>
        <w:t xml:space="preserve">: We will </w:t>
      </w:r>
      <w:r w:rsidR="00161F10" w:rsidRPr="00B6585E">
        <w:rPr>
          <w:rFonts w:ascii="Arial" w:hAnsi="Arial" w:cs="Arial"/>
          <w:color w:val="000000" w:themeColor="text1"/>
          <w:sz w:val="22"/>
          <w:szCs w:val="22"/>
        </w:rPr>
        <w:t>include</w:t>
      </w:r>
      <w:r w:rsidR="00161F10" w:rsidRPr="00B6585E">
        <w:rPr>
          <w:rStyle w:val="CommentReference"/>
          <w:rFonts w:ascii="Calibri" w:eastAsia="Calibri" w:hAnsi="Calibri"/>
          <w:color w:val="000000" w:themeColor="text1"/>
        </w:rPr>
        <w:t xml:space="preserve"> </w:t>
      </w:r>
      <w:r w:rsidR="00161F10" w:rsidRPr="00B6585E">
        <w:rPr>
          <w:rFonts w:ascii="Arial" w:hAnsi="Arial" w:cs="Arial"/>
          <w:color w:val="000000" w:themeColor="text1"/>
          <w:sz w:val="22"/>
          <w:szCs w:val="22"/>
        </w:rPr>
        <w:t>2</w:t>
      </w:r>
      <w:r w:rsidR="00F6182A" w:rsidRPr="00B6585E">
        <w:rPr>
          <w:rFonts w:ascii="Arial" w:hAnsi="Arial" w:cs="Arial"/>
          <w:color w:val="000000" w:themeColor="text1"/>
          <w:sz w:val="22"/>
          <w:szCs w:val="22"/>
        </w:rPr>
        <w:t>30</w:t>
      </w:r>
      <w:r w:rsidRPr="00B6585E">
        <w:rPr>
          <w:rFonts w:ascii="Arial" w:hAnsi="Arial" w:cs="Arial"/>
          <w:color w:val="000000" w:themeColor="text1"/>
          <w:sz w:val="22"/>
          <w:szCs w:val="22"/>
        </w:rPr>
        <w:t xml:space="preserve"> patients with increased cardiovascular risk factors </w:t>
      </w:r>
      <w:r w:rsidR="008A5E75" w:rsidRPr="00B6585E">
        <w:rPr>
          <w:rFonts w:ascii="Arial" w:hAnsi="Arial" w:cs="Arial"/>
          <w:color w:val="000000" w:themeColor="text1"/>
          <w:sz w:val="22"/>
          <w:szCs w:val="22"/>
        </w:rPr>
        <w:t xml:space="preserve">undergoing </w:t>
      </w:r>
      <w:r w:rsidRPr="00B6585E">
        <w:rPr>
          <w:rFonts w:ascii="Arial" w:hAnsi="Arial" w:cs="Arial"/>
          <w:color w:val="000000" w:themeColor="text1"/>
          <w:sz w:val="22"/>
          <w:szCs w:val="22"/>
        </w:rPr>
        <w:t xml:space="preserve">moderate- to high-risk non-cardiac surgery in this randomized, double-blinded trial. Patients will be randomly assigned to receive a single infusion of 12.5 mg levosimendan or placebo. The study drug will be started after induction of anesthesia. </w:t>
      </w:r>
      <w:r w:rsidR="008A5E75" w:rsidRPr="00B6585E">
        <w:rPr>
          <w:rFonts w:ascii="Arial" w:hAnsi="Arial" w:cs="Arial"/>
          <w:color w:val="000000" w:themeColor="text1"/>
          <w:sz w:val="22"/>
          <w:szCs w:val="22"/>
        </w:rPr>
        <w:t xml:space="preserve">In the study group </w:t>
      </w:r>
      <w:r w:rsidRPr="00B6585E">
        <w:rPr>
          <w:rFonts w:ascii="Arial" w:hAnsi="Arial" w:cs="Arial"/>
          <w:color w:val="000000" w:themeColor="text1"/>
          <w:sz w:val="22"/>
          <w:szCs w:val="22"/>
        </w:rPr>
        <w:t xml:space="preserve">12.5 mg levosimendan will be infused over a time period of </w:t>
      </w:r>
      <w:r w:rsidR="006B4CE5" w:rsidRPr="00B6585E">
        <w:rPr>
          <w:rFonts w:ascii="Arial" w:hAnsi="Arial" w:cs="Arial"/>
          <w:color w:val="000000" w:themeColor="text1"/>
          <w:sz w:val="22"/>
          <w:szCs w:val="22"/>
        </w:rPr>
        <w:t xml:space="preserve">approximately </w:t>
      </w:r>
      <w:r w:rsidRPr="00B6585E">
        <w:rPr>
          <w:rFonts w:ascii="Arial" w:hAnsi="Arial" w:cs="Arial"/>
          <w:color w:val="000000" w:themeColor="text1"/>
          <w:sz w:val="22"/>
          <w:szCs w:val="22"/>
        </w:rPr>
        <w:t xml:space="preserve">24 hours. Our primary outcome will be the effect of levosimendan on maximum postoperative NT-proBNP (maxNT-proBNP). We therefore measure NT-proBNP before induction of anesthesia, after surgery, on </w:t>
      </w:r>
      <w:r w:rsidR="00D947C2" w:rsidRPr="00B6585E">
        <w:rPr>
          <w:rFonts w:ascii="Arial" w:hAnsi="Arial" w:cs="Arial"/>
          <w:color w:val="000000" w:themeColor="text1"/>
          <w:sz w:val="22"/>
          <w:szCs w:val="22"/>
        </w:rPr>
        <w:t xml:space="preserve">the first, second and third postoperative day. </w:t>
      </w:r>
    </w:p>
    <w:p w14:paraId="5D512734" w14:textId="2DC49C3F" w:rsidR="00931A60" w:rsidRPr="00B6585E" w:rsidRDefault="00A221DB">
      <w:pPr>
        <w:spacing w:after="120"/>
        <w:ind w:right="-7"/>
        <w:jc w:val="both"/>
        <w:rPr>
          <w:color w:val="000000" w:themeColor="text1"/>
        </w:rPr>
      </w:pPr>
      <w:r w:rsidRPr="00B6585E">
        <w:rPr>
          <w:rFonts w:ascii="Arial" w:hAnsi="Arial" w:cs="Arial"/>
          <w:i/>
          <w:color w:val="000000" w:themeColor="text1"/>
          <w:sz w:val="22"/>
          <w:szCs w:val="22"/>
        </w:rPr>
        <w:t xml:space="preserve">Statistics: </w:t>
      </w:r>
      <w:r w:rsidRPr="00B6585E">
        <w:rPr>
          <w:rFonts w:ascii="Arial" w:hAnsi="Arial" w:cs="Arial"/>
          <w:color w:val="000000" w:themeColor="text1"/>
          <w:sz w:val="22"/>
          <w:szCs w:val="22"/>
        </w:rPr>
        <w:t xml:space="preserve">The primary endpoint, maxNT-proBNP is defined as the maximum of NT-proBNP </w:t>
      </w:r>
      <w:r w:rsidR="000C0CAA" w:rsidRPr="00B6585E">
        <w:rPr>
          <w:rFonts w:ascii="Arial" w:hAnsi="Arial" w:cs="Arial"/>
          <w:color w:val="000000" w:themeColor="text1"/>
          <w:sz w:val="22"/>
          <w:szCs w:val="22"/>
        </w:rPr>
        <w:t>concentration</w:t>
      </w:r>
      <w:r w:rsidRPr="00B6585E">
        <w:rPr>
          <w:rFonts w:ascii="Arial" w:hAnsi="Arial" w:cs="Arial"/>
          <w:color w:val="000000" w:themeColor="text1"/>
          <w:sz w:val="22"/>
          <w:szCs w:val="22"/>
        </w:rPr>
        <w:t xml:space="preserve"> measured within 2 hours after surgery and on </w:t>
      </w:r>
      <w:r w:rsidR="006C18E5" w:rsidRPr="00B6585E">
        <w:rPr>
          <w:rFonts w:ascii="Arial" w:hAnsi="Arial" w:cs="Arial"/>
          <w:color w:val="000000" w:themeColor="text1"/>
          <w:sz w:val="22"/>
          <w:szCs w:val="22"/>
        </w:rPr>
        <w:t>the first, second and third postoperative day</w:t>
      </w:r>
      <w:r w:rsidRPr="00B6585E">
        <w:rPr>
          <w:rFonts w:ascii="Arial" w:hAnsi="Arial" w:cs="Arial"/>
          <w:color w:val="000000" w:themeColor="text1"/>
          <w:sz w:val="22"/>
          <w:szCs w:val="22"/>
        </w:rPr>
        <w:t>. The primary hypothesis will be tested using a Wilcoxon-Mann-Whitney U-test. An interim analysis will be performed after the collection of data of a third of the overall planned patients. To control for the overall type 1 error rate of 0.05, O'Brien-Flemming boundaries for group sequential designs will be used, hence for the interim analysis the two-sided significance level is 0.0007 and for the final analysis the two-sided significance level is 0.0497.</w:t>
      </w:r>
      <w:r w:rsidRPr="00B6585E">
        <w:rPr>
          <w:color w:val="000000" w:themeColor="text1"/>
        </w:rPr>
        <w:t xml:space="preserve"> </w:t>
      </w:r>
    </w:p>
    <w:p w14:paraId="02B11F47" w14:textId="6FF15815" w:rsidR="00475245" w:rsidRPr="00B6585E" w:rsidRDefault="00A221DB">
      <w:pPr>
        <w:spacing w:after="120"/>
        <w:ind w:right="-7"/>
        <w:jc w:val="both"/>
        <w:rPr>
          <w:rFonts w:ascii="Arial" w:hAnsi="Arial" w:cs="Arial"/>
          <w:color w:val="000000" w:themeColor="text1"/>
          <w:sz w:val="22"/>
          <w:szCs w:val="22"/>
        </w:rPr>
      </w:pPr>
      <w:r w:rsidRPr="00B6585E">
        <w:rPr>
          <w:rFonts w:ascii="Arial" w:hAnsi="Arial" w:cs="Arial"/>
          <w:i/>
          <w:color w:val="000000" w:themeColor="text1"/>
          <w:sz w:val="22"/>
          <w:szCs w:val="22"/>
        </w:rPr>
        <w:t xml:space="preserve">Level of originality: </w:t>
      </w:r>
      <w:r w:rsidRPr="00B6585E">
        <w:rPr>
          <w:rFonts w:ascii="Arial" w:hAnsi="Arial" w:cs="Arial"/>
          <w:color w:val="000000" w:themeColor="text1"/>
          <w:sz w:val="22"/>
          <w:szCs w:val="22"/>
        </w:rPr>
        <w:t>Data for the use of levosimendan are mainly available in patients undergoing cardiac surgery and for th</w:t>
      </w:r>
      <w:r w:rsidR="008A5E75" w:rsidRPr="00B6585E">
        <w:rPr>
          <w:rFonts w:ascii="Arial" w:hAnsi="Arial" w:cs="Arial"/>
          <w:color w:val="000000" w:themeColor="text1"/>
          <w:sz w:val="22"/>
          <w:szCs w:val="22"/>
        </w:rPr>
        <w:t>e</w:t>
      </w:r>
      <w:r w:rsidRPr="00B6585E">
        <w:rPr>
          <w:rFonts w:ascii="Arial" w:hAnsi="Arial" w:cs="Arial"/>
          <w:color w:val="000000" w:themeColor="text1"/>
          <w:sz w:val="22"/>
          <w:szCs w:val="22"/>
        </w:rPr>
        <w:t>se with strongly impaired cardiac function. Recent studies showed a strong association between postoperative NT-proBNP and TnT release and myocardial events, which indicate</w:t>
      </w:r>
      <w:r w:rsidR="008A5E75"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a significant </w:t>
      </w:r>
      <w:r w:rsidR="00F741CD" w:rsidRPr="00B6585E">
        <w:rPr>
          <w:rFonts w:ascii="Arial" w:hAnsi="Arial" w:cs="Arial"/>
          <w:color w:val="000000" w:themeColor="text1"/>
          <w:sz w:val="22"/>
          <w:szCs w:val="22"/>
        </w:rPr>
        <w:t>impact on heart function</w:t>
      </w:r>
      <w:r w:rsidRPr="00B6585E">
        <w:rPr>
          <w:rFonts w:ascii="Arial" w:hAnsi="Arial" w:cs="Arial"/>
          <w:color w:val="000000" w:themeColor="text1"/>
          <w:sz w:val="22"/>
          <w:szCs w:val="22"/>
        </w:rPr>
        <w:t xml:space="preserve"> especially during the first three days after surgery</w:t>
      </w:r>
      <w:r w:rsidR="00CA03F7" w:rsidRPr="00B6585E">
        <w:rPr>
          <w:rFonts w:ascii="Arial" w:hAnsi="Arial" w:cs="Arial"/>
          <w:color w:val="000000" w:themeColor="text1"/>
          <w:sz w:val="22"/>
          <w:szCs w:val="22"/>
        </w:rPr>
        <w:t>. The duration of action of levosimendan is about 7 days</w:t>
      </w:r>
      <w:r w:rsidRPr="00B6585E">
        <w:rPr>
          <w:rFonts w:ascii="Arial" w:hAnsi="Arial" w:cs="Arial"/>
          <w:color w:val="000000" w:themeColor="text1"/>
          <w:sz w:val="22"/>
          <w:szCs w:val="22"/>
        </w:rPr>
        <w:t xml:space="preserve">. </w:t>
      </w:r>
      <w:r w:rsidR="00CA03F7" w:rsidRPr="00B6585E">
        <w:rPr>
          <w:rFonts w:ascii="Arial" w:hAnsi="Arial" w:cs="Arial"/>
          <w:color w:val="000000" w:themeColor="text1"/>
          <w:sz w:val="22"/>
          <w:szCs w:val="22"/>
        </w:rPr>
        <w:t>Thus, we</w:t>
      </w:r>
      <w:r w:rsidRPr="00B6585E">
        <w:rPr>
          <w:rFonts w:ascii="Arial" w:hAnsi="Arial" w:cs="Arial"/>
          <w:color w:val="000000" w:themeColor="text1"/>
          <w:sz w:val="22"/>
          <w:szCs w:val="22"/>
        </w:rPr>
        <w:t xml:space="preserve"> propose to administer levosimendan intraoperatively when patient</w:t>
      </w:r>
      <w:r w:rsidR="006400C0"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w:t>
      </w:r>
      <w:r w:rsidR="006400C0" w:rsidRPr="00B6585E">
        <w:rPr>
          <w:rFonts w:ascii="Arial" w:hAnsi="Arial" w:cs="Arial"/>
          <w:color w:val="000000" w:themeColor="text1"/>
          <w:sz w:val="22"/>
          <w:szCs w:val="22"/>
        </w:rPr>
        <w:t>are</w:t>
      </w:r>
      <w:r w:rsidRPr="00B6585E">
        <w:rPr>
          <w:rFonts w:ascii="Arial" w:hAnsi="Arial" w:cs="Arial"/>
          <w:color w:val="000000" w:themeColor="text1"/>
          <w:sz w:val="22"/>
          <w:szCs w:val="22"/>
        </w:rPr>
        <w:t xml:space="preserve"> well monitored to provide </w:t>
      </w:r>
      <w:r w:rsidR="00BB0079" w:rsidRPr="00B6585E">
        <w:rPr>
          <w:rFonts w:ascii="Arial" w:hAnsi="Arial" w:cs="Arial"/>
          <w:color w:val="000000" w:themeColor="text1"/>
          <w:sz w:val="22"/>
          <w:szCs w:val="22"/>
        </w:rPr>
        <w:t xml:space="preserve">maximal </w:t>
      </w:r>
      <w:r w:rsidRPr="00B6585E">
        <w:rPr>
          <w:rFonts w:ascii="Arial" w:hAnsi="Arial" w:cs="Arial"/>
          <w:color w:val="000000" w:themeColor="text1"/>
          <w:sz w:val="22"/>
          <w:szCs w:val="22"/>
        </w:rPr>
        <w:t xml:space="preserve">protection </w:t>
      </w:r>
      <w:r w:rsidR="00475245" w:rsidRPr="00B6585E">
        <w:rPr>
          <w:rFonts w:ascii="Arial" w:hAnsi="Arial" w:cs="Arial"/>
          <w:color w:val="000000" w:themeColor="text1"/>
          <w:sz w:val="22"/>
          <w:szCs w:val="22"/>
        </w:rPr>
        <w:t>due to</w:t>
      </w:r>
      <w:r w:rsidR="004073A5" w:rsidRPr="00B6585E">
        <w:rPr>
          <w:rFonts w:ascii="Arial" w:hAnsi="Arial" w:cs="Arial"/>
          <w:color w:val="000000" w:themeColor="text1"/>
          <w:sz w:val="22"/>
          <w:szCs w:val="22"/>
        </w:rPr>
        <w:t xml:space="preserve"> </w:t>
      </w:r>
      <w:r w:rsidR="006400C0" w:rsidRPr="00B6585E">
        <w:rPr>
          <w:rFonts w:ascii="Arial" w:hAnsi="Arial" w:cs="Arial"/>
          <w:color w:val="000000" w:themeColor="text1"/>
          <w:sz w:val="22"/>
          <w:szCs w:val="22"/>
        </w:rPr>
        <w:t xml:space="preserve">hemodynamic instability </w:t>
      </w:r>
      <w:r w:rsidR="00475245" w:rsidRPr="00B6585E">
        <w:rPr>
          <w:rFonts w:ascii="Arial" w:hAnsi="Arial" w:cs="Arial"/>
          <w:color w:val="000000" w:themeColor="text1"/>
          <w:sz w:val="22"/>
          <w:szCs w:val="22"/>
        </w:rPr>
        <w:t>during</w:t>
      </w:r>
      <w:r w:rsidRPr="00B6585E">
        <w:rPr>
          <w:rFonts w:ascii="Arial" w:hAnsi="Arial" w:cs="Arial"/>
          <w:color w:val="000000" w:themeColor="text1"/>
          <w:sz w:val="22"/>
          <w:szCs w:val="22"/>
        </w:rPr>
        <w:t xml:space="preserve"> the critical </w:t>
      </w:r>
      <w:r w:rsidR="00475245" w:rsidRPr="00B6585E">
        <w:rPr>
          <w:rFonts w:ascii="Arial" w:hAnsi="Arial" w:cs="Arial"/>
          <w:color w:val="000000" w:themeColor="text1"/>
          <w:sz w:val="22"/>
          <w:szCs w:val="22"/>
        </w:rPr>
        <w:t xml:space="preserve">perioperative </w:t>
      </w:r>
      <w:r w:rsidRPr="00B6585E">
        <w:rPr>
          <w:rFonts w:ascii="Arial" w:hAnsi="Arial" w:cs="Arial"/>
          <w:color w:val="000000" w:themeColor="text1"/>
          <w:sz w:val="22"/>
          <w:szCs w:val="22"/>
        </w:rPr>
        <w:t>period.</w:t>
      </w:r>
      <w:r w:rsidR="00CA03F7"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Therefore, we test the efficiency of a preemptive administration of levosimendan to decrease postoperative NT-proBNP release and further decrease </w:t>
      </w:r>
      <w:r w:rsidR="00475245" w:rsidRPr="00B6585E">
        <w:rPr>
          <w:rFonts w:ascii="Arial" w:hAnsi="Arial" w:cs="Arial"/>
          <w:color w:val="000000" w:themeColor="text1"/>
          <w:sz w:val="22"/>
          <w:szCs w:val="22"/>
        </w:rPr>
        <w:t xml:space="preserve">of </w:t>
      </w:r>
      <w:r w:rsidRPr="00B6585E">
        <w:rPr>
          <w:rFonts w:ascii="Arial" w:hAnsi="Arial" w:cs="Arial"/>
          <w:color w:val="000000" w:themeColor="text1"/>
          <w:sz w:val="22"/>
          <w:szCs w:val="22"/>
        </w:rPr>
        <w:t xml:space="preserve">cardiovascular complications in patients with increased cardiovascular risk factors undergoing noncardiac surgery. </w:t>
      </w:r>
    </w:p>
    <w:p w14:paraId="0D59CFBC" w14:textId="32445657" w:rsidR="00931A60" w:rsidRPr="00B6585E" w:rsidRDefault="00A221DB">
      <w:pPr>
        <w:spacing w:after="120"/>
        <w:ind w:right="-7"/>
        <w:jc w:val="both"/>
        <w:rPr>
          <w:rFonts w:ascii="Arial" w:hAnsi="Arial" w:cs="Arial"/>
          <w:color w:val="000000" w:themeColor="text1"/>
          <w:sz w:val="22"/>
          <w:szCs w:val="22"/>
        </w:rPr>
        <w:sectPr w:rsidR="00931A60" w:rsidRPr="00B6585E" w:rsidSect="00A5257C">
          <w:headerReference w:type="default" r:id="rId11"/>
          <w:footerReference w:type="default" r:id="rId12"/>
          <w:headerReference w:type="first" r:id="rId13"/>
          <w:footerReference w:type="first" r:id="rId14"/>
          <w:pgSz w:w="11906" w:h="16838"/>
          <w:pgMar w:top="1464" w:right="1134" w:bottom="1134" w:left="1134" w:header="709" w:footer="709" w:gutter="0"/>
          <w:cols w:space="720"/>
          <w:formProt w:val="0"/>
          <w:titlePg/>
          <w:docGrid w:linePitch="360"/>
        </w:sectPr>
      </w:pPr>
      <w:r w:rsidRPr="00B6585E">
        <w:rPr>
          <w:rFonts w:ascii="Arial" w:hAnsi="Arial" w:cs="Arial"/>
          <w:color w:val="000000" w:themeColor="text1"/>
          <w:sz w:val="22"/>
          <w:szCs w:val="22"/>
        </w:rPr>
        <w:t xml:space="preserve"> </w:t>
      </w:r>
    </w:p>
    <w:p w14:paraId="49831612" w14:textId="77777777" w:rsidR="00931A60" w:rsidRPr="00B6585E" w:rsidRDefault="00A221DB" w:rsidP="00304D11">
      <w:pPr>
        <w:pStyle w:val="Heading1"/>
      </w:pPr>
      <w:bookmarkStart w:id="10" w:name="_Toc23231296"/>
      <w:bookmarkStart w:id="11" w:name="_Toc96924945"/>
      <w:r w:rsidRPr="00B6585E">
        <w:lastRenderedPageBreak/>
        <w:t>Zusammenfassung</w:t>
      </w:r>
      <w:bookmarkEnd w:id="10"/>
      <w:bookmarkEnd w:id="11"/>
    </w:p>
    <w:p w14:paraId="44F281E9" w14:textId="77777777" w:rsidR="00931A60" w:rsidRPr="00B6585E" w:rsidRDefault="00931A60">
      <w:pPr>
        <w:rPr>
          <w:color w:val="000000" w:themeColor="text1"/>
        </w:rPr>
      </w:pPr>
    </w:p>
    <w:p w14:paraId="266EAB87" w14:textId="1490E2D4" w:rsidR="00931A60" w:rsidRPr="00B6585E" w:rsidRDefault="00A221DB">
      <w:pPr>
        <w:spacing w:after="120"/>
        <w:ind w:right="-7"/>
        <w:jc w:val="both"/>
        <w:rPr>
          <w:rFonts w:ascii="Arial" w:hAnsi="Arial" w:cs="Arial"/>
          <w:color w:val="000000" w:themeColor="text1"/>
          <w:sz w:val="22"/>
          <w:szCs w:val="22"/>
          <w:lang w:val="de-AT"/>
        </w:rPr>
      </w:pPr>
      <w:r w:rsidRPr="00B6585E">
        <w:rPr>
          <w:rFonts w:ascii="Arial" w:hAnsi="Arial" w:cs="Arial"/>
          <w:i/>
          <w:iCs/>
          <w:color w:val="000000" w:themeColor="text1"/>
          <w:sz w:val="22"/>
          <w:szCs w:val="22"/>
          <w:lang w:val="de-AT"/>
        </w:rPr>
        <w:t>Hintergrund:</w:t>
      </w:r>
      <w:r w:rsidRPr="00B6585E">
        <w:rPr>
          <w:rFonts w:ascii="Arial" w:hAnsi="Arial" w:cs="Arial"/>
          <w:color w:val="000000" w:themeColor="text1"/>
          <w:sz w:val="22"/>
          <w:szCs w:val="22"/>
          <w:lang w:val="de-AT"/>
        </w:rPr>
        <w:t xml:space="preserve"> In ca. 3 % aller PatientenInnen kommt es nach einem chirurgischen Eingriff zu einer kardiovaskulären Komplikation. In PatientInnen mit bereits vorbestehenden kardiovaskulären Risikofaktoren liegt diese Rat</w:t>
      </w:r>
      <w:r w:rsidR="0072526A" w:rsidRPr="00B6585E">
        <w:rPr>
          <w:rFonts w:ascii="Arial" w:hAnsi="Arial" w:cs="Arial"/>
          <w:color w:val="000000" w:themeColor="text1"/>
          <w:sz w:val="22"/>
          <w:szCs w:val="22"/>
          <w:lang w:val="de-AT"/>
        </w:rPr>
        <w:t>e</w:t>
      </w:r>
      <w:r w:rsidRPr="00B6585E">
        <w:rPr>
          <w:rFonts w:ascii="Arial" w:hAnsi="Arial" w:cs="Arial"/>
          <w:color w:val="000000" w:themeColor="text1"/>
          <w:sz w:val="22"/>
          <w:szCs w:val="22"/>
          <w:lang w:val="de-AT"/>
        </w:rPr>
        <w:t xml:space="preserve"> noch höher. N-terminales pro brain natriuretic peptide (NT-proBNP) als auch Troponin T (TnT) sind herzspezifische Laborparameter mit einem starken prädiktiven Wert für das Auftreten perioperativer myokardialer Komplikationen. </w:t>
      </w:r>
    </w:p>
    <w:p w14:paraId="0004A23B" w14:textId="6CCCE17C" w:rsidR="00475245" w:rsidRPr="00B6585E" w:rsidRDefault="00A221DB">
      <w:pPr>
        <w:spacing w:after="120"/>
        <w:ind w:right="-7"/>
        <w:jc w:val="both"/>
        <w:rPr>
          <w:rFonts w:ascii="Arial" w:hAnsi="Arial" w:cs="Arial"/>
          <w:color w:val="000000" w:themeColor="text1"/>
          <w:sz w:val="22"/>
          <w:szCs w:val="22"/>
          <w:lang w:val="de-AT"/>
        </w:rPr>
      </w:pPr>
      <w:r w:rsidRPr="00B6585E">
        <w:rPr>
          <w:rFonts w:ascii="Arial" w:hAnsi="Arial" w:cs="Arial"/>
          <w:color w:val="000000" w:themeColor="text1"/>
          <w:sz w:val="22"/>
          <w:szCs w:val="22"/>
          <w:lang w:val="de-AT"/>
        </w:rPr>
        <w:t>Levosimendan ist ein positiv inotropes wirkendes Medikament, welches die Affinität der Ca</w:t>
      </w:r>
      <w:r w:rsidRPr="00B6585E">
        <w:rPr>
          <w:rFonts w:ascii="Arial" w:hAnsi="Arial" w:cs="Arial"/>
          <w:color w:val="000000" w:themeColor="text1"/>
          <w:sz w:val="22"/>
          <w:szCs w:val="22"/>
          <w:vertAlign w:val="superscript"/>
          <w:lang w:val="de-AT"/>
        </w:rPr>
        <w:t>2+</w:t>
      </w:r>
      <w:r w:rsidRPr="00B6585E">
        <w:rPr>
          <w:rFonts w:ascii="Arial" w:hAnsi="Arial" w:cs="Arial"/>
          <w:color w:val="000000" w:themeColor="text1"/>
          <w:sz w:val="22"/>
          <w:szCs w:val="22"/>
          <w:lang w:val="de-AT"/>
        </w:rPr>
        <w:t xml:space="preserve"> Ionen zum Tropomyosin erhöht und dadurch die Herzfunktion verbessert, ohne dabei den myokardialen Sauerstoffverbrauch zu erhöhen. Die Gabe von Levosimendan führte zu einer signifikanten Reduktion der BNP und T</w:t>
      </w:r>
      <w:r w:rsidR="00DD118F" w:rsidRPr="00B6585E">
        <w:rPr>
          <w:rFonts w:ascii="Arial" w:hAnsi="Arial" w:cs="Arial"/>
          <w:color w:val="000000" w:themeColor="text1"/>
          <w:sz w:val="22"/>
          <w:szCs w:val="22"/>
          <w:lang w:val="de-AT"/>
        </w:rPr>
        <w:t xml:space="preserve">roponin I </w:t>
      </w:r>
      <w:r w:rsidRPr="00B6585E">
        <w:rPr>
          <w:rFonts w:ascii="Arial" w:hAnsi="Arial" w:cs="Arial"/>
          <w:color w:val="000000" w:themeColor="text1"/>
          <w:sz w:val="22"/>
          <w:szCs w:val="22"/>
          <w:lang w:val="de-AT"/>
        </w:rPr>
        <w:t>Konzentration</w:t>
      </w:r>
      <w:r w:rsidR="00475245" w:rsidRPr="00B6585E">
        <w:rPr>
          <w:rFonts w:ascii="Arial" w:hAnsi="Arial" w:cs="Arial"/>
          <w:color w:val="000000" w:themeColor="text1"/>
          <w:sz w:val="22"/>
          <w:szCs w:val="22"/>
          <w:lang w:val="de-AT"/>
        </w:rPr>
        <w:t xml:space="preserve"> bei</w:t>
      </w:r>
      <w:r w:rsidRPr="00B6585E">
        <w:rPr>
          <w:rFonts w:ascii="Arial" w:hAnsi="Arial" w:cs="Arial"/>
          <w:color w:val="000000" w:themeColor="text1"/>
          <w:sz w:val="22"/>
          <w:szCs w:val="22"/>
          <w:lang w:val="de-AT"/>
        </w:rPr>
        <w:t xml:space="preserve"> herzchirurgischen PatientInnen. </w:t>
      </w:r>
      <w:r w:rsidR="00083CD2" w:rsidRPr="00B6585E">
        <w:rPr>
          <w:rFonts w:ascii="Arial" w:hAnsi="Arial" w:cs="Arial"/>
          <w:color w:val="000000" w:themeColor="text1"/>
          <w:sz w:val="22"/>
          <w:szCs w:val="22"/>
          <w:lang w:val="de-AT"/>
        </w:rPr>
        <w:t>Bis dato</w:t>
      </w:r>
      <w:r w:rsidR="00DD118F" w:rsidRPr="00B6585E">
        <w:rPr>
          <w:rFonts w:ascii="Arial" w:hAnsi="Arial" w:cs="Arial"/>
          <w:color w:val="000000" w:themeColor="text1"/>
          <w:sz w:val="22"/>
          <w:szCs w:val="22"/>
          <w:lang w:val="de-AT"/>
        </w:rPr>
        <w:t xml:space="preserve"> </w:t>
      </w:r>
      <w:r w:rsidR="00083CD2" w:rsidRPr="00B6585E">
        <w:rPr>
          <w:rFonts w:ascii="Arial" w:hAnsi="Arial" w:cs="Arial"/>
          <w:color w:val="000000" w:themeColor="text1"/>
          <w:sz w:val="22"/>
          <w:szCs w:val="22"/>
          <w:lang w:val="de-AT"/>
        </w:rPr>
        <w:t xml:space="preserve">fehlen Daten über die Wirkung von Levosimendan bei </w:t>
      </w:r>
      <w:r w:rsidR="00475245" w:rsidRPr="00B6585E">
        <w:rPr>
          <w:rFonts w:ascii="Arial" w:hAnsi="Arial" w:cs="Arial"/>
          <w:color w:val="000000" w:themeColor="text1"/>
          <w:sz w:val="22"/>
          <w:szCs w:val="22"/>
          <w:lang w:val="de-AT"/>
        </w:rPr>
        <w:t>allgem</w:t>
      </w:r>
      <w:r w:rsidR="00F741CD" w:rsidRPr="00B6585E">
        <w:rPr>
          <w:rFonts w:ascii="Arial" w:hAnsi="Arial" w:cs="Arial"/>
          <w:color w:val="000000" w:themeColor="text1"/>
          <w:sz w:val="22"/>
          <w:szCs w:val="22"/>
          <w:lang w:val="de-AT"/>
        </w:rPr>
        <w:t>ei</w:t>
      </w:r>
      <w:r w:rsidR="00475245" w:rsidRPr="00B6585E">
        <w:rPr>
          <w:rFonts w:ascii="Arial" w:hAnsi="Arial" w:cs="Arial"/>
          <w:color w:val="000000" w:themeColor="text1"/>
          <w:sz w:val="22"/>
          <w:szCs w:val="22"/>
          <w:lang w:val="de-AT"/>
        </w:rPr>
        <w:t>nchirurgische PatientInnen</w:t>
      </w:r>
      <w:r w:rsidRPr="00B6585E">
        <w:rPr>
          <w:rFonts w:ascii="Arial" w:hAnsi="Arial" w:cs="Arial"/>
          <w:color w:val="000000" w:themeColor="text1"/>
          <w:sz w:val="22"/>
          <w:szCs w:val="22"/>
          <w:lang w:val="de-AT"/>
        </w:rPr>
        <w:t xml:space="preserve">. </w:t>
      </w:r>
    </w:p>
    <w:p w14:paraId="553EDC83" w14:textId="433A1DB8" w:rsidR="002C64CD" w:rsidRPr="00B6585E" w:rsidRDefault="00A221DB">
      <w:pPr>
        <w:spacing w:after="120"/>
        <w:ind w:right="-7"/>
        <w:jc w:val="both"/>
        <w:rPr>
          <w:rFonts w:ascii="Arial" w:hAnsi="Arial" w:cs="Arial"/>
          <w:color w:val="000000" w:themeColor="text1"/>
          <w:sz w:val="22"/>
          <w:szCs w:val="22"/>
          <w:lang w:val="de-AT"/>
        </w:rPr>
      </w:pPr>
      <w:r w:rsidRPr="00B6585E">
        <w:rPr>
          <w:rFonts w:ascii="Arial" w:hAnsi="Arial" w:cs="Arial"/>
          <w:color w:val="000000" w:themeColor="text1"/>
          <w:sz w:val="22"/>
          <w:szCs w:val="22"/>
          <w:lang w:val="de-AT"/>
        </w:rPr>
        <w:t xml:space="preserve">Unsere primäre Hypothese </w:t>
      </w:r>
      <w:r w:rsidR="00475245" w:rsidRPr="00B6585E">
        <w:rPr>
          <w:rFonts w:ascii="Arial" w:hAnsi="Arial" w:cs="Arial"/>
          <w:color w:val="000000" w:themeColor="text1"/>
          <w:sz w:val="22"/>
          <w:szCs w:val="22"/>
          <w:lang w:val="de-AT"/>
        </w:rPr>
        <w:t>postuliert</w:t>
      </w:r>
      <w:r w:rsidRPr="00B6585E">
        <w:rPr>
          <w:rFonts w:ascii="Arial" w:hAnsi="Arial" w:cs="Arial"/>
          <w:color w:val="000000" w:themeColor="text1"/>
          <w:sz w:val="22"/>
          <w:szCs w:val="22"/>
          <w:lang w:val="de-AT"/>
        </w:rPr>
        <w:t>, dass eine präemptive Gabe von Levosimendan zu einer signifikanten Reduktion der postoperativen NT-proBNP und Troponin T Konzentration</w:t>
      </w:r>
      <w:r w:rsidR="00475245" w:rsidRPr="00B6585E">
        <w:rPr>
          <w:rFonts w:ascii="Arial" w:hAnsi="Arial" w:cs="Arial"/>
          <w:color w:val="000000" w:themeColor="text1"/>
          <w:sz w:val="22"/>
          <w:szCs w:val="22"/>
          <w:lang w:val="de-AT"/>
        </w:rPr>
        <w:t>en</w:t>
      </w:r>
      <w:r w:rsidRPr="00B6585E">
        <w:rPr>
          <w:rFonts w:ascii="Arial" w:hAnsi="Arial" w:cs="Arial"/>
          <w:color w:val="000000" w:themeColor="text1"/>
          <w:sz w:val="22"/>
          <w:szCs w:val="22"/>
          <w:lang w:val="de-AT"/>
        </w:rPr>
        <w:t xml:space="preserve"> führt. Diese Studie wird an PatientInnen</w:t>
      </w:r>
      <w:r w:rsidR="00475245" w:rsidRPr="00B6585E">
        <w:rPr>
          <w:rFonts w:ascii="Arial" w:hAnsi="Arial" w:cs="Arial"/>
          <w:color w:val="000000" w:themeColor="text1"/>
          <w:sz w:val="22"/>
          <w:szCs w:val="22"/>
          <w:lang w:val="de-AT"/>
        </w:rPr>
        <w:t xml:space="preserve"> durchgeführt</w:t>
      </w:r>
      <w:r w:rsidRPr="00B6585E">
        <w:rPr>
          <w:rFonts w:ascii="Arial" w:hAnsi="Arial" w:cs="Arial"/>
          <w:color w:val="000000" w:themeColor="text1"/>
          <w:sz w:val="22"/>
          <w:szCs w:val="22"/>
          <w:lang w:val="de-AT"/>
        </w:rPr>
        <w:t xml:space="preserve">, welche bereits präoperativ vorbestehende kardiovaskuläre Risiken aufweisen und eine mittlere- bis hochriskante nicht-herzchirurgische Operation erhalten. Unsere sekundäre Hypothese </w:t>
      </w:r>
      <w:r w:rsidR="00475245" w:rsidRPr="00B6585E">
        <w:rPr>
          <w:rFonts w:ascii="Arial" w:hAnsi="Arial" w:cs="Arial"/>
          <w:color w:val="000000" w:themeColor="text1"/>
          <w:sz w:val="22"/>
          <w:szCs w:val="22"/>
          <w:lang w:val="de-AT"/>
        </w:rPr>
        <w:t xml:space="preserve">postuliert </w:t>
      </w:r>
      <w:r w:rsidR="00DD118F" w:rsidRPr="00B6585E">
        <w:rPr>
          <w:rFonts w:ascii="Arial" w:hAnsi="Arial" w:cs="Arial"/>
          <w:color w:val="000000" w:themeColor="text1"/>
          <w:sz w:val="22"/>
          <w:szCs w:val="22"/>
          <w:lang w:val="de-AT"/>
        </w:rPr>
        <w:t>eine</w:t>
      </w:r>
      <w:r w:rsidRPr="00B6585E">
        <w:rPr>
          <w:rFonts w:ascii="Arial" w:hAnsi="Arial" w:cs="Arial"/>
          <w:color w:val="000000" w:themeColor="text1"/>
          <w:sz w:val="22"/>
          <w:szCs w:val="22"/>
          <w:lang w:val="de-AT"/>
        </w:rPr>
        <w:t xml:space="preserve"> Reduktion</w:t>
      </w:r>
      <w:r w:rsidR="00DD118F" w:rsidRPr="00B6585E">
        <w:rPr>
          <w:rFonts w:ascii="Arial" w:hAnsi="Arial" w:cs="Arial"/>
          <w:color w:val="000000" w:themeColor="text1"/>
          <w:sz w:val="22"/>
          <w:szCs w:val="22"/>
          <w:lang w:val="de-AT"/>
        </w:rPr>
        <w:t xml:space="preserve"> des postoperativen maximalen Troponin T Anstieges, eine Reduktion</w:t>
      </w:r>
      <w:r w:rsidRPr="00B6585E">
        <w:rPr>
          <w:rFonts w:ascii="Arial" w:hAnsi="Arial" w:cs="Arial"/>
          <w:color w:val="000000" w:themeColor="text1"/>
          <w:sz w:val="22"/>
          <w:szCs w:val="22"/>
          <w:lang w:val="de-AT"/>
        </w:rPr>
        <w:t xml:space="preserve"> der Inzidenzen von MINS, Herzinfarkt und Tod bei PatientInnen</w:t>
      </w:r>
      <w:r w:rsidR="00DD118F" w:rsidRPr="00B6585E">
        <w:rPr>
          <w:rFonts w:ascii="Arial" w:hAnsi="Arial" w:cs="Arial"/>
          <w:color w:val="000000" w:themeColor="text1"/>
          <w:sz w:val="22"/>
          <w:szCs w:val="22"/>
          <w:lang w:val="de-AT"/>
        </w:rPr>
        <w:t xml:space="preserve"> innerhalb von 30 Tagen und 1 Jahr, durch die Gabe von Levosimendan.</w:t>
      </w:r>
    </w:p>
    <w:p w14:paraId="27A53E45" w14:textId="35ED6417" w:rsidR="00931A60" w:rsidRPr="00B6585E" w:rsidRDefault="00A221DB">
      <w:pPr>
        <w:spacing w:after="120"/>
        <w:ind w:right="-7"/>
        <w:jc w:val="both"/>
        <w:rPr>
          <w:rFonts w:ascii="Arial" w:hAnsi="Arial" w:cs="Arial"/>
          <w:color w:val="000000" w:themeColor="text1"/>
          <w:sz w:val="22"/>
          <w:szCs w:val="22"/>
          <w:lang w:val="de-AT"/>
        </w:rPr>
      </w:pPr>
      <w:r w:rsidRPr="00B6585E">
        <w:rPr>
          <w:rFonts w:ascii="Arial" w:hAnsi="Arial" w:cs="Arial"/>
          <w:i/>
          <w:iCs/>
          <w:color w:val="000000" w:themeColor="text1"/>
          <w:sz w:val="22"/>
          <w:szCs w:val="22"/>
          <w:lang w:val="de-AT"/>
        </w:rPr>
        <w:t xml:space="preserve">Methode: </w:t>
      </w:r>
      <w:r w:rsidRPr="00B6585E">
        <w:rPr>
          <w:rFonts w:ascii="Arial" w:hAnsi="Arial" w:cs="Arial"/>
          <w:color w:val="000000" w:themeColor="text1"/>
          <w:sz w:val="22"/>
          <w:szCs w:val="22"/>
          <w:lang w:val="de-AT"/>
        </w:rPr>
        <w:t>In diese prospektiv</w:t>
      </w:r>
      <w:r w:rsidR="00475245" w:rsidRPr="00B6585E">
        <w:rPr>
          <w:rFonts w:ascii="Arial" w:hAnsi="Arial" w:cs="Arial"/>
          <w:color w:val="000000" w:themeColor="text1"/>
          <w:sz w:val="22"/>
          <w:szCs w:val="22"/>
          <w:lang w:val="de-AT"/>
        </w:rPr>
        <w:t>-</w:t>
      </w:r>
      <w:r w:rsidRPr="00B6585E">
        <w:rPr>
          <w:rFonts w:ascii="Arial" w:hAnsi="Arial" w:cs="Arial"/>
          <w:color w:val="000000" w:themeColor="text1"/>
          <w:sz w:val="22"/>
          <w:szCs w:val="22"/>
          <w:lang w:val="de-AT"/>
        </w:rPr>
        <w:t>randomisierte Studie werden 2</w:t>
      </w:r>
      <w:r w:rsidR="00F6182A" w:rsidRPr="00B6585E">
        <w:rPr>
          <w:rFonts w:ascii="Arial" w:hAnsi="Arial" w:cs="Arial"/>
          <w:color w:val="000000" w:themeColor="text1"/>
          <w:sz w:val="22"/>
          <w:szCs w:val="22"/>
          <w:lang w:val="de-AT"/>
        </w:rPr>
        <w:t>30</w:t>
      </w:r>
      <w:r w:rsidRPr="00B6585E">
        <w:rPr>
          <w:rFonts w:ascii="Arial" w:hAnsi="Arial" w:cs="Arial"/>
          <w:color w:val="000000" w:themeColor="text1"/>
          <w:sz w:val="22"/>
          <w:szCs w:val="22"/>
          <w:lang w:val="de-AT"/>
        </w:rPr>
        <w:t xml:space="preserve"> PatientInnen mit erhöhten kardiovaskulären Risikofaktoren für nicht-herzchirurgischen Eingriff</w:t>
      </w:r>
      <w:r w:rsidR="0072526A" w:rsidRPr="00B6585E">
        <w:rPr>
          <w:rFonts w:ascii="Arial" w:hAnsi="Arial" w:cs="Arial"/>
          <w:color w:val="000000" w:themeColor="text1"/>
          <w:sz w:val="22"/>
          <w:szCs w:val="22"/>
          <w:lang w:val="de-AT"/>
        </w:rPr>
        <w:t>e mit mittlere</w:t>
      </w:r>
      <w:r w:rsidR="00525213" w:rsidRPr="00B6585E">
        <w:rPr>
          <w:rFonts w:ascii="Arial" w:hAnsi="Arial" w:cs="Arial"/>
          <w:color w:val="000000" w:themeColor="text1"/>
          <w:sz w:val="22"/>
          <w:szCs w:val="22"/>
          <w:lang w:val="de-AT"/>
        </w:rPr>
        <w:t>m</w:t>
      </w:r>
      <w:r w:rsidR="0072526A" w:rsidRPr="00B6585E">
        <w:rPr>
          <w:rFonts w:ascii="Arial" w:hAnsi="Arial" w:cs="Arial"/>
          <w:color w:val="000000" w:themeColor="text1"/>
          <w:sz w:val="22"/>
          <w:szCs w:val="22"/>
          <w:lang w:val="de-AT"/>
        </w:rPr>
        <w:t>- bis hohe</w:t>
      </w:r>
      <w:r w:rsidR="00525213" w:rsidRPr="00B6585E">
        <w:rPr>
          <w:rFonts w:ascii="Arial" w:hAnsi="Arial" w:cs="Arial"/>
          <w:color w:val="000000" w:themeColor="text1"/>
          <w:sz w:val="22"/>
          <w:szCs w:val="22"/>
          <w:lang w:val="de-AT"/>
        </w:rPr>
        <w:t>m</w:t>
      </w:r>
      <w:r w:rsidRPr="00B6585E">
        <w:rPr>
          <w:rFonts w:ascii="Arial" w:hAnsi="Arial" w:cs="Arial"/>
          <w:color w:val="000000" w:themeColor="text1"/>
          <w:sz w:val="22"/>
          <w:szCs w:val="22"/>
          <w:lang w:val="de-AT"/>
        </w:rPr>
        <w:t xml:space="preserve"> </w:t>
      </w:r>
      <w:r w:rsidR="00525213" w:rsidRPr="00B6585E">
        <w:rPr>
          <w:rFonts w:ascii="Arial" w:hAnsi="Arial" w:cs="Arial"/>
          <w:color w:val="000000" w:themeColor="text1"/>
          <w:sz w:val="22"/>
          <w:szCs w:val="22"/>
          <w:lang w:val="de-AT"/>
        </w:rPr>
        <w:t xml:space="preserve">Risiko für </w:t>
      </w:r>
      <w:r w:rsidR="005C68EA" w:rsidRPr="00B6585E">
        <w:rPr>
          <w:rFonts w:ascii="Arial" w:hAnsi="Arial" w:cs="Arial"/>
          <w:color w:val="000000" w:themeColor="text1"/>
          <w:sz w:val="22"/>
          <w:szCs w:val="22"/>
          <w:lang w:val="de-AT"/>
        </w:rPr>
        <w:t xml:space="preserve">postoperative </w:t>
      </w:r>
      <w:r w:rsidR="00525213" w:rsidRPr="00B6585E">
        <w:rPr>
          <w:rFonts w:ascii="Arial" w:hAnsi="Arial" w:cs="Arial"/>
          <w:color w:val="000000" w:themeColor="text1"/>
          <w:sz w:val="22"/>
          <w:szCs w:val="22"/>
          <w:lang w:val="de-AT"/>
        </w:rPr>
        <w:t xml:space="preserve">kardiale Komplikationen </w:t>
      </w:r>
      <w:r w:rsidRPr="00B6585E">
        <w:rPr>
          <w:rFonts w:ascii="Arial" w:hAnsi="Arial" w:cs="Arial"/>
          <w:color w:val="000000" w:themeColor="text1"/>
          <w:sz w:val="22"/>
          <w:szCs w:val="22"/>
          <w:lang w:val="de-AT"/>
        </w:rPr>
        <w:t>eingeschlossen. PatientInnen in der Levosimendan Gruppe erhalten eine Einmalinfusion von 12.5mg Levosimendan und PatientInnen in der Placebo Gruppe erhalten eine Infusion mit Placebo</w:t>
      </w:r>
      <w:r w:rsidR="00DD118F" w:rsidRPr="00B6585E">
        <w:rPr>
          <w:rFonts w:ascii="Arial" w:hAnsi="Arial" w:cs="Arial"/>
          <w:color w:val="000000" w:themeColor="text1"/>
          <w:sz w:val="22"/>
          <w:szCs w:val="22"/>
          <w:lang w:val="de-AT"/>
        </w:rPr>
        <w:t xml:space="preserve">. </w:t>
      </w:r>
      <w:r w:rsidRPr="00B6585E">
        <w:rPr>
          <w:rFonts w:ascii="Arial" w:hAnsi="Arial" w:cs="Arial"/>
          <w:color w:val="000000" w:themeColor="text1"/>
          <w:sz w:val="22"/>
          <w:szCs w:val="22"/>
          <w:lang w:val="de-AT"/>
        </w:rPr>
        <w:t xml:space="preserve">Die Studienmedikation wird nach Einleitung der Allgemeinanästhesie begonnen und mit einer Rate von 0.2µ/kg/min über einen Zeitraum von </w:t>
      </w:r>
      <w:r w:rsidR="006B4CE5" w:rsidRPr="00B6585E">
        <w:rPr>
          <w:rFonts w:ascii="Arial" w:hAnsi="Arial" w:cs="Arial"/>
          <w:color w:val="000000" w:themeColor="text1"/>
          <w:sz w:val="22"/>
          <w:szCs w:val="22"/>
          <w:lang w:val="de-AT"/>
        </w:rPr>
        <w:t>ungefähr</w:t>
      </w:r>
      <w:r w:rsidRPr="00B6585E">
        <w:rPr>
          <w:rFonts w:ascii="Arial" w:hAnsi="Arial" w:cs="Arial"/>
          <w:color w:val="000000" w:themeColor="text1"/>
          <w:sz w:val="22"/>
          <w:szCs w:val="22"/>
          <w:lang w:val="de-AT"/>
        </w:rPr>
        <w:t xml:space="preserve"> 24 Stunden verabreicht</w:t>
      </w:r>
      <w:r w:rsidR="006B4CE5" w:rsidRPr="00B6585E">
        <w:rPr>
          <w:rFonts w:ascii="Arial" w:hAnsi="Arial" w:cs="Arial"/>
          <w:color w:val="000000" w:themeColor="text1"/>
          <w:sz w:val="22"/>
          <w:szCs w:val="22"/>
          <w:lang w:val="de-AT"/>
        </w:rPr>
        <w:t>.</w:t>
      </w:r>
    </w:p>
    <w:p w14:paraId="4273F428" w14:textId="6FCB6B0F" w:rsidR="00931A60" w:rsidRPr="00B6585E" w:rsidRDefault="00871661">
      <w:pPr>
        <w:spacing w:after="120"/>
        <w:ind w:right="-7"/>
        <w:jc w:val="both"/>
        <w:rPr>
          <w:color w:val="000000" w:themeColor="text1"/>
          <w:lang w:val="de-AT"/>
        </w:rPr>
      </w:pPr>
      <w:r w:rsidRPr="00B6585E">
        <w:rPr>
          <w:rFonts w:ascii="Arial" w:hAnsi="Arial" w:cs="Arial"/>
          <w:color w:val="000000" w:themeColor="text1"/>
          <w:sz w:val="22"/>
          <w:szCs w:val="22"/>
          <w:lang w:val="de-AT"/>
        </w:rPr>
        <w:t xml:space="preserve">Als primäres Outcome </w:t>
      </w:r>
      <w:r w:rsidR="00DD118F" w:rsidRPr="00B6585E">
        <w:rPr>
          <w:rFonts w:ascii="Arial" w:hAnsi="Arial" w:cs="Arial"/>
          <w:color w:val="000000" w:themeColor="text1"/>
          <w:sz w:val="22"/>
          <w:szCs w:val="22"/>
          <w:lang w:val="de-AT"/>
        </w:rPr>
        <w:t xml:space="preserve">wurde </w:t>
      </w:r>
      <w:r w:rsidRPr="00B6585E">
        <w:rPr>
          <w:rFonts w:ascii="Arial" w:hAnsi="Arial" w:cs="Arial"/>
          <w:color w:val="000000" w:themeColor="text1"/>
          <w:sz w:val="22"/>
          <w:szCs w:val="22"/>
          <w:lang w:val="de-AT"/>
        </w:rPr>
        <w:t xml:space="preserve">eine 37%ige Reduktion des maximalen postoperativen NT-proBNP Anstieges festgelegt. </w:t>
      </w:r>
      <w:r w:rsidR="00A221DB" w:rsidRPr="00B6585E">
        <w:rPr>
          <w:rFonts w:ascii="Arial" w:hAnsi="Arial" w:cs="Arial"/>
          <w:color w:val="000000" w:themeColor="text1"/>
          <w:sz w:val="22"/>
          <w:szCs w:val="22"/>
          <w:lang w:val="de-AT"/>
        </w:rPr>
        <w:t>Die Messung der primären Outcomeparameter erfolgt innerhalb von 2 Stunden nach Ende der Operation und jeweils am 1., 2. und 3. postoperativen Tag. Als sekundäre Outcomeparameter wurden</w:t>
      </w:r>
      <w:r w:rsidR="00DD118F" w:rsidRPr="00B6585E">
        <w:rPr>
          <w:rFonts w:ascii="Arial" w:hAnsi="Arial" w:cs="Arial"/>
          <w:color w:val="000000" w:themeColor="text1"/>
          <w:sz w:val="22"/>
          <w:szCs w:val="22"/>
          <w:lang w:val="de-AT"/>
        </w:rPr>
        <w:t xml:space="preserve"> der postoperative TnT Anstieg,</w:t>
      </w:r>
      <w:r w:rsidR="00A221DB" w:rsidRPr="00B6585E">
        <w:rPr>
          <w:rFonts w:ascii="Arial" w:hAnsi="Arial" w:cs="Arial"/>
          <w:color w:val="000000" w:themeColor="text1"/>
          <w:sz w:val="22"/>
          <w:szCs w:val="22"/>
          <w:lang w:val="de-AT"/>
        </w:rPr>
        <w:t xml:space="preserve"> die Inzidenzen von MINS, Myokardinfarkt und Tod </w:t>
      </w:r>
      <w:r w:rsidR="00DD118F" w:rsidRPr="00B6585E">
        <w:rPr>
          <w:rFonts w:ascii="Arial" w:hAnsi="Arial" w:cs="Arial"/>
          <w:color w:val="000000" w:themeColor="text1"/>
          <w:sz w:val="22"/>
          <w:szCs w:val="22"/>
          <w:lang w:val="de-AT"/>
        </w:rPr>
        <w:t>innerhalb von 30 Tagen und 1 Jahr</w:t>
      </w:r>
      <w:r w:rsidR="00B36C77" w:rsidRPr="00B6585E">
        <w:rPr>
          <w:rFonts w:ascii="Arial" w:hAnsi="Arial" w:cs="Arial"/>
          <w:color w:val="000000" w:themeColor="text1"/>
          <w:sz w:val="22"/>
          <w:szCs w:val="22"/>
          <w:lang w:val="de-AT"/>
        </w:rPr>
        <w:t xml:space="preserve"> nach der Operation</w:t>
      </w:r>
      <w:r w:rsidR="007B5039" w:rsidRPr="00B6585E">
        <w:rPr>
          <w:rFonts w:ascii="Arial" w:hAnsi="Arial" w:cs="Arial"/>
          <w:color w:val="000000" w:themeColor="text1"/>
          <w:sz w:val="22"/>
          <w:szCs w:val="22"/>
          <w:lang w:val="de-AT"/>
        </w:rPr>
        <w:t xml:space="preserve"> festgelegt</w:t>
      </w:r>
      <w:r w:rsidR="00DD118F" w:rsidRPr="00B6585E">
        <w:rPr>
          <w:rFonts w:ascii="Arial" w:hAnsi="Arial" w:cs="Arial"/>
          <w:color w:val="000000" w:themeColor="text1"/>
          <w:sz w:val="22"/>
          <w:szCs w:val="22"/>
          <w:lang w:val="de-AT"/>
        </w:rPr>
        <w:t xml:space="preserve">. </w:t>
      </w:r>
    </w:p>
    <w:p w14:paraId="756A7241" w14:textId="68A43A54" w:rsidR="00931A60" w:rsidRPr="00B6585E" w:rsidRDefault="00A221DB">
      <w:pPr>
        <w:spacing w:after="120"/>
        <w:ind w:right="-7"/>
        <w:jc w:val="both"/>
        <w:rPr>
          <w:rFonts w:ascii="Arial" w:hAnsi="Arial" w:cs="Arial"/>
          <w:color w:val="000000" w:themeColor="text1"/>
          <w:sz w:val="22"/>
          <w:szCs w:val="22"/>
          <w:lang w:val="de-AT"/>
        </w:rPr>
      </w:pPr>
      <w:r w:rsidRPr="00B6585E">
        <w:rPr>
          <w:rFonts w:ascii="Arial" w:hAnsi="Arial" w:cs="Arial"/>
          <w:i/>
          <w:iCs/>
          <w:color w:val="000000" w:themeColor="text1"/>
          <w:sz w:val="22"/>
          <w:szCs w:val="22"/>
          <w:lang w:val="de-AT"/>
        </w:rPr>
        <w:t>Neuheit:</w:t>
      </w:r>
      <w:r w:rsidRPr="00B6585E">
        <w:rPr>
          <w:rFonts w:ascii="Arial" w:hAnsi="Arial" w:cs="Arial"/>
          <w:color w:val="000000" w:themeColor="text1"/>
          <w:sz w:val="22"/>
          <w:szCs w:val="22"/>
          <w:lang w:val="de-AT"/>
        </w:rPr>
        <w:t xml:space="preserve"> Bisherige Studien</w:t>
      </w:r>
      <w:r w:rsidR="000C4A8E" w:rsidRPr="00B6585E">
        <w:rPr>
          <w:rFonts w:ascii="Arial" w:hAnsi="Arial" w:cs="Arial"/>
          <w:color w:val="000000" w:themeColor="text1"/>
          <w:sz w:val="22"/>
          <w:szCs w:val="22"/>
          <w:lang w:val="de-AT"/>
        </w:rPr>
        <w:t>ergebnisse liegen</w:t>
      </w:r>
      <w:r w:rsidRPr="00B6585E">
        <w:rPr>
          <w:rFonts w:ascii="Arial" w:hAnsi="Arial" w:cs="Arial"/>
          <w:color w:val="000000" w:themeColor="text1"/>
          <w:sz w:val="22"/>
          <w:szCs w:val="22"/>
          <w:lang w:val="de-AT"/>
        </w:rPr>
        <w:t xml:space="preserve"> </w:t>
      </w:r>
      <w:r w:rsidR="007B5039" w:rsidRPr="00B6585E">
        <w:rPr>
          <w:rFonts w:ascii="Arial" w:hAnsi="Arial" w:cs="Arial"/>
          <w:color w:val="000000" w:themeColor="text1"/>
          <w:sz w:val="22"/>
          <w:szCs w:val="22"/>
          <w:lang w:val="de-AT"/>
        </w:rPr>
        <w:t>für</w:t>
      </w:r>
      <w:r w:rsidRPr="00B6585E">
        <w:rPr>
          <w:rFonts w:ascii="Arial" w:hAnsi="Arial" w:cs="Arial"/>
          <w:color w:val="000000" w:themeColor="text1"/>
          <w:sz w:val="22"/>
          <w:szCs w:val="22"/>
          <w:lang w:val="de-AT"/>
        </w:rPr>
        <w:t xml:space="preserve"> </w:t>
      </w:r>
      <w:r w:rsidR="000C4A8E" w:rsidRPr="00B6585E">
        <w:rPr>
          <w:rFonts w:ascii="Arial" w:hAnsi="Arial" w:cs="Arial"/>
          <w:color w:val="000000" w:themeColor="text1"/>
          <w:sz w:val="22"/>
          <w:szCs w:val="22"/>
          <w:lang w:val="de-AT"/>
        </w:rPr>
        <w:t xml:space="preserve">herzchirurgische </w:t>
      </w:r>
      <w:r w:rsidRPr="00B6585E">
        <w:rPr>
          <w:rFonts w:ascii="Arial" w:hAnsi="Arial" w:cs="Arial"/>
          <w:color w:val="000000" w:themeColor="text1"/>
          <w:sz w:val="22"/>
          <w:szCs w:val="22"/>
          <w:lang w:val="de-AT"/>
        </w:rPr>
        <w:t xml:space="preserve">PatientInnen bzw. </w:t>
      </w:r>
      <w:r w:rsidR="000C4A8E" w:rsidRPr="00B6585E">
        <w:rPr>
          <w:rFonts w:ascii="Arial" w:hAnsi="Arial" w:cs="Arial"/>
          <w:color w:val="000000" w:themeColor="text1"/>
          <w:sz w:val="22"/>
          <w:szCs w:val="22"/>
          <w:lang w:val="de-AT"/>
        </w:rPr>
        <w:t xml:space="preserve">bei PatientInnen </w:t>
      </w:r>
      <w:r w:rsidRPr="00B6585E">
        <w:rPr>
          <w:rFonts w:ascii="Arial" w:hAnsi="Arial" w:cs="Arial"/>
          <w:color w:val="000000" w:themeColor="text1"/>
          <w:sz w:val="22"/>
          <w:szCs w:val="22"/>
          <w:lang w:val="de-AT"/>
        </w:rPr>
        <w:t>mit stark eingeschränkter Linksventrikelfunktion</w:t>
      </w:r>
      <w:r w:rsidR="000C4A8E" w:rsidRPr="00B6585E">
        <w:rPr>
          <w:rFonts w:ascii="Arial" w:hAnsi="Arial" w:cs="Arial"/>
          <w:color w:val="000000" w:themeColor="text1"/>
          <w:sz w:val="22"/>
          <w:szCs w:val="22"/>
          <w:lang w:val="de-AT"/>
        </w:rPr>
        <w:t xml:space="preserve"> vor</w:t>
      </w:r>
      <w:r w:rsidRPr="00B6585E">
        <w:rPr>
          <w:rFonts w:ascii="Arial" w:hAnsi="Arial" w:cs="Arial"/>
          <w:color w:val="000000" w:themeColor="text1"/>
          <w:sz w:val="22"/>
          <w:szCs w:val="22"/>
          <w:lang w:val="de-AT"/>
        </w:rPr>
        <w:t xml:space="preserve">. Aktuelle Studien zeigen einen signifikanten Zusammenhang zwischen der postoperativen NT-proBNP </w:t>
      </w:r>
      <w:r w:rsidR="00E6363B" w:rsidRPr="00B6585E">
        <w:rPr>
          <w:rFonts w:ascii="Arial" w:hAnsi="Arial" w:cs="Arial"/>
          <w:color w:val="000000" w:themeColor="text1"/>
          <w:sz w:val="22"/>
          <w:szCs w:val="22"/>
          <w:lang w:val="de-AT"/>
        </w:rPr>
        <w:t>und</w:t>
      </w:r>
      <w:r w:rsidRPr="00B6585E">
        <w:rPr>
          <w:rFonts w:ascii="Arial" w:hAnsi="Arial" w:cs="Arial"/>
          <w:color w:val="000000" w:themeColor="text1"/>
          <w:sz w:val="22"/>
          <w:szCs w:val="22"/>
          <w:lang w:val="de-AT"/>
        </w:rPr>
        <w:t xml:space="preserve"> Troponin T Konzentration und </w:t>
      </w:r>
      <w:r w:rsidR="00DD118F" w:rsidRPr="00B6585E">
        <w:rPr>
          <w:rFonts w:ascii="Arial" w:hAnsi="Arial" w:cs="Arial"/>
          <w:color w:val="000000" w:themeColor="text1"/>
          <w:sz w:val="22"/>
          <w:szCs w:val="22"/>
          <w:lang w:val="de-AT"/>
        </w:rPr>
        <w:t>dem postoperativen</w:t>
      </w:r>
      <w:r w:rsidRPr="00B6585E">
        <w:rPr>
          <w:rFonts w:ascii="Arial" w:hAnsi="Arial" w:cs="Arial"/>
          <w:color w:val="000000" w:themeColor="text1"/>
          <w:sz w:val="22"/>
          <w:szCs w:val="22"/>
          <w:lang w:val="de-AT"/>
        </w:rPr>
        <w:t xml:space="preserve"> Auftreten myokardialer Komplikatione</w:t>
      </w:r>
      <w:r w:rsidR="00DD118F" w:rsidRPr="00B6585E">
        <w:rPr>
          <w:rFonts w:ascii="Arial" w:hAnsi="Arial" w:cs="Arial"/>
          <w:color w:val="000000" w:themeColor="text1"/>
          <w:sz w:val="22"/>
          <w:szCs w:val="22"/>
          <w:lang w:val="de-AT"/>
        </w:rPr>
        <w:t>n</w:t>
      </w:r>
      <w:r w:rsidRPr="00B6585E">
        <w:rPr>
          <w:rFonts w:ascii="Arial" w:hAnsi="Arial" w:cs="Arial"/>
          <w:color w:val="000000" w:themeColor="text1"/>
          <w:sz w:val="22"/>
          <w:szCs w:val="22"/>
          <w:lang w:val="de-AT"/>
        </w:rPr>
        <w:t xml:space="preserve">. Dies spiegelt die ausgeprägte </w:t>
      </w:r>
      <w:r w:rsidR="008F03DD" w:rsidRPr="00B6585E">
        <w:rPr>
          <w:rFonts w:ascii="Arial" w:hAnsi="Arial" w:cs="Arial"/>
          <w:color w:val="000000" w:themeColor="text1"/>
          <w:sz w:val="22"/>
          <w:szCs w:val="22"/>
          <w:lang w:val="de-AT"/>
        </w:rPr>
        <w:t>perioperative</w:t>
      </w:r>
      <w:r w:rsidRPr="00B6585E">
        <w:rPr>
          <w:rFonts w:ascii="Arial" w:hAnsi="Arial" w:cs="Arial"/>
          <w:color w:val="000000" w:themeColor="text1"/>
          <w:sz w:val="22"/>
          <w:szCs w:val="22"/>
          <w:lang w:val="de-AT"/>
        </w:rPr>
        <w:t xml:space="preserve"> Belastung </w:t>
      </w:r>
      <w:r w:rsidR="00E6363B" w:rsidRPr="00B6585E">
        <w:rPr>
          <w:rFonts w:ascii="Arial" w:hAnsi="Arial" w:cs="Arial"/>
          <w:color w:val="000000" w:themeColor="text1"/>
          <w:sz w:val="22"/>
          <w:szCs w:val="22"/>
          <w:lang w:val="de-AT"/>
        </w:rPr>
        <w:t xml:space="preserve">durch verschiedene Faktoren </w:t>
      </w:r>
      <w:r w:rsidRPr="00B6585E">
        <w:rPr>
          <w:rFonts w:ascii="Arial" w:hAnsi="Arial" w:cs="Arial"/>
          <w:color w:val="000000" w:themeColor="text1"/>
          <w:sz w:val="22"/>
          <w:szCs w:val="22"/>
          <w:lang w:val="de-AT"/>
        </w:rPr>
        <w:t>auf de</w:t>
      </w:r>
      <w:r w:rsidR="00DD118F" w:rsidRPr="00B6585E">
        <w:rPr>
          <w:rFonts w:ascii="Arial" w:hAnsi="Arial" w:cs="Arial"/>
          <w:color w:val="000000" w:themeColor="text1"/>
          <w:sz w:val="22"/>
          <w:szCs w:val="22"/>
          <w:lang w:val="de-AT"/>
        </w:rPr>
        <w:t>n</w:t>
      </w:r>
      <w:r w:rsidRPr="00B6585E">
        <w:rPr>
          <w:rFonts w:ascii="Arial" w:hAnsi="Arial" w:cs="Arial"/>
          <w:color w:val="000000" w:themeColor="text1"/>
          <w:sz w:val="22"/>
          <w:szCs w:val="22"/>
          <w:lang w:val="de-AT"/>
        </w:rPr>
        <w:t xml:space="preserve"> Herzmuskel wi</w:t>
      </w:r>
      <w:r w:rsidR="008F03DD" w:rsidRPr="00B6585E">
        <w:rPr>
          <w:rFonts w:ascii="Arial" w:hAnsi="Arial" w:cs="Arial"/>
          <w:color w:val="000000" w:themeColor="text1"/>
          <w:sz w:val="22"/>
          <w:szCs w:val="22"/>
          <w:lang w:val="de-AT"/>
        </w:rPr>
        <w:t>e</w:t>
      </w:r>
      <w:r w:rsidRPr="00B6585E">
        <w:rPr>
          <w:rFonts w:ascii="Arial" w:hAnsi="Arial" w:cs="Arial"/>
          <w:color w:val="000000" w:themeColor="text1"/>
          <w:sz w:val="22"/>
          <w:szCs w:val="22"/>
          <w:lang w:val="de-AT"/>
        </w:rPr>
        <w:t>der. Im Rahmen dieser Studie wird Levosimendan intraoperativ verabreicht,</w:t>
      </w:r>
      <w:r w:rsidR="00F741CD" w:rsidRPr="00B6585E">
        <w:rPr>
          <w:rFonts w:ascii="Arial" w:hAnsi="Arial" w:cs="Arial"/>
          <w:color w:val="000000" w:themeColor="text1"/>
          <w:sz w:val="22"/>
          <w:szCs w:val="22"/>
          <w:lang w:val="de-AT"/>
        </w:rPr>
        <w:t xml:space="preserve"> </w:t>
      </w:r>
      <w:r w:rsidRPr="00B6585E">
        <w:rPr>
          <w:rFonts w:ascii="Arial" w:hAnsi="Arial" w:cs="Arial"/>
          <w:color w:val="000000" w:themeColor="text1"/>
          <w:sz w:val="22"/>
          <w:szCs w:val="22"/>
          <w:lang w:val="de-AT"/>
        </w:rPr>
        <w:t>d</w:t>
      </w:r>
      <w:r w:rsidR="00E6363B" w:rsidRPr="00B6585E">
        <w:rPr>
          <w:rFonts w:ascii="Arial" w:hAnsi="Arial" w:cs="Arial"/>
          <w:color w:val="000000" w:themeColor="text1"/>
          <w:sz w:val="22"/>
          <w:szCs w:val="22"/>
          <w:lang w:val="de-AT"/>
        </w:rPr>
        <w:t>.</w:t>
      </w:r>
      <w:r w:rsidRPr="00B6585E">
        <w:rPr>
          <w:rFonts w:ascii="Arial" w:hAnsi="Arial" w:cs="Arial"/>
          <w:color w:val="000000" w:themeColor="text1"/>
          <w:sz w:val="22"/>
          <w:szCs w:val="22"/>
          <w:lang w:val="de-AT"/>
        </w:rPr>
        <w:t>h zu einem Zeitpunkt an de</w:t>
      </w:r>
      <w:r w:rsidR="00E6363B" w:rsidRPr="00B6585E">
        <w:rPr>
          <w:rFonts w:ascii="Arial" w:hAnsi="Arial" w:cs="Arial"/>
          <w:color w:val="000000" w:themeColor="text1"/>
          <w:sz w:val="22"/>
          <w:szCs w:val="22"/>
          <w:lang w:val="de-AT"/>
        </w:rPr>
        <w:t>m</w:t>
      </w:r>
      <w:r w:rsidRPr="00B6585E">
        <w:rPr>
          <w:rFonts w:ascii="Arial" w:hAnsi="Arial" w:cs="Arial"/>
          <w:color w:val="000000" w:themeColor="text1"/>
          <w:sz w:val="22"/>
          <w:szCs w:val="22"/>
          <w:lang w:val="de-AT"/>
        </w:rPr>
        <w:t xml:space="preserve"> PatientInnen am engmaschigsten</w:t>
      </w:r>
      <w:r w:rsidR="008F03DD" w:rsidRPr="00B6585E">
        <w:rPr>
          <w:rFonts w:ascii="Arial" w:hAnsi="Arial" w:cs="Arial"/>
          <w:color w:val="000000" w:themeColor="text1"/>
          <w:sz w:val="22"/>
          <w:szCs w:val="22"/>
          <w:lang w:val="de-AT"/>
        </w:rPr>
        <w:t xml:space="preserve"> </w:t>
      </w:r>
      <w:r w:rsidR="00E6363B" w:rsidRPr="00B6585E">
        <w:rPr>
          <w:rFonts w:ascii="Arial" w:hAnsi="Arial" w:cs="Arial"/>
          <w:color w:val="000000" w:themeColor="text1"/>
          <w:sz w:val="22"/>
          <w:szCs w:val="22"/>
          <w:lang w:val="de-AT"/>
        </w:rPr>
        <w:t>hämodynamisch</w:t>
      </w:r>
      <w:r w:rsidRPr="00B6585E">
        <w:rPr>
          <w:rFonts w:ascii="Arial" w:hAnsi="Arial" w:cs="Arial"/>
          <w:color w:val="000000" w:themeColor="text1"/>
          <w:sz w:val="22"/>
          <w:szCs w:val="22"/>
          <w:lang w:val="de-AT"/>
        </w:rPr>
        <w:t xml:space="preserve"> überwacht wer</w:t>
      </w:r>
      <w:r w:rsidR="00E6363B" w:rsidRPr="00B6585E">
        <w:rPr>
          <w:rFonts w:ascii="Arial" w:hAnsi="Arial" w:cs="Arial"/>
          <w:color w:val="000000" w:themeColor="text1"/>
          <w:sz w:val="22"/>
          <w:szCs w:val="22"/>
          <w:lang w:val="de-AT"/>
        </w:rPr>
        <w:t>den</w:t>
      </w:r>
      <w:r w:rsidRPr="00B6585E">
        <w:rPr>
          <w:rFonts w:ascii="Arial" w:hAnsi="Arial" w:cs="Arial"/>
          <w:color w:val="000000" w:themeColor="text1"/>
          <w:sz w:val="22"/>
          <w:szCs w:val="22"/>
          <w:lang w:val="de-AT"/>
        </w:rPr>
        <w:t xml:space="preserve">. Die </w:t>
      </w:r>
      <w:r w:rsidR="00F741CD" w:rsidRPr="00B6585E">
        <w:rPr>
          <w:rFonts w:ascii="Arial" w:hAnsi="Arial" w:cs="Arial"/>
          <w:color w:val="000000" w:themeColor="text1"/>
          <w:sz w:val="22"/>
          <w:szCs w:val="22"/>
          <w:lang w:val="de-AT"/>
        </w:rPr>
        <w:t>Wirkdauer</w:t>
      </w:r>
      <w:r w:rsidRPr="00B6585E">
        <w:rPr>
          <w:rFonts w:ascii="Arial" w:hAnsi="Arial" w:cs="Arial"/>
          <w:color w:val="000000" w:themeColor="text1"/>
          <w:sz w:val="22"/>
          <w:szCs w:val="22"/>
          <w:lang w:val="de-AT"/>
        </w:rPr>
        <w:t xml:space="preserve"> von Levosimendan beträgt ca. 7 Tagen und soll dadurch auch die Herzfunktion, speziell </w:t>
      </w:r>
      <w:r w:rsidR="007B5039" w:rsidRPr="00B6585E">
        <w:rPr>
          <w:rFonts w:ascii="Arial" w:hAnsi="Arial" w:cs="Arial"/>
          <w:color w:val="000000" w:themeColor="text1"/>
          <w:sz w:val="22"/>
          <w:szCs w:val="22"/>
          <w:lang w:val="de-AT"/>
        </w:rPr>
        <w:t xml:space="preserve">in </w:t>
      </w:r>
      <w:r w:rsidRPr="00B6585E">
        <w:rPr>
          <w:rFonts w:ascii="Arial" w:hAnsi="Arial" w:cs="Arial"/>
          <w:color w:val="000000" w:themeColor="text1"/>
          <w:sz w:val="22"/>
          <w:szCs w:val="22"/>
          <w:lang w:val="de-AT"/>
        </w:rPr>
        <w:t xml:space="preserve">der vulnerablen Zeit in den ersten </w:t>
      </w:r>
      <w:r w:rsidR="00F84D9A" w:rsidRPr="00B6585E">
        <w:rPr>
          <w:rFonts w:ascii="Arial" w:hAnsi="Arial" w:cs="Arial"/>
          <w:color w:val="000000" w:themeColor="text1"/>
          <w:sz w:val="22"/>
          <w:szCs w:val="22"/>
          <w:lang w:val="de-AT"/>
        </w:rPr>
        <w:t xml:space="preserve">postoperativen </w:t>
      </w:r>
      <w:r w:rsidRPr="00B6585E">
        <w:rPr>
          <w:rFonts w:ascii="Arial" w:hAnsi="Arial" w:cs="Arial"/>
          <w:color w:val="000000" w:themeColor="text1"/>
          <w:sz w:val="22"/>
          <w:szCs w:val="22"/>
          <w:lang w:val="de-AT"/>
        </w:rPr>
        <w:t xml:space="preserve">Tagen, verbessern. </w:t>
      </w:r>
      <w:r w:rsidR="00691FBD" w:rsidRPr="00B6585E">
        <w:rPr>
          <w:rFonts w:ascii="Arial" w:hAnsi="Arial" w:cs="Arial"/>
          <w:color w:val="000000" w:themeColor="text1"/>
          <w:sz w:val="22"/>
          <w:szCs w:val="22"/>
          <w:lang w:val="de-AT"/>
        </w:rPr>
        <w:t>Daher wollen</w:t>
      </w:r>
      <w:r w:rsidRPr="00B6585E">
        <w:rPr>
          <w:rFonts w:ascii="Arial" w:hAnsi="Arial" w:cs="Arial"/>
          <w:color w:val="000000" w:themeColor="text1"/>
          <w:sz w:val="22"/>
          <w:szCs w:val="22"/>
          <w:lang w:val="de-AT"/>
        </w:rPr>
        <w:t xml:space="preserve"> wir die Effizienz einer präemptiven Gabe von Levosimendan</w:t>
      </w:r>
      <w:r w:rsidR="005029EF" w:rsidRPr="00B6585E">
        <w:rPr>
          <w:rFonts w:ascii="Arial" w:hAnsi="Arial" w:cs="Arial"/>
          <w:color w:val="000000" w:themeColor="text1"/>
          <w:sz w:val="22"/>
          <w:szCs w:val="22"/>
          <w:lang w:val="de-AT"/>
        </w:rPr>
        <w:t xml:space="preserve"> </w:t>
      </w:r>
      <w:r w:rsidR="008C26B3" w:rsidRPr="00B6585E">
        <w:rPr>
          <w:rFonts w:ascii="Arial" w:hAnsi="Arial" w:cs="Arial"/>
          <w:color w:val="000000" w:themeColor="text1"/>
          <w:sz w:val="22"/>
          <w:szCs w:val="22"/>
          <w:lang w:val="de-AT"/>
        </w:rPr>
        <w:t xml:space="preserve">auf die postoperative NT-proBNP und TnT Konzentration </w:t>
      </w:r>
      <w:r w:rsidR="00083CD2" w:rsidRPr="00B6585E">
        <w:rPr>
          <w:rFonts w:ascii="Arial" w:hAnsi="Arial" w:cs="Arial"/>
          <w:color w:val="000000" w:themeColor="text1"/>
          <w:sz w:val="22"/>
          <w:szCs w:val="22"/>
          <w:lang w:val="de-AT"/>
        </w:rPr>
        <w:t>untersuchen</w:t>
      </w:r>
      <w:r w:rsidR="008C26B3" w:rsidRPr="00B6585E">
        <w:rPr>
          <w:rFonts w:ascii="Arial" w:hAnsi="Arial" w:cs="Arial"/>
          <w:color w:val="000000" w:themeColor="text1"/>
          <w:sz w:val="22"/>
          <w:szCs w:val="22"/>
          <w:lang w:val="de-AT"/>
        </w:rPr>
        <w:t>.</w:t>
      </w:r>
      <w:r w:rsidR="002F055B" w:rsidRPr="00B6585E">
        <w:rPr>
          <w:rFonts w:ascii="Arial" w:hAnsi="Arial" w:cs="Arial"/>
          <w:color w:val="000000" w:themeColor="text1"/>
          <w:sz w:val="22"/>
          <w:szCs w:val="22"/>
          <w:lang w:val="de-AT"/>
        </w:rPr>
        <w:t xml:space="preserve"> </w:t>
      </w:r>
      <w:r w:rsidR="008C26B3" w:rsidRPr="00B6585E">
        <w:rPr>
          <w:rFonts w:ascii="Arial" w:hAnsi="Arial" w:cs="Arial"/>
          <w:color w:val="000000" w:themeColor="text1"/>
          <w:sz w:val="22"/>
          <w:szCs w:val="22"/>
          <w:lang w:val="de-AT"/>
        </w:rPr>
        <w:t xml:space="preserve">Erhöhte postoperative NT-proBNP und TnT Konzentrationen sind ein </w:t>
      </w:r>
      <w:r w:rsidRPr="00B6585E">
        <w:rPr>
          <w:rFonts w:ascii="Arial" w:hAnsi="Arial" w:cs="Arial"/>
          <w:color w:val="000000" w:themeColor="text1"/>
          <w:sz w:val="22"/>
          <w:szCs w:val="22"/>
          <w:lang w:val="de-AT"/>
        </w:rPr>
        <w:t xml:space="preserve">Indikator für </w:t>
      </w:r>
      <w:r w:rsidR="008C26B3" w:rsidRPr="00B6585E">
        <w:rPr>
          <w:rFonts w:ascii="Arial" w:hAnsi="Arial" w:cs="Arial"/>
          <w:color w:val="000000" w:themeColor="text1"/>
          <w:sz w:val="22"/>
          <w:szCs w:val="22"/>
          <w:lang w:val="de-AT"/>
        </w:rPr>
        <w:t xml:space="preserve">postoperative </w:t>
      </w:r>
      <w:r w:rsidRPr="00B6585E">
        <w:rPr>
          <w:rFonts w:ascii="Arial" w:hAnsi="Arial" w:cs="Arial"/>
          <w:color w:val="000000" w:themeColor="text1"/>
          <w:sz w:val="22"/>
          <w:szCs w:val="22"/>
          <w:lang w:val="de-AT"/>
        </w:rPr>
        <w:t xml:space="preserve">kardiovaskuläre Komplikationen </w:t>
      </w:r>
      <w:r w:rsidR="008C26B3" w:rsidRPr="00B6585E">
        <w:rPr>
          <w:rFonts w:ascii="Arial" w:hAnsi="Arial" w:cs="Arial"/>
          <w:color w:val="000000" w:themeColor="text1"/>
          <w:sz w:val="22"/>
          <w:szCs w:val="22"/>
          <w:lang w:val="de-AT"/>
        </w:rPr>
        <w:t xml:space="preserve">speziell bei </w:t>
      </w:r>
      <w:r w:rsidRPr="00B6585E">
        <w:rPr>
          <w:rFonts w:ascii="Arial" w:hAnsi="Arial" w:cs="Arial"/>
          <w:color w:val="000000" w:themeColor="text1"/>
          <w:sz w:val="22"/>
          <w:szCs w:val="22"/>
          <w:lang w:val="de-AT"/>
        </w:rPr>
        <w:t xml:space="preserve">PatientInnen mit erhöhten </w:t>
      </w:r>
      <w:r w:rsidR="002F055B" w:rsidRPr="00B6585E">
        <w:rPr>
          <w:rFonts w:ascii="Arial" w:hAnsi="Arial" w:cs="Arial"/>
          <w:color w:val="000000" w:themeColor="text1"/>
          <w:sz w:val="22"/>
          <w:szCs w:val="22"/>
          <w:lang w:val="de-AT"/>
        </w:rPr>
        <w:t xml:space="preserve">kardialen </w:t>
      </w:r>
      <w:r w:rsidRPr="00B6585E">
        <w:rPr>
          <w:rFonts w:ascii="Arial" w:hAnsi="Arial" w:cs="Arial"/>
          <w:color w:val="000000" w:themeColor="text1"/>
          <w:sz w:val="22"/>
          <w:szCs w:val="22"/>
          <w:lang w:val="de-AT"/>
        </w:rPr>
        <w:t xml:space="preserve">Risikofaktoren. </w:t>
      </w:r>
    </w:p>
    <w:p w14:paraId="0FAE0BA5" w14:textId="77777777" w:rsidR="00931A60" w:rsidRPr="00B6585E" w:rsidRDefault="00931A60">
      <w:pPr>
        <w:rPr>
          <w:rFonts w:ascii="Arial" w:hAnsi="Arial" w:cs="Arial"/>
          <w:color w:val="000000" w:themeColor="text1"/>
          <w:sz w:val="22"/>
          <w:szCs w:val="22"/>
          <w:lang w:val="de-AT"/>
        </w:rPr>
      </w:pPr>
    </w:p>
    <w:p w14:paraId="23017F4D" w14:textId="77777777" w:rsidR="00931A60" w:rsidRPr="00B6585E" w:rsidRDefault="00931A60">
      <w:pPr>
        <w:rPr>
          <w:rFonts w:ascii="Arial" w:hAnsi="Arial" w:cs="Arial"/>
          <w:color w:val="000000" w:themeColor="text1"/>
          <w:sz w:val="22"/>
          <w:szCs w:val="22"/>
          <w:lang w:val="de-AT"/>
        </w:rPr>
      </w:pPr>
    </w:p>
    <w:p w14:paraId="0B7D75F5" w14:textId="77777777" w:rsidR="00931A60" w:rsidRPr="00B6585E" w:rsidRDefault="00931A60">
      <w:pPr>
        <w:rPr>
          <w:rFonts w:ascii="Arial" w:hAnsi="Arial" w:cs="Arial"/>
          <w:color w:val="000000" w:themeColor="text1"/>
          <w:sz w:val="22"/>
          <w:szCs w:val="22"/>
          <w:lang w:val="de-AT"/>
        </w:rPr>
      </w:pPr>
    </w:p>
    <w:p w14:paraId="6722E855" w14:textId="77777777" w:rsidR="00931A60" w:rsidRPr="00B6585E" w:rsidRDefault="00931A60">
      <w:pPr>
        <w:rPr>
          <w:rFonts w:ascii="Arial" w:hAnsi="Arial" w:cs="Arial"/>
          <w:color w:val="000000" w:themeColor="text1"/>
          <w:sz w:val="22"/>
          <w:szCs w:val="22"/>
          <w:lang w:val="de-AT"/>
        </w:rPr>
      </w:pPr>
    </w:p>
    <w:p w14:paraId="4137E4CA" w14:textId="77777777" w:rsidR="00931A60" w:rsidRPr="00B6585E" w:rsidRDefault="00A221DB" w:rsidP="00304D11">
      <w:pPr>
        <w:pStyle w:val="Heading1"/>
      </w:pPr>
      <w:bookmarkStart w:id="12" w:name="_Toc9107170"/>
      <w:bookmarkStart w:id="13" w:name="_Toc472863428"/>
      <w:bookmarkStart w:id="14" w:name="_Toc23231297"/>
      <w:bookmarkStart w:id="15" w:name="_Toc96924946"/>
      <w:r w:rsidRPr="00B6585E">
        <w:lastRenderedPageBreak/>
        <w:t>Background</w:t>
      </w:r>
      <w:bookmarkEnd w:id="12"/>
      <w:bookmarkEnd w:id="13"/>
      <w:bookmarkEnd w:id="14"/>
      <w:bookmarkEnd w:id="15"/>
    </w:p>
    <w:p w14:paraId="1850E00B" w14:textId="77777777" w:rsidR="00931A60" w:rsidRPr="00B6585E" w:rsidRDefault="00A221DB">
      <w:pPr>
        <w:pStyle w:val="Heading2"/>
        <w:rPr>
          <w:color w:val="000000" w:themeColor="text1"/>
        </w:rPr>
      </w:pPr>
      <w:bookmarkStart w:id="16" w:name="_Toc9107171"/>
      <w:bookmarkStart w:id="17" w:name="_Toc23231298"/>
      <w:bookmarkStart w:id="18" w:name="_Toc96924947"/>
      <w:r w:rsidRPr="00B6585E">
        <w:rPr>
          <w:color w:val="000000" w:themeColor="text1"/>
        </w:rPr>
        <w:t>Introduction</w:t>
      </w:r>
      <w:bookmarkEnd w:id="16"/>
      <w:bookmarkEnd w:id="17"/>
      <w:bookmarkEnd w:id="18"/>
    </w:p>
    <w:p w14:paraId="71AFC47C" w14:textId="7E62A587" w:rsidR="00931A60" w:rsidRPr="00B6585E" w:rsidRDefault="00A221DB">
      <w:pPr>
        <w:widowControl w:val="0"/>
        <w:spacing w:after="240" w:line="200" w:lineRule="atLeast"/>
        <w:jc w:val="both"/>
        <w:rPr>
          <w:rFonts w:ascii="Arial" w:hAnsi="Arial" w:cs="Arial"/>
          <w:color w:val="000000" w:themeColor="text1"/>
          <w:sz w:val="22"/>
          <w:szCs w:val="22"/>
        </w:rPr>
      </w:pPr>
      <w:r w:rsidRPr="00B6585E">
        <w:rPr>
          <w:rFonts w:ascii="Arial" w:hAnsi="Arial" w:cs="Arial"/>
          <w:color w:val="000000" w:themeColor="text1"/>
          <w:sz w:val="22"/>
          <w:szCs w:val="22"/>
        </w:rPr>
        <w:t>Globally more than 200 million adults undergo major non cardiac surgery (i.e. defined as surgery requiring an overnight hospital stay) annually.</w:t>
      </w:r>
      <w:r w:rsidRPr="00B6585E">
        <w:rPr>
          <w:color w:val="000000" w:themeColor="text1"/>
        </w:rPr>
        <w:fldChar w:fldCharType="begin" w:fldLock="1"/>
      </w:r>
      <w:r w:rsidRPr="00B6585E">
        <w:rPr>
          <w:color w:val="000000" w:themeColor="text1"/>
        </w:rPr>
        <w:instrText>ADDIN CSL_CITATION {"citationItems":[{"id":"ITEM-1","itemData":{"DOI":"10.1016/S0140-6736(08)60878-8","ISSN":"01406736","abstract":"Background: Little is known about the amount and availability of surgical care globally. We estimated the number of major operations undertaken worldwide, described their distribution, and assessed the importance of surgical care in global public-health policy. Methods: We gathered demographic, health, and economic data for 192 member states of WHO. Data for the rate of surgery were sought from several sources including governmental agencies, statistical and epidemiological organisations, published studies, and individuals involved in surgical policy initiatives. We also obtained per-head total expenditure on health from analyses done in 2004. Major surgery was defined as any intervention occurring in a hospital operating theatre involving the incision, excision, manipulation, or suturing of tissue, usually requiring regional or general anaesthesia or sedation. We created a model to estimate rates of major surgery for countries for which such data were unavailable, then used demographic information to calculate the total worldwide volume of surgery. Findings: We obtained surgical data for 56 (29%) of 192 WHO member states. We estimated that 234·2 (95% CI 187·2-281·2) million major surgical procedures are undertaken every year worldwide. Countries spending US$100 or less per head on health care have an estimated mean rate of major surgery of 295 (SE 53) procedures per 100 000 population per year, whereas those spending more than $1000 have a mean rate of 11 110 (SE 1300; p&lt;0·0001). Middle-expenditure ($401-1000) and high-expenditure (&gt;$1000) countries, accounting for 30·2% of the world's population, provided 73·6% (172·3 million) of operations worldwide in 2004, whereas poor-expenditure (≤$100) countries account for 34·8% of the global population yet undertook only 3·5% (8·1 million) of all surgical procedures in 2004. Interpretation: Worldwide volume of surgery is large. In view of the high death and complication rates of major surgical procedures, surgical safety should now be a substantial global public-health concern. The disproportionate scarcity of surgical access in low-income settings suggests a large unaddressed disease burden worldwide. Public-health efforts and surveillance in surgery should be established. Funding: WHO. © 2008 Elsevier Ltd. All rights reserved.","author":[{"dropping-particle":"","family":"Weiser","given":"Thomas G.","non-dropping-particle":"","parse-names":false,"suffix":""},{"dropping-particle":"","family":"Regenbogen","given":"Scott E.","non-dropping-particle":"","parse-names":false,"suffix":""},{"dropping-particle":"","family":"Thompson","given":"Katherine D.","non-dropping-particle":"","parse-names":false,"suffix":""},{"dropping-particle":"","family":"Haynes","given":"Alex B.","non-dropping-particle":"","parse-names":false,"suffix":""},{"dropping-particle":"","family":"Lipsitz","given":"Stuart R.","non-dropping-particle":"","parse-names":false,"suffix":""},{"dropping-particle":"","family":"Berry","given":"William R.","non-dropping-particle":"","parse-names":false,"suffix":""},{"dropping-particle":"","family":"Gawande","given":"Atul A.","non-dropping-particle":"","parse-names":false,"suffix":""}],"container-title":"The Lancet","id":"ITEM-1","issue":"9633","issued":{"date-parts":[["2008"]]},"page":"139-144","title":"An estimation of the global volume of surgery: a modelling strategy based on available data","type":"article-journal","volume":"372"},"uris":["http://www.mendeley.com/documents/?uuid=dc3d0b2a-350d-4e36-a920-7d3948383165"]}],"mendeley":{"formattedCitation":"&lt;sup&gt;1&lt;/sup&gt;","plainTextFormattedCitation":"1","previouslyFormattedCitation":"&lt;sup&gt;1&lt;/sup&gt;"},"properties":{"noteIndex":0},"schema":"https://github.com/citation-style-language/schema/raw/master/csl-citation.json"}</w:instrText>
      </w:r>
      <w:r w:rsidRPr="00B6585E">
        <w:rPr>
          <w:color w:val="000000" w:themeColor="text1"/>
        </w:rPr>
        <w:fldChar w:fldCharType="separate"/>
      </w:r>
      <w:bookmarkStart w:id="19" w:name="__Fieldmark__1531_2706913586"/>
      <w:r w:rsidRPr="00B6585E">
        <w:rPr>
          <w:rFonts w:ascii="Arial" w:hAnsi="Arial" w:cs="Arial"/>
          <w:noProof/>
          <w:color w:val="000000" w:themeColor="text1"/>
          <w:sz w:val="22"/>
          <w:szCs w:val="22"/>
          <w:vertAlign w:val="superscript"/>
        </w:rPr>
        <w:t>1</w:t>
      </w:r>
      <w:bookmarkStart w:id="20" w:name="__Fieldmark__777_3246776249"/>
      <w:r w:rsidRPr="00B6585E">
        <w:rPr>
          <w:color w:val="000000" w:themeColor="text1"/>
        </w:rPr>
        <w:fldChar w:fldCharType="end"/>
      </w:r>
      <w:bookmarkStart w:id="21" w:name="__Fieldmark__1036_218254580"/>
      <w:bookmarkEnd w:id="19"/>
      <w:bookmarkEnd w:id="20"/>
      <w:bookmarkEnd w:id="21"/>
      <w:r w:rsidRPr="00B6585E">
        <w:rPr>
          <w:rFonts w:ascii="Arial" w:hAnsi="Arial" w:cs="Arial"/>
          <w:color w:val="000000" w:themeColor="text1"/>
          <w:sz w:val="22"/>
          <w:szCs w:val="22"/>
        </w:rPr>
        <w:t xml:space="preserve"> </w:t>
      </w:r>
      <w:r w:rsidR="00161F10" w:rsidRPr="00B6585E">
        <w:rPr>
          <w:rFonts w:ascii="Arial" w:hAnsi="Arial" w:cs="Arial"/>
          <w:color w:val="000000" w:themeColor="text1"/>
          <w:sz w:val="22"/>
          <w:szCs w:val="22"/>
        </w:rPr>
        <w:t>Fifty percent</w:t>
      </w:r>
      <w:r w:rsidRPr="00B6585E">
        <w:rPr>
          <w:rFonts w:ascii="Arial" w:hAnsi="Arial" w:cs="Arial"/>
          <w:color w:val="000000" w:themeColor="text1"/>
          <w:sz w:val="22"/>
          <w:szCs w:val="22"/>
        </w:rPr>
        <w:t xml:space="preserve"> of these patients  are </w:t>
      </w:r>
      <w:r w:rsidR="007B5039" w:rsidRPr="00B6585E">
        <w:rPr>
          <w:rFonts w:ascii="Arial" w:hAnsi="Arial" w:cs="Arial"/>
          <w:color w:val="000000" w:themeColor="text1"/>
          <w:sz w:val="22"/>
          <w:szCs w:val="22"/>
        </w:rPr>
        <w:t xml:space="preserve">more than </w:t>
      </w:r>
      <w:r w:rsidRPr="00B6585E">
        <w:rPr>
          <w:rFonts w:ascii="Arial" w:hAnsi="Arial" w:cs="Arial"/>
          <w:color w:val="000000" w:themeColor="text1"/>
          <w:sz w:val="22"/>
          <w:szCs w:val="22"/>
        </w:rPr>
        <w:t xml:space="preserve">45 years of age and have an increased risk </w:t>
      </w:r>
      <w:r w:rsidR="007B5039" w:rsidRPr="00B6585E">
        <w:rPr>
          <w:rFonts w:ascii="Arial" w:hAnsi="Arial" w:cs="Arial"/>
          <w:color w:val="000000" w:themeColor="text1"/>
          <w:sz w:val="22"/>
          <w:szCs w:val="22"/>
        </w:rPr>
        <w:t xml:space="preserve">of </w:t>
      </w:r>
      <w:r w:rsidRPr="00B6585E">
        <w:rPr>
          <w:rFonts w:ascii="Arial" w:hAnsi="Arial" w:cs="Arial"/>
          <w:color w:val="000000" w:themeColor="text1"/>
          <w:sz w:val="22"/>
          <w:szCs w:val="22"/>
        </w:rPr>
        <w:t>perioperative complications.</w:t>
      </w:r>
      <w:r w:rsidRPr="00B6585E">
        <w:rPr>
          <w:color w:val="000000" w:themeColor="text1"/>
        </w:rPr>
        <w:fldChar w:fldCharType="begin" w:fldLock="1"/>
      </w:r>
      <w:r w:rsidRPr="00B6585E">
        <w:rPr>
          <w:color w:val="000000" w:themeColor="text1"/>
        </w:rPr>
        <w:instrText>ADDIN CSL_CITATION {"citationItems":[{"id":"ITEM-1","itemData":{"DOI":"10.1056/NEJMra1502824","ISBN":"0-7456-0967-8","ISSN":"0028-4793","PMID":"26630144","abstract":"Each year, cardiac complications occur within 30 days after major noncardiac surgery in more than 10 million people worldwide; postoperative mortality is 1.5%. Enhanced patient monitoring and measurement of natriuretic hormone and troponin levels may improve outcomes.","author":[{"dropping-particle":"","family":"Devereaux","given":"P.J.","non-dropping-particle":"","parse-names":false,"suffix":""},{"dropping-particle":"","family":"Sessler","given":"Daniel I.","non-dropping-particle":"","parse-names":false,"suffix":""}],"container-title":"New England Journal of Medicine","id":"ITEM-1","issue":"23","issued":{"date-parts":[["2015"]]},"page":"2258-2269","title":"Cardiac Complications in Patients Undergoing Major Noncardiac Surgery","type":"article-journal","volume":"373"},"uris":["http://www.mendeley.com/documents/?uuid=0b7245ff-cdb9-447d-a3b4-3e8c0ac4d60f"]}],"mendeley":{"formattedCitation":"&lt;sup&gt;2&lt;/sup&gt;","plainTextFormattedCitation":"2","previouslyFormattedCitation":"&lt;sup&gt;2&lt;/sup&gt;"},"properties":{"noteIndex":0},"schema":"https://github.com/citation-style-language/schema/raw/master/csl-citation.json"}</w:instrText>
      </w:r>
      <w:r w:rsidRPr="00B6585E">
        <w:rPr>
          <w:color w:val="000000" w:themeColor="text1"/>
        </w:rPr>
        <w:fldChar w:fldCharType="separate"/>
      </w:r>
      <w:bookmarkStart w:id="22" w:name="__Fieldmark__1541_2706913586"/>
      <w:r w:rsidRPr="00B6585E">
        <w:rPr>
          <w:rFonts w:ascii="Arial" w:hAnsi="Arial" w:cs="Arial"/>
          <w:noProof/>
          <w:color w:val="000000" w:themeColor="text1"/>
          <w:sz w:val="22"/>
          <w:szCs w:val="22"/>
          <w:vertAlign w:val="superscript"/>
        </w:rPr>
        <w:t>2</w:t>
      </w:r>
      <w:bookmarkStart w:id="23" w:name="__Fieldmark__784_3246776249"/>
      <w:r w:rsidRPr="00B6585E">
        <w:rPr>
          <w:color w:val="000000" w:themeColor="text1"/>
        </w:rPr>
        <w:fldChar w:fldCharType="end"/>
      </w:r>
      <w:bookmarkStart w:id="24" w:name="__Fieldmark__1046_218254580"/>
      <w:bookmarkEnd w:id="22"/>
      <w:bookmarkEnd w:id="23"/>
      <w:bookmarkEnd w:id="24"/>
      <w:r w:rsidRPr="00B6585E">
        <w:rPr>
          <w:rFonts w:ascii="Arial" w:hAnsi="Arial" w:cs="Arial"/>
          <w:color w:val="000000" w:themeColor="text1"/>
          <w:sz w:val="22"/>
          <w:szCs w:val="22"/>
        </w:rPr>
        <w:t xml:space="preserve"> Major cardiovascular complications occur in 3% of patients undergoing major noncardiac surgery</w:t>
      </w:r>
      <w:r w:rsidRPr="00B6585E">
        <w:rPr>
          <w:color w:val="000000" w:themeColor="text1"/>
        </w:rPr>
        <w:fldChar w:fldCharType="begin" w:fldLock="1"/>
      </w:r>
      <w:r w:rsidRPr="00B6585E">
        <w:rPr>
          <w:color w:val="000000" w:themeColor="text1"/>
        </w:rPr>
        <w:instrText>ADDIN CSL_CITATION {"citationItems":[{"id":"ITEM-1","itemData":{"DOI":"10.1001/jamacardio.2016.4792","ISSN":"2380-6591","PMID":"28030663","abstract":"Importance Major adverse cardiovascular and cerebrovascular events (MACCE) are a significant source of perioperative morbidity and mortality following noncardiac surgery. Objective To evaluate national trends in perioperative cardiovascular outcomes and mortality after major noncardiac surgery and to identify surgical subtypes associated with cardiovascular events using a large administrative database of United States hospital admissions. Design, Setting, Participants Patients who underwent major noncardiac surgery from January 2004 to December 2013 were identified using the National Inpatient Sample. Main Outcomes and Measures Perioperative MACCE (primary outcome), defined as in-hospital, all-cause death, acute myocardial infarction (AMI), or acute ischemic stroke, were evaluated over time. Results Among 10 581 621 hospitalizations (mean [SD] patient age, 65.74 [12.32] years; 5 975 798 female patients 56.60%]) for major noncardiac surgery, perioperative MACCE occurred in 317 479 hospitalizations (3.0%), corresponding to an annual incidence of approximately 150 000 events after applying sample weights. Major adverse cardiovascular and cerebrovascular events occurred most frequently in patients undergoing vascular (7.7%), thoracic (6.5%), and transplant surgery (6.3%). Between 2004 and 2013, the frequency of MACCE declined from 3.1% to 2.6% (P for trend &lt;.001; adjusted odds ratio [aOR], 0.95; 95% CI, 0.94-0.97) driven by a decline in frequency of perioperative death (aOR, 0.79; 95% CI, 0.77-0.81) and AMI (aOR, 0.87; 95% CI, 0.84-0.89) but an increase in perioperative ischemic stroke from 0.52% in 2004 to 0.77% in 2013 (P for trend &lt;.001; aOR 1.79; CI 1.73-1.86). Conclusions and Relevance Perioperative MACCE occurs in 1 of every 33 hospitalizations for noncardiac surgery. Despite reductions in the rate of death and AMI among patients undergoing major noncardiac surgery in the United States, perioperative ischemic stroke increased over time. Additional efforts are necessary to improve cardiovascular care in the perioperative period of patients undergoing noncardiac surgery.","author":[{"dropping-particle":"","family":"Smilowitz","given":"Nathaniel R.","non-dropping-particle":"","parse-names":false,"suffix":""},{"dropping-particle":"","family":"Gupta","given":"Navdeep","non-dropping-particle":"","parse-names":false,"suffix":""},{"dropping-particle":"","family":"Ramakrishna","given":"Harish","non-dropping-particle":"","parse-names":false,"suffix":""},{"dropping-particle":"","family":"Guo","given":"Yu","non-dropping-particle":"","parse-names":false,"suffix":""},{"dropping-particle":"","family":"Berger","given":"Jeffrey S.","non-dropping-particle":"","parse-names":false,"suffix":""},{"dropping-particle":"","family":"Bangalore","given":"Sripal","non-dropping-particle":"","parse-names":false,"suffix":""}],"container-title":"JAMA cardiology","id":"ITEM-1","issue":"2","issued":{"date-parts":[["2017"]]},"page":"181-187","title":"Perioperative Major Adverse Cardiovascular and Cerebrovascular Events Associated With Noncardiac Surgery.","type":"article-journal","volume":"2"},"uris":["http://www.mendeley.com/documents/?uuid=53c01e75-64e7-484a-8980-07c93c3261c8"]}],"mendeley":{"formattedCitation":"&lt;sup&gt;3&lt;/sup&gt;","plainTextFormattedCitation":"3","previouslyFormattedCitation":"&lt;sup&gt;3&lt;/sup&gt;"},"properties":{"noteIndex":0},"schema":"https://github.com/citation-style-language/schema/raw/master/csl-citation.json"}</w:instrText>
      </w:r>
      <w:r w:rsidRPr="00B6585E">
        <w:rPr>
          <w:color w:val="000000" w:themeColor="text1"/>
        </w:rPr>
        <w:fldChar w:fldCharType="separate"/>
      </w:r>
      <w:bookmarkStart w:id="25" w:name="__Fieldmark__1551_2706913586"/>
      <w:r w:rsidRPr="00B6585E">
        <w:rPr>
          <w:rFonts w:ascii="Arial" w:hAnsi="Arial" w:cs="Arial"/>
          <w:noProof/>
          <w:color w:val="000000" w:themeColor="text1"/>
          <w:sz w:val="22"/>
          <w:szCs w:val="22"/>
          <w:vertAlign w:val="superscript"/>
        </w:rPr>
        <w:t>3</w:t>
      </w:r>
      <w:bookmarkStart w:id="26" w:name="__Fieldmark__791_3246776249"/>
      <w:r w:rsidRPr="00B6585E">
        <w:rPr>
          <w:color w:val="000000" w:themeColor="text1"/>
        </w:rPr>
        <w:fldChar w:fldCharType="end"/>
      </w:r>
      <w:bookmarkStart w:id="27" w:name="__Fieldmark__1053_218254580"/>
      <w:bookmarkEnd w:id="25"/>
      <w:bookmarkEnd w:id="26"/>
      <w:bookmarkEnd w:id="27"/>
      <w:r w:rsidRPr="00B6585E">
        <w:rPr>
          <w:rFonts w:ascii="Arial" w:hAnsi="Arial" w:cs="Arial"/>
          <w:color w:val="000000" w:themeColor="text1"/>
          <w:sz w:val="22"/>
          <w:szCs w:val="22"/>
        </w:rPr>
        <w:t xml:space="preserve">  and about 1.5% die within 30 day after surgery.</w:t>
      </w:r>
      <w:r w:rsidRPr="00B6585E">
        <w:rPr>
          <w:color w:val="000000" w:themeColor="text1"/>
        </w:rPr>
        <w:fldChar w:fldCharType="begin" w:fldLock="1"/>
      </w:r>
      <w:r w:rsidRPr="00B6585E">
        <w:rPr>
          <w:color w:val="000000" w:themeColor="text1"/>
        </w:rPr>
        <w:instrText>ADDIN CSL_CITATION {"citationItems":[{"id":"ITEM-1","itemData":{"DOI":"10.1001/jama.2012.5502","ISBN":"1538-3598 (Electronic)\\r0098-7484 (Linking)","ISSN":"1538-3598","PMID":"22706835","abstract":"Of the 200 million adults worldwide who undergo noncardiac surgery each year, more than 1 million will die within 30 days.","author":[{"dropping-particle":"","family":"Devereaux","given":"P J","non-dropping-particle":"","parse-names":false,"suffix":""},{"dropping-particle":"V","family":"Chan","given":"Matthew T","non-dropping-particle":"","parse-names":false,"suffix":""},{"dropping-particle":"","family":"Alonso-Coello","given":"Pablo","non-dropping-particle":"","parse-names":false,"suffix":""},{"dropping-particle":"","family":"Walsh","given":"Michael","non-dropping-particle":"","parse-names":false,"suffix":""},{"dropping-particle":"","family":"Berwanger","given":"Otavio","non-dropping-particle":"","parse-names":false,"suffix":""},{"dropping-particle":"","family":"Villar","given":"Juan Carlos","non-dropping-particle":"","parse-names":false,"suffix":""},{"dropping-particle":"","family":"Wang","given":"C Y","non-dropping-particle":"","parse-names":false,"suffix":""},{"dropping-particle":"","family":"Garutti","given":"R Ignacio","non-dropping-particle":"","parse-names":false,"suffix":""},{"dropping-particle":"","family":"Jacka","given":"Michael J","non-dropping-particle":"","parse-names":false,"suffix":""},{"dropping-particle":"","family":"Sigamani","given":"Alben","non-dropping-particle":"","parse-names":false,"suffix":""},{"dropping-particle":"","family":"Srinathan","given":"Sadeesh","non-dropping-particle":"","parse-names":false,"suffix":""},{"dropping-particle":"","family":"Biccard","given":"Bruce M","non-dropping-particle":"","parse-names":false,"suffix":""},{"dropping-particle":"","family":"Chow","given":"Clara K","non-dropping-particle":"","parse-names":false,"suffix":""},{"dropping-particle":"","family":"Abraham","given":"Valsa","non-dropping-particle":"","parse-names":false,"suffix":""},{"dropping-particle":"","family":"Tiboni","given":"Maria","non-dropping-particle":"","parse-names":false,"suffix":""},{"dropping-particle":"","family":"Pettit","given":"Shirley","non-dropping-particle":"","parse-names":false,"suffix":""},{"dropping-particle":"","family":"Szczeklik","given":"Wojciech","non-dropping-particle":"","parse-names":false,"suffix":""},{"dropping-particle":"","family":"Lurati Buse","given":"Giovanna","non-dropping-particle":"","parse-names":false,"suffix":""},{"dropping-particle":"","family":"Botto","given":"Fernando","non-dropping-particle":"","parse-names":false,"suffix":""},{"dropping-particle":"","family":"Guyatt","given":"Gordon","non-dropping-particle":"","parse-names":false,"suffix":""},{"dropping-particle":"","family":"Heels-Ansdell","given":"Diane","non-dropping-particle":"","parse-names":false,"suffix":""},{"dropping-particle":"","family":"Sessler","given":"Daniel I","non-dropping-particle":"","parse-names":false,"suffix":""},{"dropping-particle":"","family":"Thorlund","given":"Kristian","non-dropping-particle":"","parse-names":false,"suffix":""},{"dropping-particle":"","family":"Garg","given":"Amit X","non-dropping-particle":"","parse-names":false,"suffix":""},{"dropping-particle":"","family":"Mrkobrada","given":"Marko","non-dropping-particle":"","parse-names":false,"suffix":""},{"dropping-particle":"","family":"Thomas","given":"Sabu","non-dropping-particle":"","parse-names":false,"suffix":""},{"dropping-particle":"","family":"Rodseth","given":"Reitze N","non-dropping-particle":"","parse-names":false,"suffix":""},{"dropping-particle":"","family":"Pearse","given":"Rupert M","non-dropping-particle":"","parse-names":false,"suffix":""},{"dropping-particle":"","family":"Thabane","given":"Lehana","non-dropping-particle":"","parse-names":false,"suffix":""},{"dropping-particle":"","family":"McQueen","given":"Matthew J","non-dropping-particle":"","parse-names":false,"suffix":""},{"dropping-particle":"","family":"VanHelder","given":"Tomas","non-dropping-particle":"","parse-names":false,"suffix":""},{"dropping-particle":"","family":"Bhandari","given":"Mohit","non-dropping-particle":"","parse-names":false,"suffix":""},{"dropping-particle":"","family":"Bosch","given":"Jackie","non-dropping-particle":"","parse-names":false,"suffix":""},{"dropping-particle":"","family":"Kurz","given":"Andrea","non-dropping-particle":"","parse-names":false,"suffix":""},{"dropping-particle":"","family":"Polanczyk","given":"Carisi","non-dropping-particle":"","parse-names":false,"suffix":""},{"dropping-particle":"","family":"Malaga","given":"German","non-dropping-particle":"","parse-names":false,"suffix":""},{"dropping-particle":"","family":"Nagele","given":"Peter","non-dropping-particle":"","parse-names":false,"suffix":""},{"dropping-particle":"","family":"Manach","given":"Yannick","non-dropping-particle":"Le","parse-names":false,"suffix":""},{"dropping-particle":"","family":"Leuwer","given":"Martin","non-dropping-particle":"","parse-names":false,"suffix":""},{"dropping-particle":"","family":"Yusuf","given":"Salim","non-dropping-particle":"","parse-names":false,"suffix":""}],"container-title":"JAMA : the journal of the American Medical Association","id":"ITEM-1","issue":"21","issued":{"date-parts":[["2012"]]},"page":"2295-304","title":"Association between postoperative troponin levels and 30-day mortality among patients undergoing noncardiac surgery.","type":"article-journal","volume":"307"},"uris":["http://www.mendeley.com/documents/?uuid=cadc7240-2dea-4181-b914-881c664461a7"]}],"mendeley":{"formattedCitation":"&lt;sup&gt;4&lt;/sup&gt;","plainTextFormattedCitation":"4","previouslyFormattedCitation":"&lt;sup&gt;4&lt;/sup&gt;"},"properties":{"noteIndex":0},"schema":"https://github.com/citation-style-language/schema/raw/master/csl-citation.json"}</w:instrText>
      </w:r>
      <w:r w:rsidRPr="00B6585E">
        <w:rPr>
          <w:color w:val="000000" w:themeColor="text1"/>
        </w:rPr>
        <w:fldChar w:fldCharType="separate"/>
      </w:r>
      <w:bookmarkStart w:id="28" w:name="__Fieldmark__1561_2706913586"/>
      <w:r w:rsidRPr="00B6585E">
        <w:rPr>
          <w:rFonts w:ascii="Arial" w:hAnsi="Arial" w:cs="Arial"/>
          <w:noProof/>
          <w:color w:val="000000" w:themeColor="text1"/>
          <w:sz w:val="22"/>
          <w:szCs w:val="22"/>
          <w:vertAlign w:val="superscript"/>
        </w:rPr>
        <w:t>4</w:t>
      </w:r>
      <w:bookmarkStart w:id="29" w:name="__Fieldmark__798_3246776249"/>
      <w:r w:rsidRPr="00B6585E">
        <w:rPr>
          <w:color w:val="000000" w:themeColor="text1"/>
        </w:rPr>
        <w:fldChar w:fldCharType="end"/>
      </w:r>
      <w:bookmarkStart w:id="30" w:name="__Fieldmark__1060_218254580"/>
      <w:bookmarkEnd w:id="28"/>
      <w:bookmarkEnd w:id="29"/>
      <w:bookmarkEnd w:id="30"/>
      <w:r w:rsidRPr="00B6585E">
        <w:rPr>
          <w:rFonts w:ascii="Arial" w:hAnsi="Arial" w:cs="Arial"/>
          <w:color w:val="000000" w:themeColor="text1"/>
          <w:sz w:val="22"/>
          <w:szCs w:val="22"/>
        </w:rPr>
        <w:t xml:space="preserve"> Major cardiac complications are especially relevant </w:t>
      </w:r>
      <w:r w:rsidR="007B5039" w:rsidRPr="00B6585E">
        <w:rPr>
          <w:rFonts w:ascii="Arial" w:hAnsi="Arial" w:cs="Arial"/>
          <w:color w:val="000000" w:themeColor="text1"/>
          <w:sz w:val="22"/>
          <w:szCs w:val="22"/>
        </w:rPr>
        <w:t>due to</w:t>
      </w:r>
      <w:r w:rsidRPr="00B6585E">
        <w:rPr>
          <w:rFonts w:ascii="Arial" w:hAnsi="Arial" w:cs="Arial"/>
          <w:color w:val="000000" w:themeColor="text1"/>
          <w:sz w:val="22"/>
          <w:szCs w:val="22"/>
        </w:rPr>
        <w:t xml:space="preserve"> morbidity, prolong</w:t>
      </w:r>
      <w:r w:rsidR="00DD118F" w:rsidRPr="00B6585E">
        <w:rPr>
          <w:rFonts w:ascii="Arial" w:hAnsi="Arial" w:cs="Arial"/>
          <w:color w:val="000000" w:themeColor="text1"/>
          <w:sz w:val="22"/>
          <w:szCs w:val="22"/>
        </w:rPr>
        <w:t>ed</w:t>
      </w:r>
      <w:r w:rsidRPr="00B6585E">
        <w:rPr>
          <w:rFonts w:ascii="Arial" w:hAnsi="Arial" w:cs="Arial"/>
          <w:color w:val="000000" w:themeColor="text1"/>
          <w:sz w:val="22"/>
          <w:szCs w:val="22"/>
        </w:rPr>
        <w:t xml:space="preserve"> hospitalization, </w:t>
      </w:r>
      <w:r w:rsidR="007B5039" w:rsidRPr="00B6585E">
        <w:rPr>
          <w:rFonts w:ascii="Arial" w:hAnsi="Arial" w:cs="Arial"/>
          <w:color w:val="000000" w:themeColor="text1"/>
          <w:sz w:val="22"/>
          <w:szCs w:val="22"/>
        </w:rPr>
        <w:t xml:space="preserve">health care </w:t>
      </w:r>
      <w:r w:rsidRPr="00B6585E">
        <w:rPr>
          <w:rFonts w:ascii="Arial" w:hAnsi="Arial" w:cs="Arial"/>
          <w:color w:val="000000" w:themeColor="text1"/>
          <w:sz w:val="22"/>
          <w:szCs w:val="22"/>
        </w:rPr>
        <w:t>cost</w:t>
      </w:r>
      <w:r w:rsidR="007B5039"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w:t>
      </w:r>
      <w:r w:rsidR="007B5039" w:rsidRPr="00B6585E">
        <w:rPr>
          <w:rFonts w:ascii="Arial" w:hAnsi="Arial" w:cs="Arial"/>
          <w:color w:val="000000" w:themeColor="text1"/>
          <w:sz w:val="22"/>
          <w:szCs w:val="22"/>
        </w:rPr>
        <w:t>and</w:t>
      </w:r>
      <w:r w:rsidRPr="00B6585E">
        <w:rPr>
          <w:rFonts w:ascii="Arial" w:hAnsi="Arial" w:cs="Arial"/>
          <w:color w:val="000000" w:themeColor="text1"/>
          <w:sz w:val="22"/>
          <w:szCs w:val="22"/>
        </w:rPr>
        <w:t xml:space="preserve"> </w:t>
      </w:r>
      <w:r w:rsidR="00210B49" w:rsidRPr="00B6585E">
        <w:rPr>
          <w:rFonts w:ascii="Arial" w:hAnsi="Arial" w:cs="Arial"/>
          <w:color w:val="000000" w:themeColor="text1"/>
          <w:sz w:val="22"/>
          <w:szCs w:val="22"/>
        </w:rPr>
        <w:t>outcome</w:t>
      </w:r>
      <w:r w:rsidRPr="00B6585E">
        <w:rPr>
          <w:rFonts w:ascii="Arial" w:hAnsi="Arial" w:cs="Arial"/>
          <w:color w:val="000000" w:themeColor="text1"/>
          <w:sz w:val="22"/>
          <w:szCs w:val="22"/>
        </w:rPr>
        <w:t>. Current studies indicate that most of cardiovascular events happen during the first three postoperative days. (Confidential data not yet published) Hypotension</w:t>
      </w:r>
      <w:r w:rsidRPr="00B6585E">
        <w:rPr>
          <w:color w:val="000000" w:themeColor="text1"/>
        </w:rPr>
        <w:fldChar w:fldCharType="begin" w:fldLock="1"/>
      </w:r>
      <w:r w:rsidRPr="00B6585E">
        <w:rPr>
          <w:color w:val="000000" w:themeColor="text1"/>
        </w:rPr>
        <w:instrText>ADDIN CSL_CITATION {"citationItems":[{"id":"ITEM-1","itemData":{"DOI":"10.1097/ALN.0000000000001985","ISBN":"0000000000","ISSN":"0003-3022","abstract":"Background: The relative contributions of intraoperative and postoperative hypotension to perioperative morbidity remain unclear. We determined the association between hypotension and a composite of 30-day myocardial infarction and death over three periods: (1) intraoperative, (2) remaining day of surgery, and (3) during the initial four postoperative days. Methods: This was a substudy of POISE-2, a 10,010-patient factorial-randomized trial of aspirin and clonidine for prevention of myocardial infarction. Clinically important hypotension was defined as systolic blood pressure less than 90 mmHg requiring treatment. Minutes of hypotension was the exposure variable intraoperatively and for the remaining day of surgery, whereas hypotension status was treated as binary variable for postoperative days 1 to 4. We estimated the average relative effect of hypotension across components of the composite using a distinct effect generalized estimating model, adjusting for hypotension during earlier periods. Results: Among 9,765 patients, 42% experienced hypotension, 590 (6.0%) had an infarction, and 116 (1.2%) died within 30 days of surgery. Intraoperatively, the estimated average relative effect across myocardial infarction and mortality was 1.08 (98.3% CI, 1.03, 1.12; P &amp;lt; 0.001) per 10-min increase in hypotension duration. For the remaining day of surgery, the odds ratio was 1.03 (98.3% CI, 1.01, 1.05; P &amp;lt; 0.001) per 10-min increase in hypotension duration. The average relative effect odds ratio was 2.83 (98.3% CI, 1.26, 6.35; P = 0.002) in patients with hypotension during the subsequent four days of hospitalization. Conclusions: Clinically important hypotension-A potentially modifiable exposure-was significantly associated with a composite of myocardial infarction and death during each of three perioperative periods, even after adjustment for previous hypotension.&lt;br/&gt;Copyright &amp;#xa9; 2018 Lippincott Williams and Wilkins. All rights reserved.","author":[{"dropping-particle":"","family":"D.I.","given":"Sessler","non-dropping-particle":"","parse-names":false,"suffix":""},{"dropping-particle":"","family":"N.M.","given":"Zimmerman","non-dropping-particle":"","parse-names":false,"suffix":""},{"dropping-particle":"","family":"G.","given":"Mao","non-dropping-particle":"","parse-names":false,"suffix":""},{"dropping-particle":"","family":"C.S.","given":"Meyhoff","non-dropping-particle":"","parse-names":false,"suffix":""},{"dropping-particle":"","family":"R.M.","given":"Dahl","non-dropping-particle":"","parse-names":false,"suffix":""},{"dropping-particle":"","family":"K.","given":"Leslie","non-dropping-particle":"","parse-names":false,"suffix":""},{"dropping-particle":"","family":"S.M.","given":"Vasquez","non-dropping-particle":"","parse-names":false,"suffix":""},{"dropping-particle":"","family":"P.","given":"Balaji","non-dropping-particle":"","parse-names":false,"suffix":""},{"dropping-particle":"","family":"J.","given":"Alvarez-Garcia","non-dropping-particle":"","parse-names":false,"suffix":""},{"dropping-particle":"","family":"A.B.","given":"Cavalcanti","non-dropping-particle":"","parse-names":false,"suffix":""},{"dropping-particle":"","family":"J.L.","given":"Parlow","non-dropping-particle":"","parse-names":false,"suffix":""},{"dropping-particle":"","family":"P.V.","given":"Rahate","non-dropping-particle":"","parse-names":false,"suffix":""},{"dropping-particle":"","family":"M.D.","given":"Seeberger","non-dropping-particle":"","parse-names":false,"suffix":""},{"dropping-particle":"","family":"B.","given":"Gossetti","non-dropping-particle":"","parse-names":false,"suffix":""},{"dropping-particle":"","family":"S.A.","given":"Walker","non-dropping-particle":"","parse-names":false,"suffix":""},{"dropping-particle":"","family":"R.K.","given":"Premchand","non-dropping-particle":"","parse-names":false,"suffix":""},{"dropping-particle":"","family":"R.","given":"Rodseth","non-dropping-particle":"","parse-names":false,"suffix":""},{"dropping-particle":"","family":"F.","given":"Botto","non-dropping-particle":"","parse-names":false,"suffix":""},{"dropping-particle":"","family":"P.J.","given":"Devereaux","non-dropping-particle":"","parse-names":false,"suffix":""},{"dropping-particle":"","family":"E.","given":"Duceppe","non-dropping-particle":"","parse-names":false,"suffix":""}],"container-title":"Anesthesiology","id":"ITEM-1","issue":"2","issued":{"date-parts":[["2018"]]},"page":"317-327","title":"Period-dependent Associations between Hypotension during and for Four Days after Noncardiac Surgery and a Composite of Myocardial Infarction and Death: A Substudy of the POISE-2 Trial","type":"article-journal","volume":"128"},"uris":["http://www.mendeley.com/documents/?uuid=a095995c-5bef-4f24-ae61-f13626e28789"]}],"mendeley":{"formattedCitation":"&lt;sup&gt;5&lt;/sup&gt;","plainTextFormattedCitation":"5","previouslyFormattedCitation":"&lt;sup&gt;5&lt;/sup&gt;"},"properties":{"noteIndex":0},"schema":"https://github.com/citation-style-language/schema/raw/master/csl-citation.json"}</w:instrText>
      </w:r>
      <w:r w:rsidRPr="00B6585E">
        <w:rPr>
          <w:color w:val="000000" w:themeColor="text1"/>
        </w:rPr>
        <w:fldChar w:fldCharType="separate"/>
      </w:r>
      <w:bookmarkStart w:id="31" w:name="__Fieldmark__1571_2706913586"/>
      <w:r w:rsidRPr="00B6585E">
        <w:rPr>
          <w:rFonts w:ascii="Arial" w:hAnsi="Arial" w:cs="Arial"/>
          <w:noProof/>
          <w:color w:val="000000" w:themeColor="text1"/>
          <w:sz w:val="22"/>
          <w:szCs w:val="22"/>
          <w:vertAlign w:val="superscript"/>
        </w:rPr>
        <w:t>5</w:t>
      </w:r>
      <w:bookmarkStart w:id="32" w:name="__Fieldmark__805_3246776249"/>
      <w:r w:rsidRPr="00B6585E">
        <w:rPr>
          <w:color w:val="000000" w:themeColor="text1"/>
        </w:rPr>
        <w:fldChar w:fldCharType="end"/>
      </w:r>
      <w:bookmarkStart w:id="33" w:name="__Fieldmark__1080_218254580"/>
      <w:bookmarkEnd w:id="31"/>
      <w:bookmarkEnd w:id="32"/>
      <w:bookmarkEnd w:id="33"/>
      <w:r w:rsidRPr="00B6585E">
        <w:rPr>
          <w:rFonts w:ascii="Arial" w:hAnsi="Arial" w:cs="Arial"/>
          <w:color w:val="000000" w:themeColor="text1"/>
          <w:sz w:val="22"/>
          <w:szCs w:val="22"/>
        </w:rPr>
        <w:t>, tachycardia,</w:t>
      </w:r>
      <w:r w:rsidRPr="00B6585E">
        <w:rPr>
          <w:color w:val="000000" w:themeColor="text1"/>
        </w:rPr>
        <w:fldChar w:fldCharType="begin" w:fldLock="1"/>
      </w:r>
      <w:r w:rsidRPr="00B6585E">
        <w:rPr>
          <w:color w:val="000000" w:themeColor="text1"/>
        </w:rPr>
        <w:instrText>ADDIN CSL_CITATION {"citationItems":[{"id":"ITEM-1","itemData":{"DOI":"10.1213/ANE.0000000000002560","ISBN":"0000000000","ISSN":"15267598","abstract":"BACKGROUND The association between intraoperative cardiovascular changes and perioperative myocardial injury has chiefly focused on hypotension during noncardiac surgery. However, the relative influence of blood pressure and heart rate (HR) remains unclear. We investigated both individual and codependent relationships among intraoperative HR, systolic blood pressure (SBP), and myocardial injury after noncardiac surgery (MINS). METHODS Secondary analysis of the Vascular Events in Noncardiac Surgery Cohort Evaluation (VISION) study, a prospective international cohort study of noncardiac surgical patients. Multivariable logistic regression analysis tested for associations between intraoperative HR and/or SBP and MINS, defined by an elevated serum troponin T adjudicated as due to an ischemic etiology, within 30 days after surgery. Predefined thresholds for intraoperative HR and SBP were: maximum HR &gt;100 beats or minimum HR &lt;55 beats per minute (bpm); maximum SBP &gt;160 mm Hg or minimum SBP &lt;100 mm Hg. Secondary outcomes were myocardial infarction and mortality within 30 days after surgery. RESULTS After excluding missing data, 1197 of 15,109 patients (7.9%) sustained MINS, 454 of 16,031 (2.8%) sustained myocardial infarction, and 315 of 16,061 patients (2.0%) died within 30 days after surgery. Maximum intraoperative HR &gt;100 bpm was associated with MINS (odds ratio [OR], 1.27 [1.07-1.50]; P &lt; .01), myocardial infarction (OR, 1.34 [1.05-1.70]; P = .02), and mortality (OR, 2.65 [2.06-3.41]; P &lt; .01). Minimum SBP &lt;100 mm Hg was associated with MINS (OR, 1.21 [1.05-1.39]; P = .01) and mortality (OR, 1.81 [1.39-2.37]; P &lt; .01), but not myocardial infarction (OR, 1.21 [0.98-1.49]; P = .07). Maximum SBP &gt;160 mm Hg was associated with MINS (OR, 1.16 [1.01-1.34]; P = .04) and myocardial infarction (OR, 1.34 [1.09-1.64]; P = .01) but, paradoxically, reduced mortality (OR, 0.76 [0.58-0.99]; P = .04). Minimum HR &lt;55 bpm was associated with reduced MINS (OR, 0.70 [0.59-0.82]; P &lt; .01), myocardial infarction (OR, 0.75 [0.58-0.97]; P = .03), and mortality (OR, 0.58 [0.41-0.81]; P &lt; .01). Minimum SBP &lt;100 mm Hg with maximum HR &gt;100 bpm was more strongly associated with MINS (OR, 1.42 [1.15-1.76]; P &lt; .01) compared with minimum SBP &lt;100 mm Hg alone (OR, 1.20 [1.03-1.40]; P = .02). CONCLUSIONS Intraoperative tachycardia and hypotension are associated with MINS. Further interventional research targeting HR/blood pressure is needed to define the optimum strategy to reduce MINS.","author":[{"dropping-particle":"","family":"Abbott","given":"Tom E.F.","non-dropping-particle":"","parse-names":false,"suffix":""},{"dropping-particle":"","family":"Pearse","given":"Rupert M.","non-dropping-particle":"","parse-names":false,"suffix":""},{"dropping-particle":"","family":"Archbold","given":"R. Andrew","non-dropping-particle":"","parse-names":false,"suffix":""},{"dropping-particle":"","family":"Ahmad","given":"Tahania","non-dropping-particle":"","parse-names":false,"suffix":""},{"dropping-particle":"","family":"Niebrzegowska","given":"Edyta","non-dropping-particle":"","parse-names":false,"suffix":""},{"dropping-particle":"","family":"Wragg","given":"Andrew","non-dropping-particle":"","parse-names":false,"suffix":""},{"dropping-particle":"","family":"Rodseth","given":"Reitze N.","non-dropping-particle":"","parse-names":false,"suffix":""},{"dropping-particle":"","family":"Devereaux","given":"Philip J.","non-dropping-particle":"","parse-names":false,"suffix":""},{"dropping-particle":"","family":"Ackland","given":"Gareth L.","non-dropping-particle":"","parse-names":false,"suffix":""}],"container-title":"Anesthesia and analgesia","id":"ITEM-1","issue":"6","issued":{"date-parts":[["2018"]]},"page":"1936-1945","title":"A Prospective International Multicentre Cohort Study of Intraoperative Heart Rate and Systolic Blood Pressure and Myocardial Injury After Noncardiac Surgery: Results of the VISION Study","type":"article-journal","volume":"126"},"uris":["http://www.mendeley.com/documents/?uuid=d0e6f5be-135e-4b11-9533-6121f77f7e10"]}],"mendeley":{"formattedCitation":"&lt;sup&gt;6&lt;/sup&gt;","plainTextFormattedCitation":"6","previouslyFormattedCitation":"&lt;sup&gt;6&lt;/sup&gt;"},"properties":{"noteIndex":0},"schema":"https://github.com/citation-style-language/schema/raw/master/csl-citation.json"}</w:instrText>
      </w:r>
      <w:r w:rsidRPr="00B6585E">
        <w:rPr>
          <w:color w:val="000000" w:themeColor="text1"/>
        </w:rPr>
        <w:fldChar w:fldCharType="separate"/>
      </w:r>
      <w:bookmarkStart w:id="34" w:name="__Fieldmark__1581_2706913586"/>
      <w:r w:rsidRPr="00B6585E">
        <w:rPr>
          <w:rFonts w:ascii="Arial" w:hAnsi="Arial" w:cs="Arial"/>
          <w:noProof/>
          <w:color w:val="000000" w:themeColor="text1"/>
          <w:sz w:val="22"/>
          <w:szCs w:val="22"/>
          <w:vertAlign w:val="superscript"/>
        </w:rPr>
        <w:t>6</w:t>
      </w:r>
      <w:bookmarkStart w:id="35" w:name="__Fieldmark__812_3246776249"/>
      <w:r w:rsidRPr="00B6585E">
        <w:rPr>
          <w:color w:val="000000" w:themeColor="text1"/>
        </w:rPr>
        <w:fldChar w:fldCharType="end"/>
      </w:r>
      <w:bookmarkStart w:id="36" w:name="__Fieldmark__1087_218254580"/>
      <w:bookmarkEnd w:id="34"/>
      <w:bookmarkEnd w:id="35"/>
      <w:bookmarkEnd w:id="36"/>
      <w:r w:rsidRPr="00B6585E">
        <w:rPr>
          <w:rFonts w:ascii="Arial" w:hAnsi="Arial" w:cs="Arial"/>
          <w:color w:val="000000" w:themeColor="text1"/>
          <w:sz w:val="22"/>
          <w:szCs w:val="22"/>
        </w:rPr>
        <w:t xml:space="preserve">and fluid overload (Confidential data not yet published) are strongly associated with cardiovascular events.  </w:t>
      </w:r>
    </w:p>
    <w:p w14:paraId="4EC42CD4" w14:textId="480521F5" w:rsidR="00DD118F" w:rsidRPr="00B6585E" w:rsidRDefault="00A221DB">
      <w:pPr>
        <w:widowControl w:val="0"/>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perioperative measurement of cardiac biomarkers helps to evaluate a cardiac risk profile of each individual patient.</w:t>
      </w:r>
      <w:r w:rsidRPr="00B6585E">
        <w:rPr>
          <w:color w:val="000000" w:themeColor="text1"/>
        </w:rPr>
        <w:fldChar w:fldCharType="begin" w:fldLock="1"/>
      </w:r>
      <w:r w:rsidRPr="00B6585E">
        <w:rPr>
          <w:color w:val="000000" w:themeColor="text1"/>
        </w:rPr>
        <w:instrText>ADDIN CSL_CITATION {"citationItems":[{"id":"ITEM-1","itemData":{"DOI":"10.1097/ALN.0b013e31829083f1","ISBN":"1528-1175 (Electronic)\\r0003-3022 (Linking)","ISSN":"1528-1175","PMID":"23528538","abstract":"BACKGROUND: It is unclear whether postoperative B-type natriuretic peptides (i.e., BNP and N-terminal proBNP) can predict cardiovascular complications in noncardiac surgery. METHODS: The authors undertook a systematic review and individual patient data meta-analysis to determine whether postoperative BNPs predict postoperative cardiovascular complications at 30 and 180 days or more. RESULTS: The authors identified 18 eligible studies (n = 2,051). For the primary outcome of 30-day mortality or nonfatal myocardial infarction, BNP of 245 pg/ml had an area under the curve of 0.71 (95% CI, 0.64-0.78), and N-terminal proBNP of 718 pg/ml had an area under the curve of 0.80 (95% CI, 0.77-0.84). These thresholds independently predicted 30-day mortality or nonfatal myocardial infarction (adjusted odds ratio [AOR] 4.5; 95% CI, 2.74-7.4; P &lt; 0.001), mortality (AOR, 4.2; 95% CI, 2.29-7.69; P &lt; 0.001), cardiac mortality (AOR, 9.4; 95% CI, 0.32-254.34; P &lt; 0.001), and cardiac failure (AOR, 18.5; 95% CI, 4.55-75.29; P &lt; 0.001). For greater than or equal to 180-day outcomes, natriuretic peptides independently predicted mortality or nonfatal myocardial infarction (AOR, 3.3; 95% CI, 2.58-4.3; P &lt; 0.001), mortality (AOR, 2.2; 95% CI, 1.67-86; P &lt; 0.001), cardiac mortality (AOR, 2.1; 95% CI, 0.05-1,385.17; P &lt; 0.001), and cardiac failure (AOR, 3.5; 95% CI, 1.0-9.34; P = 0.022). Patients with BNP values of 0-250, greater than 250-400, and greater than 400 pg/ml suffered the primary outcome at a rate of 6.6, 15.7, and 29.5%, respectively. Patients with N-terminal proBNP values of 0-300, greater than 300-900, and greater than 900 pg/ml suffered the primary outcome at a rate of 1.8, 8.7, and 27%, respectively. CONCLUSIONS: Increased postoperative BNPs are independently associated with adverse cardiac events after noncardiac surgery.","author":[{"dropping-particle":"","family":"Rodseth","given":"R N","non-dropping-particle":"","parse-names":false,"suffix":""},{"dropping-particle":"","family":"Biccard","given":"B M","non-dropping-particle":"","parse-names":false,"suffix":""},{"dropping-particle":"","family":"Chu","given":"R","non-dropping-particle":"","parse-names":false,"suffix":""},{"dropping-particle":"","family":"Lurati Buse","given":"G A","non-dropping-particle":"","parse-names":false,"suffix":""},{"dropping-particle":"","family":"Thabane","given":"L","non-dropping-particle":"","parse-names":false,"suffix":""},{"dropping-particle":"","family":"Bakhai","given":"A","non-dropping-particle":"","parse-names":false,"suffix":""},{"dropping-particle":"","family":"Bolliger","given":"D","non-dropping-particle":"","parse-names":false,"suffix":""},{"dropping-particle":"","family":"Cagini","given":"L","non-dropping-particle":"","parse-names":false,"suffix":""},{"dropping-particle":"","family":"Cahill","given":"T J","non-dropping-particle":"","parse-names":false,"suffix":""},{"dropping-particle":"","family":"Cardinale","given":"D","non-dropping-particle":"","parse-names":false,"suffix":""},{"dropping-particle":"","family":"Chong","given":"C P","non-dropping-particle":"","parse-names":false,"suffix":""},{"dropping-particle":"","family":"Cnotliwy","given":"M","non-dropping-particle":"","parse-names":false,"suffix":""},{"dropping-particle":"","family":"Somma","given":"S","non-dropping-particle":"Di","parse-names":false,"suffix":""},{"dropping-particle":"","family":"Fahrner","given":"R","non-dropping-particle":"","parse-names":false,"suffix":""},{"dropping-particle":"","family":"Lim","given":"W K","non-dropping-particle":"","parse-names":false,"suffix":""},{"dropping-particle":"","family":"Mahla","given":"E","non-dropping-particle":"","parse-names":false,"suffix":""},{"dropping-particle":"","family":"Manach","given":"Y","non-dropping-particle":"Le","parse-names":false,"suffix":""},{"dropping-particle":"","family":"Manikandan","given":"R","non-dropping-particle":"","parse-names":false,"suffix":""},{"dropping-particle":"","family":"Pyun","given":"W B","non-dropping-particle":"","parse-names":false,"suffix":""},{"dropping-particle":"","family":"Rajagopalan","given":"S","non-dropping-particle":"","parse-names":false,"suffix":""},{"dropping-particle":"","family":"Radovic","given":"M","non-dropping-particle":"","parse-names":false,"suffix":""},{"dropping-particle":"","family":"Schutt","given":"R C","non-dropping-particle":"","parse-names":false,"suffix":""},{"dropping-particle":"","family":"Sessler","given":"D I","non-dropping-particle":"","parse-names":false,"suffix":""},{"dropping-particle":"","family":"Suttie","given":"S","non-dropping-particle":"","parse-names":false,"suffix":""},{"dropping-particle":"","family":"Vanniyasingam","given":"T","non-dropping-particle":"","parse-names":false,"suffix":""},{"dropping-particle":"","family":"Waliszek","given":"M","non-dropping-particle":"","parse-names":false,"suffix":""},{"dropping-particle":"","family":"Devereaux","given":"P J","non-dropping-particle":"","parse-names":false,"suffix":""}],"container-title":"Anesthesiology","id":"ITEM-1","issue":"2","issued":{"date-parts":[["2013"]]},"page":"270-283","title":"Postoperative B-type natriuretic peptide for prediction of major cardiac events in patients undergoing noncardiac surgery: systematic review and individual patient meta-analysis","type":"article-journal","volume":"119"},"uris":["http://www.mendeley.com/documents/?uuid=840c407d-bb53-44da-8a05-6ddc9c759bb2"]},{"id":"ITEM-2","itemData":{"DOI":"10.1001/jama.2012.5502","ISBN":"1538-3598 (Electronic)\\r0098-7484 (Linking)","ISSN":"1538-3598","PMID":"22706835","abstract":"Of the 200 million adults worldwide who undergo noncardiac surgery each year, more than 1 million will die within 30 days.","author":[{"dropping-particle":"","family":"Devereaux","given":"P J","non-dropping-particle":"","parse-names":false,"suffix":""},{"dropping-particle":"V","family":"Chan","given":"Matthew T","non-dropping-particle":"","parse-names":false,"suffix":""},{"dropping-particle":"","family":"Alonso-Coello","given":"Pablo","non-dropping-particle":"","parse-names":false,"suffix":""},{"dropping-particle":"","family":"Walsh","given":"Michael","non-dropping-particle":"","parse-names":false,"suffix":""},{"dropping-particle":"","family":"Berwanger","given":"Otavio","non-dropping-particle":"","parse-names":false,"suffix":""},{"dropping-particle":"","family":"Villar","given":"Juan Carlos","non-dropping-particle":"","parse-names":false,"suffix":""},{"dropping-particle":"","family":"Wang","given":"C Y","non-dropping-particle":"","parse-names":false,"suffix":""},{"dropping-particle":"","family":"Garutti","given":"R Ignacio","non-dropping-particle":"","parse-names":false,"suffix":""},{"dropping-particle":"","family":"Jacka","given":"Michael J","non-dropping-particle":"","parse-names":false,"suffix":""},{"dropping-particle":"","family":"Sigamani","given":"Alben","non-dropping-particle":"","parse-names":false,"suffix":""},{"dropping-particle":"","family":"Srinathan","given":"Sadeesh","non-dropping-particle":"","parse-names":false,"suffix":""},{"dropping-particle":"","family":"Biccard","given":"Bruce M","non-dropping-particle":"","parse-names":false,"suffix":""},{"dropping-particle":"","family":"Chow","given":"Clara K","non-dropping-particle":"","parse-names":false,"suffix":""},{"dropping-particle":"","family":"Abraham","given":"Valsa","non-dropping-particle":"","parse-names":false,"suffix":""},{"dropping-particle":"","family":"Tiboni","given":"Maria","non-dropping-particle":"","parse-names":false,"suffix":""},{"dropping-particle":"","family":"Pettit","given":"Shirley","non-dropping-particle":"","parse-names":false,"suffix":""},{"dropping-particle":"","family":"Szczeklik","given":"Wojciech","non-dropping-particle":"","parse-names":false,"suffix":""},{"dropping-particle":"","family":"Lurati Buse","given":"Giovanna","non-dropping-particle":"","parse-names":false,"suffix":""},{"dropping-particle":"","family":"Botto","given":"Fernando","non-dropping-particle":"","parse-names":false,"suffix":""},{"dropping-particle":"","family":"Guyatt","given":"Gordon","non-dropping-particle":"","parse-names":false,"suffix":""},{"dropping-particle":"","family":"Heels-Ansdell","given":"Diane","non-dropping-particle":"","parse-names":false,"suffix":""},{"dropping-particle":"","family":"Sessler","given":"Daniel I","non-dropping-particle":"","parse-names":false,"suffix":""},{"dropping-particle":"","family":"Thorlund","given":"Kristian","non-dropping-particle":"","parse-names":false,"suffix":""},{"dropping-particle":"","family":"Garg","given":"Amit X","non-dropping-particle":"","parse-names":false,"suffix":""},{"dropping-particle":"","family":"Mrkobrada","given":"Marko","non-dropping-particle":"","parse-names":false,"suffix":""},{"dropping-particle":"","family":"Thomas","given":"Sabu","non-dropping-particle":"","parse-names":false,"suffix":""},{"dropping-particle":"","family":"Rodseth","given":"Reitze N","non-dropping-particle":"","parse-names":false,"suffix":""},{"dropping-particle":"","family":"Pearse","given":"Rupert M","non-dropping-particle":"","parse-names":false,"suffix":""},{"dropping-particle":"","family":"Thabane","given":"Lehana","non-dropping-particle":"","parse-names":false,"suffix":""},{"dropping-particle":"","family":"McQueen","given":"Matthew J","non-dropping-particle":"","parse-names":false,"suffix":""},{"dropping-particle":"","family":"VanHelder","given":"Tomas","non-dropping-particle":"","parse-names":false,"suffix":""},{"dropping-particle":"","family":"Bhandari","given":"Mohit","non-dropping-particle":"","parse-names":false,"suffix":""},{"dropping-particle":"","family":"Bosch","given":"Jackie","non-dropping-particle":"","parse-names":false,"suffix":""},{"dropping-particle":"","family":"Kurz","given":"Andrea","non-dropping-particle":"","parse-names":false,"suffix":""},{"dropping-particle":"","family":"Polanczyk","given":"Carisi","non-dropping-particle":"","parse-names":false,"suffix":""},{"dropping-particle":"","family":"Malaga","given":"German","non-dropping-particle":"","parse-names":false,"suffix":""},{"dropping-particle":"","family":"Nagele","given":"Peter","non-dropping-particle":"","parse-names":false,"suffix":""},{"dropping-particle":"","family":"Manach","given":"Yannick","non-dropping-particle":"Le","parse-names":false,"suffix":""},{"dropping-particle":"","family":"Leuwer","given":"Martin","non-dropping-particle":"","parse-names":false,"suffix":""},{"dropping-particle":"","family":"Yusuf","given":"Salim","non-dropping-particle":"","parse-names":false,"suffix":""}],"container-title":"JAMA : the journal of the American Medical Association","id":"ITEM-2","issue":"21","issued":{"date-parts":[["2012"]]},"page":"2295-304","title":"Association between postoperative troponin levels and 30-day mortality among patients undergoing noncardiac surgery.","type":"article-journal","volume":"307"},"uris":["http://www.mendeley.com/documents/?uuid=cadc7240-2dea-4181-b914-881c664461a7"]},{"id":"ITEM-3","itemData":{"DOI":"10.1213/ANE.0000000000001736","ISBN":"0000000000","ISSN":"15267598","abstract":"BACKGROUND This study sought to determine whether preoperatively measured high-sensitivity cardiac troponin T (hs-cTnT) and N-terminal pro-brain natriuretic peptide (NT-proBNP) improve cardiac risk prediction in patients undergoing major noncardiac surgery compared with the standard risk indices. METHODS In this ancillary study to the Vitamins in Nitrous Oxide trial, patients were included who had preoperative hs-cTnT and NT-proBNP measured (n = 572). Study outcome was the incidence of postoperative myocardial infarction (MI) within the first 3 postoperative days. hs-cTnT was considered elevated if &gt;14 ng/L and NT-proBNP if &gt;300 ng/L. Additional cutoff values were investigated on the basis of receiver operating characteristic statistics. Biomarker risk prediction was compared with Lee's Revised Cardiac Risk Index (RCRI) with the use of standard methods and net reclassification index. RESULTS The addition of hs-cTnT (&gt;14 ng/L) and NT-proBNP (&gt;300 ng/L) to RCRI significantly improved the prediction of postoperative MI (event rate 30/572 [5.2%], Area under the receiver operating characteristic curve increased from 0.590 to 0.716 with a 0.66 net reclassification index [95% confidence interval 0.32-0.99], P &lt; .001). The use of 108 ng/L as a cutoff for NT-proBNP improved sensitivity compared with 300 ng/L (0.87 vs 0.53). Sensitivity, specificity, positive, and negative predictive value for hs-cTnT were 0.70, 0.60, 0.09, and 0.97 and for NT-proBNP were 0.53, 0.68, 0.08, and 0.96. CONCLUSIONS The addition of cardiac biomarkers hs-cTnT and NT-proBNP to RCRI improves the prediction of adverse cardiac events in the immediate postoperative period after major noncardiac surgery. The high negative predictive value of preoperative hs-cTnT and NT-proBNP suggest usefulness as a \"rule-out\" test to confirm low risk of postoperative MI.","author":[{"dropping-particle":"","family":"Kopec","given":"Michael","non-dropping-particle":"","parse-names":false,"suffix":""},{"dropping-particle":"","family":"Duma","given":"Andreas","non-dropping-particle":"","parse-names":false,"suffix":""},{"dropping-particle":"","family":"Helwani","given":"Mohammad A.","non-dropping-particle":"","parse-names":false,"suffix":""},{"dropping-particle":"","family":"Brown","given":"Jamie","non-dropping-particle":"","parse-names":false,"suffix":""},{"dropping-particle":"","family":"Brown","given":"Frank","non-dropping-particle":"","parse-names":false,"suffix":""},{"dropping-particle":"","family":"Gage","given":"Brian F.","non-dropping-particle":"","parse-names":false,"suffix":""},{"dropping-particle":"","family":"Gibson","given":"David W.","non-dropping-particle":"","parse-names":false,"suffix":""},{"dropping-particle":"","family":"Miller","given":"J. Philip","non-dropping-particle":"","parse-names":false,"suffix":""},{"dropping-particle":"","family":"Novak","given":"Eric","non-dropping-particle":"","parse-names":false,"suffix":""},{"dropping-particle":"","family":"Jaffe","given":"Allan S.","non-dropping-particle":"","parse-names":false,"suffix":""},{"dropping-particle":"","family":"Apple","given":"Fred S.","non-dropping-particle":"","parse-names":false,"suffix":""},{"dropping-particle":"","family":"Scott","given":"Mitchell G.","non-dropping-particle":"","parse-names":false,"suffix":""},{"dropping-particle":"","family":"Nagele","given":"Peter","non-dropping-particle":"","parse-names":false,"suffix":""}],"container-title":"Anesthesia and Analgesia","id":"ITEM-3","issue":"2","issued":{"date-parts":[["2017"]]},"page":"398-405","title":"Improving prediction of postoperative myocardial infarction with high-sensitivity cardiac troponin T and NT-proBNP","type":"article-journal","volume":"124"},"uris":["http://www.mendeley.com/documents/?uuid=732c2fca-4333-4301-a82e-81b25a464b52"]}],"mendeley":{"formattedCitation":"&lt;sup&gt;4 7 8&lt;/sup&gt;","plainTextFormattedCitation":"4 7 8","previouslyFormattedCitation":"&lt;sup&gt;4 7 8&lt;/sup&gt;"},"properties":{"noteIndex":0},"schema":"https://github.com/citation-style-language/schema/raw/master/csl-citation.json"}</w:instrText>
      </w:r>
      <w:r w:rsidRPr="00B6585E">
        <w:rPr>
          <w:color w:val="000000" w:themeColor="text1"/>
        </w:rPr>
        <w:fldChar w:fldCharType="separate"/>
      </w:r>
      <w:bookmarkStart w:id="37" w:name="__Fieldmark__1592_2706913586"/>
      <w:r w:rsidRPr="00B6585E">
        <w:rPr>
          <w:rFonts w:ascii="Arial" w:hAnsi="Arial" w:cs="Arial"/>
          <w:noProof/>
          <w:color w:val="000000" w:themeColor="text1"/>
          <w:sz w:val="22"/>
          <w:szCs w:val="22"/>
          <w:vertAlign w:val="superscript"/>
        </w:rPr>
        <w:t>4</w:t>
      </w:r>
      <w:bookmarkStart w:id="38" w:name="__Fieldmark__820_3246776249"/>
      <w:r w:rsidRPr="00B6585E">
        <w:rPr>
          <w:rFonts w:ascii="Arial" w:hAnsi="Arial" w:cs="Arial"/>
          <w:noProof/>
          <w:color w:val="000000" w:themeColor="text1"/>
          <w:sz w:val="22"/>
          <w:szCs w:val="22"/>
          <w:vertAlign w:val="superscript"/>
        </w:rPr>
        <w:t xml:space="preserve"> </w:t>
      </w:r>
      <w:bookmarkStart w:id="39" w:name="__Fieldmark__1112_218254580"/>
      <w:r w:rsidRPr="00B6585E">
        <w:rPr>
          <w:rFonts w:ascii="Arial" w:hAnsi="Arial" w:cs="Arial"/>
          <w:noProof/>
          <w:color w:val="000000" w:themeColor="text1"/>
          <w:sz w:val="22"/>
          <w:szCs w:val="22"/>
          <w:vertAlign w:val="superscript"/>
        </w:rPr>
        <w:t>7 8</w:t>
      </w:r>
      <w:r w:rsidRPr="00B6585E">
        <w:rPr>
          <w:color w:val="000000" w:themeColor="text1"/>
        </w:rPr>
        <w:fldChar w:fldCharType="end"/>
      </w:r>
      <w:bookmarkEnd w:id="37"/>
      <w:bookmarkEnd w:id="38"/>
      <w:bookmarkEnd w:id="39"/>
      <w:r w:rsidR="00DD118F" w:rsidRPr="00B6585E">
        <w:rPr>
          <w:color w:val="000000" w:themeColor="text1"/>
        </w:rPr>
        <w:t xml:space="preserve"> </w:t>
      </w:r>
      <w:r w:rsidR="00DD118F" w:rsidRPr="00B6585E">
        <w:rPr>
          <w:rFonts w:ascii="Arial" w:hAnsi="Arial" w:cs="Arial"/>
          <w:color w:val="000000" w:themeColor="text1"/>
          <w:sz w:val="22"/>
          <w:szCs w:val="22"/>
        </w:rPr>
        <w:t xml:space="preserve">NT-proBNP is a </w:t>
      </w:r>
      <w:r w:rsidR="008F03DD" w:rsidRPr="00B6585E">
        <w:rPr>
          <w:rFonts w:ascii="Arial" w:hAnsi="Arial" w:cs="Arial"/>
          <w:color w:val="000000" w:themeColor="text1"/>
          <w:sz w:val="22"/>
          <w:szCs w:val="22"/>
        </w:rPr>
        <w:t>potent</w:t>
      </w:r>
      <w:r w:rsidR="00DD118F" w:rsidRPr="00B6585E">
        <w:rPr>
          <w:rFonts w:ascii="Arial" w:hAnsi="Arial" w:cs="Arial"/>
          <w:color w:val="000000" w:themeColor="text1"/>
          <w:sz w:val="22"/>
          <w:szCs w:val="22"/>
        </w:rPr>
        <w:t xml:space="preserve"> biomarker to assess perioperativ</w:t>
      </w:r>
      <w:r w:rsidR="007B5039" w:rsidRPr="00B6585E">
        <w:rPr>
          <w:rFonts w:ascii="Arial" w:hAnsi="Arial" w:cs="Arial"/>
          <w:color w:val="000000" w:themeColor="text1"/>
          <w:sz w:val="22"/>
          <w:szCs w:val="22"/>
        </w:rPr>
        <w:t>e</w:t>
      </w:r>
      <w:r w:rsidR="00DD118F" w:rsidRPr="00B6585E">
        <w:rPr>
          <w:rFonts w:ascii="Arial" w:hAnsi="Arial" w:cs="Arial"/>
          <w:color w:val="000000" w:themeColor="text1"/>
          <w:sz w:val="22"/>
          <w:szCs w:val="22"/>
        </w:rPr>
        <w:t xml:space="preserve"> myocardial stress, which has a high predictive value for postoperative morbidity. BNP is a peptide hormone, which is released during increased myocardial wall stress.</w:t>
      </w:r>
      <w:r w:rsidR="00DD118F" w:rsidRPr="00B6585E">
        <w:rPr>
          <w:color w:val="000000" w:themeColor="text1"/>
        </w:rPr>
        <w:fldChar w:fldCharType="begin" w:fldLock="1"/>
      </w:r>
      <w:r w:rsidR="00934622" w:rsidRPr="00B6585E">
        <w:rPr>
          <w:color w:val="000000" w:themeColor="text1"/>
        </w:rPr>
        <w:instrText>ADDIN CSL_CITATION {"citationItems":[{"id":"ITEM-1","itemData":{"DOI":"10.1038/nrcardio.2014.64","ISBN":"1759-5010 (Electronic)\\r1759-5002 (Linking)","ISSN":"1759-5010","PMID":"24820868","abstract":"| In the 30 years since the identification of the natriuretic peptides, their involvement in regulating fluid and blood pressure has become firmly established. Data indicating a role for these hormones in lifestyle‑ related metabolic and cardiovascular disorders have also accumulated over the past decade. Dysregulation of the natriuretic peptide system has been associated with obesity, glucose intolerance, type 2 diabetes mellitus, and essential hypertension. Moreover, the natriuretic peptides have been implicated in the protection against atherosclerosis, thrombosis, and myocardial ischaemia. All these conditions can coexist and potentially lead to heart failure, a syndrome associated with a functional natriuretic peptide deficiency despite high circulating concentrations of immunoreactive peptides. Therefore, dysregulation of the natriuretic peptide system, a 'natriuretic handicap', might be an important factor in the initiation and progression of metabolic dysfunction and its accompanying cardiovascular complications. This Review provides a summary of the natriuretic peptide system and its involvement in these cardiometabolic conditions. We propose that these peptides might have an integrating role in lifestyle‑related metabolic and cardiovascular disorders.","author":[{"dropping-particle":"","family":"Zois","given":"Nora E","non-dropping-particle":"","parse-names":false,"suffix":""},{"dropping-particle":"","family":"Bartels","given":"Emil D","non-dropping-particle":"","parse-names":false,"suffix":""},{"dropping-particle":"","family":"Hunter","given":"Ingrid","non-dropping-particle":"","parse-names":false,"suffix":""},{"dropping-particle":"","family":"Kousholt","given":"Birgitte S","non-dropping-particle":"","parse-names":false,"suffix":""},{"dropping-particle":"","family":"Olsen","given":"Lisbeth H","non-dropping-particle":"","parse-names":false,"suffix":""},{"dropping-particle":"","family":"Goetze","given":"Jens P","non-dropping-particle":"","parse-names":false,"suffix":""}],"container-title":"Nat Rev Cardiol","id":"ITEM-1","issue":"7","issued":{"date-parts":[["2014"]]},"page":"403-412","publisher":"Nature Publishing Group","title":"Natriuretic peptides in cardiometabolic regulation and disease","type":"article-journal","volume":"11"},"uris":["http://www.mendeley.com/documents/?uuid=e194989a-dabd-42ec-9266-fdd070ee6f5f"]},{"id":"ITEM-2","itemData":{"DOI":"10.1016/j.pharmthera.2004.04.004","ISBN":"0163-7258","ISSN":"01637258","PMID":"15246247","abstract":"The natriuretic peptide family consists of at least 3 structurally similar peptides: atrial natriuretic peptide (ANP), brain natriuretic peptide (BNP), and C-type natriuretic peptide (CNP). Under normal conditions, ANP is synthesized by the atrium and released in response to atrial stretch. This peptide plays an important role in sodium and water homeostasis and is involved in cardiovascular function. In contrast, BNP is synthesized primarily by the ventricles, and its circulatory concentrations are significantly elevated in profound congestive heart failure (CHF). While both plasma levels of ANP and BNP have been found to be increased in patients with various heart diseases, the elevation in circulatory BNP correlates better than ANP with the severity of CHF. Therefore, plasma BNP has been suggested (and lately used) to aid in the accurate diagnosis of heart failure in patients admitted to the emergency room with symptoms of decompensated heart failure. Furthermore, circulatory BNP has been utilized as a prognostic marker in CHF as well as a hormone guide in the evaluation of the efficacy of the conventional treatment of this disease state. In light of the cardiovascular and renal effects of BNP, which most likely exceed those of ANP, the former has been used as a therapeutic agent for the treatment of patients with acute severe CHF. Intravenous infusion of BNP into patients with sustained ventricular dysfunction causes a balanced arterial and venous vasodilatation that has been shown to result in rapid reduction in ventricular filling pressure and reversal of heart failure symptoms, such as dyspnea and acute hemodynamic abnormalities. Thus, the goal of this article is to review the physiology and pathophysiology of natriuretic peptides and the potential use of their circulating levels for diagnosis and treatment of heart failure. © 2004 Elsevier Inc. All rights reserved.","author":[{"dropping-particle":"","family":"Abassi","given":"Zaid","non-dropping-particle":"","parse-names":false,"suffix":""},{"dropping-particle":"","family":"Karram","given":"Tony","non-dropping-particle":"","parse-names":false,"suffix":""},{"dropping-particle":"","family":"Ellaham","given":"Samer","non-dropping-particle":"","parse-names":false,"suffix":""},{"dropping-particle":"","family":"Winaver","given":"Joseph","non-dropping-particle":"","parse-names":false,"suffix":""},{"dropping-particle":"","family":"Hoffman","given":"Aaron","non-dropping-particle":"","parse-names":false,"suffix":""}],"container-title":"Pharmacology and Therapeutics","id":"ITEM-2","issue":"3","issued":{"date-parts":[["2004"]]},"page":"223-241","title":"Implications of the natriuretic peptide system in the pathogenesis of heart failure: Diagnostic and therapeutic importance","type":"article-journal","volume":"102"},"uris":["http://www.mendeley.com/documents/?uuid=62bb800d-510b-47fd-b038-860bbd4c81a9"]}],"mendeley":{"formattedCitation":"&lt;sup&gt;9 10&lt;/sup&gt;","plainTextFormattedCitation":"9 10","previouslyFormattedCitation":"&lt;sup&gt;9 10&lt;/sup&gt;"},"properties":{"noteIndex":0},"schema":"https://github.com/citation-style-language/schema/raw/master/csl-citation.json"}</w:instrText>
      </w:r>
      <w:r w:rsidR="00DD118F" w:rsidRPr="00B6585E">
        <w:rPr>
          <w:color w:val="000000" w:themeColor="text1"/>
        </w:rPr>
        <w:fldChar w:fldCharType="separate"/>
      </w:r>
      <w:bookmarkStart w:id="40" w:name="__Fieldmark__1614_2706913586"/>
      <w:bookmarkStart w:id="41" w:name="__Fieldmark__834_3246776249"/>
      <w:bookmarkStart w:id="42" w:name="__Fieldmark__1134_218254580"/>
      <w:r w:rsidR="00F37F12" w:rsidRPr="00B6585E">
        <w:rPr>
          <w:rFonts w:ascii="Arial" w:hAnsi="Arial" w:cs="Arial"/>
          <w:noProof/>
          <w:color w:val="000000" w:themeColor="text1"/>
          <w:sz w:val="22"/>
          <w:szCs w:val="22"/>
          <w:vertAlign w:val="superscript"/>
        </w:rPr>
        <w:t>9 10</w:t>
      </w:r>
      <w:r w:rsidR="00DD118F" w:rsidRPr="00B6585E">
        <w:rPr>
          <w:color w:val="000000" w:themeColor="text1"/>
        </w:rPr>
        <w:fldChar w:fldCharType="end"/>
      </w:r>
      <w:bookmarkEnd w:id="40"/>
      <w:bookmarkEnd w:id="41"/>
      <w:bookmarkEnd w:id="42"/>
      <w:r w:rsidR="00DD118F" w:rsidRPr="00B6585E">
        <w:rPr>
          <w:rFonts w:ascii="Arial" w:hAnsi="Arial" w:cs="Arial"/>
          <w:color w:val="000000" w:themeColor="text1"/>
          <w:sz w:val="22"/>
          <w:szCs w:val="22"/>
        </w:rPr>
        <w:t xml:space="preserve"> BNP </w:t>
      </w:r>
      <w:r w:rsidR="00E36B64" w:rsidRPr="00B6585E">
        <w:rPr>
          <w:rFonts w:ascii="Arial" w:hAnsi="Arial" w:cs="Arial"/>
          <w:color w:val="000000" w:themeColor="text1"/>
          <w:sz w:val="22"/>
          <w:szCs w:val="22"/>
        </w:rPr>
        <w:t>is a</w:t>
      </w:r>
      <w:r w:rsidR="00DD118F" w:rsidRPr="00B6585E">
        <w:rPr>
          <w:rFonts w:ascii="Arial" w:hAnsi="Arial" w:cs="Arial"/>
          <w:color w:val="000000" w:themeColor="text1"/>
          <w:sz w:val="22"/>
          <w:szCs w:val="22"/>
        </w:rPr>
        <w:t xml:space="preserve"> predictor </w:t>
      </w:r>
      <w:r w:rsidR="00B71779" w:rsidRPr="00B6585E">
        <w:rPr>
          <w:rFonts w:ascii="Arial" w:hAnsi="Arial" w:cs="Arial"/>
          <w:color w:val="000000" w:themeColor="text1"/>
          <w:sz w:val="22"/>
          <w:szCs w:val="22"/>
        </w:rPr>
        <w:t xml:space="preserve">for </w:t>
      </w:r>
      <w:r w:rsidR="00DD118F" w:rsidRPr="00B6585E">
        <w:rPr>
          <w:rFonts w:ascii="Arial" w:hAnsi="Arial" w:cs="Arial"/>
          <w:color w:val="000000" w:themeColor="text1"/>
          <w:sz w:val="22"/>
          <w:szCs w:val="22"/>
        </w:rPr>
        <w:t>mortality when measured preoperatively</w:t>
      </w:r>
      <w:r w:rsidR="00B27874" w:rsidRPr="00B6585E">
        <w:rPr>
          <w:rFonts w:ascii="Arial" w:hAnsi="Arial" w:cs="Arial"/>
          <w:color w:val="000000" w:themeColor="text1"/>
          <w:sz w:val="22"/>
          <w:szCs w:val="22"/>
        </w:rPr>
        <w:t xml:space="preserve"> and </w:t>
      </w:r>
      <w:r w:rsidR="00DD118F" w:rsidRPr="00B6585E">
        <w:rPr>
          <w:rFonts w:ascii="Arial" w:hAnsi="Arial" w:cs="Arial"/>
          <w:color w:val="000000" w:themeColor="text1"/>
          <w:sz w:val="22"/>
          <w:szCs w:val="22"/>
        </w:rPr>
        <w:t xml:space="preserve">postoperatively. </w:t>
      </w:r>
      <w:r w:rsidR="00DD118F" w:rsidRPr="00B6585E">
        <w:rPr>
          <w:rFonts w:ascii="Arial" w:hAnsi="Arial" w:cs="Arial"/>
          <w:i/>
          <w:color w:val="000000" w:themeColor="text1"/>
          <w:sz w:val="22"/>
          <w:szCs w:val="22"/>
        </w:rPr>
        <w:t>Preoperative</w:t>
      </w:r>
      <w:r w:rsidR="00DD118F" w:rsidRPr="00B6585E">
        <w:rPr>
          <w:rFonts w:ascii="Arial" w:hAnsi="Arial" w:cs="Arial"/>
          <w:color w:val="000000" w:themeColor="text1"/>
          <w:sz w:val="22"/>
          <w:szCs w:val="22"/>
        </w:rPr>
        <w:t xml:space="preserve"> brain natriuretic peptide (BNP) measurement, for example, is an optimal parameter to assess cardiac performance in patients</w:t>
      </w:r>
      <w:r w:rsidR="00210B49" w:rsidRPr="00B6585E">
        <w:rPr>
          <w:rFonts w:ascii="Arial" w:hAnsi="Arial" w:cs="Arial"/>
          <w:color w:val="000000" w:themeColor="text1"/>
          <w:sz w:val="22"/>
          <w:szCs w:val="22"/>
        </w:rPr>
        <w:t xml:space="preserve"> undergoing noncardiac surgery</w:t>
      </w:r>
      <w:r w:rsidR="00DD118F" w:rsidRPr="00B6585E">
        <w:rPr>
          <w:rFonts w:ascii="Arial" w:hAnsi="Arial" w:cs="Arial"/>
          <w:color w:val="000000" w:themeColor="text1"/>
          <w:sz w:val="22"/>
          <w:szCs w:val="22"/>
        </w:rPr>
        <w:t>.</w:t>
      </w:r>
      <w:r w:rsidR="00DD118F" w:rsidRPr="00B6585E">
        <w:rPr>
          <w:color w:val="000000" w:themeColor="text1"/>
        </w:rPr>
        <w:fldChar w:fldCharType="begin" w:fldLock="1"/>
      </w:r>
      <w:r w:rsidR="00934622" w:rsidRPr="00B6585E">
        <w:rPr>
          <w:color w:val="000000" w:themeColor="text1"/>
        </w:rPr>
        <w:instrText>ADDIN CSL_CITATION {"citationItems":[{"id":"ITEM-1","itemData":{"DOI":"10.1016/j.jacc.2013.08.1630","ISSN":"07351097","abstract":"Objectives The objective of this study was to determine whether measuring post-operative B-type natriuretic peptides (NPs) (i.e., B-type natriuretic peptide [BNP] and N-terminal fragment of proBNP [NT-proBNP]) enhances risk stratification in adult patients undergoing noncardiac surgery, in whom a pre-operative NP has been measured. Background Pre-operative NP concentrations are powerful independent predictors of perioperative cardiovascular complications, but recent studies have reported that elevated post-operative NP concentrations are independently associated with these complications. It is not clear whether there is value in measuring post-operative NP when a pre-operative measurement has been done. Methods We conducted a systematic review and individual patient data meta-analysis to determine whether the addition of post-operative NP levels enhanced the prediction of the composite of death and nonfatal myocardial infarction at 30 and ≥180 days after surgery. Results Eighteen eligible studies provided individual patient data (n = 2,179). Adding post-operative NP to a risk prediction model containing pre-operative NP improved model fit and risk classification at both 30 days (corrected quasi-likelihood under the independence model criterion: 1,280 to 1,204; net reclassification index: 20%; p &lt; 0.001) and ≥180 days (corrected quasi-likelihood under the independence model criterion: 1,320 to 1,300; net reclassification index: 11%; p = 0.003). Elevated post-operative NP was the strongest independent predictor of the primary outcome at 30 days (odds ratio: 3.7; 95% confidence interval: 2.2 to 6.2; p &lt; 0.001) and ≥180 days (odds ratio: 2.2; 95% confidence interval: 1.9 to 2.7; p &lt; 0.001) after surgery. Conclusions Additional post-operative NP measurement enhanced risk stratification for the composite outcomes of death or nonfatal myocardial infarction at 30 days and ≥180 days after noncardiac surgery compared with a pre-operative NP measurement alone.","author":[{"dropping-particle":"","family":"Rodseth","given":"Reitze N.","non-dropping-particle":"","parse-names":false,"suffix":""},{"dropping-particle":"","family":"Biccard","given":"Bruce M.","non-dropping-particle":"","parse-names":false,"suffix":""},{"dropping-particle":"","family":"Manach","given":"Yannick","non-dropping-particle":"Le","parse-names":false,"suffix":""},{"dropping-particle":"","family":"Sessler","given":"Daniel I.","non-dropping-particle":"","parse-names":false,"suffix":""},{"dropping-particle":"","family":"Lurati Buse","given":"Giovana A.","non-dropping-particle":"","parse-names":false,"suffix":""},{"dropping-particle":"","family":"Thabane","given":"Lehana","non-dropping-particle":"","parse-names":false,"suffix":""},{"dropping-particle":"","family":"Schutt","given":"Robert C.","non-dropping-particle":"","parse-names":false,"suffix":""},{"dropping-particle":"","family":"Bolliger","given":"Daniel","non-dropping-particle":"","parse-names":false,"suffix":""},{"dropping-particle":"","family":"Cagini","given":"Lucio","non-dropping-particle":"","parse-names":false,"suffix":""},{"dropping-particle":"","family":"Cardinale","given":"Daniela","non-dropping-particle":"","parse-names":false,"suffix":""},{"dropping-particle":"","family":"Chong","given":"Carol P.W.","non-dropping-particle":"","parse-names":false,"suffix":""},{"dropping-particle":"","family":"Chu","given":"Rong","non-dropping-particle":"","parse-names":false,"suffix":""},{"dropping-particle":"","family":"Cnotliwy","given":"Miłosław","non-dropping-particle":"","parse-names":false,"suffix":""},{"dropping-particle":"","family":"Somma","given":"Salvatore","non-dropping-particle":"Di","parse-names":false,"suffix":""},{"dropping-particle":"","family":"Fahrner","given":"René","non-dropping-particle":"","parse-names":false,"suffix":""},{"dropping-particle":"","family":"Lim","given":"Wen Kwang","non-dropping-particle":"","parse-names":false,"suffix":""},{"dropping-particle":"","family":"Mahla","given":"Elisabeth","non-dropping-particle":"","parse-names":false,"suffix":""},{"dropping-particle":"","family":"Manikandan","given":"Ramaswamy","non-dropping-particle":"","parse-names":false,"suffix":""},{"dropping-particle":"","family":"Puma","given":"Francesco","non-dropping-particle":"","parse-names":false,"suffix":""},{"dropping-particle":"","family":"Pyun","given":"Wook B.","non-dropping-particle":"","parse-names":false,"suffix":""},{"dropping-particle":"","family":"Radović","given":"Milan","non-dropping-particle":"","parse-names":false,"suffix":""},{"dropping-particle":"","family":"Rajagopalan","given":"Sriram","non-dropping-particle":"","parse-names":false,"suffix":""},{"dropping-particle":"","family":"Suttie","given":"Stuart","non-dropping-particle":"","parse-names":false,"suffix":""},{"dropping-particle":"","family":"Vanniyasingam","given":"Thuvaraha","non-dropping-particle":"","parse-names":false,"suffix":""},{"dropping-particle":"","family":"Gaal","given":"William J.","non-dropping-particle":"Van","parse-names":false,"suffix":""},{"dropping-particle":"","family":"Waliszek","given":"Marek","non-dropping-particle":"","parse-names":false,"suffix":""},{"dropping-particle":"","family":"Devereaux","given":"P. J.","non-dropping-particle":"","parse-names":false,"suffix":""}],"container-title":"Journal of the American College of Cardiology","id":"ITEM-1","issue":"2","issued":{"date-parts":[["2014"]]},"page":"170-180","title":"The prognostic value of pre-operative and post-operative B-type natriuretic peptides in patients undergoing noncardiac surgery: B-type natriuretic peptide and N-terminal fragment of pro-B-type natriuretic peptide: A systematic review and individual patien","type":"article-journal","volume":"63"},"uris":["http://www.mendeley.com/documents/?uuid=a7c5dea0-a075-4196-9073-826d520f6ba1"]}],"mendeley":{"formattedCitation":"&lt;sup&gt;11&lt;/sup&gt;","plainTextFormattedCitation":"11","previouslyFormattedCitation":"&lt;sup&gt;11&lt;/sup&gt;"},"properties":{"noteIndex":0},"schema":"https://github.com/citation-style-language/schema/raw/master/csl-citation.json"}</w:instrText>
      </w:r>
      <w:r w:rsidR="00DD118F" w:rsidRPr="00B6585E">
        <w:rPr>
          <w:color w:val="000000" w:themeColor="text1"/>
        </w:rPr>
        <w:fldChar w:fldCharType="separate"/>
      </w:r>
      <w:bookmarkStart w:id="43" w:name="__Fieldmark__1627_2706913586"/>
      <w:bookmarkStart w:id="44" w:name="__Fieldmark__843_3246776249"/>
      <w:bookmarkStart w:id="45" w:name="__Fieldmark__1144_218254580"/>
      <w:r w:rsidR="00F37F12" w:rsidRPr="00B6585E">
        <w:rPr>
          <w:rFonts w:ascii="Arial" w:hAnsi="Arial" w:cs="Arial"/>
          <w:noProof/>
          <w:color w:val="000000" w:themeColor="text1"/>
          <w:sz w:val="22"/>
          <w:szCs w:val="22"/>
          <w:vertAlign w:val="superscript"/>
        </w:rPr>
        <w:t>11</w:t>
      </w:r>
      <w:r w:rsidR="00DD118F" w:rsidRPr="00B6585E">
        <w:rPr>
          <w:color w:val="000000" w:themeColor="text1"/>
        </w:rPr>
        <w:fldChar w:fldCharType="end"/>
      </w:r>
      <w:bookmarkEnd w:id="43"/>
      <w:bookmarkEnd w:id="44"/>
      <w:bookmarkEnd w:id="45"/>
      <w:r w:rsidR="00DD118F" w:rsidRPr="00B6585E">
        <w:rPr>
          <w:rFonts w:ascii="Arial" w:hAnsi="Arial" w:cs="Arial"/>
          <w:color w:val="000000" w:themeColor="text1"/>
          <w:sz w:val="22"/>
          <w:szCs w:val="22"/>
        </w:rPr>
        <w:t xml:space="preserve"> Furthermore, preoperative evaluation of NT-proBNP improves the prediction of adverse cardiac-events in the immediate postoperative period after major non-cardiac surgery.</w:t>
      </w:r>
      <w:r w:rsidR="00DD118F" w:rsidRPr="00B6585E">
        <w:rPr>
          <w:color w:val="000000" w:themeColor="text1"/>
        </w:rPr>
        <w:fldChar w:fldCharType="begin" w:fldLock="1"/>
      </w:r>
      <w:r w:rsidR="00DD118F" w:rsidRPr="00B6585E">
        <w:rPr>
          <w:color w:val="000000" w:themeColor="text1"/>
        </w:rPr>
        <w:instrText>ADDIN CSL_CITATION {"citationItems":[{"id":"ITEM-1","itemData":{"DOI":"10.1213/ANE.0000000000001736","ISBN":"0000000000","ISSN":"15267598","abstract":"BACKGROUND This study sought to determine whether preoperatively measured high-sensitivity cardiac troponin T (hs-cTnT) and N-terminal pro-brain natriuretic peptide (NT-proBNP) improve cardiac risk prediction in patients undergoing major noncardiac surgery compared with the standard risk indices. METHODS In this ancillary study to the Vitamins in Nitrous Oxide trial, patients were included who had preoperative hs-cTnT and NT-proBNP measured (n = 572). Study outcome was the incidence of postoperative myocardial infarction (MI) within the first 3 postoperative days. hs-cTnT was considered elevated if &gt;14 ng/L and NT-proBNP if &gt;300 ng/L. Additional cutoff values were investigated on the basis of receiver operating characteristic statistics. Biomarker risk prediction was compared with Lee's Revised Cardiac Risk Index (RCRI) with the use of standard methods and net reclassification index. RESULTS The addition of hs-cTnT (&gt;14 ng/L) and NT-proBNP (&gt;300 ng/L) to RCRI significantly improved the prediction of postoperative MI (event rate 30/572 [5.2%], Area under the receiver operating characteristic curve increased from 0.590 to 0.716 with a 0.66 net reclassification index [95% confidence interval 0.32-0.99], P &lt; .001). The use of 108 ng/L as a cutoff for NT-proBNP improved sensitivity compared with 300 ng/L (0.87 vs 0.53). Sensitivity, specificity, positive, and negative predictive value for hs-cTnT were 0.70, 0.60, 0.09, and 0.97 and for NT-proBNP were 0.53, 0.68, 0.08, and 0.96. CONCLUSIONS The addition of cardiac biomarkers hs-cTnT and NT-proBNP to RCRI improves the prediction of adverse cardiac events in the immediate postoperative period after major noncardiac surgery. The high negative predictive value of preoperative hs-cTnT and NT-proBNP suggest usefulness as a \"rule-out\" test to confirm low risk of postoperative MI.","author":[{"dropping-particle":"","family":"Kopec","given":"Michael","non-dropping-particle":"","parse-names":false,"suffix":""},{"dropping-particle":"","family":"Duma","given":"Andreas","non-dropping-particle":"","parse-names":false,"suffix":""},{"dropping-particle":"","family":"Helwani","given":"Mohammad A.","non-dropping-particle":"","parse-names":false,"suffix":""},{"dropping-particle":"","family":"Brown","given":"Jamie","non-dropping-particle":"","parse-names":false,"suffix":""},{"dropping-particle":"","family":"Brown","given":"Frank","non-dropping-particle":"","parse-names":false,"suffix":""},{"dropping-particle":"","family":"Gage","given":"Brian F.","non-dropping-particle":"","parse-names":false,"suffix":""},{"dropping-particle":"","family":"Gibson","given":"David W.","non-dropping-particle":"","parse-names":false,"suffix":""},{"dropping-particle":"","family":"Miller","given":"J. Philip","non-dropping-particle":"","parse-names":false,"suffix":""},{"dropping-particle":"","family":"Novak","given":"Eric","non-dropping-particle":"","parse-names":false,"suffix":""},{"dropping-particle":"","family":"Jaffe","given":"Allan S.","non-dropping-particle":"","parse-names":false,"suffix":""},{"dropping-particle":"","family":"Apple","given":"Fred S.","non-dropping-particle":"","parse-names":false,"suffix":""},{"dropping-particle":"","family":"Scott","given":"Mitchell G.","non-dropping-particle":"","parse-names":false,"suffix":""},{"dropping-particle":"","family":"Nagele","given":"Peter","non-dropping-particle":"","parse-names":false,"suffix":""}],"container-title":"Anesthesia and Analgesia","id":"ITEM-1","issue":"2","issued":{"date-parts":[["2017"]]},"page":"398-405","title":"Improving prediction of postoperative myocardial infarction with high-sensitivity cardiac troponin T and NT-proBNP","type":"article-journal","volume":"124"},"uris":["http://www.mendeley.com/documents/?uuid=732c2fca-4333-4301-a82e-81b25a464b52"]}],"mendeley":{"formattedCitation":"&lt;sup&gt;8&lt;/sup&gt;","plainTextFormattedCitation":"8","previouslyFormattedCitation":"&lt;sup&gt;8&lt;/sup&gt;"},"properties":{"noteIndex":0},"schema":"https://github.com/citation-style-language/schema/raw/master/csl-citation.json"}</w:instrText>
      </w:r>
      <w:r w:rsidR="00DD118F" w:rsidRPr="00B6585E">
        <w:rPr>
          <w:color w:val="000000" w:themeColor="text1"/>
        </w:rPr>
        <w:fldChar w:fldCharType="separate"/>
      </w:r>
      <w:bookmarkStart w:id="46" w:name="__Fieldmark__1638_2706913586"/>
      <w:r w:rsidR="00DD118F" w:rsidRPr="00B6585E">
        <w:rPr>
          <w:rFonts w:ascii="Arial" w:hAnsi="Arial" w:cs="Arial"/>
          <w:noProof/>
          <w:color w:val="000000" w:themeColor="text1"/>
          <w:sz w:val="22"/>
          <w:szCs w:val="22"/>
          <w:vertAlign w:val="superscript"/>
        </w:rPr>
        <w:t>8</w:t>
      </w:r>
      <w:bookmarkStart w:id="47" w:name="__Fieldmark__850_3246776249"/>
      <w:r w:rsidR="00DD118F" w:rsidRPr="00B6585E">
        <w:rPr>
          <w:color w:val="000000" w:themeColor="text1"/>
        </w:rPr>
        <w:fldChar w:fldCharType="end"/>
      </w:r>
      <w:bookmarkStart w:id="48" w:name="__Fieldmark__1150_218254580"/>
      <w:bookmarkEnd w:id="46"/>
      <w:bookmarkEnd w:id="47"/>
      <w:bookmarkEnd w:id="48"/>
      <w:r w:rsidR="00DD118F" w:rsidRPr="00B6585E">
        <w:rPr>
          <w:rFonts w:ascii="Arial" w:hAnsi="Arial" w:cs="Arial"/>
          <w:color w:val="000000" w:themeColor="text1"/>
          <w:sz w:val="22"/>
          <w:szCs w:val="22"/>
        </w:rPr>
        <w:t xml:space="preserve"> Perioperative NT-proBNP/BNP measurement is recommended for risk assessment in patients who are 65 years of age or older, </w:t>
      </w:r>
      <w:r w:rsidR="00FA4CF0" w:rsidRPr="00B6585E">
        <w:rPr>
          <w:rFonts w:ascii="Arial" w:hAnsi="Arial" w:cs="Arial"/>
          <w:color w:val="000000" w:themeColor="text1"/>
          <w:sz w:val="22"/>
          <w:szCs w:val="22"/>
        </w:rPr>
        <w:t xml:space="preserve">or </w:t>
      </w:r>
      <w:r w:rsidR="00DD118F" w:rsidRPr="00B6585E">
        <w:rPr>
          <w:rFonts w:ascii="Arial" w:hAnsi="Arial" w:cs="Arial"/>
          <w:color w:val="000000" w:themeColor="text1"/>
          <w:sz w:val="22"/>
          <w:szCs w:val="22"/>
        </w:rPr>
        <w:t>are 45-64 years of age with significant cardiovascular disease or have RCRI score &gt; 1 undergoing non-cardiac surgery.</w:t>
      </w:r>
      <w:r w:rsidR="00DD118F" w:rsidRPr="00B6585E">
        <w:rPr>
          <w:color w:val="000000" w:themeColor="text1"/>
        </w:rPr>
        <w:fldChar w:fldCharType="begin" w:fldLock="1"/>
      </w:r>
      <w:r w:rsidR="00934622" w:rsidRPr="00B6585E">
        <w:rPr>
          <w:color w:val="000000" w:themeColor="text1"/>
        </w:rPr>
        <w:instrText>ADDIN CSL_CITATION {"citationItems":[{"id":"ITEM-1","itemData":{"DOI":"10.1016/j.cjca.2016.09.008","ISSN":"0828282X","abstract":"The Canadian Cardiovascular Society Guidelines Committee and key Canadian opinion leaders believed there was a need for up to date guidelines that used the Grading of Recommendations Assessment, Development, and Evaluation (GRADE) system of evidence assessment for patients who undergo noncardiac surgery. Strong recommendations included: 1) measuring brain natriuretic peptide (BNP) or N-terminal fragment of proBNP (NT-proBNP) before surgery to enhance perioperative cardiac risk estimation in patients who are 65 years of age or older, are 45-64 years of age with significant cardiovascular disease, or have a Revised Cardiac Risk Index score ≥ 1; 2) against performing preoperative resting echocardiography, coronary computed tomography angiography, exercise or cardiopulmonary exercise testing, or pharmacological stress echocardiography or radionuclide imaging to enhance perioperative cardiac risk estimation; 3) against the initiation or continuation of acetylsalicylic acid for the prevention of perioperative cardiac events, except in patients with a recent coronary artery stent or who will undergo carotid endarterectomy; 4) against α2agonist or β-blocker initiation within 24 hours before surgery; 5) withholding angiotensin-converting enzyme inhibitor and angiotensin II receptor blocker starting 24 hours before surgery; 6) facilitating smoking cessation before surgery; 7) measuring daily troponin for 48 to 72 hours after surgery in patients with an elevated NT-proBNP/BNP measurement before surgery or if there is no NT-proBNP/BNP measurement before surgery, in those who have a Revised Cardiac Risk Index score ≥1, age 45-64 years with significant cardiovascular disease, or age 65 years or older; and 8) initiating of long-term acetylsalicylic acid and statin therapy in patients who suffer myocardial injury/infarction after surgery.","author":[{"dropping-particle":"","family":"Duceppe","given":"Emmanuelle","non-dropping-particle":"","parse-names":false,"suffix":""},{"dropping-particle":"","family":"Parlow","given":"Joel","non-dropping-particle":"","parse-names":false,"suffix":""},{"dropping-particle":"","family":"MacDonald","given":"Paul","non-dropping-particle":"","parse-names":false,"suffix":""},{"dropping-particle":"","family":"Lyons","given":"Kristin","non-dropping-particle":"","parse-names":false,"suffix":""},{"dropping-particle":"","family":"McMullen","given":"Michael","non-dropping-particle":"","parse-names":false,"suffix":""},{"dropping-particle":"","family":"Srinathan","given":"Sadeesh","non-dropping-particle":"","parse-names":false,"suffix":""},{"dropping-particle":"","family":"Graham","given":"Michelle","non-dropping-particle":"","parse-names":false,"suffix":""},{"dropping-particle":"","family":"Tandon","given":"Vikas","non-dropping-particle":"","parse-names":false,"suffix":""},{"dropping-particle":"","family":"Styles","given":"Kim","non-dropping-particle":"","parse-names":false,"suffix":""},{"dropping-particle":"","family":"Bessissow","given":"Amal","non-dropping-particle":"","parse-names":false,"suffix":""},{"dropping-particle":"","family":"Sessler","given":"Daniel I.","non-dropping-particle":"","parse-names":false,"suffix":""},{"dropping-particle":"","family":"Bryson","given":"Gregory","non-dropping-particle":"","parse-names":false,"suffix":""},{"dropping-particle":"","family":"Devereaux","given":"P. J.","non-dropping-particle":"","parse-names":false,"suffix":""}],"container-title":"Canadian Journal of Cardiology","id":"ITEM-1","issue":"1","issued":{"date-parts":[["2017"]]},"page":"17-32","publisher":"Canadian Cardiovascular Society","title":"Canadian Cardiovascular Society Guidelines on Perioperative Cardiac Risk Assessment and Management for Patients Who Undergo Noncardiac Surgery","type":"article-journal","volume":"33"},"uris":["http://www.mendeley.com/documents/?uuid=50eb2330-af25-4629-b7f9-3a7f9703699a"]}],"mendeley":{"formattedCitation":"&lt;sup&gt;12&lt;/sup&gt;","plainTextFormattedCitation":"12","previouslyFormattedCitation":"&lt;sup&gt;12&lt;/sup&gt;"},"properties":{"noteIndex":0},"schema":"https://github.com/citation-style-language/schema/raw/master/csl-citation.json"}</w:instrText>
      </w:r>
      <w:r w:rsidR="00DD118F" w:rsidRPr="00B6585E">
        <w:rPr>
          <w:color w:val="000000" w:themeColor="text1"/>
        </w:rPr>
        <w:fldChar w:fldCharType="separate"/>
      </w:r>
      <w:bookmarkStart w:id="49" w:name="__Fieldmark__1648_2706913586"/>
      <w:bookmarkStart w:id="50" w:name="__Fieldmark__857_3246776249"/>
      <w:bookmarkStart w:id="51" w:name="__Fieldmark__1163_218254580"/>
      <w:r w:rsidR="00F37F12" w:rsidRPr="00B6585E">
        <w:rPr>
          <w:rFonts w:ascii="Arial" w:hAnsi="Arial" w:cs="Arial"/>
          <w:noProof/>
          <w:color w:val="000000" w:themeColor="text1"/>
          <w:sz w:val="22"/>
          <w:szCs w:val="22"/>
          <w:vertAlign w:val="superscript"/>
        </w:rPr>
        <w:t>12</w:t>
      </w:r>
      <w:r w:rsidR="00DD118F" w:rsidRPr="00B6585E">
        <w:rPr>
          <w:color w:val="000000" w:themeColor="text1"/>
        </w:rPr>
        <w:fldChar w:fldCharType="end"/>
      </w:r>
      <w:bookmarkEnd w:id="49"/>
      <w:bookmarkEnd w:id="50"/>
      <w:bookmarkEnd w:id="51"/>
    </w:p>
    <w:p w14:paraId="7F11B59D" w14:textId="4B966D47" w:rsidR="00931A60" w:rsidRPr="00B6585E" w:rsidRDefault="00DD118F">
      <w:pPr>
        <w:widowControl w:val="0"/>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Troponin T is a further very well-established biomarker to assess myocardial injury after noncardiac surgery. </w:t>
      </w:r>
      <w:r w:rsidR="00A221DB" w:rsidRPr="00B6585E">
        <w:rPr>
          <w:rFonts w:ascii="Arial" w:hAnsi="Arial" w:cs="Arial"/>
          <w:color w:val="000000" w:themeColor="text1"/>
          <w:sz w:val="22"/>
          <w:szCs w:val="22"/>
        </w:rPr>
        <w:t>It is a strong predictor of perioperative mortality.</w:t>
      </w:r>
      <w:r w:rsidR="00A221DB" w:rsidRPr="00B6585E">
        <w:rPr>
          <w:color w:val="000000" w:themeColor="text1"/>
        </w:rPr>
        <w:fldChar w:fldCharType="begin" w:fldLock="1"/>
      </w:r>
      <w:r w:rsidR="00934622" w:rsidRPr="00B6585E">
        <w:rPr>
          <w:color w:val="000000" w:themeColor="text1"/>
        </w:rPr>
        <w:instrText>ADDIN CSL_CITATION {"citationItems":[{"id":"ITEM-1","itemData":{"DOI":"10.1001/jama.2012.5502","ISBN":"1538-3598 (Electronic)\\r0098-7484 (Linking)","ISSN":"1538-3598","PMID":"22706835","abstract":"Of the 200 million adults worldwide who undergo noncardiac surgery each year, more than 1 million will die within 30 days.","author":[{"dropping-particle":"","family":"Devereaux","given":"P J","non-dropping-particle":"","parse-names":false,"suffix":""},{"dropping-particle":"V","family":"Chan","given":"Matthew T","non-dropping-particle":"","parse-names":false,"suffix":""},{"dropping-particle":"","family":"Alonso-Coello","given":"Pablo","non-dropping-particle":"","parse-names":false,"suffix":""},{"dropping-particle":"","family":"Walsh","given":"Michael","non-dropping-particle":"","parse-names":false,"suffix":""},{"dropping-particle":"","family":"Berwanger","given":"Otavio","non-dropping-particle":"","parse-names":false,"suffix":""},{"dropping-particle":"","family":"Villar","given":"Juan Carlos","non-dropping-particle":"","parse-names":false,"suffix":""},{"dropping-particle":"","family":"Wang","given":"C Y","non-dropping-particle":"","parse-names":false,"suffix":""},{"dropping-particle":"","family":"Garutti","given":"R Ignacio","non-dropping-particle":"","parse-names":false,"suffix":""},{"dropping-particle":"","family":"Jacka","given":"Michael J","non-dropping-particle":"","parse-names":false,"suffix":""},{"dropping-particle":"","family":"Sigamani","given":"Alben","non-dropping-particle":"","parse-names":false,"suffix":""},{"dropping-particle":"","family":"Srinathan","given":"Sadeesh","non-dropping-particle":"","parse-names":false,"suffix":""},{"dropping-particle":"","family":"Biccard","given":"Bruce M","non-dropping-particle":"","parse-names":false,"suffix":""},{"dropping-particle":"","family":"Chow","given":"Clara K","non-dropping-particle":"","parse-names":false,"suffix":""},{"dropping-particle":"","family":"Abraham","given":"Valsa","non-dropping-particle":"","parse-names":false,"suffix":""},{"dropping-particle":"","family":"Tiboni","given":"Maria","non-dropping-particle":"","parse-names":false,"suffix":""},{"dropping-particle":"","family":"Pettit","given":"Shirley","non-dropping-particle":"","parse-names":false,"suffix":""},{"dropping-particle":"","family":"Szczeklik","given":"Wojciech","non-dropping-particle":"","parse-names":false,"suffix":""},{"dropping-particle":"","family":"Lurati Buse","given":"Giovanna","non-dropping-particle":"","parse-names":false,"suffix":""},{"dropping-particle":"","family":"Botto","given":"Fernando","non-dropping-particle":"","parse-names":false,"suffix":""},{"dropping-particle":"","family":"Guyatt","given":"Gordon","non-dropping-particle":"","parse-names":false,"suffix":""},{"dropping-particle":"","family":"Heels-Ansdell","given":"Diane","non-dropping-particle":"","parse-names":false,"suffix":""},{"dropping-particle":"","family":"Sessler","given":"Daniel I","non-dropping-particle":"","parse-names":false,"suffix":""},{"dropping-particle":"","family":"Thorlund","given":"Kristian","non-dropping-particle":"","parse-names":false,"suffix":""},{"dropping-particle":"","family":"Garg","given":"Amit X","non-dropping-particle":"","parse-names":false,"suffix":""},{"dropping-particle":"","family":"Mrkobrada","given":"Marko","non-dropping-particle":"","parse-names":false,"suffix":""},{"dropping-particle":"","family":"Thomas","given":"Sabu","non-dropping-particle":"","parse-names":false,"suffix":""},{"dropping-particle":"","family":"Rodseth","given":"Reitze N","non-dropping-particle":"","parse-names":false,"suffix":""},{"dropping-particle":"","family":"Pearse","given":"Rupert M","non-dropping-particle":"","parse-names":false,"suffix":""},{"dropping-particle":"","family":"Thabane","given":"Lehana","non-dropping-particle":"","parse-names":false,"suffix":""},{"dropping-particle":"","family":"McQueen","given":"Matthew J","non-dropping-particle":"","parse-names":false,"suffix":""},{"dropping-particle":"","family":"VanHelder","given":"Tomas","non-dropping-particle":"","parse-names":false,"suffix":""},{"dropping-particle":"","family":"Bhandari","given":"Mohit","non-dropping-particle":"","parse-names":false,"suffix":""},{"dropping-particle":"","family":"Bosch","given":"Jackie","non-dropping-particle":"","parse-names":false,"suffix":""},{"dropping-particle":"","family":"Kurz","given":"Andrea","non-dropping-particle":"","parse-names":false,"suffix":""},{"dropping-particle":"","family":"Polanczyk","given":"Carisi","non-dropping-particle":"","parse-names":false,"suffix":""},{"dropping-particle":"","family":"Malaga","given":"German","non-dropping-particle":"","parse-names":false,"suffix":""},{"dropping-particle":"","family":"Nagele","given":"Peter","non-dropping-particle":"","parse-names":false,"suffix":""},{"dropping-particle":"","family":"Manach","given":"Yannick","non-dropping-particle":"Le","parse-names":false,"suffix":""},{"dropping-particle":"","family":"Leuwer","given":"Martin","non-dropping-particle":"","parse-names":false,"suffix":""},{"dropping-particle":"","family":"Yusuf","given":"Salim","non-dropping-particle":"","parse-names":false,"suffix":""}],"container-title":"JAMA : the journal of the American Medical Association","id":"ITEM-1","issue":"21","issued":{"date-parts":[["2012"]]},"page":"2295-304","title":"Association between postoperative troponin levels and 30-day mortality among patients undergoing noncardiac surgery.","type":"article-journal","volume":"307"},"uris":["http://www.mendeley.com/documents/?uuid=cadc7240-2dea-4181-b914-881c664461a7"]},{"id":"ITEM-2","itemData":{"DOI":"10.1001/jama.2017.4360","ISBN":"1538-3598 (Electronic)\r0098-7484 (Linking)","ISSN":"15383598","PMID":"10687691","abstract":"Importance Little is known about the relationship between perioperative high-sensitivity troponin T (hsTnT) measurements and 30-day mortality and myocardial injury after noncardiac surgery (MINS). Objective To determine the association between perioperative hsTnT measurements and 30-day mortality and potential diagnostic criteria for MINS (ie, myocardial injury due to ischemia associated with 30-day mortality). Design, Setting, and Participants Prospective cohort study of patients aged 45 years or older who underwent inpatient noncardiac surgery and had a postoperative hsTnT measurement. Starting in October 2008, participants were recruited at 23 centers in 13 countries; follow-up finished in December 2013. Exposures Patients had hsTnT measurements 6 to 12 hours after surgery and daily for 3 days; 40.4% had a preoperative hsTnT measurement. Main Outcomes and Measures A modified Mazumdar approach (an iterative process) was used to determine if there were hsTnT thresholds associated with risk of death and had an adjusted hazard ratio (HR) of 3.0 or higher and a risk of 30-day mortality of 3% or higher. To determine potential diagnostic criteria for MINS, regression analyses ascertained if postoperative hsTnT elevations required an ischemic feature (eg, ischemic symptom or electrocardiography finding) to be associated with 30-day mortality. Results Among 21 842 participants, the mean age was 63.1 (SD, 10.7) years and 49.1% were female. Death within 30 days after surgery occurred in 266 patients (1.2%; 95% CI, 1.1%-1.4%). Multivariable analysis demonstrated that compared with the reference group (peak hsTnT &lt;5 ng/L), peak postoperative hsTnT levels of 20 to less than 65 ng/L, 65 to less than 1000 ng/L, and 1000 ng/L or higher had 30-day mortality rates of 3.0% (123/4049; 95% CI, 2.6%-3.6%), 9.1% (102/1118; 95% CI, 7.6%-11.0%), and 29.6% (16/54; 95% CI, 19.1%-42.8%), with corresponding adjusted HRs of 23.63 (95% CI, 10.32-54.09), 70.34 (95% CI, 30.60-161.71), and 227.01 (95% CI, 87.35-589.92), respectively. An absolute hsTnT change of 5 ng/L or higher was associated with an increased risk of 30-day mortality (adjusted HR, 4.69; 95% CI, 3.52-6.25). An elevated postoperative hsTnT (ie, 20 to &lt;65 ng/L with an absolute change ≥5 ng/L or hsTnT ≥65 ng/L) without an ischemic feature was associated with 30-day mortality (adjusted HR, 3.20; 95% CI, 2.37-4.32). Among the 3904 patients (17.9%; 95% CI, 17.4%-18.4%) with MINS, 3633 (93.1%; 95% CI, 92.2%-93.8%) did not ex…","author":[{"dropping-particle":"","family":"Devereaux","given":"P. J.","non-dropping-particle":"","parse-names":false,"suffix":""},{"dropping-particle":"","family":"Biccard","given":"Bruce M.","non-dropping-particle":"","parse-names":false,"suffix":""},{"dropping-particle":"","family":"Sigamani","given":"Alben","non-dropping-particle":"","parse-names":false,"suffix":""},{"dropping-particle":"","family":"Xavier","given":"Denis","non-dropping-particle":"","parse-names":false,"suffix":""},{"dropping-particle":"","family":"Chan","given":"Matthew T.V.","non-dropping-particle":"","parse-names":false,"suffix":""},{"dropping-particle":"","family":"Srinathan","given":"Sadeesh K.","non-dropping-particle":"","parse-names":false,"suffix":""},{"dropping-particle":"","family":"Walsh","given":"Michael","non-dropping-particle":"","parse-names":false,"suffix":""},{"dropping-particle":"","family":"Abraham","given":"Valsa","non-dropping-particle":"","parse-names":false,"suffix":""},{"dropping-particle":"","family":"Pearse","given":"Rupert","non-dropping-particle":"","parse-names":false,"suffix":""},{"dropping-particle":"","family":"Wang","given":"C. Y.","non-dropping-particle":"","parse-names":false,"suffix":""},{"dropping-particle":"","family":"Sessler","given":"Daniel I.","non-dropping-particle":"","parse-names":false,"suffix":""},{"dropping-particle":"","family":"Kurz","given":"Andrea","non-dropping-particle":"","parse-names":false,"suffix":""},{"dropping-particle":"","family":"Szczeklik","given":"Wojciech","non-dropping-particle":"","parse-names":false,"suffix":""},{"dropping-particle":"","family":"Berwanger","given":"Otavio","non-dropping-particle":"","parse-names":false,"suffix":""},{"dropping-particle":"","family":"Villar","given":"Juan Carlos","non-dropping-particle":"","parse-names":false,"suffix":""},{"dropping-particle":"","family":"Malaga","given":"German","non-dropping-particle":"","parse-names":false,"suffix":""},{"dropping-particle":"","family":"Garg","given":"Amit X.","non-dropping-particle":"","parse-names":false,"suffix":""},{"dropping-particle":"","family":"Chow","given":"Clara K.","non-dropping-particle":"","parse-names":false,"suffix":""},{"dropping-particle":"","family":"Ackland","given":"Gareth","non-dropping-particle":"","parse-names":false,"suffix":""},{"dropping-particle":"","family":"Patel","given":"Ameen","non-dropping-particle":"","parse-names":false,"suffix":""},{"dropping-particle":"","family":"Borges","given":"Flavia Kessler","non-dropping-particle":"","parse-names":false,"suffix":""},{"dropping-particle":"","family":"Belley-Cote","given":"Emilie P.","non-dropping-particle":"","parse-names":false,"suffix":""},{"dropping-particle":"","family":"Duceppe","given":"Emmanuelle","non-dropping-particle":"","parse-names":false,"suffix":""},{"dropping-particle":"","family":"Spence","given":"Jessica","non-dropping-particle":"","parse-names":false,"suffix":""},{"dropping-particle":"","family":"Tandon","given":"Vikas","non-dropping-particle":"","parse-names":false,"suffix":""},{"dropping-particle":"","family":"Williams","given":"Colin","non-dropping-particle":"","parse-names":false,"suffix":""},{"dropping-particle":"","family":"Sapsford","given":"Robert J.","non-dropping-particle":"","parse-names":false,"suffix":""},{"dropping-particle":"","family":"Polanczyk","given":"Carisi A.","non-dropping-particle":"","parse-names":false,"suffix":""},{"dropping-particle":"","family":"Tiboni","given":"Maria","non-dropping-particle":"","parse-names":false,"suffix":""},{"dropping-particle":"","family":"Alonso-Coello","given":"Pablo","non-dropping-particle":"","parse-names":false,"suffix":""},{"dropping-particle":"","family":"Faruqui","given":"Atiya","non-dropping-particle":"","parse-names":false,"suffix":""},{"dropping-particle":"","family":"Heels-Ansdell","given":"DIane","non-dropping-particle":"","parse-names":false,"suffix":""},{"dropping-particle":"","family":"Lamy","given":"Andre","non-dropping-particle":"","parse-names":false,"suffix":""},{"dropping-particle":"","family":"Whitlock","given":"Richard","non-dropping-particle":"","parse-names":false,"suffix":""},{"dropping-particle":"","family":"LeManach","given":"Yannick","non-dropping-particle":"","parse-names":false,"suffix":""},{"dropping-particle":"","family":"Roshanov","given":"Pavel S.","non-dropping-particle":"","parse-names":false,"suffix":""},{"dropping-particle":"","family":"McGillion","given":"Michael","non-dropping-particle":"","parse-names":false,"suffix":""},{"dropping-particle":"","family":"Kavsak","given":"Peter","non-dropping-particle":"","parse-names":false,"suffix":""},{"dropping-particle":"","family":"McQueen","given":"Matthew J.","non-dropping-particle":"","parse-names":false,"suffix":""},{"dropping-particle":"","family":"Thabane","given":"Lehana","non-dropping-particle":"","parse-names":false,"suffix":""},{"dropping-particle":"","family":"Rodseth","given":"Reitze N.","non-dropping-particle":"","parse-names":false,"suffix":""},{"dropping-particle":"","family":"Buse","given":"Giovanna A.Lurati","non-dropping-particle":"","parse-names":false,"suffix":""},{"dropping-particle":"","family":"Bhandari","given":"Mohit","non-dropping-particle":"","parse-names":false,"suffix":""},{"dropping-particle":"","family":"Garutti","given":"Ignacia","non-dropping-particle":"","parse-names":false,"suffix":""},{"dropping-particle":"","family":"Jacka","given":"Michael J.","non-dropping-particle":"","parse-names":false,"suffix":""},{"dropping-particle":"","family":"Schünemann","given":"Holger J.","non-dropping-particle":"","parse-names":false,"suffix":""},{"dropping-particle":"","family":"Cortes","given":"Olga Luciá","non-dropping-particle":"","parse-names":false,"suffix":""},{"dropping-particle":"","family":"Coriat","given":"Pierre","non-dropping-particle":"","parse-names":false,"suffix":""},{"dropping-particle":"","family":"Dvirnik","given":"Nazari","non-dropping-particle":"","parse-names":false,"suffix":""},{"dropping-particle":"","family":"Botto","given":"Fernando","non-dropping-particle":"","parse-names":false,"suffix":""},{"dropping-particle":"","family":"Pettit","given":"Shirley","non-dropping-particle":"","parse-names":false,"suffix":""},{"dropping-particle":"","family":"Jaffe","given":"Allan S.","non-dropping-particle":"","parse-names":false,"suffix":""},{"dropping-particle":"","family":"Guyatt","given":"Gordon H.","non-dropping-particle":"","parse-names":false,"suffix":""}],"container-title":"JAMA - Journal of the American Medical Association","id":"ITEM-2","issue":"16","issued":{"date-parts":[["2017"]]},"page":"1642-1651","title":"Association of postoperative high-sensitivity troponin levels with myocardial injury and 30-day mortality among patients undergoing noncardiac surgery","type":"article-journal","volume":"317"},"uris":["http://www.mendeley.com/documents/?uuid=8b0cc2f6-4ca4-4a78-b1f4-ab561372aece"]}],"mendeley":{"formattedCitation":"&lt;sup&gt;4 13&lt;/sup&gt;","plainTextFormattedCitation":"4 13","previouslyFormattedCitation":"&lt;sup&gt;4 13&lt;/sup&gt;"},"properties":{"noteIndex":0},"schema":"https://github.com/citation-style-language/schema/raw/master/csl-citation.json"}</w:instrText>
      </w:r>
      <w:r w:rsidR="00A221DB" w:rsidRPr="00B6585E">
        <w:rPr>
          <w:color w:val="000000" w:themeColor="text1"/>
        </w:rPr>
        <w:fldChar w:fldCharType="separate"/>
      </w:r>
      <w:bookmarkStart w:id="52" w:name="__Fieldmark__1603_2706913586"/>
      <w:bookmarkStart w:id="53" w:name="__Fieldmark__827_3246776249"/>
      <w:bookmarkStart w:id="54" w:name="__Fieldmark__1122_218254580"/>
      <w:r w:rsidR="00F37F12" w:rsidRPr="00B6585E">
        <w:rPr>
          <w:rFonts w:ascii="Arial" w:hAnsi="Arial" w:cs="Arial"/>
          <w:noProof/>
          <w:color w:val="000000" w:themeColor="text1"/>
          <w:sz w:val="22"/>
          <w:szCs w:val="22"/>
          <w:vertAlign w:val="superscript"/>
        </w:rPr>
        <w:t>4 13</w:t>
      </w:r>
      <w:r w:rsidR="00A221DB" w:rsidRPr="00B6585E">
        <w:rPr>
          <w:color w:val="000000" w:themeColor="text1"/>
        </w:rPr>
        <w:fldChar w:fldCharType="end"/>
      </w:r>
      <w:bookmarkEnd w:id="52"/>
      <w:bookmarkEnd w:id="53"/>
      <w:bookmarkEnd w:id="54"/>
      <w:r w:rsidR="00A221DB" w:rsidRPr="00B6585E">
        <w:rPr>
          <w:rFonts w:ascii="Arial" w:hAnsi="Arial" w:cs="Arial"/>
          <w:color w:val="000000" w:themeColor="text1"/>
          <w:sz w:val="22"/>
          <w:szCs w:val="22"/>
        </w:rPr>
        <w:t xml:space="preserve"> </w:t>
      </w:r>
    </w:p>
    <w:p w14:paraId="65714FE1" w14:textId="06F588F9" w:rsidR="00931A60" w:rsidRPr="00B6585E" w:rsidRDefault="00A221DB">
      <w:pPr>
        <w:widowControl w:val="0"/>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 meta-analysis of 2179 patients revealed that </w:t>
      </w:r>
      <w:r w:rsidRPr="00B6585E">
        <w:rPr>
          <w:rFonts w:ascii="Arial" w:hAnsi="Arial" w:cs="Arial"/>
          <w:i/>
          <w:color w:val="000000" w:themeColor="text1"/>
          <w:sz w:val="22"/>
          <w:szCs w:val="22"/>
        </w:rPr>
        <w:t>postoperative</w:t>
      </w:r>
      <w:r w:rsidRPr="00B6585E">
        <w:rPr>
          <w:rFonts w:ascii="Arial" w:hAnsi="Arial" w:cs="Arial"/>
          <w:color w:val="000000" w:themeColor="text1"/>
          <w:sz w:val="22"/>
          <w:szCs w:val="22"/>
        </w:rPr>
        <w:t xml:space="preserve"> BNP values over 92 ng/L or NT-proBNP over 300 ng/L w</w:t>
      </w:r>
      <w:r w:rsidR="00646915" w:rsidRPr="00B6585E">
        <w:rPr>
          <w:rFonts w:ascii="Arial" w:hAnsi="Arial" w:cs="Arial"/>
          <w:color w:val="000000" w:themeColor="text1"/>
          <w:sz w:val="22"/>
          <w:szCs w:val="22"/>
        </w:rPr>
        <w:t>ere</w:t>
      </w:r>
      <w:r w:rsidRPr="00B6585E">
        <w:rPr>
          <w:rFonts w:ascii="Arial" w:hAnsi="Arial" w:cs="Arial"/>
          <w:color w:val="000000" w:themeColor="text1"/>
          <w:sz w:val="22"/>
          <w:szCs w:val="22"/>
        </w:rPr>
        <w:t xml:space="preserve"> the strongest independent predictor of 30 day mortality and nonfatal myocardial infarction (MI).</w:t>
      </w:r>
      <w:r w:rsidRPr="00B6585E">
        <w:rPr>
          <w:color w:val="000000" w:themeColor="text1"/>
        </w:rPr>
        <w:fldChar w:fldCharType="begin" w:fldLock="1"/>
      </w:r>
      <w:r w:rsidRPr="00B6585E">
        <w:rPr>
          <w:color w:val="000000" w:themeColor="text1"/>
        </w:rPr>
        <w:instrText>ADDIN CSL_CITATION {"citationItems":[{"id":"ITEM-1","itemData":{"DOI":"10.1097/ALN.0b013e31829083f1","ISBN":"1528-1175 (Electronic)\\r0003-3022 (Linking)","ISSN":"1528-1175","PMID":"23528538","abstract":"BACKGROUND: It is unclear whether postoperative B-type natriuretic peptides (i.e., BNP and N-terminal proBNP) can predict cardiovascular complications in noncardiac surgery. METHODS: The authors undertook a systematic review and individual patient data meta-analysis to determine whether postoperative BNPs predict postoperative cardiovascular complications at 30 and 180 days or more. RESULTS: The authors identified 18 eligible studies (n = 2,051). For the primary outcome of 30-day mortality or nonfatal myocardial infarction, BNP of 245 pg/ml had an area under the curve of 0.71 (95% CI, 0.64-0.78), and N-terminal proBNP of 718 pg/ml had an area under the curve of 0.80 (95% CI, 0.77-0.84). These thresholds independently predicted 30-day mortality or nonfatal myocardial infarction (adjusted odds ratio [AOR] 4.5; 95% CI, 2.74-7.4; P &lt; 0.001), mortality (AOR, 4.2; 95% CI, 2.29-7.69; P &lt; 0.001), cardiac mortality (AOR, 9.4; 95% CI, 0.32-254.34; P &lt; 0.001), and cardiac failure (AOR, 18.5; 95% CI, 4.55-75.29; P &lt; 0.001). For greater than or equal to 180-day outcomes, natriuretic peptides independently predicted mortality or nonfatal myocardial infarction (AOR, 3.3; 95% CI, 2.58-4.3; P &lt; 0.001), mortality (AOR, 2.2; 95% CI, 1.67-86; P &lt; 0.001), cardiac mortality (AOR, 2.1; 95% CI, 0.05-1,385.17; P &lt; 0.001), and cardiac failure (AOR, 3.5; 95% CI, 1.0-9.34; P = 0.022). Patients with BNP values of 0-250, greater than 250-400, and greater than 400 pg/ml suffered the primary outcome at a rate of 6.6, 15.7, and 29.5%, respectively. Patients with N-terminal proBNP values of 0-300, greater than 300-900, and greater than 900 pg/ml suffered the primary outcome at a rate of 1.8, 8.7, and 27%, respectively. CONCLUSIONS: Increased postoperative BNPs are independently associated with adverse cardiac events after noncardiac surgery.","author":[{"dropping-particle":"","family":"Rodseth","given":"R N","non-dropping-particle":"","parse-names":false,"suffix":""},{"dropping-particle":"","family":"Biccard","given":"B M","non-dropping-particle":"","parse-names":false,"suffix":""},{"dropping-particle":"","family":"Chu","given":"R","non-dropping-particle":"","parse-names":false,"suffix":""},{"dropping-particle":"","family":"Lurati Buse","given":"G A","non-dropping-particle":"","parse-names":false,"suffix":""},{"dropping-particle":"","family":"Thabane","given":"L","non-dropping-particle":"","parse-names":false,"suffix":""},{"dropping-particle":"","family":"Bakhai","given":"A","non-dropping-particle":"","parse-names":false,"suffix":""},{"dropping-particle":"","family":"Bolliger","given":"D","non-dropping-particle":"","parse-names":false,"suffix":""},{"dropping-particle":"","family":"Cagini","given":"L","non-dropping-particle":"","parse-names":false,"suffix":""},{"dropping-particle":"","family":"Cahill","given":"T J","non-dropping-particle":"","parse-names":false,"suffix":""},{"dropping-particle":"","family":"Cardinale","given":"D","non-dropping-particle":"","parse-names":false,"suffix":""},{"dropping-particle":"","family":"Chong","given":"C P","non-dropping-particle":"","parse-names":false,"suffix":""},{"dropping-particle":"","family":"Cnotliwy","given":"M","non-dropping-particle":"","parse-names":false,"suffix":""},{"dropping-particle":"","family":"Somma","given":"S","non-dropping-particle":"Di","parse-names":false,"suffix":""},{"dropping-particle":"","family":"Fahrner","given":"R","non-dropping-particle":"","parse-names":false,"suffix":""},{"dropping-particle":"","family":"Lim","given":"W K","non-dropping-particle":"","parse-names":false,"suffix":""},{"dropping-particle":"","family":"Mahla","given":"E","non-dropping-particle":"","parse-names":false,"suffix":""},{"dropping-particle":"","family":"Manach","given":"Y","non-dropping-particle":"Le","parse-names":false,"suffix":""},{"dropping-particle":"","family":"Manikandan","given":"R","non-dropping-particle":"","parse-names":false,"suffix":""},{"dropping-particle":"","family":"Pyun","given":"W B","non-dropping-particle":"","parse-names":false,"suffix":""},{"dropping-particle":"","family":"Rajagopalan","given":"S","non-dropping-particle":"","parse-names":false,"suffix":""},{"dropping-particle":"","family":"Radovic","given":"M","non-dropping-particle":"","parse-names":false,"suffix":""},{"dropping-particle":"","family":"Schutt","given":"R C","non-dropping-particle":"","parse-names":false,"suffix":""},{"dropping-particle":"","family":"Sessler","given":"D I","non-dropping-particle":"","parse-names":false,"suffix":""},{"dropping-particle":"","family":"Suttie","given":"S","non-dropping-particle":"","parse-names":false,"suffix":""},{"dropping-particle":"","family":"Vanniyasingam","given":"T","non-dropping-particle":"","parse-names":false,"suffix":""},{"dropping-particle":"","family":"Waliszek","given":"M","non-dropping-particle":"","parse-names":false,"suffix":""},{"dropping-particle":"","family":"Devereaux","given":"P J","non-dropping-particle":"","parse-names":false,"suffix":""}],"container-title":"Anesthesiology","id":"ITEM-1","issue":"2","issued":{"date-parts":[["2013"]]},"page":"270-283","title":"Postoperative B-type natriuretic peptide for prediction of major cardiac events in patients undergoing noncardiac surgery: systematic review and individual patient meta-analysis","type":"article-journal","volume":"119"},"uris":["http://www.mendeley.com/documents/?uuid=840c407d-bb53-44da-8a05-6ddc9c759bb2"]}],"mendeley":{"formattedCitation":"&lt;sup&gt;7&lt;/sup&gt;","plainTextFormattedCitation":"7","previouslyFormattedCitation":"&lt;sup&gt;7&lt;/sup&gt;"},"properties":{"noteIndex":0},"schema":"https://github.com/citation-style-language/schema/raw/master/csl-citation.json"}</w:instrText>
      </w:r>
      <w:r w:rsidRPr="00B6585E">
        <w:rPr>
          <w:color w:val="000000" w:themeColor="text1"/>
        </w:rPr>
        <w:fldChar w:fldCharType="separate"/>
      </w:r>
      <w:bookmarkStart w:id="55" w:name="__Fieldmark__1661_2706913586"/>
      <w:r w:rsidRPr="00B6585E">
        <w:rPr>
          <w:rFonts w:ascii="Arial" w:hAnsi="Arial" w:cs="Arial"/>
          <w:noProof/>
          <w:color w:val="000000" w:themeColor="text1"/>
          <w:sz w:val="22"/>
          <w:szCs w:val="22"/>
          <w:vertAlign w:val="superscript"/>
        </w:rPr>
        <w:t>7</w:t>
      </w:r>
      <w:bookmarkStart w:id="56" w:name="__Fieldmark__866_3246776249"/>
      <w:r w:rsidRPr="00B6585E">
        <w:rPr>
          <w:color w:val="000000" w:themeColor="text1"/>
        </w:rPr>
        <w:fldChar w:fldCharType="end"/>
      </w:r>
      <w:bookmarkStart w:id="57" w:name="__Fieldmark__1176_218254580"/>
      <w:bookmarkEnd w:id="55"/>
      <w:bookmarkEnd w:id="56"/>
      <w:bookmarkEnd w:id="57"/>
      <w:r w:rsidRPr="00B6585E">
        <w:rPr>
          <w:rFonts w:ascii="Arial" w:hAnsi="Arial" w:cs="Arial"/>
          <w:color w:val="000000" w:themeColor="text1"/>
          <w:sz w:val="22"/>
          <w:szCs w:val="22"/>
        </w:rPr>
        <w:t xml:space="preserve"> Interestingly, in one of our previous studies we detected increased postoperative BNP values even in a relatively healthy patient population (RCRI &lt; 2) during moderate to high risk abdominal surgery. (data not yet published) </w:t>
      </w:r>
    </w:p>
    <w:p w14:paraId="471250B7" w14:textId="605BE066" w:rsidR="00931A60" w:rsidRPr="00B6585E" w:rsidRDefault="00A221DB">
      <w:pPr>
        <w:widowControl w:val="0"/>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Levosimendan is a positive inotropic </w:t>
      </w:r>
      <w:r w:rsidR="00646915" w:rsidRPr="00B6585E">
        <w:rPr>
          <w:rFonts w:ascii="Arial" w:hAnsi="Arial" w:cs="Arial"/>
          <w:color w:val="000000" w:themeColor="text1"/>
          <w:sz w:val="22"/>
          <w:szCs w:val="22"/>
        </w:rPr>
        <w:t xml:space="preserve">drug </w:t>
      </w:r>
      <w:r w:rsidRPr="00B6585E">
        <w:rPr>
          <w:rFonts w:ascii="Arial" w:hAnsi="Arial" w:cs="Arial"/>
          <w:color w:val="000000" w:themeColor="text1"/>
          <w:sz w:val="22"/>
          <w:szCs w:val="22"/>
        </w:rPr>
        <w:t xml:space="preserve">with a duration of action of approximately 7 days after a single dose administration.  Therefore, it might be an option to improve cardiac function in patients with increased cardiovascular risk factors specifically during the </w:t>
      </w:r>
      <w:r w:rsidR="00210B49" w:rsidRPr="00B6585E">
        <w:rPr>
          <w:rFonts w:ascii="Arial" w:hAnsi="Arial" w:cs="Arial"/>
          <w:color w:val="000000" w:themeColor="text1"/>
          <w:sz w:val="22"/>
          <w:szCs w:val="22"/>
        </w:rPr>
        <w:t>crucial</w:t>
      </w:r>
      <w:r w:rsidRPr="00B6585E">
        <w:rPr>
          <w:rFonts w:ascii="Arial" w:hAnsi="Arial" w:cs="Arial"/>
          <w:color w:val="000000" w:themeColor="text1"/>
          <w:sz w:val="22"/>
          <w:szCs w:val="22"/>
        </w:rPr>
        <w:t xml:space="preserve"> perioperative period. In previous trials, the intraoperative administration of levosimendan reduced the length of </w:t>
      </w:r>
      <w:r w:rsidR="00646915" w:rsidRPr="00B6585E">
        <w:rPr>
          <w:rFonts w:ascii="Arial" w:hAnsi="Arial" w:cs="Arial"/>
          <w:color w:val="000000" w:themeColor="text1"/>
          <w:sz w:val="22"/>
          <w:szCs w:val="22"/>
        </w:rPr>
        <w:t>ICU days and</w:t>
      </w:r>
      <w:r w:rsidRPr="00B6585E">
        <w:rPr>
          <w:rFonts w:ascii="Arial" w:hAnsi="Arial" w:cs="Arial"/>
          <w:color w:val="000000" w:themeColor="text1"/>
          <w:sz w:val="22"/>
          <w:szCs w:val="22"/>
        </w:rPr>
        <w:t>, decrease</w:t>
      </w:r>
      <w:r w:rsidR="00646915" w:rsidRPr="00B6585E">
        <w:rPr>
          <w:rFonts w:ascii="Arial" w:hAnsi="Arial" w:cs="Arial"/>
          <w:color w:val="000000" w:themeColor="text1"/>
          <w:sz w:val="22"/>
          <w:szCs w:val="22"/>
        </w:rPr>
        <w:t>d</w:t>
      </w:r>
      <w:r w:rsidRPr="00B6585E">
        <w:rPr>
          <w:rFonts w:ascii="Arial" w:hAnsi="Arial" w:cs="Arial"/>
          <w:color w:val="000000" w:themeColor="text1"/>
          <w:sz w:val="22"/>
          <w:szCs w:val="22"/>
        </w:rPr>
        <w:t xml:space="preserve"> the need of other inotropic and vasopressor therapies, and increase</w:t>
      </w:r>
      <w:r w:rsidR="008B252F" w:rsidRPr="00B6585E">
        <w:rPr>
          <w:rFonts w:ascii="Arial" w:hAnsi="Arial" w:cs="Arial"/>
          <w:color w:val="000000" w:themeColor="text1"/>
          <w:sz w:val="22"/>
          <w:szCs w:val="22"/>
        </w:rPr>
        <w:t>d</w:t>
      </w:r>
      <w:r w:rsidRPr="00B6585E">
        <w:rPr>
          <w:rFonts w:ascii="Arial" w:hAnsi="Arial" w:cs="Arial"/>
          <w:color w:val="000000" w:themeColor="text1"/>
          <w:sz w:val="22"/>
          <w:szCs w:val="22"/>
        </w:rPr>
        <w:t xml:space="preserve"> left ventricular ejection fraction. </w:t>
      </w:r>
      <w:r w:rsidRPr="00B6585E">
        <w:rPr>
          <w:color w:val="000000" w:themeColor="text1"/>
        </w:rPr>
        <w:fldChar w:fldCharType="begin" w:fldLock="1"/>
      </w:r>
      <w:r w:rsidRPr="00B6585E">
        <w:rPr>
          <w:color w:val="000000" w:themeColor="text1"/>
        </w:rPr>
        <w:instrText>ADDIN CSL_CITATION {"citationItems":[{"id":"ITEM-1","itemData":{"DOI":"10.1093/bja/aen367","ISSN":"14716771","PMID":"19151048","abstract":"BACKGROUND: The calcium sensitizer levosimendan has anti-ischaemic effects mediated via the opening of sarcolemmal and mitochondrial ATP-sensitive potassium channels. These properties suggest potential application in clinical situations where cardioprotection would be beneficial, such as cardiac surgery. We thus decided to investigate whether pharmacological pre-treatment with levosimendan reduces intensive care unit (ICU) length of stay in patients undergoing elective myocardial revascularization under cardiopulmonary bypass. METHODS: One hundred and six patients undergoing elective coronary artery bypass grafting were randomly assigned in a double-blind manner to receive levosimendan or placebo. Levosimendan (24 microg kg(-1)) or placebo was administered as a slow i.v. bolus over a 10 min period before the initiation of bypass. RESULTS: Tracheal intubation time and the length of ICU stay were significantly reduced in the levosimendan group (P&lt;0.01). The number of patients needing inotropic support for &gt;12 h was significantly higher in the control group (18.0% vs 3.8%; P=0.021). Compared with control patients, levosimendan-treated patients had lower postoperative troponin I concentrations (P&lt;0.0001) and a higher cardiac power index (P&lt;0.0001). CONCLUSIONS: Pre-treatment with levosimendan in patients undergoing surgical myocardial revascularization resulted in less myocardial injury, a reduction in tracheal intubation time, less requirement for inotropic support, and a shorter length of ICU stay.","author":[{"dropping-particle":"","family":"Tritapepe","given":"L.","non-dropping-particle":"","parse-names":false,"suffix":""},{"dropping-particle":"","family":"Santis","given":"V.","non-dropping-particle":"De","parse-names":false,"suffix":""},{"dropping-particle":"","family":"Vitale","given":"D.","non-dropping-particle":"","parse-names":false,"suffix":""},{"dropping-particle":"","family":"Guarracino","given":"F.","non-dropping-particle":"","parse-names":false,"suffix":""},{"dropping-particle":"","family":"Pellegrini","given":"F.","non-dropping-particle":"","parse-names":false,"suffix":""},{"dropping-particle":"","family":"Pietropaoli","given":"P.","non-dropping-particle":"","parse-names":false,"suffix":""},{"dropping-particle":"","family":"Singer","given":"M.","non-dropping-particle":"","parse-names":false,"suffix":""}],"container-title":"British Journal of Anaesthesia","id":"ITEM-1","issue":"2","issued":{"date-parts":[["2009"]]},"page":"198-204","publisher":"British Journal of Anaesthesia","title":"Levosimendan pre-treatment improves outcomes in patients undergoing coronary artery bypass graft surgery","type":"article-journal","volume":"102"},"uris":["http://www.mendeley.com/documents/?uuid=03ea5ac8-7880-4668-9403-e7079d86cacc"]},{"id":"ITEM-2","itemData":{"ISSN":"12056626","PMID":"23620700","abstract":"D espite the reduction in perioperative mortality observed over the past two decades, the risk of performing cardiac surgery in patients with coronary artery disease (CAD) and severe left ventricular dysfunc-tion (SLVD) remains high, especially with regard to the likelihood of developing postoperative low cardiac output syndrome (LCOS) (1-4). Concern regarding postoperative LCOS, along with an increasing num-ber of patients with SLVD being referred for surgery, has incentivized cardiac surgery teams to propose several strategies to confront the increased risk of LCOS in this group of patients, such as the preoperative use of an intra-aortic balloon pump (IABP) or the use of off-pump coro-nary revascularization (5-8). The beneficial effects of the calcium sensi-tizer levosimendan have previously been demonstrated in LCOS patients, and its unique properties make it a potential option for preoperative treatment in this high-risk class of patients (9,10). The aim of the present study was to assess the risks of postoperative LCOS and mortality follow-ing the preoperative administration of levosimendan compared with administration of a placebo in patients with SLVD. Secondary outcomes including difficult weaning from cardiopulmonary bypass (CPB) and the requirements for inotropes, vasopressors and IABP were also evaluated.","author":[{"dropping-particle":"","family":"Levin","given":"Ricardo","non-dropping-particle":"","parse-names":false,"suffix":""},{"dropping-particle":"","family":"Degrange","given":"Marcela","non-dropping-particle":"","parse-names":false,"suffix":""},{"dropping-particle":"","family":"Mazo","given":"Carlos","non-dropping-particle":"Del","parse-names":false,"suffix":""},{"dropping-particle":"","family":"Tanus","given":"Eduardo","non-dropping-particle":"","parse-names":false,"suffix":""},{"dropping-particle":"","family":"Porcile","given":"Rafael","non-dropping-particle":"","parse-names":false,"suffix":""}],"container-title":"Experimental and Clinical Cardiology","id":"ITEM-2","issue":"3","issued":{"date-parts":[["2012"]]},"page":"125-130","title":"Preoperative levosimendan decreases mortality and the development of low cardiac output in high-risk patients with severe left ventricular dysfunction undergoing coronary artery bypass grafting with cardiopulmonary bypass","type":"article-journal","volume":"17"},"uris":["http://www.mendeley.com/documents/?uuid=43abea99-6096-4580-93d8-db5b2c43e4f7"]},{"id":"ITEM-3","itemData":{"ISSN":"19405901","abstract":"OBJECTIVES: Levosimendan (LS) is a new inotropic drug which belongs to the group of drugs known as calcium sensitizers. It is different from other inotropic agents by its inotropic and vasodilatory actions without an increase in myocardial oxygen consumption and considered as a good choice in high-risk patients undergoing cardiac surgery. We aimed to investigate the proper time of the administration and the effect of prophylactic usage of LS in patients with low left ventricular ejection fraction (LVEF) undergoing coronary artery bypass grafting (CABG).\\n\\nMETHODS: Forty patients who underwent isolated CABG with LVEF) less than 30% were evaluated retrospectively. Patients were divided into 3 groups according to the induction time of LS during different phases of the operation and compared to a non-LS control group. LS infusion (0.2 μg/kg/min) was applied 12 hours before the operation in Group 1 (G1) (n=10), after the induction of anaesthesia in Group 2 (G2) (n=10) and during the pump removal period in Group 3 (G3) (n=10) and non-LS control group 4 (G4) (n=10). Demographic data, operative characteristics, hemodynamic parameters and serum lactate, troponin, creatinine levels were compared between groups before and after LS treatment during pre and postoperative period. Data were evaluated by Fisher exact, Kruskal-Wallis, Mann-Whitney U, Chi-square and Wilcoxon rank tests.\\n\\nRESULTS: We found that the duration of tracheal intubation, the intensive care unit stay and the hospital stay were significantly decreased in G1 and G2 when compared to the patients in G3 and G4. During postoperative period, in G1 and G2 one (10%) patient from each required intraaortic balloon pump (IABP), while in G3 two (20%) patients and in G4 five (50%) patients required IABP. Cardiac index (CI) was significantly increased in all groups from baseline to intensive care unit (ICU)1h and ICU24h. When groups compared each other significant increase was found in G1-G4 (p=0.001) and G2-G4 (p=0.007) at ICU1h. There was a significant increase in % EF especially in G1-G4 (p=0.011) and G2-G4 (p=0.007) at ICU1h. Systemic vascular resistance index significantly decreased in G1 and G2 in comparison to G3 and G4. However there was no significant decrease in pulmonary capillary wedge pressure of all 4 groups before and after LS. There was a significant decrease in mean pulmonary arterial pressure in G1 and G2 according to G4. Compared with the other groups preoperatively LS-treated patients (G1…","author":[{"dropping-particle":"","family":"Eris","given":"Cuneyt","non-dropping-particle":"","parse-names":false,"suffix":""},{"dropping-particle":"","family":"Yavuz","given":"Senol","non-dropping-particle":"","parse-names":false,"suffix":""},{"dropping-particle":"","family":"Toktas","given":"Faruk","non-dropping-particle":"","parse-names":false,"suffix":""},{"dropping-particle":"","family":"Turk","given":"Tamer","non-dropping-particle":"","parse-names":false,"suffix":""},{"dropping-particle":"","family":"Gucu","given":"Arif","non-dropping-particle":"","parse-names":false,"suffix":""},{"dropping-particle":"","family":"Erdolu","given":"Burak","non-dropping-particle":"","parse-names":false,"suffix":""},{"dropping-particle":"","family":"Goncu","given":"M. Tugrul","non-dropping-particle":"","parse-names":false,"suffix":""}],"container-title":"International Journal of Clinical and Experimental Medicine","id":"ITEM-3","issue":"1","issued":{"date-parts":[["2014"]]},"page":"219-229","title":"Preoperative usages of levosimendan in patients undergoing coronary artery bypass grafting","type":"article-journal","volume":"7"},"uris":["http://www.mendeley.com/documents/?uuid=ea294873-13ee-4a28-aa0d-be6fe2ae5a0a"]}],"mendeley":{"formattedCitation":"&lt;sup&gt;14–16&lt;/sup&gt;","plainTextFormattedCitation":"14–16","previouslyFormattedCitation":"&lt;sup&gt;14–16&lt;/sup&gt;"},"properties":{"noteIndex":0},"schema":"https://github.com/citation-style-language/schema/raw/master/csl-citation.json"}</w:instrText>
      </w:r>
      <w:r w:rsidRPr="00B6585E">
        <w:rPr>
          <w:color w:val="000000" w:themeColor="text1"/>
        </w:rPr>
        <w:fldChar w:fldCharType="separate"/>
      </w:r>
      <w:bookmarkStart w:id="58" w:name="__Fieldmark__1672_2706913586"/>
      <w:r w:rsidRPr="00B6585E">
        <w:rPr>
          <w:rFonts w:ascii="Arial" w:hAnsi="Arial" w:cs="Arial"/>
          <w:noProof/>
          <w:color w:val="000000" w:themeColor="text1"/>
          <w:sz w:val="22"/>
          <w:szCs w:val="22"/>
          <w:vertAlign w:val="superscript"/>
        </w:rPr>
        <w:t>1</w:t>
      </w:r>
      <w:bookmarkStart w:id="59" w:name="__Fieldmark__874_3246776249"/>
      <w:r w:rsidRPr="00B6585E">
        <w:rPr>
          <w:rFonts w:ascii="Arial" w:hAnsi="Arial" w:cs="Arial"/>
          <w:noProof/>
          <w:color w:val="000000" w:themeColor="text1"/>
          <w:sz w:val="22"/>
          <w:szCs w:val="22"/>
          <w:vertAlign w:val="superscript"/>
        </w:rPr>
        <w:t>4</w:t>
      </w:r>
      <w:bookmarkStart w:id="60" w:name="__Fieldmark__1229_218254580"/>
      <w:r w:rsidRPr="00B6585E">
        <w:rPr>
          <w:rFonts w:ascii="Arial" w:hAnsi="Arial" w:cs="Arial"/>
          <w:noProof/>
          <w:color w:val="000000" w:themeColor="text1"/>
          <w:sz w:val="22"/>
          <w:szCs w:val="22"/>
          <w:vertAlign w:val="superscript"/>
        </w:rPr>
        <w:t>–16</w:t>
      </w:r>
      <w:r w:rsidRPr="00B6585E">
        <w:rPr>
          <w:color w:val="000000" w:themeColor="text1"/>
        </w:rPr>
        <w:fldChar w:fldCharType="end"/>
      </w:r>
      <w:bookmarkEnd w:id="58"/>
      <w:bookmarkEnd w:id="59"/>
      <w:bookmarkEnd w:id="60"/>
      <w:r w:rsidRPr="00B6585E">
        <w:rPr>
          <w:rFonts w:ascii="Arial" w:hAnsi="Arial" w:cs="Arial"/>
          <w:color w:val="000000" w:themeColor="text1"/>
          <w:sz w:val="22"/>
          <w:szCs w:val="22"/>
        </w:rPr>
        <w:t xml:space="preserve"> Data </w:t>
      </w:r>
      <w:r w:rsidR="00C4593F" w:rsidRPr="00B6585E">
        <w:rPr>
          <w:rFonts w:ascii="Arial" w:hAnsi="Arial" w:cs="Arial"/>
          <w:color w:val="000000" w:themeColor="text1"/>
          <w:sz w:val="22"/>
          <w:szCs w:val="22"/>
        </w:rPr>
        <w:t>regarding the perioperative administration of levosimendan is</w:t>
      </w:r>
      <w:r w:rsidRPr="00B6585E">
        <w:rPr>
          <w:rFonts w:ascii="Arial" w:hAnsi="Arial" w:cs="Arial"/>
          <w:color w:val="000000" w:themeColor="text1"/>
          <w:sz w:val="22"/>
          <w:szCs w:val="22"/>
        </w:rPr>
        <w:t xml:space="preserve"> only available </w:t>
      </w:r>
      <w:r w:rsidR="00B71779" w:rsidRPr="00B6585E">
        <w:rPr>
          <w:rFonts w:ascii="Arial" w:hAnsi="Arial" w:cs="Arial"/>
          <w:color w:val="000000" w:themeColor="text1"/>
          <w:sz w:val="22"/>
          <w:szCs w:val="22"/>
        </w:rPr>
        <w:t xml:space="preserve">in </w:t>
      </w:r>
      <w:r w:rsidRPr="00B6585E">
        <w:rPr>
          <w:rFonts w:ascii="Arial" w:hAnsi="Arial" w:cs="Arial"/>
          <w:color w:val="000000" w:themeColor="text1"/>
          <w:sz w:val="22"/>
          <w:szCs w:val="22"/>
        </w:rPr>
        <w:t xml:space="preserve">patients undergoing cardiac surgery. So far, the drug has not been </w:t>
      </w:r>
      <w:r w:rsidR="008B252F" w:rsidRPr="00B6585E">
        <w:rPr>
          <w:rFonts w:ascii="Arial" w:hAnsi="Arial" w:cs="Arial"/>
          <w:color w:val="000000" w:themeColor="text1"/>
          <w:sz w:val="22"/>
          <w:szCs w:val="22"/>
        </w:rPr>
        <w:t>tested</w:t>
      </w:r>
      <w:r w:rsidRPr="00B6585E">
        <w:rPr>
          <w:rFonts w:ascii="Arial" w:hAnsi="Arial" w:cs="Arial"/>
          <w:color w:val="000000" w:themeColor="text1"/>
          <w:sz w:val="22"/>
          <w:szCs w:val="22"/>
        </w:rPr>
        <w:t xml:space="preserve"> in patients with increased cardiovascular risk factors undergoing noncardiac surgery.</w:t>
      </w:r>
    </w:p>
    <w:p w14:paraId="24AF5E7D" w14:textId="08DB6C90" w:rsidR="00931A60" w:rsidRPr="00B6585E" w:rsidRDefault="00A221DB">
      <w:pPr>
        <w:widowControl w:val="0"/>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Therefore, we will test </w:t>
      </w:r>
      <w:r w:rsidR="00DD118F" w:rsidRPr="00B6585E">
        <w:rPr>
          <w:rFonts w:ascii="Arial" w:hAnsi="Arial" w:cs="Arial"/>
          <w:color w:val="000000" w:themeColor="text1"/>
          <w:sz w:val="22"/>
          <w:szCs w:val="22"/>
        </w:rPr>
        <w:t>our</w:t>
      </w:r>
      <w:r w:rsidRPr="00B6585E">
        <w:rPr>
          <w:rFonts w:ascii="Arial" w:hAnsi="Arial" w:cs="Arial"/>
          <w:color w:val="000000" w:themeColor="text1"/>
          <w:sz w:val="22"/>
          <w:szCs w:val="22"/>
        </w:rPr>
        <w:t xml:space="preserve"> primary hypothesis that a single dose of levosimendan will decrease postoperative NT-proBNP concentration</w:t>
      </w:r>
      <w:r w:rsidR="008B252F"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in patients with increased cardiovascular risk factors undergoing moderate-to high-risk non-cardiac surgery. We will also test the secondary hypothesis that levosimendan </w:t>
      </w:r>
      <w:r w:rsidR="00210B49" w:rsidRPr="00B6585E">
        <w:rPr>
          <w:rFonts w:ascii="Arial" w:hAnsi="Arial" w:cs="Arial"/>
          <w:color w:val="000000" w:themeColor="text1"/>
          <w:sz w:val="22"/>
          <w:szCs w:val="22"/>
        </w:rPr>
        <w:t>decreases</w:t>
      </w:r>
      <w:r w:rsidR="00210B49" w:rsidRPr="00B6585E">
        <w:rPr>
          <w:rStyle w:val="CommentReference"/>
          <w:rFonts w:ascii="Calibri" w:eastAsia="Calibri" w:hAnsi="Calibri"/>
          <w:color w:val="000000" w:themeColor="text1"/>
        </w:rPr>
        <w:t xml:space="preserve"> </w:t>
      </w:r>
      <w:r w:rsidR="00210B49" w:rsidRPr="00B6585E">
        <w:rPr>
          <w:rFonts w:ascii="Arial" w:hAnsi="Arial" w:cs="Arial"/>
          <w:color w:val="000000" w:themeColor="text1"/>
          <w:sz w:val="22"/>
          <w:szCs w:val="22"/>
        </w:rPr>
        <w:t>po</w:t>
      </w:r>
      <w:r w:rsidR="00DD118F" w:rsidRPr="00B6585E">
        <w:rPr>
          <w:rFonts w:ascii="Arial" w:hAnsi="Arial" w:cs="Arial"/>
          <w:color w:val="000000" w:themeColor="text1"/>
          <w:sz w:val="22"/>
          <w:szCs w:val="22"/>
        </w:rPr>
        <w:t xml:space="preserve">stoperative maxTNT release, further </w:t>
      </w:r>
      <w:r w:rsidRPr="00B6585E">
        <w:rPr>
          <w:rFonts w:ascii="Arial" w:hAnsi="Arial" w:cs="Arial"/>
          <w:color w:val="000000" w:themeColor="text1"/>
          <w:sz w:val="22"/>
          <w:szCs w:val="22"/>
        </w:rPr>
        <w:t>reduce</w:t>
      </w:r>
      <w:r w:rsidR="005A6E79"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postoperative cardiovascular complications such as myocardial injury (MINS), myocardial infarction, and death</w:t>
      </w:r>
      <w:r w:rsidR="00DD118F" w:rsidRPr="00B6585E">
        <w:rPr>
          <w:rFonts w:ascii="Arial" w:hAnsi="Arial" w:cs="Arial"/>
          <w:color w:val="000000" w:themeColor="text1"/>
          <w:sz w:val="22"/>
          <w:szCs w:val="22"/>
        </w:rPr>
        <w:t xml:space="preserve"> within 30 days and 1 year after surgery.</w:t>
      </w:r>
    </w:p>
    <w:p w14:paraId="76C8AB5D" w14:textId="77777777" w:rsidR="00931A60" w:rsidRPr="00B6585E" w:rsidRDefault="00931A60">
      <w:pPr>
        <w:widowControl w:val="0"/>
        <w:spacing w:after="120"/>
        <w:ind w:right="-7"/>
        <w:jc w:val="both"/>
        <w:rPr>
          <w:rFonts w:ascii="Arial" w:hAnsi="Arial" w:cs="Arial"/>
          <w:color w:val="000000" w:themeColor="text1"/>
          <w:sz w:val="22"/>
          <w:szCs w:val="22"/>
        </w:rPr>
      </w:pPr>
    </w:p>
    <w:p w14:paraId="0B62F358" w14:textId="77777777" w:rsidR="00931A60" w:rsidRPr="00B6585E" w:rsidRDefault="00A221DB">
      <w:pPr>
        <w:pStyle w:val="Heading2"/>
        <w:rPr>
          <w:color w:val="000000" w:themeColor="text1"/>
        </w:rPr>
      </w:pPr>
      <w:bookmarkStart w:id="61" w:name="_Toc9107172"/>
      <w:bookmarkStart w:id="62" w:name="_Toc23231299"/>
      <w:bookmarkStart w:id="63" w:name="_Toc96924948"/>
      <w:r w:rsidRPr="00B6585E">
        <w:rPr>
          <w:color w:val="000000" w:themeColor="text1"/>
        </w:rPr>
        <w:t>Levosimendan</w:t>
      </w:r>
      <w:bookmarkEnd w:id="61"/>
      <w:bookmarkEnd w:id="62"/>
      <w:bookmarkEnd w:id="63"/>
    </w:p>
    <w:p w14:paraId="6E1E2173" w14:textId="6BC5954F" w:rsidR="00931A60" w:rsidRPr="00B6585E" w:rsidRDefault="00A221DB" w:rsidP="00816FA9">
      <w:pPr>
        <w:pStyle w:val="Heading3"/>
        <w:numPr>
          <w:ilvl w:val="2"/>
          <w:numId w:val="3"/>
        </w:numPr>
      </w:pPr>
      <w:bookmarkStart w:id="64" w:name="_Toc9107173"/>
      <w:bookmarkStart w:id="65" w:name="_Toc2083789"/>
      <w:bookmarkStart w:id="66" w:name="_Toc23231300"/>
      <w:bookmarkStart w:id="67" w:name="_Toc96924949"/>
      <w:r w:rsidRPr="00B6585E">
        <w:t>Clinical evidence regarding safety of Levosimendan</w:t>
      </w:r>
      <w:bookmarkEnd w:id="64"/>
      <w:bookmarkEnd w:id="65"/>
      <w:bookmarkEnd w:id="66"/>
      <w:bookmarkEnd w:id="67"/>
    </w:p>
    <w:p w14:paraId="14F6389C"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Levosimendan is an inodilator (Ca</w:t>
      </w:r>
      <w:r w:rsidRPr="00B6585E">
        <w:rPr>
          <w:rFonts w:ascii="Arial" w:hAnsi="Arial" w:cs="Arial"/>
          <w:color w:val="000000" w:themeColor="text1"/>
          <w:sz w:val="22"/>
          <w:szCs w:val="22"/>
          <w:vertAlign w:val="superscript"/>
        </w:rPr>
        <w:t>2+</w:t>
      </w:r>
      <w:r w:rsidRPr="00B6585E">
        <w:rPr>
          <w:rFonts w:ascii="Arial" w:hAnsi="Arial" w:cs="Arial"/>
          <w:color w:val="000000" w:themeColor="text1"/>
          <w:sz w:val="22"/>
          <w:szCs w:val="22"/>
        </w:rPr>
        <w:t xml:space="preserve"> sensitizer and K</w:t>
      </w:r>
      <w:r w:rsidRPr="00B6585E">
        <w:rPr>
          <w:rFonts w:ascii="Arial" w:hAnsi="Arial" w:cs="Arial"/>
          <w:color w:val="000000" w:themeColor="text1"/>
          <w:sz w:val="22"/>
          <w:szCs w:val="22"/>
          <w:vertAlign w:val="superscript"/>
        </w:rPr>
        <w:t>+</w:t>
      </w:r>
      <w:r w:rsidRPr="00B6585E">
        <w:rPr>
          <w:rFonts w:ascii="Arial" w:hAnsi="Arial" w:cs="Arial"/>
          <w:color w:val="000000" w:themeColor="text1"/>
          <w:sz w:val="22"/>
          <w:szCs w:val="22"/>
        </w:rPr>
        <w:t xml:space="preserve"> channel opener), which increases left ventricular ejection fraction without increasing myocardial oxygen consumption in patients with heart failure. </w:t>
      </w:r>
    </w:p>
    <w:p w14:paraId="44E667A7" w14:textId="0B2882E2"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lastRenderedPageBreak/>
        <w:t>In 106 patients undergoing coronary artery bypass surgery, pre-treatment with levosimendan resulted in significantly lower release of troponin I (</w:t>
      </w:r>
      <w:r w:rsidR="00192D50" w:rsidRPr="00B6585E">
        <w:rPr>
          <w:rFonts w:ascii="Arial" w:hAnsi="Arial" w:cs="Arial"/>
          <w:i/>
          <w:iCs/>
          <w:color w:val="000000" w:themeColor="text1"/>
          <w:sz w:val="22"/>
          <w:szCs w:val="22"/>
        </w:rPr>
        <w:t>p</w:t>
      </w:r>
      <w:r w:rsidRPr="00B6585E">
        <w:rPr>
          <w:rFonts w:ascii="Arial" w:hAnsi="Arial" w:cs="Arial"/>
          <w:color w:val="000000" w:themeColor="text1"/>
          <w:sz w:val="22"/>
          <w:szCs w:val="22"/>
        </w:rPr>
        <w:t xml:space="preserve"> &lt; 0.0001), a reduction in tracheal intubation time, less requirement for inotropic support, and a shorter length of ICU stay. In this study levosimendan caused an increase in blood pressure and cardiac index associated with a decrease in systemic vascular resistance.</w:t>
      </w:r>
      <w:r w:rsidRPr="00B6585E">
        <w:rPr>
          <w:color w:val="000000" w:themeColor="text1"/>
        </w:rPr>
        <w:fldChar w:fldCharType="begin" w:fldLock="1"/>
      </w:r>
      <w:r w:rsidRPr="00B6585E">
        <w:rPr>
          <w:color w:val="000000" w:themeColor="text1"/>
        </w:rPr>
        <w:instrText>ADDIN CSL_CITATION {"citationItems":[{"id":"ITEM-1","itemData":{"DOI":"10.1093/bja/aen367","ISSN":"14716771","PMID":"19151048","abstract":"BACKGROUND: The calcium sensitizer levosimendan has anti-ischaemic effects mediated via the opening of sarcolemmal and mitochondrial ATP-sensitive potassium channels. These properties suggest potential application in clinical situations where cardioprotection would be beneficial, such as cardiac surgery. We thus decided to investigate whether pharmacological pre-treatment with levosimendan reduces intensive care unit (ICU) length of stay in patients undergoing elective myocardial revascularization under cardiopulmonary bypass. METHODS: One hundred and six patients undergoing elective coronary artery bypass grafting were randomly assigned in a double-blind manner to receive levosimendan or placebo. Levosimendan (24 microg kg(-1)) or placebo was administered as a slow i.v. bolus over a 10 min period before the initiation of bypass. RESULTS: Tracheal intubation time and the length of ICU stay were significantly reduced in the levosimendan group (P&lt;0.01). The number of patients needing inotropic support for &gt;12 h was significantly higher in the control group (18.0% vs 3.8%; P=0.021). Compared with control patients, levosimendan-treated patients had lower postoperative troponin I concentrations (P&lt;0.0001) and a higher cardiac power index (P&lt;0.0001). CONCLUSIONS: Pre-treatment with levosimendan in patients undergoing surgical myocardial revascularization resulted in less myocardial injury, a reduction in tracheal intubation time, less requirement for inotropic support, and a shorter length of ICU stay.","author":[{"dropping-particle":"","family":"Tritapepe","given":"L.","non-dropping-particle":"","parse-names":false,"suffix":""},{"dropping-particle":"","family":"Santis","given":"V.","non-dropping-particle":"De","parse-names":false,"suffix":""},{"dropping-particle":"","family":"Vitale","given":"D.","non-dropping-particle":"","parse-names":false,"suffix":""},{"dropping-particle":"","family":"Guarracino","given":"F.","non-dropping-particle":"","parse-names":false,"suffix":""},{"dropping-particle":"","family":"Pellegrini","given":"F.","non-dropping-particle":"","parse-names":false,"suffix":""},{"dropping-particle":"","family":"Pietropaoli","given":"P.","non-dropping-particle":"","parse-names":false,"suffix":""},{"dropping-particle":"","family":"Singer","given":"M.","non-dropping-particle":"","parse-names":false,"suffix":""}],"container-title":"British Journal of Anaesthesia","id":"ITEM-1","issue":"2","issued":{"date-parts":[["2009"]]},"page":"198-204","publisher":"British Journal of Anaesthesia","title":"Levosimendan pre-treatment improves outcomes in patients undergoing coronary artery bypass graft surgery","type":"article-journal","volume":"102"},"uris":["http://www.mendeley.com/documents/?uuid=03ea5ac8-7880-4668-9403-e7079d86cacc"]}],"mendeley":{"formattedCitation":"&lt;sup&gt;14&lt;/sup&gt;","plainTextFormattedCitation":"14","previouslyFormattedCitation":"&lt;sup&gt;14&lt;/sup&gt;"},"properties":{"noteIndex":0},"schema":"https://github.com/citation-style-language/schema/raw/master/csl-citation.json"}</w:instrText>
      </w:r>
      <w:r w:rsidRPr="00B6585E">
        <w:rPr>
          <w:color w:val="000000" w:themeColor="text1"/>
        </w:rPr>
        <w:fldChar w:fldCharType="separate"/>
      </w:r>
      <w:bookmarkStart w:id="68" w:name="__Fieldmark__1705_2706913586"/>
      <w:r w:rsidRPr="00B6585E">
        <w:rPr>
          <w:rFonts w:ascii="Arial" w:hAnsi="Arial" w:cs="Arial"/>
          <w:noProof/>
          <w:color w:val="000000" w:themeColor="text1"/>
          <w:sz w:val="22"/>
          <w:szCs w:val="22"/>
          <w:vertAlign w:val="superscript"/>
        </w:rPr>
        <w:t>1</w:t>
      </w:r>
      <w:bookmarkStart w:id="69" w:name="__Fieldmark__899_3246776249"/>
      <w:r w:rsidRPr="00B6585E">
        <w:rPr>
          <w:rFonts w:ascii="Arial" w:hAnsi="Arial" w:cs="Arial"/>
          <w:noProof/>
          <w:color w:val="000000" w:themeColor="text1"/>
          <w:sz w:val="22"/>
          <w:szCs w:val="22"/>
          <w:vertAlign w:val="superscript"/>
        </w:rPr>
        <w:t>4</w:t>
      </w:r>
      <w:bookmarkStart w:id="70" w:name="__Fieldmark__1299_218254580"/>
      <w:r w:rsidRPr="00B6585E">
        <w:rPr>
          <w:color w:val="000000" w:themeColor="text1"/>
        </w:rPr>
        <w:fldChar w:fldCharType="end"/>
      </w:r>
      <w:bookmarkEnd w:id="68"/>
      <w:bookmarkEnd w:id="69"/>
      <w:bookmarkEnd w:id="70"/>
    </w:p>
    <w:p w14:paraId="2270B346" w14:textId="1E61423B"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In the LEVO-CTS trial 882 patients undergoing cardiac surgery were randomly assigned to received levosimendan or placebo prophylactically.</w:t>
      </w:r>
      <w:r w:rsidRPr="00B6585E">
        <w:rPr>
          <w:color w:val="000000" w:themeColor="text1"/>
        </w:rPr>
        <w:fldChar w:fldCharType="begin" w:fldLock="1"/>
      </w:r>
      <w:r w:rsidRPr="00B6585E">
        <w:rPr>
          <w:color w:val="000000" w:themeColor="text1"/>
        </w:rPr>
        <w:instrText>ADDIN CSL_CITATION {"citationItems":[{"id":"ITEM-1","itemData":{"DOI":"10.1056/nejmoa1616218","ISSN":"0028-4793","PMID":"28316276","abstract":"BACKGROUND Levosimendan is an inotropic agent that has been shown in small studies to prevent or treat the low cardiac output syndrome after cardiac surgery. METHODS In a multicenter, randomized, placebo-controlled, phase 3 trial, we evaluated the efficacy and safety of levosimendan in patients with a left ventricular ejection fraction of 35% or less who were undergoing cardiac surgery with the use of cardiopulmonary bypass. Patients were randomly assigned to receive either intravenous levosimendan (at a dose of 0.2 μg per kilogram of body weight per minute for 1 hour, followed by a dose of 0.1 μg per kilogram per minute for 23 hours) or placebo, with the infusion started before surgery. The two primary end points were a four-component composite of death through day 30, renal-replacement therapy through day 30, perioperative myocardial infarction through day 5, or use of a mechanical cardiac assist device through day 5; and a two-component composite of death through day 30 or use of a mechanical cardiac assist device through day 5. RESULTS A total of 882 patients underwent randomization, 849 of whom received levosimendan or placebo and were included in the modified intention-to-treat population. The four-component primary end point occurred in 105 of 428 patients (24.5%) assigned to receive levosimendan and in 103 of 421 (24.5%) assigned to receive placebo (adjusted odds ratio, 1.00; 99% confidence interval [CI], 0.66 to 1.54; P=0.98). The two-component primary end point occurred in 56 patients (13.1%) assigned to receive levosimendan and in 48 (11.4%) assigned to receive placebo (adjusted odds ratio, 1.18; 96% CI, 0.76 to 1.82; P=0.45). The rate of adverse events did not differ significantly between the two groups. CONCLUSIONS Prophylactic levosimendan did not result in a rate of the short-term composite end point of death, renal-replacement therapy, perioperative myocardial infarction, or use of a mechanical cardiac assist device that was lower than the rate with placebo among patients with a reduced left ventricular ejection fraction who were undergoing cardiac surgery with the use of cardiopulmonary bypass. (Funded by Tenax Therapeutics; LEVO-CTS ClinicalTrials.gov number, NCT02025621 .).","author":[{"dropping-particle":"","family":"Mehta","given":"R.H.","non-dropping-particle":"","parse-names":false,"suffix":""},{"dropping-particle":"","family":"Leimberger","given":"J.D.","non-dropping-particle":"","parse-names":false,"suffix":""},{"dropping-particle":"","family":"Diepen","given":"S.","non-dropping-particle":"van","parse-names":false,"suffix":""},{"dropping-particle":"","family":"Meza","given":"J.","non-dropping-particle":"","parse-names":false,"suffix":""},{"dropping-particle":"","family":"Wang","given":"A.","non-dropping-particle":"","parse-names":false,"suffix":""},{"dropping-particle":"","family":"Jankowich","given":"R.","non-dropping-particle":"","parse-names":false,"suffix":""},{"dropping-particle":"","family":"Harrison","given":"R.W.","non-dropping-particle":"","parse-names":false,"suffix":""},{"dropping-particle":"","family":"Hay","given":"D.","non-dropping-particle":"","parse-names":false,"suffix":""},{"dropping-particle":"","family":"Fremes","given":"S.","non-dropping-particle":"","parse-names":false,"suffix":""},{"dropping-particle":"","family":"Duncan","given":"A.","non-dropping-particle":"","parse-names":false,"suffix":""},{"dropping-particle":"","family":"Soltesz","given":"E.G.","non-dropping-particle":"","parse-names":false,"suffix":""},{"dropping-particle":"","family":"Luber","given":"J.","non-dropping-particle":"","parse-names":false,"suffix":""},{"dropping-particle":"","family":"Park","given":"S.","non-dropping-particle":"","parse-names":false,"suffix":""},{"dropping-particle":"","family":"Argenziano","given":"M.","non-dropping-particle":"","parse-names":false,"suffix":""},{"dropping-particle":"","family":"Murphy","given":"E.","non-dropping-particle":"","parse-names":false,"suffix":""},{"dropping-particle":"","family":"Marcel","given":"R.","non-dropping-particle":"","parse-names":false,"suffix":""},{"dropping-particle":"","family":"Kalavrouziotis","given":"D.","non-dropping-particle":"","parse-names":false,"suffix":""},{"dropping-particle":"","family":"Nagpal","given":"D.","non-dropping-particle":"","parse-names":false,"suffix":""},{"dropping-particle":"","family":"Bozinovski","given":"J.","non-dropping-particle":"","parse-names":false,"suffix":""},{"dropping-particle":"","family":"Toller","given":"W.","non-dropping-particle":"","parse-names":false,"suffix":""},{"dropping-particle":"","family":"M.","given":"Heringlake","non-dropping-particle":"","parse-names":false,"suffix":""},{"dropping-particle":"","family":"Goodman","given":"S.G.","non-dropping-particle":"","parse-names":false,"suffix":""},{"dropping-particle":"","family":"Levy","given":"J.H.","non-dropping-particle":"","parse-names":false,"suffix":""},{"dropping-particle":"","family":"Harrington","given":"R.A.","non-dropping-particle":"","parse-names":false,"suffix":""},{"dropping-particle":"","family":"Anstrom","given":"K.J.","non-dropping-particle":"","parse-names":false,"suffix":""},{"dropping-particle":"","family":"Alexander","given":"J.H.","non-dropping-particle":"","parse-names":false,"suffix":""},{"dropping-particle":"","family":"Investigators","given":"for the LEVO-CTS","non-dropping-particle":"","parse-names":false,"suffix":""}],"container-title":"New England Journal of Medicine","id":"ITEM-1","issue":"21","issued":{"date-parts":[["2017"]]},"page":"2032-2042","title":"Levosimendan in Patients with Left Ventricular Dysfunction Undergoing Cardiac Surgery","type":"article-journal","volume":"376"},"uris":["http://www.mendeley.com/documents/?uuid=f7c6cfe0-1611-4c95-94ff-776df2da7d37"]}],"mendeley":{"formattedCitation":"&lt;sup&gt;17&lt;/sup&gt;","plainTextFormattedCitation":"17","previouslyFormattedCitation":"&lt;sup&gt;17&lt;/sup&gt;"},"properties":{"noteIndex":0},"schema":"https://github.com/citation-style-language/schema/raw/master/csl-citation.json"}</w:instrText>
      </w:r>
      <w:r w:rsidRPr="00B6585E">
        <w:rPr>
          <w:color w:val="000000" w:themeColor="text1"/>
        </w:rPr>
        <w:fldChar w:fldCharType="separate"/>
      </w:r>
      <w:bookmarkStart w:id="71" w:name="__Fieldmark__1716_2706913586"/>
      <w:r w:rsidRPr="00B6585E">
        <w:rPr>
          <w:rFonts w:ascii="Arial" w:hAnsi="Arial" w:cs="Arial"/>
          <w:noProof/>
          <w:color w:val="000000" w:themeColor="text1"/>
          <w:sz w:val="22"/>
          <w:szCs w:val="22"/>
          <w:vertAlign w:val="superscript"/>
        </w:rPr>
        <w:t>1</w:t>
      </w:r>
      <w:bookmarkStart w:id="72" w:name="__Fieldmark__906_3246776249"/>
      <w:r w:rsidRPr="00B6585E">
        <w:rPr>
          <w:rFonts w:ascii="Arial" w:hAnsi="Arial" w:cs="Arial"/>
          <w:noProof/>
          <w:color w:val="000000" w:themeColor="text1"/>
          <w:sz w:val="22"/>
          <w:szCs w:val="22"/>
          <w:vertAlign w:val="superscript"/>
        </w:rPr>
        <w:t>7</w:t>
      </w:r>
      <w:bookmarkStart w:id="73" w:name="__Fieldmark__1308_218254580"/>
      <w:r w:rsidRPr="00B6585E">
        <w:rPr>
          <w:color w:val="000000" w:themeColor="text1"/>
        </w:rPr>
        <w:fldChar w:fldCharType="end"/>
      </w:r>
      <w:bookmarkEnd w:id="71"/>
      <w:bookmarkEnd w:id="72"/>
      <w:bookmarkEnd w:id="73"/>
      <w:r w:rsidRPr="00B6585E">
        <w:rPr>
          <w:rFonts w:ascii="Arial" w:hAnsi="Arial" w:cs="Arial"/>
          <w:color w:val="000000" w:themeColor="text1"/>
          <w:sz w:val="22"/>
          <w:szCs w:val="22"/>
        </w:rPr>
        <w:t xml:space="preserve"> </w:t>
      </w:r>
      <w:r w:rsidR="00FB1259" w:rsidRPr="00B6585E">
        <w:rPr>
          <w:rFonts w:ascii="Arial" w:hAnsi="Arial" w:cs="Arial"/>
          <w:color w:val="000000" w:themeColor="text1"/>
          <w:sz w:val="22"/>
          <w:szCs w:val="22"/>
        </w:rPr>
        <w:t>There was reduction of the short-term composite end point of death, renal-replacement therapy, perioperative myocardial infarction, or use of a mechanical cardiac assist device that was lower than the rate with placebo among patients with a reduced left ventricular ejection fraction who were undergoing cardiac surgery with the use of cardiopulmonary bypass. However, l</w:t>
      </w:r>
      <w:r w:rsidRPr="00B6585E">
        <w:rPr>
          <w:rFonts w:ascii="Arial" w:hAnsi="Arial" w:cs="Arial"/>
          <w:color w:val="000000" w:themeColor="text1"/>
          <w:sz w:val="22"/>
          <w:szCs w:val="22"/>
        </w:rPr>
        <w:t>evosimendan significantly reduced the incidence of low cardiac output syndrome (</w:t>
      </w:r>
      <w:r w:rsidR="002D38ED" w:rsidRPr="00B6585E">
        <w:rPr>
          <w:rFonts w:ascii="Arial" w:hAnsi="Arial" w:cs="Arial"/>
          <w:i/>
          <w:iCs/>
          <w:color w:val="000000" w:themeColor="text1"/>
          <w:sz w:val="22"/>
          <w:szCs w:val="22"/>
        </w:rPr>
        <w:t>p</w:t>
      </w:r>
      <w:r w:rsidRPr="00B6585E">
        <w:rPr>
          <w:rFonts w:ascii="Arial" w:hAnsi="Arial" w:cs="Arial"/>
          <w:color w:val="000000" w:themeColor="text1"/>
          <w:sz w:val="22"/>
          <w:szCs w:val="22"/>
        </w:rPr>
        <w:t xml:space="preserve"> = 0.007). Death at 90 days occurred in 4.7% of patients in the levosimendan group as compared to 7.1% in the placebo group – however this was not statistically significant.</w:t>
      </w:r>
      <w:r w:rsidR="002D38E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Th</w:t>
      </w:r>
      <w:r w:rsidR="00E338D3" w:rsidRPr="00B6585E">
        <w:rPr>
          <w:rFonts w:ascii="Arial" w:hAnsi="Arial" w:cs="Arial"/>
          <w:color w:val="000000" w:themeColor="text1"/>
          <w:sz w:val="22"/>
          <w:szCs w:val="22"/>
        </w:rPr>
        <w:t>ese</w:t>
      </w:r>
      <w:r w:rsidRPr="00B6585E">
        <w:rPr>
          <w:rFonts w:ascii="Arial" w:hAnsi="Arial" w:cs="Arial"/>
          <w:color w:val="000000" w:themeColor="text1"/>
          <w:sz w:val="22"/>
          <w:szCs w:val="22"/>
        </w:rPr>
        <w:t xml:space="preserve"> rates of prespecified safety endpoints, including hypotension, atrial fibrillation, ventricular tachycardia or fibrillation, resuscitated cardiac arrest, and stroke, did not differ significantly between both groups.  </w:t>
      </w:r>
    </w:p>
    <w:p w14:paraId="589A3C2D" w14:textId="76758DD3"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LICORN trial included 345 patients with low ejection fraction undergoing artery bypass grafting with cardiopulmonary bypass.</w:t>
      </w:r>
      <w:r w:rsidRPr="00B6585E">
        <w:rPr>
          <w:color w:val="000000" w:themeColor="text1"/>
        </w:rPr>
        <w:fldChar w:fldCharType="begin" w:fldLock="1"/>
      </w:r>
      <w:r w:rsidRPr="00B6585E">
        <w:rPr>
          <w:color w:val="000000" w:themeColor="text1"/>
        </w:rPr>
        <w:instrText>ADDIN CSL_CITATION {"citationItems":[{"id":"ITEM-1","itemData":{"DOI":"10.1001/jama.2017.9973","ISSN":"0098-7484","author":[{"dropping-particle":"","family":"Cholley","given":"B.","non-dropping-particle":"","parse-names":false,"suffix":""},{"dropping-particle":"","family":"Caruba","given":"T.","non-dropping-particle":"","parse-names":false,"suffix":""},{"dropping-particle":"","family":"Grosjean","given":"S.","non-dropping-particle":"","parse-names":false,"suffix":""},{"dropping-particle":"","family":"Amour","given":"J.","non-dropping-particle":"","parse-names":false,"suffix":""},{"dropping-particle":"","family":"Ouattara","given":"A.","non-dropping-particle":"","parse-names":false,"suffix":""},{"dropping-particle":"","family":"Villacorta","given":"J.","non-dropping-particle":"","parse-names":false,"suffix":""},{"dropping-particle":"","family":"Miguet","given":"B.","non-dropping-particle":"","parse-names":false,"suffix":""},{"dropping-particle":"","family":"Guinet","given":"P.","non-dropping-particle":"","parse-names":false,"suffix":""},{"dropping-particle":"","family":"Lévy","given":"F.","non-dropping-particle":"","parse-names":false,"suffix":""},{"dropping-particle":"","family":"Squara","given":"P.","non-dropping-particle":"","parse-names":false,"suffix":""},{"dropping-particle":"","family":"Hamou","given":"N.A.","non-dropping-particle":"","parse-names":false,"suffix":""},{"dropping-particle":"","family":"Aude Carillon","given":"A. MD;","non-dropping-particle":"","parse-names":false,"suffix":""},{"dropping-particle":"","family":"Julie Boyer","given":"J.","non-dropping-particle":"","parse-names":false,"suffix":""},{"dropping-particle":"","family":"Boughenou","given":"M-F.","non-dropping-particle":"","parse-names":false,"suffix":""},{"dropping-particle":"","family":"Rosier","given":"S.","non-dropping-particle":"","parse-names":false,"suffix":""},{"dropping-particle":"","family":"Robin","given":"E.","non-dropping-particle":"","parse-names":false,"suffix":""},{"dropping-particle":"","family":"Radutoiu","given":"M.","non-dropping-particle":"","parse-names":false,"suffix":""},{"dropping-particle":"","family":"Durand","given":"M.","non-dropping-particle":"","parse-names":false,"suffix":""},{"dropping-particle":"","family":"Guidon","given":"C.","non-dropping-particle":"","parse-names":false,"suffix":""},{"dropping-particle":"","family":"Desebbe","given":"O.","non-dropping-particle":"","parse-names":false,"suffix":""},{"dropping-particle":"","family":"Charles-Nelson","given":"A.","non-dropping-particle":"","parse-names":false,"suffix":""},{"dropping-particle":"","family":"Menasché","given":"R.","non-dropping-particle":"","parse-names":false,"suffix":""},{"dropping-particle":"","family":"Rozec","given":"B.","non-dropping-particle":"","parse-names":false,"suffix":""},{"dropping-particle":"","family":"Girard","given":"C.","non-dropping-particle":"","parse-names":false,"suffix":""},{"dropping-particle":"","family":"Fellahi","given":"J-L.","non-dropping-particle":"","parse-names":false,"suffix":""},{"dropping-particle":"","family":"Pirracchio","given":"R.","non-dropping-particle":"","parse-names":false,"suffix":""},{"dropping-particle":"","family":"Chatellier","given":"G.","non-dropping-particle":"","parse-names":false,"suffix":""}],"container-title":"Jama","id":"ITEM-1","issue":"6","issued":{"date-parts":[["2017"]]},"page":"548","title":"Effect of Levosimendan on Low Cardiac Output Syndrome in Patients With Low Ejection Fraction Undergoing Coronary Artery Bypass Grafting With Cardiopulmonary Bypass","type":"article-journal","volume":"318"},"uris":["http://www.mendeley.com/documents/?uuid=23de9a96-abd2-420e-a032-b2562e515adf"]}],"mendeley":{"formattedCitation":"&lt;sup&gt;18&lt;/sup&gt;","plainTextFormattedCitation":"18","previouslyFormattedCitation":"&lt;sup&gt;18&lt;/sup&gt;"},"properties":{"noteIndex":0},"schema":"https://github.com/citation-style-language/schema/raw/master/csl-citation.json"}</w:instrText>
      </w:r>
      <w:r w:rsidRPr="00B6585E">
        <w:rPr>
          <w:color w:val="000000" w:themeColor="text1"/>
        </w:rPr>
        <w:fldChar w:fldCharType="separate"/>
      </w:r>
      <w:bookmarkStart w:id="74" w:name="__Fieldmark__1729_2706913586"/>
      <w:r w:rsidRPr="00B6585E">
        <w:rPr>
          <w:rFonts w:ascii="Arial" w:hAnsi="Arial" w:cs="Arial"/>
          <w:noProof/>
          <w:color w:val="000000" w:themeColor="text1"/>
          <w:sz w:val="22"/>
          <w:szCs w:val="22"/>
          <w:vertAlign w:val="superscript"/>
        </w:rPr>
        <w:t>1</w:t>
      </w:r>
      <w:bookmarkStart w:id="75" w:name="__Fieldmark__915_3246776249"/>
      <w:r w:rsidRPr="00B6585E">
        <w:rPr>
          <w:rFonts w:ascii="Arial" w:hAnsi="Arial" w:cs="Arial"/>
          <w:noProof/>
          <w:color w:val="000000" w:themeColor="text1"/>
          <w:sz w:val="22"/>
          <w:szCs w:val="22"/>
          <w:vertAlign w:val="superscript"/>
        </w:rPr>
        <w:t>8</w:t>
      </w:r>
      <w:bookmarkStart w:id="76" w:name="__Fieldmark__1325_218254580"/>
      <w:r w:rsidRPr="00B6585E">
        <w:rPr>
          <w:color w:val="000000" w:themeColor="text1"/>
        </w:rPr>
        <w:fldChar w:fldCharType="end"/>
      </w:r>
      <w:bookmarkEnd w:id="74"/>
      <w:bookmarkEnd w:id="75"/>
      <w:bookmarkEnd w:id="76"/>
      <w:r w:rsidRPr="00B6585E">
        <w:rPr>
          <w:rFonts w:ascii="Arial" w:hAnsi="Arial" w:cs="Arial"/>
          <w:color w:val="000000" w:themeColor="text1"/>
          <w:sz w:val="22"/>
          <w:szCs w:val="22"/>
        </w:rPr>
        <w:t xml:space="preserve"> There was no difference in in-hospital death (</w:t>
      </w:r>
      <w:r w:rsidR="002D38ED" w:rsidRPr="00B6585E">
        <w:rPr>
          <w:rFonts w:ascii="Arial" w:hAnsi="Arial" w:cs="Arial"/>
          <w:i/>
          <w:iCs/>
          <w:color w:val="000000" w:themeColor="text1"/>
          <w:sz w:val="22"/>
          <w:szCs w:val="22"/>
        </w:rPr>
        <w:t>p</w:t>
      </w:r>
      <w:r w:rsidRPr="00B6585E">
        <w:rPr>
          <w:rFonts w:ascii="Arial" w:hAnsi="Arial" w:cs="Arial"/>
          <w:color w:val="000000" w:themeColor="text1"/>
          <w:sz w:val="22"/>
          <w:szCs w:val="22"/>
        </w:rPr>
        <w:t xml:space="preserve"> =0.59), mortality at day 28 (</w:t>
      </w:r>
      <w:r w:rsidR="002D38ED" w:rsidRPr="00B6585E">
        <w:rPr>
          <w:rFonts w:ascii="Arial" w:hAnsi="Arial" w:cs="Arial"/>
          <w:i/>
          <w:iCs/>
          <w:color w:val="000000" w:themeColor="text1"/>
          <w:sz w:val="22"/>
          <w:szCs w:val="22"/>
        </w:rPr>
        <w:t>p</w:t>
      </w:r>
      <w:r w:rsidRPr="00B6585E">
        <w:rPr>
          <w:rFonts w:ascii="Arial" w:hAnsi="Arial" w:cs="Arial"/>
          <w:color w:val="000000" w:themeColor="text1"/>
          <w:sz w:val="22"/>
          <w:szCs w:val="22"/>
        </w:rPr>
        <w:t xml:space="preserve"> = 0.39) and 180 (</w:t>
      </w:r>
      <w:r w:rsidR="002D38ED" w:rsidRPr="00B6585E">
        <w:rPr>
          <w:rFonts w:ascii="Arial" w:hAnsi="Arial" w:cs="Arial"/>
          <w:i/>
          <w:iCs/>
          <w:color w:val="000000" w:themeColor="text1"/>
          <w:sz w:val="22"/>
          <w:szCs w:val="22"/>
        </w:rPr>
        <w:t>p</w:t>
      </w:r>
      <w:r w:rsidR="002D38E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0.59) after surgery between the levosimendan group and the placebo group. Furthermore, no difference in possible side effects of levosimendan including, postoperative atrial fibrillation (</w:t>
      </w:r>
      <w:r w:rsidR="002D38ED" w:rsidRPr="00B6585E">
        <w:rPr>
          <w:rFonts w:ascii="Arial" w:hAnsi="Arial" w:cs="Arial"/>
          <w:i/>
          <w:iCs/>
          <w:color w:val="000000" w:themeColor="text1"/>
          <w:sz w:val="22"/>
          <w:szCs w:val="22"/>
        </w:rPr>
        <w:t>p</w:t>
      </w:r>
      <w:r w:rsidR="002D38E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0.09), ventricular tachycardia (</w:t>
      </w:r>
      <w:r w:rsidR="002D38ED" w:rsidRPr="00B6585E">
        <w:rPr>
          <w:rFonts w:ascii="Arial" w:hAnsi="Arial" w:cs="Arial"/>
          <w:i/>
          <w:iCs/>
          <w:color w:val="000000" w:themeColor="text1"/>
          <w:sz w:val="22"/>
          <w:szCs w:val="22"/>
        </w:rPr>
        <w:t>p</w:t>
      </w:r>
      <w:r w:rsidRPr="00B6585E">
        <w:rPr>
          <w:rFonts w:ascii="Arial" w:hAnsi="Arial" w:cs="Arial"/>
          <w:color w:val="000000" w:themeColor="text1"/>
          <w:sz w:val="22"/>
          <w:szCs w:val="22"/>
        </w:rPr>
        <w:t xml:space="preserve"> = 0.72), ventricular fibrillation (</w:t>
      </w:r>
      <w:r w:rsidR="002D38ED" w:rsidRPr="00B6585E">
        <w:rPr>
          <w:rFonts w:ascii="Arial" w:hAnsi="Arial" w:cs="Arial"/>
          <w:i/>
          <w:iCs/>
          <w:color w:val="000000" w:themeColor="text1"/>
          <w:sz w:val="22"/>
          <w:szCs w:val="22"/>
        </w:rPr>
        <w:t>p</w:t>
      </w:r>
      <w:r w:rsidR="002D38E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0.67) and third-degree atrioventricular block (</w:t>
      </w:r>
      <w:r w:rsidR="002D38ED" w:rsidRPr="00B6585E">
        <w:rPr>
          <w:rFonts w:ascii="Arial" w:hAnsi="Arial" w:cs="Arial"/>
          <w:i/>
          <w:iCs/>
          <w:color w:val="000000" w:themeColor="text1"/>
          <w:sz w:val="22"/>
          <w:szCs w:val="22"/>
        </w:rPr>
        <w:t>p</w:t>
      </w:r>
      <w:r w:rsidR="002D38E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 0.08) was shown. Many of the outcomes of this trial seem to favor levosimendan without showing statistical significance. </w:t>
      </w:r>
      <w:r w:rsidR="00BD76CC" w:rsidRPr="00B6585E">
        <w:rPr>
          <w:rFonts w:ascii="Arial" w:hAnsi="Arial" w:cs="Arial"/>
          <w:color w:val="000000" w:themeColor="text1"/>
          <w:sz w:val="22"/>
          <w:szCs w:val="22"/>
        </w:rPr>
        <w:t>Moreover</w:t>
      </w:r>
      <w:r w:rsidR="002D38ED" w:rsidRPr="00B6585E">
        <w:rPr>
          <w:rFonts w:ascii="Arial" w:hAnsi="Arial" w:cs="Arial"/>
          <w:color w:val="000000" w:themeColor="text1"/>
          <w:sz w:val="22"/>
          <w:szCs w:val="22"/>
        </w:rPr>
        <w:t>,</w:t>
      </w:r>
      <w:r w:rsidR="00BD76CC" w:rsidRPr="00B6585E">
        <w:rPr>
          <w:rFonts w:ascii="Arial" w:hAnsi="Arial" w:cs="Arial"/>
          <w:color w:val="000000" w:themeColor="text1"/>
          <w:sz w:val="22"/>
          <w:szCs w:val="22"/>
        </w:rPr>
        <w:t xml:space="preserve"> i</w:t>
      </w:r>
      <w:r w:rsidRPr="00B6585E">
        <w:rPr>
          <w:rFonts w:ascii="Arial" w:hAnsi="Arial" w:cs="Arial"/>
          <w:color w:val="000000" w:themeColor="text1"/>
          <w:sz w:val="22"/>
          <w:szCs w:val="22"/>
        </w:rPr>
        <w:t xml:space="preserve">t </w:t>
      </w:r>
      <w:r w:rsidR="006821B5" w:rsidRPr="00B6585E">
        <w:rPr>
          <w:rFonts w:ascii="Arial" w:hAnsi="Arial" w:cs="Arial"/>
          <w:color w:val="000000" w:themeColor="text1"/>
          <w:sz w:val="22"/>
          <w:szCs w:val="22"/>
        </w:rPr>
        <w:t>seems</w:t>
      </w:r>
      <w:r w:rsidRPr="00B6585E">
        <w:rPr>
          <w:rFonts w:ascii="Arial" w:hAnsi="Arial" w:cs="Arial"/>
          <w:color w:val="000000" w:themeColor="text1"/>
          <w:sz w:val="22"/>
          <w:szCs w:val="22"/>
        </w:rPr>
        <w:t xml:space="preserve"> likely that this study </w:t>
      </w:r>
      <w:r w:rsidR="007C2CF6" w:rsidRPr="00B6585E">
        <w:rPr>
          <w:rFonts w:ascii="Arial" w:hAnsi="Arial" w:cs="Arial"/>
          <w:color w:val="000000" w:themeColor="text1"/>
          <w:sz w:val="22"/>
          <w:szCs w:val="22"/>
        </w:rPr>
        <w:t>was</w:t>
      </w:r>
      <w:r w:rsidRPr="00B6585E">
        <w:rPr>
          <w:rFonts w:ascii="Arial" w:hAnsi="Arial" w:cs="Arial"/>
          <w:color w:val="000000" w:themeColor="text1"/>
          <w:sz w:val="22"/>
          <w:szCs w:val="22"/>
        </w:rPr>
        <w:t xml:space="preserve"> slightly underpowered. </w:t>
      </w:r>
    </w:p>
    <w:p w14:paraId="30036995" w14:textId="7A1F94C3" w:rsidR="00931A60" w:rsidRPr="00B6585E" w:rsidRDefault="00A221DB" w:rsidP="00FB1259">
      <w:pPr>
        <w:autoSpaceDE w:val="0"/>
        <w:autoSpaceDN w:val="0"/>
        <w:adjustRightInd w:val="0"/>
        <w:jc w:val="both"/>
        <w:rPr>
          <w:rFonts w:ascii="Arial" w:eastAsia="Calibri" w:hAnsi="Arial" w:cs="Arial"/>
          <w:color w:val="000000" w:themeColor="text1"/>
          <w:sz w:val="22"/>
          <w:szCs w:val="22"/>
          <w:highlight w:val="yellow"/>
        </w:rPr>
      </w:pPr>
      <w:r w:rsidRPr="00B6585E">
        <w:rPr>
          <w:rFonts w:ascii="Arial" w:hAnsi="Arial" w:cs="Arial"/>
          <w:color w:val="000000" w:themeColor="text1"/>
          <w:sz w:val="22"/>
          <w:szCs w:val="22"/>
        </w:rPr>
        <w:t xml:space="preserve">A meta-analysis including 4246 patients from 40 randomized revealed that the administration of levosimendan was associated with lower postoperative mortality, acute kidney injury, and renal replacement therapy, </w:t>
      </w:r>
      <w:r w:rsidR="007C2CF6" w:rsidRPr="00B6585E">
        <w:rPr>
          <w:rFonts w:ascii="Arial" w:hAnsi="Arial" w:cs="Arial"/>
          <w:color w:val="000000" w:themeColor="text1"/>
          <w:sz w:val="22"/>
          <w:szCs w:val="22"/>
        </w:rPr>
        <w:t>but</w:t>
      </w:r>
      <w:r w:rsidRPr="00B6585E">
        <w:rPr>
          <w:rFonts w:ascii="Arial" w:hAnsi="Arial" w:cs="Arial"/>
          <w:color w:val="000000" w:themeColor="text1"/>
          <w:sz w:val="22"/>
          <w:szCs w:val="22"/>
        </w:rPr>
        <w:t xml:space="preserve"> </w:t>
      </w:r>
      <w:r w:rsidR="007C2CF6" w:rsidRPr="00B6585E">
        <w:rPr>
          <w:rFonts w:ascii="Arial" w:hAnsi="Arial" w:cs="Arial"/>
          <w:color w:val="000000" w:themeColor="text1"/>
          <w:sz w:val="22"/>
          <w:szCs w:val="22"/>
        </w:rPr>
        <w:t xml:space="preserve">coincides with a </w:t>
      </w:r>
      <w:r w:rsidRPr="00B6585E">
        <w:rPr>
          <w:rFonts w:ascii="Arial" w:hAnsi="Arial" w:cs="Arial"/>
          <w:color w:val="000000" w:themeColor="text1"/>
          <w:sz w:val="22"/>
          <w:szCs w:val="22"/>
        </w:rPr>
        <w:t>higher incidence of hypotension.</w:t>
      </w:r>
      <w:r w:rsidRPr="00B6585E">
        <w:rPr>
          <w:rFonts w:ascii="Arial" w:hAnsi="Arial" w:cs="Arial"/>
          <w:color w:val="000000" w:themeColor="text1"/>
          <w:sz w:val="22"/>
          <w:szCs w:val="22"/>
        </w:rPr>
        <w:fldChar w:fldCharType="begin" w:fldLock="1"/>
      </w:r>
      <w:r w:rsidRPr="00B6585E">
        <w:rPr>
          <w:rFonts w:ascii="Arial" w:hAnsi="Arial" w:cs="Arial"/>
          <w:color w:val="000000" w:themeColor="text1"/>
          <w:sz w:val="22"/>
          <w:szCs w:val="22"/>
        </w:rPr>
        <w:instrText>ADDIN CSL_CITATION {"citationItems":[{"id":"ITEM-1","itemData":{"DOI":"10.1016/j.ijcard.2017.10.077","ISSN":"18741754","PMID":"29126653","abstract":"Background Several studies suggested beneficial effects of perioperative levosimendan on postoperative outcome after cardiac surgery. However, three large randomized controlled trials (RCTs) have been recently published and presented neutral results. We performed a systematic review with meta-analysis and trial sequential analysis (TSA) to assess benefits and harms of perioperative levosimendan therapy in cardiac surgery. Methods Electronic databases were searched up to September 2017 for RCTs on preoperative levosimendan versus any type of control. The Cochrane methodology was employed. We calculated odds ratio (OR) or Risk Ratio (OR) and 95% confidence interval (CI) using fixed-effects meta-analyses and we further performed TSA. Results We included data from 40 RCTs and 4246 patients. Pooled analysis of 5 low risk of bias trials (1910 patients) showed no association between levosimendan and mortality (OR 0.86 [95% CI, 0.62, 1.18], p = 0.34, TSA inconclusive), acute kidney injury, need of renal replacement therapy, myocardial infarction, ventricular arrhythmias, and serious adverse events, but an association with higher incidence of supraventricular arrhythmias (RR 1.11 [95% CI, 1.00, 1.24], p = 0.05, TSA inconclusive) and hypotension (RR 1.15 [95% CI, 1.01, 1.30], p = 0.04, TSA inconclusive). Analysis including all 40 trials found that levosimendan was associated with lower postoperative mortality (OR 0.56 [95% CI, 0.44, 0.71], p &lt; 0.00001, TSA conclusive), acute kidney injury, and renal replacement therapy, and higher incidence of hypotension. Conclusions There is not enough high-quality evidence to neither support nor discourage the systematic use of levosimendan in cardiac surgery.","author":[{"dropping-particle":"","family":"Putzu","given":"Alessandro","non-dropping-particle":"","parse-names":false,"suffix":""},{"dropping-particle":"","family":"Clivio","given":"Sara","non-dropping-particle":"","parse-names":false,"suffix":""},{"dropping-particle":"","family":"Belletti","given":"Alessandro","non-dropping-particle":"","parse-names":false,"suffix":""},{"dropping-particle":"","family":"Cassina","given":"Tiziano","non-dropping-particle":"","parse-names":false,"suffix":""}],"container-title":"International Journal of Cardiology","id":"ITEM-1","issued":{"date-parts":[["2018"]]},"page":"22-31","publisher":"Elsevier B.V.","title":"Perioperative levosimendan in cardiac surgery: A systematic review with meta-analysis and trial sequential analysis","type":"article-journal","volume":"251"},"uris":["http://www.mendeley.com/documents/?uuid=69ec8c80-f7e7-45ca-a060-638dacadd781"]}],"mendeley":{"formattedCitation":"&lt;sup&gt;19&lt;/sup&gt;","plainTextFormattedCitation":"19","previouslyFormattedCitation":"&lt;sup&gt;19&lt;/sup&gt;"},"properties":{"noteIndex":0},"schema":"https://github.com/citation-style-language/schema/raw/master/csl-citation.json"}</w:instrText>
      </w:r>
      <w:r w:rsidRPr="00B6585E">
        <w:rPr>
          <w:rFonts w:ascii="Arial" w:hAnsi="Arial" w:cs="Arial"/>
          <w:color w:val="000000" w:themeColor="text1"/>
          <w:sz w:val="22"/>
          <w:szCs w:val="22"/>
        </w:rPr>
        <w:fldChar w:fldCharType="separate"/>
      </w:r>
      <w:bookmarkStart w:id="77" w:name="__Fieldmark__1753_2706913586"/>
      <w:r w:rsidRPr="00B6585E">
        <w:rPr>
          <w:rFonts w:ascii="Arial" w:hAnsi="Arial" w:cs="Arial"/>
          <w:noProof/>
          <w:color w:val="000000" w:themeColor="text1"/>
          <w:sz w:val="22"/>
          <w:szCs w:val="22"/>
          <w:vertAlign w:val="superscript"/>
        </w:rPr>
        <w:t>1</w:t>
      </w:r>
      <w:bookmarkStart w:id="78" w:name="__Fieldmark__935_3246776249"/>
      <w:r w:rsidRPr="00B6585E">
        <w:rPr>
          <w:rFonts w:ascii="Arial" w:hAnsi="Arial" w:cs="Arial"/>
          <w:noProof/>
          <w:color w:val="000000" w:themeColor="text1"/>
          <w:sz w:val="22"/>
          <w:szCs w:val="22"/>
          <w:vertAlign w:val="superscript"/>
        </w:rPr>
        <w:t>9</w:t>
      </w:r>
      <w:bookmarkStart w:id="79" w:name="__Fieldmark__1348_218254580"/>
      <w:r w:rsidRPr="00B6585E">
        <w:rPr>
          <w:rFonts w:ascii="Arial" w:hAnsi="Arial" w:cs="Arial"/>
          <w:color w:val="000000" w:themeColor="text1"/>
          <w:sz w:val="22"/>
          <w:szCs w:val="22"/>
        </w:rPr>
        <w:fldChar w:fldCharType="end"/>
      </w:r>
      <w:bookmarkEnd w:id="77"/>
      <w:bookmarkEnd w:id="78"/>
      <w:bookmarkEnd w:id="79"/>
      <w:r w:rsidR="00FB1259" w:rsidRPr="00B6585E">
        <w:rPr>
          <w:rFonts w:ascii="Arial" w:hAnsi="Arial" w:cs="Arial"/>
          <w:color w:val="000000" w:themeColor="text1"/>
          <w:sz w:val="22"/>
          <w:szCs w:val="22"/>
        </w:rPr>
        <w:t xml:space="preserve"> </w:t>
      </w:r>
      <w:r w:rsidR="00FB1259" w:rsidRPr="00B6585E">
        <w:rPr>
          <w:rFonts w:ascii="Arial" w:eastAsia="Calibri" w:hAnsi="Arial" w:cs="Arial"/>
          <w:color w:val="000000" w:themeColor="text1"/>
          <w:sz w:val="22"/>
          <w:szCs w:val="22"/>
        </w:rPr>
        <w:t>There is not enough high-quality evidence to neither support nor discourage the systematic use of levosimendan in cardiac surgery.</w:t>
      </w:r>
    </w:p>
    <w:p w14:paraId="7BEEEA45" w14:textId="77777777" w:rsidR="00FB1259" w:rsidRPr="00B6585E" w:rsidRDefault="00FB1259" w:rsidP="00FB1259">
      <w:pPr>
        <w:autoSpaceDE w:val="0"/>
        <w:autoSpaceDN w:val="0"/>
        <w:adjustRightInd w:val="0"/>
        <w:rPr>
          <w:rFonts w:eastAsia="Calibri"/>
          <w:color w:val="000000" w:themeColor="text1"/>
        </w:rPr>
      </w:pPr>
    </w:p>
    <w:p w14:paraId="0DF64DCD" w14:textId="77777777" w:rsidR="00931A60" w:rsidRPr="00B6585E" w:rsidRDefault="00A221DB" w:rsidP="00816FA9">
      <w:pPr>
        <w:pStyle w:val="Heading3"/>
        <w:numPr>
          <w:ilvl w:val="2"/>
          <w:numId w:val="3"/>
        </w:numPr>
      </w:pPr>
      <w:bookmarkStart w:id="80" w:name="_Toc9107174"/>
      <w:bookmarkStart w:id="81" w:name="_Toc2083794"/>
      <w:bookmarkStart w:id="82" w:name="_Toc23231301"/>
      <w:bookmarkStart w:id="83" w:name="_Toc96924950"/>
      <w:r w:rsidRPr="00B6585E">
        <w:t>Biomarkers</w:t>
      </w:r>
      <w:bookmarkEnd w:id="80"/>
      <w:bookmarkEnd w:id="81"/>
      <w:bookmarkEnd w:id="82"/>
      <w:bookmarkEnd w:id="83"/>
      <w:r w:rsidRPr="00B6585E">
        <w:t xml:space="preserve"> </w:t>
      </w:r>
    </w:p>
    <w:p w14:paraId="3D136EB1" w14:textId="77777777" w:rsidR="00931A60" w:rsidRPr="00B6585E" w:rsidRDefault="00A221DB">
      <w:pPr>
        <w:pStyle w:val="Heading4"/>
        <w:numPr>
          <w:ilvl w:val="3"/>
          <w:numId w:val="3"/>
        </w:numPr>
        <w:spacing w:before="0" w:after="120"/>
        <w:ind w:left="142" w:right="-7" w:hanging="142"/>
        <w:rPr>
          <w:rFonts w:ascii="Arial" w:hAnsi="Arial" w:cs="Arial"/>
          <w:color w:val="000000" w:themeColor="text1"/>
          <w:sz w:val="22"/>
          <w:lang w:val="en-US"/>
        </w:rPr>
      </w:pPr>
      <w:r w:rsidRPr="00B6585E">
        <w:rPr>
          <w:rFonts w:ascii="Arial" w:hAnsi="Arial" w:cs="Arial"/>
          <w:color w:val="000000" w:themeColor="text1"/>
          <w:sz w:val="22"/>
          <w:lang w:val="en-US"/>
        </w:rPr>
        <w:t>Natriuretic Peptides</w:t>
      </w:r>
    </w:p>
    <w:p w14:paraId="2D8A3F23" w14:textId="5B0DAAD7" w:rsidR="00931A60" w:rsidRPr="00B6585E" w:rsidRDefault="00A221DB">
      <w:pPr>
        <w:spacing w:after="120"/>
        <w:ind w:right="-7"/>
        <w:jc w:val="both"/>
        <w:rPr>
          <w:rFonts w:ascii="Arial" w:eastAsia="ArialMT" w:hAnsi="Arial" w:cs="Arial"/>
          <w:color w:val="000000" w:themeColor="text1"/>
          <w:sz w:val="22"/>
          <w:szCs w:val="22"/>
        </w:rPr>
      </w:pPr>
      <w:r w:rsidRPr="00B6585E">
        <w:rPr>
          <w:rFonts w:ascii="Arial" w:eastAsia="ArialMT" w:hAnsi="Arial" w:cs="Arial"/>
          <w:color w:val="000000" w:themeColor="text1"/>
          <w:sz w:val="22"/>
          <w:szCs w:val="22"/>
        </w:rPr>
        <w:t>NT-proBNP is released during increased myocardial wall stress. BNP is enzymatically</w:t>
      </w:r>
      <w:r w:rsidR="00377EFA" w:rsidRPr="00B6585E">
        <w:rPr>
          <w:rFonts w:ascii="Arial" w:eastAsia="ArialMT" w:hAnsi="Arial" w:cs="Arial"/>
          <w:color w:val="000000" w:themeColor="text1"/>
          <w:sz w:val="22"/>
          <w:szCs w:val="22"/>
        </w:rPr>
        <w:t xml:space="preserve"> cleaved</w:t>
      </w:r>
      <w:r w:rsidRPr="00B6585E">
        <w:rPr>
          <w:rFonts w:ascii="Arial" w:eastAsia="ArialMT" w:hAnsi="Arial" w:cs="Arial"/>
          <w:color w:val="000000" w:themeColor="text1"/>
          <w:sz w:val="22"/>
          <w:szCs w:val="22"/>
        </w:rPr>
        <w:t xml:space="preserve"> by corin to N-terminal pro BNP (NT-proBNP).</w:t>
      </w:r>
      <w:r w:rsidRPr="00B6585E">
        <w:rPr>
          <w:color w:val="000000" w:themeColor="text1"/>
        </w:rPr>
        <w:fldChar w:fldCharType="begin" w:fldLock="1"/>
      </w:r>
      <w:r w:rsidR="00934622" w:rsidRPr="00B6585E">
        <w:rPr>
          <w:color w:val="000000" w:themeColor="text1"/>
        </w:rPr>
        <w:instrText>ADDIN CSL_CITATION {"citationItems":[{"id":"ITEM-1","itemData":{"DOI":"10.1038/nrcardio.2014.64","ISBN":"1759-5010 (Electronic)\\r1759-5002 (Linking)","ISSN":"1759-5010","PMID":"24820868","abstract":"| In the 30 years since the identification of the natriuretic peptides, their involvement in regulating fluid and blood pressure has become firmly established. Data indicating a role for these hormones in lifestyle‑ related metabolic and cardiovascular disorders have also accumulated over the past decade. Dysregulation of the natriuretic peptide system has been associated with obesity, glucose intolerance, type 2 diabetes mellitus, and essential hypertension. Moreover, the natriuretic peptides have been implicated in the protection against atherosclerosis, thrombosis, and myocardial ischaemia. All these conditions can coexist and potentially lead to heart failure, a syndrome associated with a functional natriuretic peptide deficiency despite high circulating concentrations of immunoreactive peptides. Therefore, dysregulation of the natriuretic peptide system, a 'natriuretic handicap', might be an important factor in the initiation and progression of metabolic dysfunction and its accompanying cardiovascular complications. This Review provides a summary of the natriuretic peptide system and its involvement in these cardiometabolic conditions. We propose that these peptides might have an integrating role in lifestyle‑related metabolic and cardiovascular disorders.","author":[{"dropping-particle":"","family":"Zois","given":"Nora E","non-dropping-particle":"","parse-names":false,"suffix":""},{"dropping-particle":"","family":"Bartels","given":"Emil D","non-dropping-particle":"","parse-names":false,"suffix":""},{"dropping-particle":"","family":"Hunter","given":"Ingrid","non-dropping-particle":"","parse-names":false,"suffix":""},{"dropping-particle":"","family":"Kousholt","given":"Birgitte S","non-dropping-particle":"","parse-names":false,"suffix":""},{"dropping-particle":"","family":"Olsen","given":"Lisbeth H","non-dropping-particle":"","parse-names":false,"suffix":""},{"dropping-particle":"","family":"Goetze","given":"Jens P","non-dropping-particle":"","parse-names":false,"suffix":""}],"container-title":"Nat Rev Cardiol","id":"ITEM-1","issue":"7","issued":{"date-parts":[["2014"]]},"page":"403-412","publisher":"Nature Publishing Group","title":"Natriuretic peptides in cardiometabolic regulation and disease","type":"article-journal","volume":"11"},"uris":["http://www.mendeley.com/documents/?uuid=e194989a-dabd-42ec-9266-fdd070ee6f5f"]},{"id":"ITEM-2","itemData":{"DOI":"10.1016/j.pharmthera.2004.04.004","ISBN":"0163-7258","ISSN":"01637258","PMID":"15246247","abstract":"The natriuretic peptide family consists of at least 3 structurally similar peptides: atrial natriuretic peptide (ANP), brain natriuretic peptide (BNP), and C-type natriuretic peptide (CNP). Under normal conditions, ANP is synthesized by the atrium and released in response to atrial stretch. This peptide plays an important role in sodium and water homeostasis and is involved in cardiovascular function. In contrast, BNP is synthesized primarily by the ventricles, and its circulatory concentrations are significantly elevated in profound congestive heart failure (CHF). While both plasma levels of ANP and BNP have been found to be increased in patients with various heart diseases, the elevation in circulatory BNP correlates better than ANP with the severity of CHF. Therefore, plasma BNP has been suggested (and lately used) to aid in the accurate diagnosis of heart failure in patients admitted to the emergency room with symptoms of decompensated heart failure. Furthermore, circulatory BNP has been utilized as a prognostic marker in CHF as well as a hormone guide in the evaluation of the efficacy of the conventional treatment of this disease state. In light of the cardiovascular and renal effects of BNP, which most likely exceed those of ANP, the former has been used as a therapeutic agent for the treatment of patients with acute severe CHF. Intravenous infusion of BNP into patients with sustained ventricular dysfunction causes a balanced arterial and venous vasodilatation that has been shown to result in rapid reduction in ventricular filling pressure and reversal of heart failure symptoms, such as dyspnea and acute hemodynamic abnormalities. Thus, the goal of this article is to review the physiology and pathophysiology of natriuretic peptides and the potential use of their circulating levels for diagnosis and treatment of heart failure. © 2004 Elsevier Inc. All rights reserved.","author":[{"dropping-particle":"","family":"Abassi","given":"Zaid","non-dropping-particle":"","parse-names":false,"suffix":""},{"dropping-particle":"","family":"Karram","given":"Tony","non-dropping-particle":"","parse-names":false,"suffix":""},{"dropping-particle":"","family":"Ellaham","given":"Samer","non-dropping-particle":"","parse-names":false,"suffix":""},{"dropping-particle":"","family":"Winaver","given":"Joseph","non-dropping-particle":"","parse-names":false,"suffix":""},{"dropping-particle":"","family":"Hoffman","given":"Aaron","non-dropping-particle":"","parse-names":false,"suffix":""}],"container-title":"Pharmacology and Therapeutics","id":"ITEM-2","issue":"3","issued":{"date-parts":[["2004"]]},"page":"223-241","title":"Implications of the natriuretic peptide system in the pathogenesis of heart failure: Diagnostic and therapeutic importance","type":"article-journal","volume":"102"},"uris":["http://www.mendeley.com/documents/?uuid=62bb800d-510b-47fd-b038-860bbd4c81a9"]}],"mendeley":{"formattedCitation":"&lt;sup&gt;9 10&lt;/sup&gt;","plainTextFormattedCitation":"9 10","previouslyFormattedCitation":"&lt;sup&gt;9 10&lt;/sup&gt;"},"properties":{"noteIndex":0},"schema":"https://github.com/citation-style-language/schema/raw/master/csl-citation.json"}</w:instrText>
      </w:r>
      <w:r w:rsidRPr="00B6585E">
        <w:rPr>
          <w:color w:val="000000" w:themeColor="text1"/>
        </w:rPr>
        <w:fldChar w:fldCharType="separate"/>
      </w:r>
      <w:bookmarkStart w:id="84" w:name="__Fieldmark__1773_2706913586"/>
      <w:bookmarkStart w:id="85" w:name="__Fieldmark__953_3246776249"/>
      <w:bookmarkStart w:id="86" w:name="__Fieldmark__1363_218254580"/>
      <w:r w:rsidR="00F37F12" w:rsidRPr="00B6585E">
        <w:rPr>
          <w:rFonts w:ascii="Arial" w:eastAsia="ArialMT" w:hAnsi="Arial" w:cs="Arial"/>
          <w:noProof/>
          <w:color w:val="000000" w:themeColor="text1"/>
          <w:sz w:val="22"/>
          <w:szCs w:val="22"/>
          <w:vertAlign w:val="superscript"/>
        </w:rPr>
        <w:t>9 10</w:t>
      </w:r>
      <w:r w:rsidRPr="00B6585E">
        <w:rPr>
          <w:color w:val="000000" w:themeColor="text1"/>
        </w:rPr>
        <w:fldChar w:fldCharType="end"/>
      </w:r>
      <w:bookmarkEnd w:id="84"/>
      <w:bookmarkEnd w:id="85"/>
      <w:bookmarkEnd w:id="86"/>
      <w:r w:rsidRPr="00B6585E">
        <w:rPr>
          <w:rFonts w:ascii="Arial" w:eastAsia="ArialMT" w:hAnsi="Arial" w:cs="Arial"/>
          <w:color w:val="000000" w:themeColor="text1"/>
          <w:sz w:val="22"/>
          <w:szCs w:val="22"/>
        </w:rPr>
        <w:t xml:space="preserve"> Binding of BNP to natriuretic peptide receptor A and natriuretic peptide receptor B lead to natriuresis, vasodilation and renin inhibition. Furthermore, there is also anti-mitogenic, anti-ischemic and positive lusitropic activity.</w:t>
      </w:r>
      <w:r w:rsidRPr="00B6585E">
        <w:rPr>
          <w:color w:val="000000" w:themeColor="text1"/>
        </w:rPr>
        <w:fldChar w:fldCharType="begin" w:fldLock="1"/>
      </w:r>
      <w:r w:rsidR="00934622" w:rsidRPr="00B6585E">
        <w:rPr>
          <w:color w:val="000000" w:themeColor="text1"/>
        </w:rPr>
        <w:instrText>ADDIN CSL_CITATION {"citationItems":[{"id":"ITEM-1","itemData":{"DOI":"10.1016/j.pharmthera.2004.04.004","ISBN":"0163-7258","ISSN":"01637258","PMID":"15246247","abstract":"The natriuretic peptide family consists of at least 3 structurally similar peptides: atrial natriuretic peptide (ANP), brain natriuretic peptide (BNP), and C-type natriuretic peptide (CNP). Under normal conditions, ANP is synthesized by the atrium and released in response to atrial stretch. This peptide plays an important role in sodium and water homeostasis and is involved in cardiovascular function. In contrast, BNP is synthesized primarily by the ventricles, and its circulatory concentrations are significantly elevated in profound congestive heart failure (CHF). While both plasma levels of ANP and BNP have been found to be increased in patients with various heart diseases, the elevation in circulatory BNP correlates better than ANP with the severity of CHF. Therefore, plasma BNP has been suggested (and lately used) to aid in the accurate diagnosis of heart failure in patients admitted to the emergency room with symptoms of decompensated heart failure. Furthermore, circulatory BNP has been utilized as a prognostic marker in CHF as well as a hormone guide in the evaluation of the efficacy of the conventional treatment of this disease state. In light of the cardiovascular and renal effects of BNP, which most likely exceed those of ANP, the former has been used as a therapeutic agent for the treatment of patients with acute severe CHF. Intravenous infusion of BNP into patients with sustained ventricular dysfunction causes a balanced arterial and venous vasodilatation that has been shown to result in rapid reduction in ventricular filling pressure and reversal of heart failure symptoms, such as dyspnea and acute hemodynamic abnormalities. Thus, the goal of this article is to review the physiology and pathophysiology of natriuretic peptides and the potential use of their circulating levels for diagnosis and treatment of heart failure. © 2004 Elsevier Inc. All rights reserved.","author":[{"dropping-particle":"","family":"Abassi","given":"Zaid","non-dropping-particle":"","parse-names":false,"suffix":""},{"dropping-particle":"","family":"Karram","given":"Tony","non-dropping-particle":"","parse-names":false,"suffix":""},{"dropping-particle":"","family":"Ellaham","given":"Samer","non-dropping-particle":"","parse-names":false,"suffix":""},{"dropping-particle":"","family":"Winaver","given":"Joseph","non-dropping-particle":"","parse-names":false,"suffix":""},{"dropping-particle":"","family":"Hoffman","given":"Aaron","non-dropping-particle":"","parse-names":false,"suffix":""}],"container-title":"Pharmacology and Therapeutics","id":"ITEM-1","issue":"3","issued":{"date-parts":[["2004"]]},"page":"223-241","title":"Implications of the natriuretic peptide system in the pathogenesis of heart failure: Diagnostic and therapeutic importance","type":"article-journal","volume":"102"},"uris":["http://www.mendeley.com/documents/?uuid=62bb800d-510b-47fd-b038-860bbd4c81a9"]}],"mendeley":{"formattedCitation":"&lt;sup&gt;10&lt;/sup&gt;","plainTextFormattedCitation":"10","previouslyFormattedCitation":"&lt;sup&gt;10&lt;/sup&gt;"},"properties":{"noteIndex":0},"schema":"https://github.com/citation-style-language/schema/raw/master/csl-citation.json"}</w:instrText>
      </w:r>
      <w:r w:rsidRPr="00B6585E">
        <w:rPr>
          <w:color w:val="000000" w:themeColor="text1"/>
        </w:rPr>
        <w:fldChar w:fldCharType="separate"/>
      </w:r>
      <w:bookmarkStart w:id="87" w:name="__Fieldmark__1784_2706913586"/>
      <w:bookmarkStart w:id="88" w:name="__Fieldmark__960_3246776249"/>
      <w:bookmarkStart w:id="89" w:name="__Fieldmark__1369_218254580"/>
      <w:r w:rsidR="00F37F12" w:rsidRPr="00B6585E">
        <w:rPr>
          <w:rFonts w:ascii="Arial" w:eastAsia="ArialMT" w:hAnsi="Arial" w:cs="Arial"/>
          <w:noProof/>
          <w:color w:val="000000" w:themeColor="text1"/>
          <w:sz w:val="22"/>
          <w:szCs w:val="22"/>
          <w:vertAlign w:val="superscript"/>
        </w:rPr>
        <w:t>10</w:t>
      </w:r>
      <w:r w:rsidRPr="00B6585E">
        <w:rPr>
          <w:color w:val="000000" w:themeColor="text1"/>
        </w:rPr>
        <w:fldChar w:fldCharType="end"/>
      </w:r>
      <w:bookmarkEnd w:id="87"/>
      <w:bookmarkEnd w:id="88"/>
      <w:bookmarkEnd w:id="89"/>
      <w:r w:rsidRPr="00B6585E">
        <w:rPr>
          <w:rFonts w:ascii="Arial" w:eastAsia="ArialMT" w:hAnsi="Arial" w:cs="Arial"/>
          <w:color w:val="000000" w:themeColor="text1"/>
          <w:sz w:val="22"/>
          <w:szCs w:val="22"/>
        </w:rPr>
        <w:t xml:space="preserve"> Cardiac protection against collagen formation and accumulation by inhibiting cardiac remodeling and progression of heart failure were described as well.</w:t>
      </w:r>
      <w:r w:rsidRPr="00B6585E">
        <w:rPr>
          <w:color w:val="000000" w:themeColor="text1"/>
        </w:rPr>
        <w:fldChar w:fldCharType="begin" w:fldLock="1"/>
      </w:r>
      <w:r w:rsidRPr="00B6585E">
        <w:rPr>
          <w:color w:val="000000" w:themeColor="text1"/>
        </w:rPr>
        <w:instrText>ADDIN CSL_CITATION {"citationItems":[{"id":"ITEM-1","itemData":{"DOI":"10.1016/j.jacc.2005.11.030","ISBN":"0735-1097","ISSN":"07351097","PMID":"16487838","abstract":"OBJECTIVES: We explored the stimulus for B-type natriuretic peptide (BNP) secretion in the clinical setting of heart failure (HF). BACKGROUND: Increasingly, plasma BNP levels are being incorporated into the clinical assessment and management of systolic heart failure (SHF) as well as diastolic heart failure (DHF). However, heterogeneity in BNP levels among individuals with HF can cause some confusion in interpreting results. METHODS: In 160 consecutive patients presenting with HF, we measured plasma BNP levels and performed echocardiography and cardiac catheterization. Systolic and diastolic meridional wall stress was calculated from echocardiographic and hemodynamic data. RESULTS: Although plasma BNP had a significant correlation (r2 = 0.296 [p &lt; 0.001]) with left ventricular end-diastolic pressure (EDP) as previously reported, the correlation between plasma BNP and end-diastolic wall stress (EDWS) (r2 = 0.887 [p &lt; 0.001]) was more robust. In a subanalysis of 62 patients with DHF, a similar result was obtained (r 2 = 0.143 for EDP and r2 = 0.704 for EDWS). In a comparison between SHF and DHF, the BNP level was significantly higher in SHF (p &lt; 0.001). Although EDP did not show any difference, EDWS was significantly higher in SHF than in DHF (p &lt; 0.001). CONCLUSIONS: The present study shows that plasma BNP levels reflect left ventricular EDWS more than any other parameter previously reported, not only in patients with SHF, but also in patients with DHF. The relationship of left ventricular EDWS to plasma BNP may provide a better fundamental understanding of the interindividual heterogeneity in BNP levels and their clinical utility in the diagnosis and management of HF. © 2006 by the American College of Cardiology Foundation.","author":[{"dropping-particle":"","family":"Iwanaga","given":"Yoshitaka","non-dropping-particle":"","parse-names":false,"suffix":""},{"dropping-particle":"","family":"Nishi","given":"Isao","non-dropping-particle":"","parse-names":false,"suffix":""},{"dropping-particle":"","family":"Furuichi","given":"Shinichi","non-dropping-particle":"","parse-names":false,"suffix":""},{"dropping-particle":"","family":"Noguchi","given":"Teruo","non-dropping-particle":"","parse-names":false,"suffix":""},{"dropping-particle":"","family":"Sase","given":"Kazuhiro","non-dropping-particle":"","parse-names":false,"suffix":""},{"dropping-particle":"","family":"Kihara","given":"Yasuki","non-dropping-particle":"","parse-names":false,"suffix":""},{"dropping-particle":"","family":"Goto","given":"Yoichi","non-dropping-particle":"","parse-names":false,"suffix":""},{"dropping-particle":"","family":"Nonogi","given":"Hiroshi","non-dropping-particle":"","parse-names":false,"suffix":""}],"container-title":"Journal of the American College of Cardiology","id":"ITEM-1","issue":"4","issued":{"date-parts":[["2006"]]},"page":"742-748","publisher":"Elsevier Masson SAS","title":"B-type natriuretic peptide strongly reflects diastolic wall stress in patients with chronic heart failure: Comparison between systolic and diastolic heart failure","type":"article-journal","volume":"47"},"uris":["http://www.mendeley.com/documents/?uuid=dd89e4b1-3e32-4756-b6d6-219bcc583171"]},{"id":"ITEM-2","itemData":{"DOI":"10.1007/s12265-015-9619-3","ISSN":"19375395","author":[{"dropping-particle":"","family":"Egom","given":"Emmanuel E.","non-dropping-particle":"","parse-names":false,"suffix":""}],"container-title":"Journal of Cardiovascular Translational Research","id":"ITEM-2","issue":"3","issued":{"date-parts":[["2015"]]},"page":"149-157","title":"BNP and Heart Failure: Preclinical and Clinical Trial Data","type":"article-journal","volume":"8"},"uris":["http://www.mendeley.com/documents/?uuid=26fd71b2-8c67-44bf-b1ab-8f1bb4f26cae"]}],"mendeley":{"formattedCitation":"&lt;sup&gt;20 21&lt;/sup&gt;","plainTextFormattedCitation":"20 21","previouslyFormattedCitation":"&lt;sup&gt;20 21&lt;/sup&gt;"},"properties":{"noteIndex":0},"schema":"https://github.com/citation-style-language/schema/raw/master/csl-citation.json"}</w:instrText>
      </w:r>
      <w:r w:rsidRPr="00B6585E">
        <w:rPr>
          <w:color w:val="000000" w:themeColor="text1"/>
        </w:rPr>
        <w:fldChar w:fldCharType="separate"/>
      </w:r>
      <w:bookmarkStart w:id="90" w:name="__Fieldmark__1795_2706913586"/>
      <w:r w:rsidRPr="00B6585E">
        <w:rPr>
          <w:rFonts w:ascii="Arial" w:eastAsia="ArialMT" w:hAnsi="Arial" w:cs="Arial"/>
          <w:noProof/>
          <w:color w:val="000000" w:themeColor="text1"/>
          <w:sz w:val="22"/>
          <w:szCs w:val="22"/>
          <w:vertAlign w:val="superscript"/>
        </w:rPr>
        <w:t>2</w:t>
      </w:r>
      <w:bookmarkStart w:id="91" w:name="__Fieldmark__967_3246776249"/>
      <w:r w:rsidRPr="00B6585E">
        <w:rPr>
          <w:rFonts w:ascii="Arial" w:eastAsia="ArialMT" w:hAnsi="Arial" w:cs="Arial"/>
          <w:noProof/>
          <w:color w:val="000000" w:themeColor="text1"/>
          <w:sz w:val="22"/>
          <w:szCs w:val="22"/>
          <w:vertAlign w:val="superscript"/>
        </w:rPr>
        <w:t>0</w:t>
      </w:r>
      <w:bookmarkStart w:id="92" w:name="__Fieldmark__1374_218254580"/>
      <w:r w:rsidRPr="00B6585E">
        <w:rPr>
          <w:rFonts w:ascii="Arial" w:eastAsia="ArialMT" w:hAnsi="Arial" w:cs="Arial"/>
          <w:noProof/>
          <w:color w:val="000000" w:themeColor="text1"/>
          <w:sz w:val="22"/>
          <w:szCs w:val="22"/>
          <w:vertAlign w:val="superscript"/>
        </w:rPr>
        <w:t xml:space="preserve"> 21</w:t>
      </w:r>
      <w:r w:rsidRPr="00B6585E">
        <w:rPr>
          <w:color w:val="000000" w:themeColor="text1"/>
        </w:rPr>
        <w:fldChar w:fldCharType="end"/>
      </w:r>
      <w:bookmarkEnd w:id="90"/>
      <w:bookmarkEnd w:id="91"/>
      <w:bookmarkEnd w:id="92"/>
    </w:p>
    <w:p w14:paraId="2BA4FC74" w14:textId="77777777" w:rsidR="00931A60" w:rsidRPr="00B6585E" w:rsidRDefault="00A221DB">
      <w:pPr>
        <w:spacing w:after="120"/>
        <w:ind w:right="-7"/>
        <w:jc w:val="both"/>
        <w:rPr>
          <w:rFonts w:ascii="Arial" w:eastAsia="ArialMT" w:hAnsi="Arial" w:cs="Arial"/>
          <w:color w:val="000000" w:themeColor="text1"/>
          <w:sz w:val="22"/>
          <w:szCs w:val="22"/>
        </w:rPr>
      </w:pPr>
      <w:r w:rsidRPr="00B6585E">
        <w:rPr>
          <w:rFonts w:ascii="Arial" w:eastAsia="ArialMT" w:hAnsi="Arial" w:cs="Arial"/>
          <w:color w:val="000000" w:themeColor="text1"/>
          <w:sz w:val="22"/>
          <w:szCs w:val="22"/>
        </w:rPr>
        <w:t>BNP is a reliable marker to estimate cardiac function in patients with heart failure with reduced ejection fraction (HFrEF) and patients with heart failure with preserved left ventricular ejection fraction (HFpEF).</w:t>
      </w:r>
      <w:r w:rsidRPr="00B6585E">
        <w:rPr>
          <w:color w:val="000000" w:themeColor="text1"/>
        </w:rPr>
        <w:fldChar w:fldCharType="begin" w:fldLock="1"/>
      </w:r>
      <w:r w:rsidRPr="00B6585E">
        <w:rPr>
          <w:color w:val="000000" w:themeColor="text1"/>
        </w:rPr>
        <w:instrText>ADDIN CSL_CITATION {"citationItems":[{"id":"ITEM-1","itemData":{"DOI":"10.1016/j.jacc.2012.12.044","ISBN":"1558-3597 (Electronic)\\r0735-1097 (Linking)","ISSN":"07351097","PMID":"23500300","abstract":"Objectives: This study sought to determine the prognostic value of B-type natriuretic peptide (BNP) in patients with heart failure with preserved ejection fraction (HFPEF), in comparison to data in HF patients with reduced left ventricular (LV) EF (???40%). Background: Management of patients with HFPEF is difficult. BNP is a useful biomarker in patients with reduced LVEF, but data in HFPEF are scarce. Methods: In this study, 615 patients with mild to moderate HF (mean age 70 years, LVEF 33%) were followed for 18 months. BNP concentrations were measured at baseline and were related to the primary outcome, that is, a composite of all-cause mortality and HF hospitalization, and to mortality alone. The population was divided in quintiles, according to LVEF, and patients with reduced LVEF were compared with those with HFPEF. Results: There were 257 patients (42%) who had a primary endpoint and 171 (28%) who died. BNP levels were significantly higher in patients with reduced LVEF than in those with HFPEF (p &lt; 0.001). BNP was a strong predictor of outcome, but LVEF was not. Importantly, if similar levels of BNP were compared across the whole spectrum of LVEF, and for different cutoff levels of LVEF, the associated risk of adverse outcome was similar in HFPEF patients as in those with reduced LVEF. Conclusions: BNP levels are lower in patients with HFPEF than in patients with HF with reduced LVEF, but for a given BNP level, the prognosis in patients with HFPEF is as poor as in those with reduced LVEF. ?? 2013 American College of Cardiology Foundation.","author":[{"dropping-particle":"","family":"Veldhuisen","given":"Dirk J.","non-dropping-particle":"Van","parse-names":false,"suffix":""},{"dropping-particle":"","family":"Linssen","given":"Gerard C M","non-dropping-particle":"","parse-names":false,"suffix":""},{"dropping-particle":"","family":"Jaarsma","given":"Tiny","non-dropping-particle":"","parse-names":false,"suffix":""},{"dropping-particle":"","family":"Gilst","given":"Wiek H.","non-dropping-particle":"Van","parse-names":false,"suffix":""},{"dropping-particle":"","family":"Hoes","given":"Arno W.","non-dropping-particle":"","parse-names":false,"suffix":""},{"dropping-particle":"","family":"Tijssen","given":"Jan G P","non-dropping-particle":"","parse-names":false,"suffix":""},{"dropping-particle":"","family":"Paulus","given":"Walter J.","non-dropping-particle":"","parse-names":false,"suffix":""},{"dropping-particle":"","family":"Voors","given":"Adriaan A.","non-dropping-particle":"","parse-names":false,"suffix":""},{"dropping-particle":"","family":"Hillege","given":"Hans L.","non-dropping-particle":"","parse-names":false,"suffix":""}],"container-title":"Journal of the American College of Cardiology","id":"ITEM-1","issue":"14","issued":{"date-parts":[["2013"]]},"page":"1498-1506","publisher":"Elsevier Inc.","title":"B-type natriuretic peptide and prognosis in heart failure patients with preserved and reduced ejection fraction","type":"article-journal","volume":"61"},"uris":["http://www.mendeley.com/documents/?uuid=58a86b4d-cba7-4a81-bae7-610ad1cbd3f9"]}],"mendeley":{"formattedCitation":"&lt;sup&gt;22&lt;/sup&gt;","plainTextFormattedCitation":"22","previouslyFormattedCitation":"&lt;sup&gt;22&lt;/sup&gt;"},"properties":{"noteIndex":0},"schema":"https://github.com/citation-style-language/schema/raw/master/csl-citation.json"}</w:instrText>
      </w:r>
      <w:r w:rsidRPr="00B6585E">
        <w:rPr>
          <w:color w:val="000000" w:themeColor="text1"/>
        </w:rPr>
        <w:fldChar w:fldCharType="separate"/>
      </w:r>
      <w:bookmarkStart w:id="93" w:name="__Fieldmark__1808_2706913586"/>
      <w:r w:rsidRPr="00B6585E">
        <w:rPr>
          <w:rFonts w:ascii="Arial" w:eastAsia="ArialMT" w:hAnsi="Arial" w:cs="Arial"/>
          <w:noProof/>
          <w:color w:val="000000" w:themeColor="text1"/>
          <w:sz w:val="22"/>
          <w:szCs w:val="22"/>
          <w:vertAlign w:val="superscript"/>
        </w:rPr>
        <w:t>2</w:t>
      </w:r>
      <w:bookmarkStart w:id="94" w:name="__Fieldmark__976_3246776249"/>
      <w:r w:rsidRPr="00B6585E">
        <w:rPr>
          <w:rFonts w:ascii="Arial" w:eastAsia="ArialMT" w:hAnsi="Arial" w:cs="Arial"/>
          <w:noProof/>
          <w:color w:val="000000" w:themeColor="text1"/>
          <w:sz w:val="22"/>
          <w:szCs w:val="22"/>
          <w:vertAlign w:val="superscript"/>
        </w:rPr>
        <w:t>2</w:t>
      </w:r>
      <w:bookmarkStart w:id="95" w:name="__Fieldmark__1383_218254580"/>
      <w:r w:rsidRPr="00B6585E">
        <w:rPr>
          <w:color w:val="000000" w:themeColor="text1"/>
        </w:rPr>
        <w:fldChar w:fldCharType="end"/>
      </w:r>
      <w:bookmarkEnd w:id="93"/>
      <w:bookmarkEnd w:id="94"/>
      <w:bookmarkEnd w:id="95"/>
      <w:r w:rsidRPr="00B6585E">
        <w:rPr>
          <w:rFonts w:ascii="Arial" w:eastAsia="ArialMT" w:hAnsi="Arial" w:cs="Arial"/>
          <w:color w:val="000000" w:themeColor="text1"/>
          <w:sz w:val="22"/>
          <w:szCs w:val="22"/>
        </w:rPr>
        <w:t xml:space="preserve"> There is also data that BNP significantly correlates with Doppler imaging and provides a reliable estimation of left ventricular diastolic pressure.</w:t>
      </w:r>
      <w:r w:rsidRPr="00B6585E">
        <w:rPr>
          <w:color w:val="000000" w:themeColor="text1"/>
        </w:rPr>
        <w:fldChar w:fldCharType="begin" w:fldLock="1"/>
      </w:r>
      <w:r w:rsidRPr="00B6585E">
        <w:rPr>
          <w:color w:val="000000" w:themeColor="text1"/>
        </w:rPr>
        <w:instrText>ADDIN CSL_CITATION {"citationItems":[{"id":"ITEM-1","itemData":{"DOI":"10.1016/j.ahj.2004.02.016","ISSN":"00028703","PMID":"15523324","abstract":"BACKGROUND\\nAlthough Doppler echocardiography provides assessment of abnormal left ventricular (LV) diastolic filling dynamics, its inherent limitations suggest the need for additional measures of diastolic dysfunction. The ratio of mitral velocity to early diastolic velocity of the mitral annulus (E/E′) derived from tissue Doppler imaging is associated with the mean LV end diastolic pressure (LVEDP). Because data suggest that B-natriuretic peptide (BNP) reflects ventricular pressure, we hypothesized that BNP levels correlate with indices of LV diastolic function by tissue Doppler imaging. \\n\\nMETHODS AND RESULTS\\nDoppler recordings of the mitral inflow and tissue Doppler imaging of the mitral annulus were obtained in 108 patients referred for echocardiography. BNP levels were measured by a rapid immunoassay and blinded to cardiologists making the assessment of LV function. BNP levels were higher when elevated E/E′ ratios derived from tissue Doppler imaging were identified. Patients identified with elevated LVEDP, defined as E/E′ &gt;15 (n = 16), had the highest BNP levels (463 ± 80 pg/mL). Those with normal LVEDP, as predicted by E/E′ &lt;8 (n = 36), had a mean BNP concentration of 97 ± 27 pg/mL. Those with E/E′ of 8 to 15 (n = 48) had a mean BNP level of 122 ± 24 pg/mL. The area under the receiver-operating curve for BNP to detect E/E′ &gt;15 was 0.89 (95% CI, 0.82 to 0.96; P &lt; .001). A BNP value of 173 pg/mL had a sensitivity of 88%, a specificity of 82%, and an accuracy of 83% for predicting E/E′ &gt;15. \\n\\nCONCLUSIONS\\nBNP levels correlate with the E/E′ ratios from tissue Doppler imaging (r = 0.48) and can reliably provide estimation of LV filling pressures. Although BNP levels do not correlate well with E/E′ ratios across the full spectrum of values, the combination of BNP levels along with E/E′ ratios from tissue Doppler imaging may be a better predictor of elevated LV filling pressures in patients with suspected diastolic dysfunction.","author":[{"dropping-particle":"","family":"Mak","given":"Gary S.","non-dropping-particle":"","parse-names":false,"suffix":""},{"dropping-particle":"","family":"DeMaria","given":"Anthony","non-dropping-particle":"","parse-names":false,"suffix":""},{"dropping-particle":"","family":"Clopton","given":"Paul","non-dropping-particle":"","parse-names":false,"suffix":""},{"dropping-particle":"","family":"Maisel","given":"Alan S.","non-dropping-particle":"","parse-names":false,"suffix":""}],"container-title":"American Heart Journal","id":"ITEM-1","issue":"5","issued":{"date-parts":[["2004"]]},"page":"895-902","title":"Utility of B-natriuretic peptide in the evaluation of left ventricular diastolic function: Comparison with tissue Doppler imaging recordings","type":"article-journal","volume":"148"},"uris":["http://www.mendeley.com/documents/?uuid=d62e7477-6adb-488b-b674-018e287aefd3"]}],"mendeley":{"formattedCitation":"&lt;sup&gt;23&lt;/sup&gt;","plainTextFormattedCitation":"23","previouslyFormattedCitation":"&lt;sup&gt;23&lt;/sup&gt;"},"properties":{"noteIndex":0},"schema":"https://github.com/citation-style-language/schema/raw/master/csl-citation.json"}</w:instrText>
      </w:r>
      <w:r w:rsidRPr="00B6585E">
        <w:rPr>
          <w:color w:val="000000" w:themeColor="text1"/>
        </w:rPr>
        <w:fldChar w:fldCharType="separate"/>
      </w:r>
      <w:bookmarkStart w:id="96" w:name="__Fieldmark__1819_2706913586"/>
      <w:r w:rsidRPr="00B6585E">
        <w:rPr>
          <w:rFonts w:ascii="Arial" w:eastAsia="ArialMT" w:hAnsi="Arial" w:cs="Arial"/>
          <w:noProof/>
          <w:color w:val="000000" w:themeColor="text1"/>
          <w:sz w:val="22"/>
          <w:szCs w:val="22"/>
          <w:vertAlign w:val="superscript"/>
        </w:rPr>
        <w:t>2</w:t>
      </w:r>
      <w:bookmarkStart w:id="97" w:name="__Fieldmark__983_3246776249"/>
      <w:r w:rsidRPr="00B6585E">
        <w:rPr>
          <w:rFonts w:ascii="Arial" w:eastAsia="ArialMT" w:hAnsi="Arial" w:cs="Arial"/>
          <w:noProof/>
          <w:color w:val="000000" w:themeColor="text1"/>
          <w:sz w:val="22"/>
          <w:szCs w:val="22"/>
          <w:vertAlign w:val="superscript"/>
        </w:rPr>
        <w:t>3</w:t>
      </w:r>
      <w:bookmarkStart w:id="98" w:name="__Fieldmark__1389_218254580"/>
      <w:r w:rsidRPr="00B6585E">
        <w:rPr>
          <w:color w:val="000000" w:themeColor="text1"/>
        </w:rPr>
        <w:fldChar w:fldCharType="end"/>
      </w:r>
      <w:bookmarkEnd w:id="96"/>
      <w:bookmarkEnd w:id="97"/>
      <w:bookmarkEnd w:id="98"/>
    </w:p>
    <w:p w14:paraId="7375C6B4" w14:textId="75067223" w:rsidR="00931A60" w:rsidRPr="00B6585E" w:rsidRDefault="00A221DB">
      <w:pPr>
        <w:spacing w:after="120"/>
        <w:ind w:right="-7"/>
        <w:jc w:val="both"/>
        <w:rPr>
          <w:rFonts w:ascii="Arial" w:eastAsia="ArialMT" w:hAnsi="Arial" w:cs="Arial"/>
          <w:color w:val="000000" w:themeColor="text1"/>
          <w:sz w:val="22"/>
          <w:szCs w:val="22"/>
        </w:rPr>
      </w:pPr>
      <w:r w:rsidRPr="00B6585E">
        <w:rPr>
          <w:rFonts w:ascii="Arial" w:eastAsia="ArialMT" w:hAnsi="Arial" w:cs="Arial"/>
          <w:color w:val="000000" w:themeColor="text1"/>
          <w:sz w:val="22"/>
          <w:szCs w:val="22"/>
        </w:rPr>
        <w:t xml:space="preserve">Mechanical stress in particular ventricular distension and non- mechanical stress including ischemia, inflammation, redox stress, catecholamines, angiotensin II and endothelin-1 leads to an increased release of myocardial </w:t>
      </w:r>
      <w:r w:rsidR="009F262D" w:rsidRPr="00B6585E">
        <w:rPr>
          <w:rFonts w:ascii="Arial" w:eastAsia="ArialMT" w:hAnsi="Arial" w:cs="Arial"/>
          <w:color w:val="000000" w:themeColor="text1"/>
          <w:sz w:val="22"/>
          <w:szCs w:val="22"/>
        </w:rPr>
        <w:t>NT-</w:t>
      </w:r>
      <w:r w:rsidRPr="00B6585E">
        <w:rPr>
          <w:rFonts w:ascii="Arial" w:eastAsia="ArialMT" w:hAnsi="Arial" w:cs="Arial"/>
          <w:color w:val="000000" w:themeColor="text1"/>
          <w:sz w:val="22"/>
          <w:szCs w:val="22"/>
        </w:rPr>
        <w:t>proBNP</w:t>
      </w:r>
      <w:r w:rsidR="009F262D" w:rsidRPr="00B6585E">
        <w:rPr>
          <w:rFonts w:ascii="Arial" w:eastAsia="ArialMT" w:hAnsi="Arial" w:cs="Arial"/>
          <w:color w:val="000000" w:themeColor="text1"/>
          <w:sz w:val="22"/>
          <w:szCs w:val="22"/>
        </w:rPr>
        <w:t>/BNP</w:t>
      </w:r>
      <w:r w:rsidRPr="00B6585E">
        <w:rPr>
          <w:rFonts w:ascii="Arial" w:eastAsia="ArialMT" w:hAnsi="Arial" w:cs="Arial"/>
          <w:color w:val="000000" w:themeColor="text1"/>
          <w:sz w:val="22"/>
          <w:szCs w:val="22"/>
        </w:rPr>
        <w:t xml:space="preserve"> from the ventricle.</w:t>
      </w:r>
      <w:r w:rsidRPr="00B6585E">
        <w:rPr>
          <w:color w:val="000000" w:themeColor="text1"/>
        </w:rPr>
        <w:fldChar w:fldCharType="begin" w:fldLock="1"/>
      </w:r>
      <w:r w:rsidRPr="00B6585E">
        <w:rPr>
          <w:color w:val="000000" w:themeColor="text1"/>
        </w:rPr>
        <w:instrText>ADDIN CSL_CITATION {"citationItems":[{"id":"ITEM-1","itemData":{"DOI":"10.1097/HCO.0000000000000036","ISBN":"0000000000000","ISSN":"0268-4705","PMID":"15478621","abstract":"Plasma levels of various neurohumoral factors are activated and have an important role of the pathophysiology of congestive heart failure (CHF). Atrial natriuretic peptide (ANP) and brain (or B-type) natriuretic peptide (BNP) are secreted from cardiomyocytes in response to atrial or ventricular wall stretch. The natriuretic peptides have a fundamental role in cardiovascular remodeling, volume homeostasis, and the response to myocardial injury. Clinical investigations of these peptides have focused on their diagnostic usefulness for heart failure and left ventricular dysfunction and their prognostic usefulness after acute coronary syndromes and heart failure. In patients with left ventricular systolic dysfunction, a high plasma BNP level is an independent prognostic predictor of CHF patients, suggesting that the compensatory activity of the cardiac natriuretic peptide system is attenuated as mortality increases in chronic CHF patients with high plasma levels of ANP and BNP. BNP is more useful than ANP for diagnosis and management of CHF. Recently, rapid BNP assay is available in our country, rapid measurement of BNP in the emergency department may improve the evaluation and treatment of patients with acute dyspnea and thereby reduced the time to discharge and the total cost of treatment. In addition, BNP-guided treatment of heart failure may reduce total cardiovascular events, and delayed time to first event combination with intensive clinically guided treatment.","author":[{"dropping-particle":"","family":"Mahadavan","given":"Gnanadevan","non-dropping-particle":"","parse-names":false,"suffix":""},{"dropping-particle":"","family":"Nguyen","given":"Thanh H.","non-dropping-particle":"","parse-names":false,"suffix":""},{"dropping-particle":"","family":"Horowitz","given":"John D.","non-dropping-particle":"","parse-names":false,"suffix":""}],"container-title":"Current Opinion in Cardiology","id":"ITEM-1","issue":"2","issued":{"date-parts":[["2014"]]},"page":"160-166","title":"Brain natriuretic peptide: a biomarker for all cardiac disease?","type":"article-journal","volume":"29"},"uris":["http://www.mendeley.com/documents/?uuid=ddf6176c-6043-42e4-b970-0a0f3902f0ed"]}],"mendeley":{"formattedCitation":"&lt;sup&gt;24&lt;/sup&gt;","plainTextFormattedCitation":"24","previouslyFormattedCitation":"&lt;sup&gt;24&lt;/sup&gt;"},"properties":{"noteIndex":0},"schema":"https://github.com/citation-style-language/schema/raw/master/csl-citation.json"}</w:instrText>
      </w:r>
      <w:r w:rsidRPr="00B6585E">
        <w:rPr>
          <w:color w:val="000000" w:themeColor="text1"/>
        </w:rPr>
        <w:fldChar w:fldCharType="separate"/>
      </w:r>
      <w:bookmarkStart w:id="99" w:name="__Fieldmark__1830_2706913586"/>
      <w:r w:rsidRPr="00B6585E">
        <w:rPr>
          <w:rFonts w:ascii="Arial" w:eastAsia="ArialMT" w:hAnsi="Arial" w:cs="Arial"/>
          <w:noProof/>
          <w:color w:val="000000" w:themeColor="text1"/>
          <w:sz w:val="22"/>
          <w:szCs w:val="22"/>
          <w:vertAlign w:val="superscript"/>
        </w:rPr>
        <w:t>2</w:t>
      </w:r>
      <w:bookmarkStart w:id="100" w:name="__Fieldmark__990_3246776249"/>
      <w:r w:rsidRPr="00B6585E">
        <w:rPr>
          <w:rFonts w:ascii="Arial" w:eastAsia="ArialMT" w:hAnsi="Arial" w:cs="Arial"/>
          <w:noProof/>
          <w:color w:val="000000" w:themeColor="text1"/>
          <w:sz w:val="22"/>
          <w:szCs w:val="22"/>
          <w:vertAlign w:val="superscript"/>
        </w:rPr>
        <w:t>4</w:t>
      </w:r>
      <w:bookmarkStart w:id="101" w:name="__Fieldmark__1394_218254580"/>
      <w:r w:rsidRPr="00B6585E">
        <w:rPr>
          <w:color w:val="000000" w:themeColor="text1"/>
        </w:rPr>
        <w:fldChar w:fldCharType="end"/>
      </w:r>
      <w:bookmarkEnd w:id="99"/>
      <w:bookmarkEnd w:id="100"/>
      <w:bookmarkEnd w:id="101"/>
      <w:r w:rsidRPr="00B6585E">
        <w:rPr>
          <w:rFonts w:ascii="Arial" w:eastAsia="ArialMT" w:hAnsi="Arial" w:cs="Arial"/>
          <w:color w:val="000000" w:themeColor="text1"/>
          <w:position w:val="8"/>
          <w:sz w:val="22"/>
          <w:szCs w:val="22"/>
        </w:rPr>
        <w:t xml:space="preserve"> </w:t>
      </w:r>
      <w:r w:rsidRPr="00B6585E">
        <w:rPr>
          <w:rFonts w:ascii="Arial" w:eastAsia="ArialMT" w:hAnsi="Arial" w:cs="Arial"/>
          <w:color w:val="000000" w:themeColor="text1"/>
          <w:sz w:val="22"/>
          <w:szCs w:val="22"/>
        </w:rPr>
        <w:t>BNP concentration</w:t>
      </w:r>
      <w:r w:rsidR="001539D0" w:rsidRPr="00B6585E">
        <w:rPr>
          <w:rFonts w:ascii="Arial" w:eastAsia="ArialMT" w:hAnsi="Arial" w:cs="Arial"/>
          <w:color w:val="000000" w:themeColor="text1"/>
          <w:sz w:val="22"/>
          <w:szCs w:val="22"/>
        </w:rPr>
        <w:t>s</w:t>
      </w:r>
      <w:r w:rsidRPr="00B6585E">
        <w:rPr>
          <w:rFonts w:ascii="Arial" w:eastAsia="ArialMT" w:hAnsi="Arial" w:cs="Arial"/>
          <w:color w:val="000000" w:themeColor="text1"/>
          <w:sz w:val="22"/>
          <w:szCs w:val="22"/>
        </w:rPr>
        <w:t xml:space="preserve"> of &gt;245 pg/ml </w:t>
      </w:r>
      <w:r w:rsidR="001539D0" w:rsidRPr="00B6585E">
        <w:rPr>
          <w:rFonts w:ascii="Arial" w:eastAsia="ArialMT" w:hAnsi="Arial" w:cs="Arial"/>
          <w:color w:val="000000" w:themeColor="text1"/>
          <w:sz w:val="22"/>
          <w:szCs w:val="22"/>
        </w:rPr>
        <w:t xml:space="preserve">are </w:t>
      </w:r>
      <w:r w:rsidRPr="00B6585E">
        <w:rPr>
          <w:rFonts w:ascii="Arial" w:eastAsia="ArialMT" w:hAnsi="Arial" w:cs="Arial"/>
          <w:color w:val="000000" w:themeColor="text1"/>
          <w:sz w:val="22"/>
          <w:szCs w:val="22"/>
        </w:rPr>
        <w:t xml:space="preserve">associated with </w:t>
      </w:r>
      <w:r w:rsidR="001539D0" w:rsidRPr="00B6585E">
        <w:rPr>
          <w:rFonts w:ascii="Arial" w:eastAsia="ArialMT" w:hAnsi="Arial" w:cs="Arial"/>
          <w:color w:val="000000" w:themeColor="text1"/>
          <w:sz w:val="22"/>
          <w:szCs w:val="22"/>
        </w:rPr>
        <w:t xml:space="preserve">a </w:t>
      </w:r>
      <w:r w:rsidRPr="00B6585E">
        <w:rPr>
          <w:rFonts w:ascii="Arial" w:eastAsia="ArialMT" w:hAnsi="Arial" w:cs="Arial"/>
          <w:color w:val="000000" w:themeColor="text1"/>
          <w:sz w:val="22"/>
          <w:szCs w:val="22"/>
        </w:rPr>
        <w:t>significant increase of 30-day mortality, cardiac mortality and cardiac failure.</w:t>
      </w:r>
      <w:r w:rsidRPr="00B6585E">
        <w:rPr>
          <w:color w:val="000000" w:themeColor="text1"/>
        </w:rPr>
        <w:fldChar w:fldCharType="begin" w:fldLock="1"/>
      </w:r>
      <w:r w:rsidRPr="00B6585E">
        <w:rPr>
          <w:color w:val="000000" w:themeColor="text1"/>
        </w:rPr>
        <w:instrText>ADDIN CSL_CITATION {"citationItems":[{"id":"ITEM-1","itemData":{"DOI":"10.1001/jama.2012.5502","ISBN":"1538-3598 (Electronic)\\r0098-7484 (Linking)","ISSN":"1538-3598","PMID":"22706835","abstract":"Of the 200 million adults worldwide who undergo noncardiac surgery each year, more than 1 million will die within 30 days.","author":[{"dropping-particle":"","family":"Devereaux","given":"P J","non-dropping-particle":"","parse-names":false,"suffix":""},{"dropping-particle":"V","family":"Chan","given":"Matthew T","non-dropping-particle":"","parse-names":false,"suffix":""},{"dropping-particle":"","family":"Alonso-Coello","given":"Pablo","non-dropping-particle":"","parse-names":false,"suffix":""},{"dropping-particle":"","family":"Walsh","given":"Michael","non-dropping-particle":"","parse-names":false,"suffix":""},{"dropping-particle":"","family":"Berwanger","given":"Otavio","non-dropping-particle":"","parse-names":false,"suffix":""},{"dropping-particle":"","family":"Villar","given":"Juan Carlos","non-dropping-particle":"","parse-names":false,"suffix":""},{"dropping-particle":"","family":"Wang","given":"C Y","non-dropping-particle":"","parse-names":false,"suffix":""},{"dropping-particle":"","family":"Garutti","given":"R Ignacio","non-dropping-particle":"","parse-names":false,"suffix":""},{"dropping-particle":"","family":"Jacka","given":"Michael J","non-dropping-particle":"","parse-names":false,"suffix":""},{"dropping-particle":"","family":"Sigamani","given":"Alben","non-dropping-particle":"","parse-names":false,"suffix":""},{"dropping-particle":"","family":"Srinathan","given":"Sadeesh","non-dropping-particle":"","parse-names":false,"suffix":""},{"dropping-particle":"","family":"Biccard","given":"Bruce M","non-dropping-particle":"","parse-names":false,"suffix":""},{"dropping-particle":"","family":"Chow","given":"Clara K","non-dropping-particle":"","parse-names":false,"suffix":""},{"dropping-particle":"","family":"Abraham","given":"Valsa","non-dropping-particle":"","parse-names":false,"suffix":""},{"dropping-particle":"","family":"Tiboni","given":"Maria","non-dropping-particle":"","parse-names":false,"suffix":""},{"dropping-particle":"","family":"Pettit","given":"Shirley","non-dropping-particle":"","parse-names":false,"suffix":""},{"dropping-particle":"","family":"Szczeklik","given":"Wojciech","non-dropping-particle":"","parse-names":false,"suffix":""},{"dropping-particle":"","family":"Lurati Buse","given":"Giovanna","non-dropping-particle":"","parse-names":false,"suffix":""},{"dropping-particle":"","family":"Botto","given":"Fernando","non-dropping-particle":"","parse-names":false,"suffix":""},{"dropping-particle":"","family":"Guyatt","given":"Gordon","non-dropping-particle":"","parse-names":false,"suffix":""},{"dropping-particle":"","family":"Heels-Ansdell","given":"Diane","non-dropping-particle":"","parse-names":false,"suffix":""},{"dropping-particle":"","family":"Sessler","given":"Daniel I","non-dropping-particle":"","parse-names":false,"suffix":""},{"dropping-particle":"","family":"Thorlund","given":"Kristian","non-dropping-particle":"","parse-names":false,"suffix":""},{"dropping-particle":"","family":"Garg","given":"Amit X","non-dropping-particle":"","parse-names":false,"suffix":""},{"dropping-particle":"","family":"Mrkobrada","given":"Marko","non-dropping-particle":"","parse-names":false,"suffix":""},{"dropping-particle":"","family":"Thomas","given":"Sabu","non-dropping-particle":"","parse-names":false,"suffix":""},{"dropping-particle":"","family":"Rodseth","given":"Reitze N","non-dropping-particle":"","parse-names":false,"suffix":""},{"dropping-particle":"","family":"Pearse","given":"Rupert M","non-dropping-particle":"","parse-names":false,"suffix":""},{"dropping-particle":"","family":"Thabane","given":"Lehana","non-dropping-particle":"","parse-names":false,"suffix":""},{"dropping-particle":"","family":"McQueen","given":"Matthew J","non-dropping-particle":"","parse-names":false,"suffix":""},{"dropping-particle":"","family":"VanHelder","given":"Tomas","non-dropping-particle":"","parse-names":false,"suffix":""},{"dropping-particle":"","family":"Bhandari","given":"Mohit","non-dropping-particle":"","parse-names":false,"suffix":""},{"dropping-particle":"","family":"Bosch","given":"Jackie","non-dropping-particle":"","parse-names":false,"suffix":""},{"dropping-particle":"","family":"Kurz","given":"Andrea","non-dropping-particle":"","parse-names":false,"suffix":""},{"dropping-particle":"","family":"Polanczyk","given":"Carisi","non-dropping-particle":"","parse-names":false,"suffix":""},{"dropping-particle":"","family":"Malaga","given":"German","non-dropping-particle":"","parse-names":false,"suffix":""},{"dropping-particle":"","family":"Nagele","given":"Peter","non-dropping-particle":"","parse-names":false,"suffix":""},{"dropping-particle":"","family":"Manach","given":"Yannick","non-dropping-particle":"Le","parse-names":false,"suffix":""},{"dropping-particle":"","family":"Leuwer","given":"Martin","non-dropping-particle":"","parse-names":false,"suffix":""},{"dropping-particle":"","family":"Yusuf","given":"Salim","non-dropping-particle":"","parse-names":false,"suffix":""}],"container-title":"JAMA : the journal of the American Medical Association","id":"ITEM-1","issue":"21","issued":{"date-parts":[["2012"]]},"page":"2295-304","title":"Association between postoperative troponin levels and 30-day mortality among patients undergoing noncardiac surgery.","type":"article-journal","volume":"307"},"uris":["http://www.mendeley.com/documents/?uuid=cadc7240-2dea-4181-b914-881c664461a7"]}],"mendeley":{"formattedCitation":"&lt;sup&gt;4&lt;/sup&gt;","plainTextFormattedCitation":"4","previouslyFormattedCitation":"&lt;sup&gt;4&lt;/sup&gt;"},"properties":{"noteIndex":0},"schema":"https://github.com/citation-style-language/schema/raw/master/csl-citation.json"}</w:instrText>
      </w:r>
      <w:r w:rsidRPr="00B6585E">
        <w:rPr>
          <w:color w:val="000000" w:themeColor="text1"/>
        </w:rPr>
        <w:fldChar w:fldCharType="separate"/>
      </w:r>
      <w:bookmarkStart w:id="102" w:name="__Fieldmark__1844_2706913586"/>
      <w:r w:rsidRPr="00B6585E">
        <w:rPr>
          <w:rFonts w:ascii="Arial" w:eastAsia="ArialMT" w:hAnsi="Arial" w:cs="Arial"/>
          <w:noProof/>
          <w:color w:val="000000" w:themeColor="text1"/>
          <w:sz w:val="22"/>
          <w:szCs w:val="22"/>
          <w:vertAlign w:val="superscript"/>
        </w:rPr>
        <w:t>4</w:t>
      </w:r>
      <w:bookmarkStart w:id="103" w:name="__Fieldmark__1000_3246776249"/>
      <w:r w:rsidRPr="00B6585E">
        <w:rPr>
          <w:color w:val="000000" w:themeColor="text1"/>
        </w:rPr>
        <w:fldChar w:fldCharType="end"/>
      </w:r>
      <w:bookmarkStart w:id="104" w:name="__Fieldmark__1402_218254580"/>
      <w:bookmarkEnd w:id="102"/>
      <w:bookmarkEnd w:id="103"/>
      <w:bookmarkEnd w:id="104"/>
    </w:p>
    <w:p w14:paraId="0854DC0F" w14:textId="77777777" w:rsidR="00931A60" w:rsidRPr="00B6585E" w:rsidRDefault="00A221DB">
      <w:pPr>
        <w:pStyle w:val="Heading4"/>
        <w:numPr>
          <w:ilvl w:val="3"/>
          <w:numId w:val="3"/>
        </w:numPr>
        <w:tabs>
          <w:tab w:val="left" w:pos="0"/>
        </w:tabs>
        <w:spacing w:before="0" w:after="120"/>
        <w:ind w:left="142" w:right="-7" w:hanging="142"/>
        <w:rPr>
          <w:rFonts w:ascii="Arial" w:hAnsi="Arial" w:cs="Arial"/>
          <w:color w:val="000000" w:themeColor="text1"/>
          <w:sz w:val="22"/>
          <w:lang w:val="en-US"/>
        </w:rPr>
      </w:pPr>
      <w:r w:rsidRPr="00B6585E">
        <w:rPr>
          <w:rFonts w:ascii="Arial" w:hAnsi="Arial" w:cs="Arial"/>
          <w:color w:val="000000" w:themeColor="text1"/>
          <w:sz w:val="22"/>
          <w:lang w:val="en-US"/>
        </w:rPr>
        <w:t>Troponin T</w:t>
      </w:r>
    </w:p>
    <w:p w14:paraId="7B88C7EC" w14:textId="228843EA" w:rsidR="00931A60" w:rsidRPr="00B6585E" w:rsidRDefault="00A221DB" w:rsidP="009427B1">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Troponin </w:t>
      </w:r>
      <w:r w:rsidR="001539D0" w:rsidRPr="00B6585E">
        <w:rPr>
          <w:rFonts w:ascii="Arial" w:hAnsi="Arial" w:cs="Arial"/>
          <w:color w:val="000000" w:themeColor="text1"/>
          <w:sz w:val="22"/>
          <w:szCs w:val="22"/>
        </w:rPr>
        <w:t>is a</w:t>
      </w:r>
      <w:r w:rsidRPr="00B6585E">
        <w:rPr>
          <w:rFonts w:ascii="Arial" w:hAnsi="Arial" w:cs="Arial"/>
          <w:color w:val="000000" w:themeColor="text1"/>
          <w:sz w:val="22"/>
          <w:szCs w:val="22"/>
        </w:rPr>
        <w:t xml:space="preserve"> protein which </w:t>
      </w:r>
      <w:r w:rsidR="001539D0" w:rsidRPr="00B6585E">
        <w:rPr>
          <w:rFonts w:ascii="Arial" w:hAnsi="Arial" w:cs="Arial"/>
          <w:color w:val="000000" w:themeColor="text1"/>
          <w:sz w:val="22"/>
          <w:szCs w:val="22"/>
        </w:rPr>
        <w:t>is</w:t>
      </w:r>
      <w:r w:rsidRPr="00B6585E">
        <w:rPr>
          <w:rFonts w:ascii="Arial" w:hAnsi="Arial" w:cs="Arial"/>
          <w:color w:val="000000" w:themeColor="text1"/>
          <w:sz w:val="22"/>
          <w:szCs w:val="22"/>
        </w:rPr>
        <w:t xml:space="preserve"> an integral part in the striated muscle. Measurements of cardiac specific troponin T (TnT) helps to identify high-risk patients undergoing </w:t>
      </w:r>
      <w:r w:rsidR="00E73D9C" w:rsidRPr="00B6585E">
        <w:rPr>
          <w:rFonts w:ascii="Arial" w:hAnsi="Arial" w:cs="Arial"/>
          <w:color w:val="000000" w:themeColor="text1"/>
          <w:sz w:val="22"/>
          <w:szCs w:val="22"/>
        </w:rPr>
        <w:t xml:space="preserve">noncardiac </w:t>
      </w:r>
      <w:r w:rsidRPr="00B6585E">
        <w:rPr>
          <w:rFonts w:ascii="Arial" w:hAnsi="Arial" w:cs="Arial"/>
          <w:color w:val="000000" w:themeColor="text1"/>
          <w:sz w:val="22"/>
          <w:szCs w:val="22"/>
        </w:rPr>
        <w:t>surgery. Peak TnT concentration</w:t>
      </w:r>
      <w:r w:rsidR="00E73D9C"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during the first 3 days </w:t>
      </w:r>
      <w:r w:rsidR="00E73D9C" w:rsidRPr="00B6585E">
        <w:rPr>
          <w:rFonts w:ascii="Arial" w:hAnsi="Arial" w:cs="Arial"/>
          <w:color w:val="000000" w:themeColor="text1"/>
          <w:sz w:val="22"/>
          <w:szCs w:val="22"/>
        </w:rPr>
        <w:t>are</w:t>
      </w:r>
      <w:r w:rsidRPr="00B6585E">
        <w:rPr>
          <w:rFonts w:ascii="Arial" w:hAnsi="Arial" w:cs="Arial"/>
          <w:color w:val="000000" w:themeColor="text1"/>
          <w:sz w:val="22"/>
          <w:szCs w:val="22"/>
        </w:rPr>
        <w:t xml:space="preserve"> a major predictor for increased 30-day mortality.</w:t>
      </w:r>
      <w:r w:rsidR="009F262D" w:rsidRPr="00B6585E">
        <w:rPr>
          <w:rFonts w:ascii="Arial" w:hAnsi="Arial" w:cs="Arial"/>
          <w:color w:val="000000" w:themeColor="text1"/>
          <w:sz w:val="22"/>
          <w:szCs w:val="22"/>
        </w:rPr>
        <w:t xml:space="preserve"> </w:t>
      </w:r>
      <w:r w:rsidR="00E73D9C" w:rsidRPr="00B6585E">
        <w:rPr>
          <w:rFonts w:ascii="Arial" w:hAnsi="Arial" w:cs="Arial"/>
          <w:color w:val="000000" w:themeColor="text1"/>
          <w:sz w:val="22"/>
          <w:szCs w:val="22"/>
        </w:rPr>
        <w:t>Moreover</w:t>
      </w:r>
      <w:r w:rsidRPr="00B6585E">
        <w:rPr>
          <w:rFonts w:ascii="Arial" w:hAnsi="Arial" w:cs="Arial"/>
          <w:color w:val="000000" w:themeColor="text1"/>
          <w:sz w:val="22"/>
          <w:szCs w:val="22"/>
        </w:rPr>
        <w:t xml:space="preserve">, TnT is a reliable marker to detect myocardial ischemia. </w:t>
      </w:r>
      <w:r w:rsidRPr="00B6585E">
        <w:rPr>
          <w:rFonts w:ascii="Arial" w:hAnsi="Arial" w:cs="Arial"/>
          <w:b/>
          <w:color w:val="000000" w:themeColor="text1"/>
          <w:sz w:val="22"/>
          <w:szCs w:val="22"/>
        </w:rPr>
        <w:tab/>
      </w:r>
    </w:p>
    <w:p w14:paraId="496AAC3C" w14:textId="77777777" w:rsidR="00931A60" w:rsidRPr="00B6585E" w:rsidRDefault="00A221DB" w:rsidP="00304D11">
      <w:pPr>
        <w:pStyle w:val="Heading1"/>
        <w:rPr>
          <w:lang w:val="en-US"/>
        </w:rPr>
      </w:pPr>
      <w:bookmarkStart w:id="105" w:name="_Toc9107175"/>
      <w:bookmarkStart w:id="106" w:name="_Toc23231302"/>
      <w:bookmarkStart w:id="107" w:name="_Toc96924951"/>
      <w:r w:rsidRPr="00B6585E">
        <w:rPr>
          <w:lang w:val="en-US"/>
        </w:rPr>
        <w:lastRenderedPageBreak/>
        <w:t>Plan of Investigation</w:t>
      </w:r>
      <w:bookmarkEnd w:id="105"/>
      <w:bookmarkEnd w:id="106"/>
      <w:bookmarkEnd w:id="107"/>
    </w:p>
    <w:p w14:paraId="1C5E4B3F" w14:textId="77777777" w:rsidR="00931A60" w:rsidRPr="00B6585E" w:rsidRDefault="00A221DB">
      <w:pPr>
        <w:pStyle w:val="Heading2"/>
        <w:rPr>
          <w:color w:val="000000" w:themeColor="text1"/>
        </w:rPr>
      </w:pPr>
      <w:bookmarkStart w:id="108" w:name="_Toc9107176"/>
      <w:bookmarkStart w:id="109" w:name="_Toc23231303"/>
      <w:bookmarkStart w:id="110" w:name="_Toc96924952"/>
      <w:r w:rsidRPr="00B6585E">
        <w:rPr>
          <w:color w:val="000000" w:themeColor="text1"/>
        </w:rPr>
        <w:t>Trial Design</w:t>
      </w:r>
      <w:bookmarkEnd w:id="108"/>
      <w:bookmarkEnd w:id="109"/>
      <w:bookmarkEnd w:id="110"/>
    </w:p>
    <w:p w14:paraId="6879745E" w14:textId="3172D249" w:rsidR="00931A60" w:rsidRPr="00B6585E" w:rsidRDefault="00A221DB">
      <w:pPr>
        <w:spacing w:after="120"/>
        <w:ind w:right="-7"/>
        <w:jc w:val="both"/>
        <w:rPr>
          <w:color w:val="000000" w:themeColor="text1"/>
        </w:rPr>
      </w:pPr>
      <w:r w:rsidRPr="00B6585E">
        <w:rPr>
          <w:rFonts w:ascii="Arial" w:hAnsi="Arial" w:cs="Arial"/>
          <w:color w:val="000000" w:themeColor="text1"/>
          <w:sz w:val="22"/>
          <w:szCs w:val="22"/>
        </w:rPr>
        <w:t xml:space="preserve">The IMPROVE trial is a </w:t>
      </w:r>
      <w:r w:rsidR="00304D11" w:rsidRPr="00B6585E">
        <w:rPr>
          <w:rFonts w:ascii="Arial" w:hAnsi="Arial" w:cs="Arial"/>
          <w:color w:val="000000" w:themeColor="text1"/>
          <w:sz w:val="22"/>
          <w:szCs w:val="22"/>
        </w:rPr>
        <w:t>multi</w:t>
      </w:r>
      <w:r w:rsidRPr="00B6585E">
        <w:rPr>
          <w:rFonts w:ascii="Arial" w:hAnsi="Arial" w:cs="Arial"/>
          <w:color w:val="000000" w:themeColor="text1"/>
          <w:sz w:val="22"/>
          <w:szCs w:val="22"/>
        </w:rPr>
        <w:t>-center group sequential double-blinded randomized clinical trial including</w:t>
      </w:r>
      <w:r w:rsidR="00C6268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2</w:t>
      </w:r>
      <w:r w:rsidR="00C6268D" w:rsidRPr="00B6585E">
        <w:rPr>
          <w:rFonts w:ascii="Arial" w:hAnsi="Arial" w:cs="Arial"/>
          <w:color w:val="000000" w:themeColor="text1"/>
          <w:sz w:val="22"/>
          <w:szCs w:val="22"/>
        </w:rPr>
        <w:t>30</w:t>
      </w:r>
      <w:r w:rsidRPr="00B6585E">
        <w:rPr>
          <w:rFonts w:ascii="Arial" w:hAnsi="Arial" w:cs="Arial"/>
          <w:color w:val="000000" w:themeColor="text1"/>
          <w:sz w:val="22"/>
          <w:szCs w:val="22"/>
        </w:rPr>
        <w:t xml:space="preserve"> patients with an increased cardiovascular risk profile. After </w:t>
      </w:r>
      <w:r w:rsidR="00716CB0" w:rsidRPr="00B6585E">
        <w:rPr>
          <w:rFonts w:ascii="Arial" w:hAnsi="Arial" w:cs="Arial"/>
          <w:color w:val="000000" w:themeColor="text1"/>
          <w:sz w:val="22"/>
          <w:szCs w:val="22"/>
        </w:rPr>
        <w:t xml:space="preserve">data of </w:t>
      </w:r>
      <w:r w:rsidRPr="00B6585E">
        <w:rPr>
          <w:rFonts w:ascii="Arial" w:hAnsi="Arial" w:cs="Arial"/>
          <w:color w:val="000000" w:themeColor="text1"/>
          <w:sz w:val="22"/>
          <w:szCs w:val="22"/>
        </w:rPr>
        <w:t>7</w:t>
      </w:r>
      <w:r w:rsidR="00C6268D" w:rsidRPr="00B6585E">
        <w:rPr>
          <w:rFonts w:ascii="Arial" w:hAnsi="Arial" w:cs="Arial"/>
          <w:color w:val="000000" w:themeColor="text1"/>
          <w:sz w:val="22"/>
          <w:szCs w:val="22"/>
        </w:rPr>
        <w:t xml:space="preserve">6 </w:t>
      </w:r>
      <w:r w:rsidRPr="00B6585E">
        <w:rPr>
          <w:rFonts w:ascii="Arial" w:hAnsi="Arial" w:cs="Arial"/>
          <w:color w:val="000000" w:themeColor="text1"/>
          <w:sz w:val="22"/>
          <w:szCs w:val="22"/>
        </w:rPr>
        <w:t>patients</w:t>
      </w:r>
      <w:r w:rsidR="00C6268D" w:rsidRPr="00B6585E">
        <w:rPr>
          <w:rFonts w:ascii="Arial" w:hAnsi="Arial" w:cs="Arial"/>
          <w:color w:val="000000" w:themeColor="text1"/>
          <w:sz w:val="22"/>
          <w:szCs w:val="22"/>
        </w:rPr>
        <w:t xml:space="preserve"> (38 per group)</w:t>
      </w:r>
      <w:r w:rsidR="00716CB0" w:rsidRPr="00B6585E">
        <w:rPr>
          <w:rFonts w:ascii="Arial" w:hAnsi="Arial" w:cs="Arial"/>
          <w:color w:val="000000" w:themeColor="text1"/>
          <w:sz w:val="22"/>
          <w:szCs w:val="22"/>
        </w:rPr>
        <w:t xml:space="preserve"> </w:t>
      </w:r>
      <w:r w:rsidR="00B33D4C" w:rsidRPr="00B6585E">
        <w:rPr>
          <w:rFonts w:ascii="Arial" w:hAnsi="Arial" w:cs="Arial"/>
          <w:color w:val="000000" w:themeColor="text1"/>
          <w:sz w:val="22"/>
          <w:szCs w:val="22"/>
        </w:rPr>
        <w:t>will be</w:t>
      </w:r>
      <w:r w:rsidR="00716CB0" w:rsidRPr="00B6585E">
        <w:rPr>
          <w:rFonts w:ascii="Arial" w:hAnsi="Arial" w:cs="Arial"/>
          <w:color w:val="000000" w:themeColor="text1"/>
          <w:sz w:val="22"/>
          <w:szCs w:val="22"/>
        </w:rPr>
        <w:t xml:space="preserve"> available</w:t>
      </w:r>
      <w:r w:rsidR="00B33D4C"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we will perform an interim analysis. Patients will be randomized </w:t>
      </w:r>
      <w:r w:rsidR="000B3F66" w:rsidRPr="00B6585E">
        <w:rPr>
          <w:rFonts w:ascii="Arial" w:hAnsi="Arial" w:cs="Arial"/>
          <w:color w:val="000000" w:themeColor="text1"/>
          <w:sz w:val="22"/>
          <w:szCs w:val="22"/>
        </w:rPr>
        <w:t xml:space="preserve">either </w:t>
      </w:r>
      <w:r w:rsidRPr="00B6585E">
        <w:rPr>
          <w:rFonts w:ascii="Arial" w:hAnsi="Arial" w:cs="Arial"/>
          <w:color w:val="000000" w:themeColor="text1"/>
          <w:sz w:val="22"/>
          <w:szCs w:val="22"/>
        </w:rPr>
        <w:t>receiv</w:t>
      </w:r>
      <w:r w:rsidR="000B3F66" w:rsidRPr="00B6585E">
        <w:rPr>
          <w:rFonts w:ascii="Arial" w:hAnsi="Arial" w:cs="Arial"/>
          <w:color w:val="000000" w:themeColor="text1"/>
          <w:sz w:val="22"/>
          <w:szCs w:val="22"/>
        </w:rPr>
        <w:t>ing</w:t>
      </w:r>
      <w:r w:rsidRPr="00B6585E">
        <w:rPr>
          <w:rFonts w:ascii="Arial" w:hAnsi="Arial" w:cs="Arial"/>
          <w:color w:val="000000" w:themeColor="text1"/>
          <w:sz w:val="22"/>
          <w:szCs w:val="22"/>
        </w:rPr>
        <w:t xml:space="preserve"> levosimendan or placebo after induction of anesthesia. Patients, health care providers, data collectors, outcome adjudicators, and investigators will be blind</w:t>
      </w:r>
      <w:r w:rsidR="00E63D90" w:rsidRPr="00B6585E">
        <w:rPr>
          <w:rFonts w:ascii="Arial" w:hAnsi="Arial" w:cs="Arial"/>
          <w:color w:val="000000" w:themeColor="text1"/>
          <w:sz w:val="22"/>
          <w:szCs w:val="22"/>
        </w:rPr>
        <w:t>ed</w:t>
      </w:r>
      <w:r w:rsidRPr="00B6585E">
        <w:rPr>
          <w:rFonts w:ascii="Arial" w:hAnsi="Arial" w:cs="Arial"/>
          <w:color w:val="000000" w:themeColor="text1"/>
          <w:sz w:val="22"/>
          <w:szCs w:val="22"/>
        </w:rPr>
        <w:t xml:space="preserve"> to the allocation </w:t>
      </w:r>
      <w:r w:rsidR="000B3F66" w:rsidRPr="00B6585E">
        <w:rPr>
          <w:rFonts w:ascii="Arial" w:hAnsi="Arial" w:cs="Arial"/>
          <w:color w:val="000000" w:themeColor="text1"/>
          <w:sz w:val="22"/>
          <w:szCs w:val="22"/>
        </w:rPr>
        <w:t>to each study group (</w:t>
      </w:r>
      <w:r w:rsidRPr="00B6585E">
        <w:rPr>
          <w:rFonts w:ascii="Arial" w:hAnsi="Arial" w:cs="Arial"/>
          <w:color w:val="000000" w:themeColor="text1"/>
          <w:sz w:val="22"/>
          <w:szCs w:val="22"/>
        </w:rPr>
        <w:t>levosimendan or placebo</w:t>
      </w:r>
      <w:r w:rsidR="000B3F66"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Figure 1 shows the patients flow chart. </w:t>
      </w:r>
    </w:p>
    <w:p w14:paraId="16723B1A" w14:textId="727E2411" w:rsidR="00931A60" w:rsidRPr="00B6585E" w:rsidRDefault="00A221DB">
      <w:pPr>
        <w:pStyle w:val="Heading2"/>
        <w:rPr>
          <w:color w:val="000000" w:themeColor="text1"/>
        </w:rPr>
      </w:pPr>
      <w:bookmarkStart w:id="111" w:name="_Toc9107177"/>
      <w:bookmarkStart w:id="112" w:name="_Toc23231304"/>
      <w:bookmarkStart w:id="113" w:name="_Toc96924953"/>
      <w:r w:rsidRPr="00B6585E">
        <w:rPr>
          <w:color w:val="000000" w:themeColor="text1"/>
        </w:rPr>
        <w:t xml:space="preserve">Primary </w:t>
      </w:r>
      <w:bookmarkEnd w:id="111"/>
      <w:r w:rsidR="005179EB" w:rsidRPr="00B6585E">
        <w:rPr>
          <w:color w:val="000000" w:themeColor="text1"/>
        </w:rPr>
        <w:t>Outcome</w:t>
      </w:r>
      <w:bookmarkEnd w:id="112"/>
      <w:bookmarkEnd w:id="113"/>
    </w:p>
    <w:p w14:paraId="37521F13" w14:textId="7B5AF167" w:rsidR="00931A60" w:rsidRPr="00B6585E" w:rsidRDefault="00A221DB">
      <w:pPr>
        <w:widowControl w:val="0"/>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administration of levosimendan improves LVEF</w:t>
      </w:r>
      <w:r w:rsidR="008B619A" w:rsidRPr="00B6585E">
        <w:rPr>
          <w:rFonts w:ascii="Arial" w:hAnsi="Arial" w:cs="Arial"/>
          <w:color w:val="000000" w:themeColor="text1"/>
          <w:sz w:val="22"/>
          <w:szCs w:val="22"/>
        </w:rPr>
        <w:t xml:space="preserve"> and myocardial oxygen perfusion, which will be reflected in a </w:t>
      </w:r>
      <w:r w:rsidRPr="00B6585E">
        <w:rPr>
          <w:rFonts w:ascii="Arial" w:hAnsi="Arial" w:cs="Arial"/>
          <w:color w:val="000000" w:themeColor="text1"/>
          <w:sz w:val="22"/>
          <w:szCs w:val="22"/>
        </w:rPr>
        <w:t>decrease</w:t>
      </w:r>
      <w:r w:rsidR="008B619A" w:rsidRPr="00B6585E">
        <w:rPr>
          <w:rFonts w:ascii="Arial" w:hAnsi="Arial" w:cs="Arial"/>
          <w:color w:val="000000" w:themeColor="text1"/>
          <w:sz w:val="22"/>
          <w:szCs w:val="22"/>
        </w:rPr>
        <w:t xml:space="preserve"> of</w:t>
      </w:r>
      <w:r w:rsidRPr="00B6585E">
        <w:rPr>
          <w:rFonts w:ascii="Arial" w:hAnsi="Arial" w:cs="Arial"/>
          <w:color w:val="000000" w:themeColor="text1"/>
          <w:sz w:val="22"/>
          <w:szCs w:val="22"/>
        </w:rPr>
        <w:t xml:space="preserve"> postoperative </w:t>
      </w:r>
      <w:r w:rsidR="008B619A" w:rsidRPr="00B6585E">
        <w:rPr>
          <w:rFonts w:ascii="Arial" w:hAnsi="Arial" w:cs="Arial"/>
          <w:color w:val="000000" w:themeColor="text1"/>
          <w:sz w:val="22"/>
          <w:szCs w:val="22"/>
        </w:rPr>
        <w:t>NT-proBNP</w:t>
      </w:r>
      <w:r w:rsidR="00716CB0" w:rsidRPr="00B6585E">
        <w:rPr>
          <w:rFonts w:ascii="Arial" w:hAnsi="Arial" w:cs="Arial"/>
          <w:color w:val="000000" w:themeColor="text1"/>
          <w:sz w:val="22"/>
          <w:szCs w:val="22"/>
        </w:rPr>
        <w:t xml:space="preserve"> concentration</w:t>
      </w:r>
      <w:r w:rsidR="008B619A" w:rsidRPr="00B6585E">
        <w:rPr>
          <w:rFonts w:ascii="Arial" w:hAnsi="Arial" w:cs="Arial"/>
          <w:color w:val="000000" w:themeColor="text1"/>
          <w:sz w:val="22"/>
          <w:szCs w:val="22"/>
        </w:rPr>
        <w:t>.</w:t>
      </w:r>
      <w:r w:rsidR="008B619A" w:rsidRPr="00B6585E">
        <w:rPr>
          <w:rFonts w:ascii="Arial" w:hAnsi="Arial" w:cs="Arial"/>
          <w:color w:val="000000" w:themeColor="text1"/>
          <w:sz w:val="22"/>
          <w:szCs w:val="22"/>
        </w:rPr>
        <w:fldChar w:fldCharType="begin" w:fldLock="1"/>
      </w:r>
      <w:r w:rsidR="00C524A8" w:rsidRPr="00B6585E">
        <w:rPr>
          <w:rFonts w:ascii="Arial" w:hAnsi="Arial" w:cs="Arial"/>
          <w:color w:val="000000" w:themeColor="text1"/>
          <w:sz w:val="22"/>
          <w:szCs w:val="22"/>
        </w:rPr>
        <w:instrText>ADDIN CSL_CITATION {"citationItems":[{"id":"ITEM-1","itemData":{"abstract":"BACKGROUND: Leprosy can have its course interrupted by type 1 and 2 reactional episodes, the last named of erythema nodosum leprosum (ENL). Thalidomide has been the medication of choice for the control of ENL episodes since 1965. OBJECTIVES: These episodes can repeat and cause damages to the patient. In order to prevent these episodes, an extra dose of 100 mg/day thalidomide was used during six months, followed by a follow-up period of six more months after thalidomide discontinuation. METHODS: We included 42 patients with multibacillary (MB) leprosy who had episodes of ENL. They were male and female patients aged between 18 and 84 years. RESULTS: Of the 42 patients, 39 (92.85%) had the lepromatous form and three (7.15%) had the borderline form. We found that 100% of patients had no reactional episode during the use of the drug. During the follow-up period after thalidomide discontinuation, 33 (78.57%) patients had no reactional episode and nine (21.43%), all of them with the lepromatous form, had mild episodes, which were controlled using non-steroidal anti-inflammatory. There were no thalidomide-related side effects. CONCLUSION: A maintenance dose of 100 mg/day of thalidomide showed to be effective to prevent repeated type 2 reactional episodes of ENL.","author":[{"dropping-particle":"","family":"Mebazaa","given":"A.","non-dropping-particle":"","parse-names":false,"suffix":""},{"dropping-particle":"","family":"Nieminen","given":"M.","non-dropping-particle":"","parse-names":false,"suffix":""},{"dropping-particle":"","family":"Packer","given":"M.","non-dropping-particle":"","parse-names":false,"suffix":""},{"dropping-particle":"","family":"Cohen-Solal","given":"A.","non-dropping-particle":"","parse-names":false,"suffix":""},{"dropping-particle":"","family":"Kleber","given":"F.X.","non-dropping-particle":"","parse-names":false,"suffix":""},{"dropping-particle":"","family":"Pocock","given":"S.J.","non-dropping-particle":"","parse-names":false,"suffix":""},{"dropping-particle":"","family":"Thakkar","given":"R.","non-dropping-particle":"","parse-names":false,"suffix":""},{"dropping-particle":"","family":"Padley","given":"R.J.","non-dropping-particle":"","parse-names":false,"suffix":""},{"dropping-particle":"","family":"Poder","given":"P.","non-dropping-particle":"","parse-names":false,"suffix":""},{"dropping-particle":"","family":"Kivikko","given":"M.","non-dropping-particle":"","parse-names":false,"suffix":""},{"dropping-particle":"","family":"Investigators","given":"for the SURVIVE","non-dropping-particle":"","parse-names":false,"suffix":""}],"container-title":"JAMA : the journal of the American Medical Association","id":"ITEM-1","issue":"17","issued":{"date-parts":[["2007"]]},"page":"1883-1891","title":"Levosimendan vs Dobutamine for Patients","type":"article-journal","volume":"297"},"uris":["http://www.mendeley.com/documents/?uuid=0938f34a-71ac-4386-9826-12fdfc687d35"]}],"mendeley":{"formattedCitation":"&lt;sup&gt;25&lt;/sup&gt;","plainTextFormattedCitation":"25","previouslyFormattedCitation":"&lt;sup&gt;25&lt;/sup&gt;"},"properties":{"noteIndex":0},"schema":"https://github.com/citation-style-language/schema/raw/master/csl-citation.json"}</w:instrText>
      </w:r>
      <w:r w:rsidR="008B619A" w:rsidRPr="00B6585E">
        <w:rPr>
          <w:rFonts w:ascii="Arial" w:hAnsi="Arial" w:cs="Arial"/>
          <w:color w:val="000000" w:themeColor="text1"/>
          <w:sz w:val="22"/>
          <w:szCs w:val="22"/>
        </w:rPr>
        <w:fldChar w:fldCharType="separate"/>
      </w:r>
      <w:r w:rsidR="008B619A" w:rsidRPr="00B6585E">
        <w:rPr>
          <w:rFonts w:ascii="Arial" w:hAnsi="Arial" w:cs="Arial"/>
          <w:noProof/>
          <w:color w:val="000000" w:themeColor="text1"/>
          <w:sz w:val="22"/>
          <w:szCs w:val="22"/>
          <w:vertAlign w:val="superscript"/>
        </w:rPr>
        <w:t>25</w:t>
      </w:r>
      <w:r w:rsidR="008B619A" w:rsidRPr="00B6585E">
        <w:rPr>
          <w:rFonts w:ascii="Arial" w:hAnsi="Arial" w:cs="Arial"/>
          <w:color w:val="000000" w:themeColor="text1"/>
          <w:sz w:val="22"/>
          <w:szCs w:val="22"/>
        </w:rPr>
        <w:fldChar w:fldCharType="end"/>
      </w:r>
      <w:r w:rsidR="00AE656A" w:rsidRPr="00B6585E">
        <w:rPr>
          <w:rFonts w:ascii="Arial" w:hAnsi="Arial" w:cs="Arial"/>
          <w:color w:val="000000" w:themeColor="text1"/>
          <w:sz w:val="22"/>
          <w:szCs w:val="22"/>
        </w:rPr>
        <w:t xml:space="preserve"> Since NT-proBNP is a strong predictor for postoperative cardiovascular complications in patients undergoing noncardiac surgery</w:t>
      </w:r>
      <w:r w:rsidR="00C524A8" w:rsidRPr="00B6585E">
        <w:rPr>
          <w:rFonts w:ascii="Arial" w:hAnsi="Arial" w:cs="Arial"/>
          <w:color w:val="000000" w:themeColor="text1"/>
          <w:sz w:val="22"/>
          <w:szCs w:val="22"/>
        </w:rPr>
        <w:fldChar w:fldCharType="begin" w:fldLock="1"/>
      </w:r>
      <w:r w:rsidR="00AB326A" w:rsidRPr="00B6585E">
        <w:rPr>
          <w:rFonts w:ascii="Arial" w:hAnsi="Arial" w:cs="Arial"/>
          <w:color w:val="000000" w:themeColor="text1"/>
          <w:sz w:val="22"/>
          <w:szCs w:val="22"/>
        </w:rPr>
        <w:instrText>ADDIN CSL_CITATION {"citationItems":[{"id":"ITEM-1","itemData":{"DOI":"10.1097/ALN.0b013e31829083f1","ISBN":"1528-1175 (Electronic)\\r0003-3022 (Linking)","ISSN":"1528-1175","PMID":"23528538","abstract":"BACKGROUND: It is unclear whether postoperative B-type natriuretic peptides (i.e., BNP and N-terminal proBNP) can predict cardiovascular complications in noncardiac surgery. METHODS: The authors undertook a systematic review and individual patient data meta-analysis to determine whether postoperative BNPs predict postoperative cardiovascular complications at 30 and 180 days or more. RESULTS: The authors identified 18 eligible studies (n = 2,051). For the primary outcome of 30-day mortality or nonfatal myocardial infarction, BNP of 245 pg/ml had an area under the curve of 0.71 (95% CI, 0.64-0.78), and N-terminal proBNP of 718 pg/ml had an area under the curve of 0.80 (95% CI, 0.77-0.84). These thresholds independently predicted 30-day mortality or nonfatal myocardial infarction (adjusted odds ratio [AOR] 4.5; 95% CI, 2.74-7.4; P &lt; 0.001), mortality (AOR, 4.2; 95% CI, 2.29-7.69; P &lt; 0.001), cardiac mortality (AOR, 9.4; 95% CI, 0.32-254.34; P &lt; 0.001), and cardiac failure (AOR, 18.5; 95% CI, 4.55-75.29; P &lt; 0.001). For greater than or equal to 180-day outcomes, natriuretic peptides independently predicted mortality or nonfatal myocardial infarction (AOR, 3.3; 95% CI, 2.58-4.3; P &lt; 0.001), mortality (AOR, 2.2; 95% CI, 1.67-86; P &lt; 0.001), cardiac mortality (AOR, 2.1; 95% CI, 0.05-1,385.17; P &lt; 0.001), and cardiac failure (AOR, 3.5; 95% CI, 1.0-9.34; P = 0.022). Patients with BNP values of 0-250, greater than 250-400, and greater than 400 pg/ml suffered the primary outcome at a rate of 6.6, 15.7, and 29.5%, respectively. Patients with N-terminal proBNP values of 0-300, greater than 300-900, and greater than 900 pg/ml suffered the primary outcome at a rate of 1.8, 8.7, and 27%, respectively. CONCLUSIONS: Increased postoperative BNPs are independently associated with adverse cardiac events after noncardiac surgery.","author":[{"dropping-particle":"","family":"Rodseth","given":"R N","non-dropping-particle":"","parse-names":false,"suffix":""},{"dropping-particle":"","family":"Biccard","given":"B M","non-dropping-particle":"","parse-names":false,"suffix":""},{"dropping-particle":"","family":"Chu","given":"R","non-dropping-particle":"","parse-names":false,"suffix":""},{"dropping-particle":"","family":"Lurati Buse","given":"G A","non-dropping-particle":"","parse-names":false,"suffix":""},{"dropping-particle":"","family":"Thabane","given":"L","non-dropping-particle":"","parse-names":false,"suffix":""},{"dropping-particle":"","family":"Bakhai","given":"A","non-dropping-particle":"","parse-names":false,"suffix":""},{"dropping-particle":"","family":"Bolliger","given":"D","non-dropping-particle":"","parse-names":false,"suffix":""},{"dropping-particle":"","family":"Cagini","given":"L","non-dropping-particle":"","parse-names":false,"suffix":""},{"dropping-particle":"","family":"Cahill","given":"T J","non-dropping-particle":"","parse-names":false,"suffix":""},{"dropping-particle":"","family":"Cardinale","given":"D","non-dropping-particle":"","parse-names":false,"suffix":""},{"dropping-particle":"","family":"Chong","given":"C P","non-dropping-particle":"","parse-names":false,"suffix":""},{"dropping-particle":"","family":"Cnotliwy","given":"M","non-dropping-particle":"","parse-names":false,"suffix":""},{"dropping-particle":"","family":"Somma","given":"S","non-dropping-particle":"Di","parse-names":false,"suffix":""},{"dropping-particle":"","family":"Fahrner","given":"R","non-dropping-particle":"","parse-names":false,"suffix":""},{"dropping-particle":"","family":"Lim","given":"W K","non-dropping-particle":"","parse-names":false,"suffix":""},{"dropping-particle":"","family":"Mahla","given":"E","non-dropping-particle":"","parse-names":false,"suffix":""},{"dropping-particle":"","family":"Manach","given":"Y","non-dropping-particle":"Le","parse-names":false,"suffix":""},{"dropping-particle":"","family":"Manikandan","given":"R","non-dropping-particle":"","parse-names":false,"suffix":""},{"dropping-particle":"","family":"Pyun","given":"W B","non-dropping-particle":"","parse-names":false,"suffix":""},{"dropping-particle":"","family":"Rajagopalan","given":"S","non-dropping-particle":"","parse-names":false,"suffix":""},{"dropping-particle":"","family":"Radovic","given":"M","non-dropping-particle":"","parse-names":false,"suffix":""},{"dropping-particle":"","family":"Schutt","given":"R C","non-dropping-particle":"","parse-names":false,"suffix":""},{"dropping-particle":"","family":"Sessler","given":"D I","non-dropping-particle":"","parse-names":false,"suffix":""},{"dropping-particle":"","family":"Suttie","given":"S","non-dropping-particle":"","parse-names":false,"suffix":""},{"dropping-particle":"","family":"Vanniyasingam","given":"T","non-dropping-particle":"","parse-names":false,"suffix":""},{"dropping-particle":"","family":"Waliszek","given":"M","non-dropping-particle":"","parse-names":false,"suffix":""},{"dropping-particle":"","family":"Devereaux","given":"P J","non-dropping-particle":"","parse-names":false,"suffix":""}],"container-title":"Anesthesiology","id":"ITEM-1","issue":"2","issued":{"date-parts":[["2013"]]},"page":"270-283","title":"Postoperative B-type natriuretic peptide for prediction of major cardiac events in patients undergoing noncardiac surgery: systematic review and individual patient meta-analysis","type":"article-journal","volume":"119"},"uris":["http://www.mendeley.com/documents/?uuid=840c407d-bb53-44da-8a05-6ddc9c759bb2"]}],"mendeley":{"formattedCitation":"&lt;sup&gt;7&lt;/sup&gt;","plainTextFormattedCitation":"7","previouslyFormattedCitation":"&lt;sup&gt;7&lt;/sup&gt;"},"properties":{"noteIndex":0},"schema":"https://github.com/citation-style-language/schema/raw/master/csl-citation.json"}</w:instrText>
      </w:r>
      <w:r w:rsidR="00C524A8" w:rsidRPr="00B6585E">
        <w:rPr>
          <w:rFonts w:ascii="Arial" w:hAnsi="Arial" w:cs="Arial"/>
          <w:color w:val="000000" w:themeColor="text1"/>
          <w:sz w:val="22"/>
          <w:szCs w:val="22"/>
        </w:rPr>
        <w:fldChar w:fldCharType="separate"/>
      </w:r>
      <w:r w:rsidR="00C524A8" w:rsidRPr="00B6585E">
        <w:rPr>
          <w:rFonts w:ascii="Arial" w:hAnsi="Arial" w:cs="Arial"/>
          <w:noProof/>
          <w:color w:val="000000" w:themeColor="text1"/>
          <w:sz w:val="22"/>
          <w:szCs w:val="22"/>
          <w:vertAlign w:val="superscript"/>
        </w:rPr>
        <w:t>7</w:t>
      </w:r>
      <w:r w:rsidR="00C524A8" w:rsidRPr="00B6585E">
        <w:rPr>
          <w:rFonts w:ascii="Arial" w:hAnsi="Arial" w:cs="Arial"/>
          <w:color w:val="000000" w:themeColor="text1"/>
          <w:sz w:val="22"/>
          <w:szCs w:val="22"/>
        </w:rPr>
        <w:fldChar w:fldCharType="end"/>
      </w:r>
      <w:r w:rsidR="00AE656A" w:rsidRPr="00B6585E">
        <w:rPr>
          <w:rFonts w:ascii="Arial" w:hAnsi="Arial" w:cs="Arial"/>
          <w:color w:val="000000" w:themeColor="text1"/>
          <w:sz w:val="22"/>
          <w:szCs w:val="22"/>
        </w:rPr>
        <w:t xml:space="preserve">, we want to </w:t>
      </w:r>
      <w:r w:rsidRPr="00B6585E">
        <w:rPr>
          <w:rFonts w:ascii="Arial" w:hAnsi="Arial" w:cs="Arial"/>
          <w:color w:val="000000" w:themeColor="text1"/>
          <w:sz w:val="22"/>
          <w:szCs w:val="22"/>
        </w:rPr>
        <w:t>test the efficiency of levosimendan to decrease postoperative maxNT-proBNP concentration</w:t>
      </w:r>
      <w:r w:rsidR="00152B93"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in patients </w:t>
      </w:r>
      <w:r w:rsidR="00AE656A" w:rsidRPr="00B6585E">
        <w:rPr>
          <w:rFonts w:ascii="Arial" w:hAnsi="Arial" w:cs="Arial"/>
          <w:color w:val="000000" w:themeColor="text1"/>
          <w:sz w:val="22"/>
          <w:szCs w:val="22"/>
        </w:rPr>
        <w:t xml:space="preserve">with increased cardiac risk factors </w:t>
      </w:r>
      <w:r w:rsidRPr="00B6585E">
        <w:rPr>
          <w:rFonts w:ascii="Arial" w:hAnsi="Arial" w:cs="Arial"/>
          <w:color w:val="000000" w:themeColor="text1"/>
          <w:sz w:val="22"/>
          <w:szCs w:val="22"/>
        </w:rPr>
        <w:t>undergoing moderate- to high-risk noncardiac surgery.</w:t>
      </w:r>
    </w:p>
    <w:p w14:paraId="647EF271" w14:textId="77777777" w:rsidR="00931A60" w:rsidRPr="00B6585E" w:rsidRDefault="00A221DB">
      <w:pPr>
        <w:widowControl w:val="0"/>
        <w:spacing w:after="120"/>
        <w:ind w:right="-7"/>
        <w:jc w:val="both"/>
        <w:rPr>
          <w:rFonts w:ascii="Arial" w:hAnsi="Arial" w:cs="Arial"/>
          <w:i/>
          <w:color w:val="000000" w:themeColor="text1"/>
          <w:sz w:val="22"/>
          <w:szCs w:val="22"/>
        </w:rPr>
      </w:pPr>
      <w:r w:rsidRPr="00B6585E">
        <w:rPr>
          <w:rFonts w:ascii="Arial" w:hAnsi="Arial" w:cs="Arial"/>
          <w:i/>
          <w:color w:val="000000" w:themeColor="text1"/>
          <w:sz w:val="22"/>
          <w:szCs w:val="22"/>
        </w:rPr>
        <w:t>Hypothesis</w:t>
      </w:r>
    </w:p>
    <w:p w14:paraId="7527D162" w14:textId="484501C2" w:rsidR="00931A60" w:rsidRPr="00B6585E" w:rsidRDefault="00A221DB">
      <w:pPr>
        <w:widowControl w:val="0"/>
        <w:spacing w:after="120"/>
        <w:ind w:right="-7"/>
        <w:jc w:val="both"/>
        <w:rPr>
          <w:color w:val="000000" w:themeColor="text1"/>
        </w:rPr>
      </w:pPr>
      <w:r w:rsidRPr="00B6585E">
        <w:rPr>
          <w:rFonts w:ascii="Arial" w:hAnsi="Arial" w:cs="Arial"/>
          <w:color w:val="000000" w:themeColor="text1"/>
          <w:sz w:val="22"/>
          <w:szCs w:val="22"/>
        </w:rPr>
        <w:t xml:space="preserve">In comparison </w:t>
      </w:r>
      <w:r w:rsidR="000B3F66" w:rsidRPr="00B6585E">
        <w:rPr>
          <w:rFonts w:ascii="Arial" w:hAnsi="Arial" w:cs="Arial"/>
          <w:color w:val="000000" w:themeColor="text1"/>
          <w:sz w:val="22"/>
          <w:szCs w:val="22"/>
        </w:rPr>
        <w:t xml:space="preserve">to </w:t>
      </w:r>
      <w:r w:rsidRPr="00B6585E">
        <w:rPr>
          <w:rFonts w:ascii="Arial" w:hAnsi="Arial" w:cs="Arial"/>
          <w:color w:val="000000" w:themeColor="text1"/>
          <w:sz w:val="22"/>
          <w:szCs w:val="22"/>
        </w:rPr>
        <w:t>placebo, intraoperative single-dose administration of 12.5mg levosimendan decreases postoperative maxNT-proBNP measur</w:t>
      </w:r>
      <w:r w:rsidR="000B3F66" w:rsidRPr="00B6585E">
        <w:rPr>
          <w:rFonts w:ascii="Arial" w:hAnsi="Arial" w:cs="Arial"/>
          <w:color w:val="000000" w:themeColor="text1"/>
          <w:sz w:val="22"/>
          <w:szCs w:val="22"/>
        </w:rPr>
        <w:t>ements</w:t>
      </w:r>
      <w:r w:rsidRPr="00B6585E">
        <w:rPr>
          <w:rFonts w:ascii="Arial" w:hAnsi="Arial" w:cs="Arial"/>
          <w:color w:val="000000" w:themeColor="text1"/>
          <w:sz w:val="22"/>
          <w:szCs w:val="22"/>
        </w:rPr>
        <w:t xml:space="preserve"> within 2 hours after surgery</w:t>
      </w:r>
      <w:r w:rsidR="00C524A8"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w:t>
      </w:r>
      <w:r w:rsidR="00E338D3" w:rsidRPr="00B6585E">
        <w:rPr>
          <w:rFonts w:ascii="Arial" w:hAnsi="Arial" w:cs="Arial"/>
          <w:color w:val="000000" w:themeColor="text1"/>
          <w:sz w:val="22"/>
          <w:szCs w:val="22"/>
        </w:rPr>
        <w:t>on the first, second and third postoperative day</w:t>
      </w:r>
      <w:r w:rsidRPr="00B6585E">
        <w:rPr>
          <w:rFonts w:ascii="Arial" w:hAnsi="Arial" w:cs="Arial"/>
          <w:color w:val="000000" w:themeColor="text1"/>
          <w:sz w:val="22"/>
          <w:szCs w:val="22"/>
        </w:rPr>
        <w:t>, in patients with increased cardiovascular risk factors undergoing moderate- to high-risk noncardiac surgery.</w:t>
      </w:r>
    </w:p>
    <w:p w14:paraId="139891DE" w14:textId="43D75B4F" w:rsidR="00931A60" w:rsidRPr="00B6585E" w:rsidRDefault="00A221DB">
      <w:pPr>
        <w:pStyle w:val="Heading2"/>
        <w:rPr>
          <w:color w:val="000000" w:themeColor="text1"/>
        </w:rPr>
      </w:pPr>
      <w:bookmarkStart w:id="114" w:name="_Toc9107178"/>
      <w:bookmarkStart w:id="115" w:name="_Toc23231305"/>
      <w:bookmarkStart w:id="116" w:name="_Toc96924954"/>
      <w:r w:rsidRPr="00B6585E">
        <w:rPr>
          <w:color w:val="000000" w:themeColor="text1"/>
        </w:rPr>
        <w:t xml:space="preserve">Secondary </w:t>
      </w:r>
      <w:bookmarkEnd w:id="114"/>
      <w:r w:rsidR="005179EB" w:rsidRPr="00B6585E">
        <w:rPr>
          <w:color w:val="000000" w:themeColor="text1"/>
        </w:rPr>
        <w:t>Outcomes</w:t>
      </w:r>
      <w:bookmarkEnd w:id="115"/>
      <w:bookmarkEnd w:id="116"/>
    </w:p>
    <w:p w14:paraId="4503215A" w14:textId="367601AF" w:rsidR="00E67D0A" w:rsidRPr="00B6585E" w:rsidRDefault="00E67D0A" w:rsidP="00E67D0A">
      <w:pPr>
        <w:rPr>
          <w:color w:val="000000" w:themeColor="text1"/>
        </w:rPr>
      </w:pPr>
    </w:p>
    <w:p w14:paraId="682B579C" w14:textId="73BBFA91" w:rsidR="00E67D0A" w:rsidRPr="00B6585E" w:rsidRDefault="00E67D0A" w:rsidP="00816FA9">
      <w:pPr>
        <w:pStyle w:val="Heading3"/>
        <w:numPr>
          <w:ilvl w:val="2"/>
          <w:numId w:val="3"/>
        </w:numPr>
      </w:pPr>
      <w:bookmarkStart w:id="117" w:name="_Toc96924955"/>
      <w:r w:rsidRPr="00B6585E">
        <w:t xml:space="preserve">Aim </w:t>
      </w:r>
      <w:r w:rsidR="00743930" w:rsidRPr="00B6585E">
        <w:t>1</w:t>
      </w:r>
      <w:bookmarkEnd w:id="117"/>
    </w:p>
    <w:p w14:paraId="0D888C22" w14:textId="3E1CBDCF" w:rsidR="00743930" w:rsidRPr="00B6585E" w:rsidRDefault="00743930" w:rsidP="00743930">
      <w:pPr>
        <w:rPr>
          <w:rFonts w:ascii="Arial" w:hAnsi="Arial" w:cs="Arial"/>
          <w:color w:val="000000" w:themeColor="text1"/>
          <w:sz w:val="22"/>
          <w:szCs w:val="22"/>
        </w:rPr>
      </w:pPr>
      <w:r w:rsidRPr="00B6585E">
        <w:rPr>
          <w:rFonts w:ascii="Arial" w:hAnsi="Arial" w:cs="Arial"/>
          <w:color w:val="000000" w:themeColor="text1"/>
          <w:sz w:val="22"/>
          <w:szCs w:val="22"/>
        </w:rPr>
        <w:t xml:space="preserve">Maximum rise of postoperative Troponin T (TnT) – as an indicator of </w:t>
      </w:r>
      <w:r w:rsidR="00152B93" w:rsidRPr="00B6585E">
        <w:rPr>
          <w:rFonts w:ascii="Arial" w:hAnsi="Arial" w:cs="Arial"/>
          <w:color w:val="000000" w:themeColor="text1"/>
          <w:sz w:val="22"/>
          <w:szCs w:val="22"/>
        </w:rPr>
        <w:t>MINS</w:t>
      </w:r>
    </w:p>
    <w:p w14:paraId="6B79CB9C" w14:textId="6F3D1B97" w:rsidR="00743930" w:rsidRPr="00B6585E" w:rsidRDefault="00743930" w:rsidP="006821B5">
      <w:pPr>
        <w:jc w:val="right"/>
        <w:rPr>
          <w:rFonts w:ascii="Arial" w:hAnsi="Arial" w:cs="Arial"/>
          <w:color w:val="000000" w:themeColor="text1"/>
          <w:sz w:val="22"/>
          <w:szCs w:val="22"/>
        </w:rPr>
      </w:pPr>
    </w:p>
    <w:p w14:paraId="1C9B2EC9" w14:textId="358D07FD" w:rsidR="00743930" w:rsidRPr="00B6585E" w:rsidRDefault="00743930" w:rsidP="00743930">
      <w:pPr>
        <w:jc w:val="both"/>
        <w:rPr>
          <w:rFonts w:ascii="Arial" w:hAnsi="Arial" w:cs="Arial"/>
          <w:color w:val="000000" w:themeColor="text1"/>
          <w:sz w:val="22"/>
          <w:szCs w:val="22"/>
        </w:rPr>
      </w:pPr>
      <w:r w:rsidRPr="00B6585E">
        <w:rPr>
          <w:rFonts w:ascii="Arial" w:hAnsi="Arial" w:cs="Arial"/>
          <w:color w:val="000000" w:themeColor="text1"/>
          <w:sz w:val="22"/>
          <w:szCs w:val="22"/>
        </w:rPr>
        <w:t>Hypothesis 1: Levosimendan improve</w:t>
      </w:r>
      <w:r w:rsidR="00152B93"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myocardial perfusion and might therefore </w:t>
      </w:r>
      <w:r w:rsidR="006821B5" w:rsidRPr="00B6585E">
        <w:rPr>
          <w:rFonts w:ascii="Arial" w:hAnsi="Arial" w:cs="Arial"/>
          <w:color w:val="000000" w:themeColor="text1"/>
          <w:sz w:val="22"/>
          <w:szCs w:val="22"/>
        </w:rPr>
        <w:t>reduce</w:t>
      </w:r>
      <w:r w:rsidR="006821B5" w:rsidRPr="00B6585E">
        <w:rPr>
          <w:rStyle w:val="CommentReference"/>
          <w:rFonts w:ascii="Calibri" w:eastAsia="Calibri" w:hAnsi="Calibri"/>
          <w:color w:val="000000" w:themeColor="text1"/>
        </w:rPr>
        <w:t xml:space="preserve"> </w:t>
      </w:r>
      <w:r w:rsidR="006821B5" w:rsidRPr="00B6585E">
        <w:rPr>
          <w:rFonts w:ascii="Arial" w:hAnsi="Arial" w:cs="Arial"/>
          <w:color w:val="000000" w:themeColor="text1"/>
          <w:sz w:val="22"/>
          <w:szCs w:val="22"/>
        </w:rPr>
        <w:t>th</w:t>
      </w:r>
      <w:r w:rsidRPr="00B6585E">
        <w:rPr>
          <w:rFonts w:ascii="Arial" w:hAnsi="Arial" w:cs="Arial"/>
          <w:color w:val="000000" w:themeColor="text1"/>
          <w:sz w:val="22"/>
          <w:szCs w:val="22"/>
        </w:rPr>
        <w:t xml:space="preserve">e postoperative maximum rise in TnT </w:t>
      </w:r>
    </w:p>
    <w:p w14:paraId="0DF9284B" w14:textId="77777777" w:rsidR="00E67D0A" w:rsidRPr="00B6585E" w:rsidRDefault="00E67D0A" w:rsidP="00E67D0A">
      <w:pPr>
        <w:rPr>
          <w:color w:val="000000" w:themeColor="text1"/>
        </w:rPr>
      </w:pPr>
    </w:p>
    <w:p w14:paraId="5F20AF76" w14:textId="711ADD39" w:rsidR="00931A60" w:rsidRPr="00B6585E" w:rsidRDefault="00A221DB" w:rsidP="00816FA9">
      <w:pPr>
        <w:pStyle w:val="Heading3"/>
        <w:numPr>
          <w:ilvl w:val="2"/>
          <w:numId w:val="3"/>
        </w:numPr>
      </w:pPr>
      <w:bookmarkStart w:id="118" w:name="_Toc9107179"/>
      <w:bookmarkStart w:id="119" w:name="_Toc4579663"/>
      <w:bookmarkStart w:id="120" w:name="_Toc23231306"/>
      <w:bookmarkStart w:id="121" w:name="_Toc96924956"/>
      <w:r w:rsidRPr="00B6585E">
        <w:t>Aim</w:t>
      </w:r>
      <w:bookmarkEnd w:id="118"/>
      <w:r w:rsidRPr="00B6585E">
        <w:t xml:space="preserve"> </w:t>
      </w:r>
      <w:bookmarkEnd w:id="119"/>
      <w:bookmarkEnd w:id="120"/>
      <w:r w:rsidR="00042071" w:rsidRPr="00B6585E">
        <w:t>2</w:t>
      </w:r>
      <w:bookmarkEnd w:id="121"/>
    </w:p>
    <w:p w14:paraId="03F83C74" w14:textId="77777777" w:rsidR="00931A60" w:rsidRPr="00B6585E" w:rsidRDefault="00A221DB">
      <w:pPr>
        <w:pStyle w:val="ListParagraph"/>
        <w:widowControl w:val="0"/>
        <w:spacing w:after="120"/>
        <w:ind w:left="0" w:right="-7"/>
        <w:contextualSpacing/>
        <w:jc w:val="both"/>
        <w:rPr>
          <w:rFonts w:ascii="Arial" w:hAnsi="Arial" w:cs="Arial"/>
          <w:color w:val="000000" w:themeColor="text1"/>
          <w:sz w:val="22"/>
          <w:szCs w:val="22"/>
          <w:lang w:val="en-US"/>
        </w:rPr>
      </w:pPr>
      <w:r w:rsidRPr="00B6585E">
        <w:rPr>
          <w:rFonts w:ascii="Arial" w:hAnsi="Arial" w:cs="Arial"/>
          <w:i/>
          <w:color w:val="000000" w:themeColor="text1"/>
          <w:sz w:val="22"/>
          <w:szCs w:val="22"/>
          <w:lang w:val="en-US"/>
        </w:rPr>
        <w:t>Myocardial injury after noncardiac surgery</w:t>
      </w:r>
      <w:r w:rsidRPr="00B6585E">
        <w:rPr>
          <w:rFonts w:ascii="Arial" w:hAnsi="Arial" w:cs="Arial"/>
          <w:color w:val="000000" w:themeColor="text1"/>
          <w:sz w:val="22"/>
          <w:szCs w:val="22"/>
          <w:lang w:val="en-US"/>
        </w:rPr>
        <w:t xml:space="preserve"> (MINS) - is associated with increased postoperative cardiac mortality. </w:t>
      </w:r>
    </w:p>
    <w:p w14:paraId="6533E7E9" w14:textId="77777777" w:rsidR="00931A60" w:rsidRPr="00B6585E" w:rsidRDefault="00931A60">
      <w:pPr>
        <w:pStyle w:val="ListParagraph"/>
        <w:widowControl w:val="0"/>
        <w:spacing w:after="120"/>
        <w:ind w:left="0" w:right="-7"/>
        <w:contextualSpacing/>
        <w:jc w:val="both"/>
        <w:rPr>
          <w:rFonts w:ascii="Arial" w:hAnsi="Arial" w:cs="Arial"/>
          <w:color w:val="000000" w:themeColor="text1"/>
          <w:sz w:val="22"/>
          <w:szCs w:val="22"/>
          <w:lang w:val="en-US"/>
        </w:rPr>
      </w:pPr>
    </w:p>
    <w:p w14:paraId="3E6985D1" w14:textId="19A98885" w:rsidR="00E338D3" w:rsidRPr="00B6585E" w:rsidRDefault="00A221DB" w:rsidP="00E338D3">
      <w:pPr>
        <w:pStyle w:val="ListParagraph"/>
        <w:widowControl w:val="0"/>
        <w:spacing w:after="120"/>
        <w:ind w:left="0" w:right="-7"/>
        <w:contextualSpacing/>
        <w:jc w:val="both"/>
        <w:rPr>
          <w:rFonts w:ascii="Arial" w:hAnsi="Arial" w:cs="Arial"/>
          <w:color w:val="000000" w:themeColor="text1"/>
          <w:sz w:val="22"/>
          <w:szCs w:val="22"/>
          <w:lang w:val="en-US"/>
        </w:rPr>
      </w:pPr>
      <w:r w:rsidRPr="00B6585E">
        <w:rPr>
          <w:rFonts w:ascii="Arial" w:hAnsi="Arial" w:cs="Arial"/>
          <w:i/>
          <w:color w:val="000000" w:themeColor="text1"/>
          <w:sz w:val="22"/>
          <w:szCs w:val="22"/>
          <w:lang w:val="en-US"/>
        </w:rPr>
        <w:t>Hypothesis</w:t>
      </w:r>
      <w:r w:rsidRPr="00B6585E">
        <w:rPr>
          <w:rFonts w:ascii="Arial" w:hAnsi="Arial" w:cs="Arial"/>
          <w:color w:val="000000" w:themeColor="text1"/>
          <w:sz w:val="22"/>
          <w:szCs w:val="22"/>
          <w:lang w:val="en-US"/>
        </w:rPr>
        <w:t xml:space="preserve"> </w:t>
      </w:r>
      <w:r w:rsidR="00042071" w:rsidRPr="00B6585E">
        <w:rPr>
          <w:rFonts w:ascii="Arial" w:hAnsi="Arial" w:cs="Arial"/>
          <w:color w:val="000000" w:themeColor="text1"/>
          <w:sz w:val="22"/>
          <w:szCs w:val="22"/>
          <w:lang w:val="en-US"/>
        </w:rPr>
        <w:t>2</w:t>
      </w:r>
      <w:r w:rsidRPr="00B6585E">
        <w:rPr>
          <w:rFonts w:ascii="Arial" w:hAnsi="Arial" w:cs="Arial"/>
          <w:color w:val="000000" w:themeColor="text1"/>
          <w:sz w:val="22"/>
          <w:szCs w:val="22"/>
          <w:lang w:val="en-US"/>
        </w:rPr>
        <w:t xml:space="preserve"> – Levosimendan decreases the incidence of MINS during the first 3 postoperative days as compared to placebo in patients with increased cardiovascular risk factors undergoing moderate- to high-risk noncardiac surgery. MINS is defined </w:t>
      </w:r>
      <w:r w:rsidR="00E338D3" w:rsidRPr="00B6585E">
        <w:rPr>
          <w:rFonts w:ascii="Arial" w:hAnsi="Arial" w:cs="Arial"/>
          <w:color w:val="000000" w:themeColor="text1"/>
          <w:sz w:val="22"/>
          <w:szCs w:val="22"/>
          <w:lang w:val="en-US"/>
        </w:rPr>
        <w:t>as: (i) a non-high-sensitivity troponin T &gt;_30ng/L2 and (ii) a high-sensitivity troponin T (hsTnT) of 20 to &lt;65 ng/L with an absolute change of at least 5 ng/L—this change threshold is independently associated with 30-day mortality [hazard ratio (HR) 4.69; 95% confidence interval (CI) 3.52–6.25]—or an hsTnT level &gt;_65ng/ L.</w:t>
      </w:r>
      <w:r w:rsidR="00E338D3" w:rsidRPr="00B6585E">
        <w:rPr>
          <w:color w:val="000000" w:themeColor="text1"/>
          <w:lang w:val="en-US"/>
        </w:rPr>
        <w:t xml:space="preserve"> </w:t>
      </w:r>
      <w:r w:rsidR="00E338D3" w:rsidRPr="00B6585E">
        <w:rPr>
          <w:color w:val="000000" w:themeColor="text1"/>
          <w:lang w:val="en-US"/>
        </w:rPr>
        <w:fldChar w:fldCharType="begin" w:fldLock="1"/>
      </w:r>
      <w:r w:rsidR="00E338D3" w:rsidRPr="00B6585E">
        <w:rPr>
          <w:color w:val="000000" w:themeColor="text1"/>
          <w:lang w:val="en-US"/>
        </w:rPr>
        <w:instrText>ADDIN CSL_CITATION {"citationItems":[{"id":"ITEM-1","itemData":{"DOI":"10.1093/eurheartj/ehz074","ISSN":"0195-668X","author":[{"dropping-particle":"","family":"Devereaux","given":"P J","non-dropping-particle":"","parse-names":false,"suffix":""},{"dropping-particle":"","family":"Szczeklik","given":"W.","non-dropping-particle":"","parse-names":false,"suffix":""}],"container-title":"European Heart Journal","id":"ITEM-1","issued":{"date-parts":[["2019"]]},"page":"1-9","title":"Myocardial injury after non-cardiac surgery: diagnosis and management","type":"article-journal","volume":"0"},"uris":["http://www.mendeley.com/documents/?uuid=c4c42a99-b643-48bd-bfbd-0add854ec9ca"]}],"mendeley":{"formattedCitation":"&lt;sup&gt;26&lt;/sup&gt;","plainTextFormattedCitation":"26","previouslyFormattedCitation":"&lt;sup&gt;26&lt;/sup&gt;"},"properties":{"noteIndex":0},"schema":"https://github.com/citation-style-language/schema/raw/master/csl-citation.json"}</w:instrText>
      </w:r>
      <w:r w:rsidR="00E338D3" w:rsidRPr="00B6585E">
        <w:rPr>
          <w:color w:val="000000" w:themeColor="text1"/>
          <w:lang w:val="en-US"/>
        </w:rPr>
        <w:fldChar w:fldCharType="separate"/>
      </w:r>
      <w:bookmarkStart w:id="122" w:name="__Fieldmark__1923_2706913586"/>
      <w:bookmarkStart w:id="123" w:name="__Fieldmark__1083_3246776249"/>
      <w:r w:rsidR="00E338D3" w:rsidRPr="00B6585E">
        <w:rPr>
          <w:rFonts w:ascii="Arial" w:hAnsi="Arial" w:cs="Arial"/>
          <w:noProof/>
          <w:color w:val="000000" w:themeColor="text1"/>
          <w:sz w:val="22"/>
          <w:szCs w:val="22"/>
          <w:vertAlign w:val="superscript"/>
          <w:lang w:val="en-US"/>
        </w:rPr>
        <w:t>26</w:t>
      </w:r>
      <w:r w:rsidR="00E338D3" w:rsidRPr="00B6585E">
        <w:rPr>
          <w:color w:val="000000" w:themeColor="text1"/>
          <w:lang w:val="en-US"/>
        </w:rPr>
        <w:fldChar w:fldCharType="end"/>
      </w:r>
      <w:bookmarkEnd w:id="122"/>
      <w:bookmarkEnd w:id="123"/>
    </w:p>
    <w:p w14:paraId="331F16BF" w14:textId="0841C9FD" w:rsidR="00931A60" w:rsidRPr="00B6585E" w:rsidRDefault="00A221DB">
      <w:pPr>
        <w:pStyle w:val="ListParagraph"/>
        <w:widowControl w:val="0"/>
        <w:spacing w:after="120"/>
        <w:ind w:left="0" w:right="-7"/>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Furthermore, an absolute change of at least 5 ng/L is independently associated with 30-day mortality and will also be defined as MINS. TnT will be measured within 2 hours after surgery, on </w:t>
      </w:r>
      <w:r w:rsidR="00E338D3" w:rsidRPr="00B6585E">
        <w:rPr>
          <w:rFonts w:ascii="Arial" w:hAnsi="Arial" w:cs="Arial"/>
          <w:color w:val="000000" w:themeColor="text1"/>
          <w:sz w:val="22"/>
          <w:szCs w:val="22"/>
          <w:lang w:val="en-US"/>
        </w:rPr>
        <w:t>the first, second and third postoperative day.</w:t>
      </w:r>
    </w:p>
    <w:p w14:paraId="29FAEA24" w14:textId="14C5EA0D" w:rsidR="00E338D3" w:rsidRPr="00B6585E" w:rsidRDefault="00E338D3">
      <w:pPr>
        <w:pStyle w:val="ListParagraph"/>
        <w:widowControl w:val="0"/>
        <w:spacing w:after="120"/>
        <w:ind w:left="0" w:right="-7"/>
        <w:contextualSpacing/>
        <w:jc w:val="both"/>
        <w:rPr>
          <w:rFonts w:ascii="Arial" w:hAnsi="Arial" w:cs="Arial"/>
          <w:color w:val="000000" w:themeColor="text1"/>
          <w:sz w:val="22"/>
          <w:szCs w:val="22"/>
          <w:lang w:val="en-US"/>
        </w:rPr>
      </w:pPr>
    </w:p>
    <w:p w14:paraId="4AB864B8" w14:textId="431CFAF3" w:rsidR="00931A60" w:rsidRPr="00B6585E" w:rsidRDefault="00A221DB" w:rsidP="00816FA9">
      <w:pPr>
        <w:pStyle w:val="Heading3"/>
        <w:numPr>
          <w:ilvl w:val="2"/>
          <w:numId w:val="3"/>
        </w:numPr>
      </w:pPr>
      <w:bookmarkStart w:id="124" w:name="_Toc4579664"/>
      <w:bookmarkStart w:id="125" w:name="_Toc9107180"/>
      <w:bookmarkStart w:id="126" w:name="_Toc23231307"/>
      <w:bookmarkStart w:id="127" w:name="_Toc96924957"/>
      <w:r w:rsidRPr="00B6585E">
        <w:t xml:space="preserve">Aim </w:t>
      </w:r>
      <w:bookmarkEnd w:id="124"/>
      <w:bookmarkEnd w:id="125"/>
      <w:bookmarkEnd w:id="126"/>
      <w:r w:rsidR="00042071" w:rsidRPr="00B6585E">
        <w:t>3</w:t>
      </w:r>
      <w:bookmarkEnd w:id="127"/>
    </w:p>
    <w:p w14:paraId="1EFCBDB0" w14:textId="38B257A9"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i/>
          <w:color w:val="000000" w:themeColor="text1"/>
          <w:sz w:val="22"/>
          <w:szCs w:val="22"/>
        </w:rPr>
        <w:t>Cardiovascular morbidity</w:t>
      </w:r>
      <w:r w:rsidRPr="00B6585E">
        <w:rPr>
          <w:rFonts w:ascii="Arial" w:hAnsi="Arial" w:cs="Arial"/>
          <w:color w:val="000000" w:themeColor="text1"/>
          <w:sz w:val="22"/>
          <w:szCs w:val="22"/>
        </w:rPr>
        <w:t xml:space="preserve"> – Evaluation of differences </w:t>
      </w:r>
      <w:r w:rsidR="006821B5" w:rsidRPr="00B6585E">
        <w:rPr>
          <w:rFonts w:ascii="Arial" w:hAnsi="Arial" w:cs="Arial"/>
          <w:color w:val="000000" w:themeColor="text1"/>
          <w:sz w:val="22"/>
          <w:szCs w:val="22"/>
        </w:rPr>
        <w:t xml:space="preserve">event rates </w:t>
      </w:r>
      <w:r w:rsidRPr="00B6585E">
        <w:rPr>
          <w:rFonts w:ascii="Arial" w:hAnsi="Arial" w:cs="Arial"/>
          <w:color w:val="000000" w:themeColor="text1"/>
          <w:sz w:val="22"/>
          <w:szCs w:val="22"/>
        </w:rPr>
        <w:t xml:space="preserve">of myocardial infarction and death </w:t>
      </w:r>
      <w:r w:rsidR="00E338D3" w:rsidRPr="00B6585E">
        <w:rPr>
          <w:rFonts w:ascii="Arial" w:hAnsi="Arial" w:cs="Arial"/>
          <w:color w:val="000000" w:themeColor="text1"/>
          <w:sz w:val="22"/>
          <w:szCs w:val="22"/>
        </w:rPr>
        <w:t>at</w:t>
      </w:r>
      <w:r w:rsidRPr="00B6585E">
        <w:rPr>
          <w:rFonts w:ascii="Arial" w:hAnsi="Arial" w:cs="Arial"/>
          <w:color w:val="000000" w:themeColor="text1"/>
          <w:sz w:val="22"/>
          <w:szCs w:val="22"/>
        </w:rPr>
        <w:t xml:space="preserve"> 30 days</w:t>
      </w:r>
      <w:r w:rsidR="006821B5" w:rsidRPr="00B6585E">
        <w:rPr>
          <w:rFonts w:ascii="Arial" w:hAnsi="Arial" w:cs="Arial"/>
          <w:color w:val="000000" w:themeColor="text1"/>
          <w:sz w:val="22"/>
          <w:szCs w:val="22"/>
        </w:rPr>
        <w:t xml:space="preserve"> and 1 year</w:t>
      </w:r>
      <w:r w:rsidRPr="00B6585E">
        <w:rPr>
          <w:rFonts w:ascii="Arial" w:hAnsi="Arial" w:cs="Arial"/>
          <w:color w:val="000000" w:themeColor="text1"/>
          <w:sz w:val="22"/>
          <w:szCs w:val="22"/>
        </w:rPr>
        <w:t xml:space="preserve"> after surgery.</w:t>
      </w:r>
    </w:p>
    <w:p w14:paraId="6105D06B" w14:textId="300FFCEF" w:rsidR="00931A60" w:rsidRPr="00B6585E" w:rsidRDefault="00A221DB">
      <w:pPr>
        <w:spacing w:after="120"/>
        <w:ind w:right="-7"/>
        <w:jc w:val="both"/>
        <w:rPr>
          <w:rFonts w:ascii="Arial" w:hAnsi="Arial" w:cs="Arial"/>
          <w:color w:val="000000" w:themeColor="text1"/>
          <w:sz w:val="22"/>
          <w:szCs w:val="22"/>
        </w:rPr>
      </w:pPr>
      <w:r w:rsidRPr="00B6585E">
        <w:rPr>
          <w:rFonts w:cs="Calibri"/>
          <w:color w:val="000000" w:themeColor="text1"/>
          <w:sz w:val="22"/>
          <w:szCs w:val="22"/>
        </w:rPr>
        <w:t>﻿</w:t>
      </w:r>
      <w:r w:rsidRPr="00B6585E">
        <w:rPr>
          <w:rFonts w:ascii="Arial" w:hAnsi="Arial" w:cs="Arial"/>
          <w:i/>
          <w:color w:val="000000" w:themeColor="text1"/>
          <w:sz w:val="22"/>
          <w:szCs w:val="22"/>
        </w:rPr>
        <w:t xml:space="preserve">Hypothesis </w:t>
      </w:r>
      <w:r w:rsidR="00042071" w:rsidRPr="00B6585E">
        <w:rPr>
          <w:rFonts w:ascii="Arial" w:hAnsi="Arial" w:cs="Arial"/>
          <w:i/>
          <w:color w:val="000000" w:themeColor="text1"/>
          <w:sz w:val="22"/>
          <w:szCs w:val="22"/>
        </w:rPr>
        <w:t>3</w:t>
      </w:r>
      <w:r w:rsidRPr="00B6585E">
        <w:rPr>
          <w:rFonts w:ascii="Arial" w:hAnsi="Arial" w:cs="Arial"/>
          <w:color w:val="000000" w:themeColor="text1"/>
          <w:sz w:val="22"/>
          <w:szCs w:val="22"/>
        </w:rPr>
        <w:t xml:space="preserve"> – Levosimendan reduces the </w:t>
      </w:r>
      <w:r w:rsidR="006821B5" w:rsidRPr="00B6585E">
        <w:rPr>
          <w:rFonts w:ascii="Arial" w:hAnsi="Arial" w:cs="Arial"/>
          <w:color w:val="000000" w:themeColor="text1"/>
          <w:sz w:val="22"/>
          <w:szCs w:val="22"/>
        </w:rPr>
        <w:t>event rates</w:t>
      </w:r>
      <w:r w:rsidR="004A37BC"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of myocardial infarction and death during 30 days</w:t>
      </w:r>
      <w:r w:rsidR="00565046" w:rsidRPr="00B6585E">
        <w:rPr>
          <w:rFonts w:ascii="Arial" w:hAnsi="Arial" w:cs="Arial"/>
          <w:color w:val="000000" w:themeColor="text1"/>
          <w:sz w:val="22"/>
          <w:szCs w:val="22"/>
        </w:rPr>
        <w:t xml:space="preserve"> and 1 year</w:t>
      </w:r>
      <w:r w:rsidRPr="00B6585E">
        <w:rPr>
          <w:rFonts w:ascii="Arial" w:hAnsi="Arial" w:cs="Arial"/>
          <w:color w:val="000000" w:themeColor="text1"/>
          <w:sz w:val="22"/>
          <w:szCs w:val="22"/>
        </w:rPr>
        <w:t xml:space="preserve"> after surgery as compared to placebo. Myocardial infarction is defined as </w:t>
      </w:r>
      <w:r w:rsidR="006156C5" w:rsidRPr="00B6585E">
        <w:rPr>
          <w:rFonts w:ascii="Arial" w:hAnsi="Arial" w:cs="Arial"/>
          <w:color w:val="000000" w:themeColor="text1"/>
          <w:sz w:val="22"/>
          <w:szCs w:val="22"/>
        </w:rPr>
        <w:t>a</w:t>
      </w:r>
      <w:r w:rsidRPr="00B6585E">
        <w:rPr>
          <w:rFonts w:ascii="Arial" w:hAnsi="Arial" w:cs="Arial"/>
          <w:color w:val="000000" w:themeColor="text1"/>
          <w:sz w:val="22"/>
          <w:szCs w:val="22"/>
        </w:rPr>
        <w:t xml:space="preserve"> rise of TnT at least one value </w:t>
      </w:r>
      <w:r w:rsidR="004A37BC" w:rsidRPr="00B6585E">
        <w:rPr>
          <w:rFonts w:ascii="Arial" w:hAnsi="Arial" w:cs="Arial"/>
          <w:color w:val="000000" w:themeColor="text1"/>
          <w:sz w:val="22"/>
          <w:szCs w:val="22"/>
        </w:rPr>
        <w:t xml:space="preserve">is </w:t>
      </w:r>
      <w:r w:rsidRPr="00B6585E">
        <w:rPr>
          <w:rFonts w:ascii="Arial" w:hAnsi="Arial" w:cs="Arial"/>
          <w:color w:val="000000" w:themeColor="text1"/>
          <w:sz w:val="22"/>
          <w:szCs w:val="22"/>
        </w:rPr>
        <w:t>above the 99</w:t>
      </w:r>
      <w:r w:rsidRPr="00B6585E">
        <w:rPr>
          <w:rFonts w:ascii="Arial" w:hAnsi="Arial" w:cs="Arial"/>
          <w:color w:val="000000" w:themeColor="text1"/>
          <w:sz w:val="22"/>
          <w:szCs w:val="22"/>
          <w:vertAlign w:val="superscript"/>
        </w:rPr>
        <w:t>th</w:t>
      </w:r>
      <w:r w:rsidRPr="00B6585E">
        <w:rPr>
          <w:rFonts w:ascii="Arial" w:hAnsi="Arial" w:cs="Arial"/>
          <w:color w:val="000000" w:themeColor="text1"/>
          <w:sz w:val="22"/>
          <w:szCs w:val="22"/>
        </w:rPr>
        <w:t xml:space="preserve"> percentile URL and with at least one of the following: (i) symptoms of acute myocardial ischaemia; (ii) new ischaemic ECG changes; (iii) development of pathological Q waves; (iiii) imaging evidence of new loss of viable myocardium; (v) new regional wall </w:t>
      </w:r>
      <w:r w:rsidRPr="00B6585E">
        <w:rPr>
          <w:rFonts w:ascii="Arial" w:hAnsi="Arial" w:cs="Arial"/>
          <w:color w:val="000000" w:themeColor="text1"/>
          <w:sz w:val="22"/>
          <w:szCs w:val="22"/>
        </w:rPr>
        <w:lastRenderedPageBreak/>
        <w:t xml:space="preserve">motion abnormality in a pattern consistent with an </w:t>
      </w:r>
      <w:r w:rsidR="00565046" w:rsidRPr="00B6585E">
        <w:rPr>
          <w:rFonts w:ascii="Arial" w:hAnsi="Arial" w:cs="Arial"/>
          <w:color w:val="000000" w:themeColor="text1"/>
          <w:sz w:val="22"/>
          <w:szCs w:val="22"/>
        </w:rPr>
        <w:t>ischemic</w:t>
      </w:r>
      <w:r w:rsidRPr="00B6585E">
        <w:rPr>
          <w:rFonts w:ascii="Arial" w:hAnsi="Arial" w:cs="Arial"/>
          <w:color w:val="000000" w:themeColor="text1"/>
          <w:sz w:val="22"/>
          <w:szCs w:val="22"/>
        </w:rPr>
        <w:t xml:space="preserve"> ethiology; (vi) identification of a coronary thrombus by angiography including intracoronary imaging or autopsy.</w:t>
      </w:r>
      <w:r w:rsidRPr="00B6585E">
        <w:rPr>
          <w:color w:val="000000" w:themeColor="text1"/>
        </w:rPr>
        <w:fldChar w:fldCharType="begin" w:fldLock="1"/>
      </w:r>
      <w:r w:rsidR="00C524A8" w:rsidRPr="00B6585E">
        <w:rPr>
          <w:color w:val="000000" w:themeColor="text1"/>
        </w:rPr>
        <w:instrText>ADDIN CSL_CITATION {"citationItems":[{"id":"ITEM-1","itemData":{"DOI":"10.1161/CIRCULATIONAHA.107.187397","ISBN":"1524-4539 (Electronic)","ISSN":"00097322","PMID":"17951284","abstract":"JAC, 60 (2012) 1581-1598. doi:10.1016/j.jacc.2012.08.001","author":[{"dropping-particle":"","family":"Thygesen","given":"Kristian","non-dropping-particle":"","parse-names":false,"suffix":""},{"dropping-particle":"","family":"Alpert","given":"Joseph S.","non-dropping-particle":"","parse-names":false,"suffix":""},{"dropping-particle":"","family":"Jaffe","given":"A.","non-dropping-particle":"","parse-names":false,"suffix":""},{"dropping-particle":"","family":"Chaitman","given":"B.","non-dropping-particle":"","parse-names":false,"suffix":""},{"dropping-particle":"","family":"Bax","given":"J.","non-dropping-particle":"","parse-names":false,"suffix":""},{"dropping-particle":"","family":"Morrow","given":"D.","non-dropping-particle":"","parse-names":false,"suffix":""},{"dropping-particle":"","family":"White","given":"H","non-dropping-particle":"","parse-names":false,"suffix":""},{"dropping-particle":"","family":"Infarction","given":"Executive Group on behalf of the Joint European Societ of Cardioloy/American College of Cardiology/American Heart Association/World Heart Federation Taks Force for Universal Definition of Myocardial","non-dropping-particle":"","parse-names":false,"suffix":""}],"container-title":"Circulation","id":"ITEM-1","issue":"40","issued":{"date-parts":[["2019"]]},"page":"237-269","title":"Universal definition of myocardial infarction (2018)","type":"article-journal"},"uris":["http://www.mendeley.com/documents/?uuid=90f161c7-7445-4d55-8071-f2741d7fe6a6"]}],"mendeley":{"formattedCitation":"&lt;sup&gt;27&lt;/sup&gt;","plainTextFormattedCitation":"27","previouslyFormattedCitation":"&lt;sup&gt;27&lt;/sup&gt;"},"properties":{"noteIndex":0},"schema":"https://github.com/citation-style-language/schema/raw/master/csl-citation.json"}</w:instrText>
      </w:r>
      <w:r w:rsidRPr="00B6585E">
        <w:rPr>
          <w:color w:val="000000" w:themeColor="text1"/>
        </w:rPr>
        <w:fldChar w:fldCharType="separate"/>
      </w:r>
      <w:bookmarkStart w:id="128" w:name="__Fieldmark__1966_2706913586"/>
      <w:bookmarkStart w:id="129" w:name="__Fieldmark__1124_3246776249"/>
      <w:r w:rsidR="008B619A" w:rsidRPr="00B6585E">
        <w:rPr>
          <w:rFonts w:ascii="Arial" w:hAnsi="Arial" w:cs="Arial"/>
          <w:noProof/>
          <w:color w:val="000000" w:themeColor="text1"/>
          <w:sz w:val="22"/>
          <w:szCs w:val="22"/>
          <w:vertAlign w:val="superscript"/>
        </w:rPr>
        <w:t>27</w:t>
      </w:r>
      <w:r w:rsidRPr="00B6585E">
        <w:rPr>
          <w:color w:val="000000" w:themeColor="text1"/>
        </w:rPr>
        <w:fldChar w:fldCharType="end"/>
      </w:r>
      <w:bookmarkEnd w:id="128"/>
      <w:bookmarkEnd w:id="129"/>
    </w:p>
    <w:p w14:paraId="76F631E5" w14:textId="173A0A9A" w:rsidR="005179EB" w:rsidRPr="00B6585E" w:rsidRDefault="00A221DB" w:rsidP="00816FA9">
      <w:pPr>
        <w:pStyle w:val="Heading3"/>
        <w:numPr>
          <w:ilvl w:val="2"/>
          <w:numId w:val="3"/>
        </w:numPr>
      </w:pPr>
      <w:bookmarkStart w:id="130" w:name="_Toc23231308"/>
      <w:bookmarkStart w:id="131" w:name="_Toc96924958"/>
      <w:r w:rsidRPr="00B6585E">
        <w:t xml:space="preserve">Aim </w:t>
      </w:r>
      <w:bookmarkEnd w:id="130"/>
      <w:r w:rsidR="00042071" w:rsidRPr="00B6585E">
        <w:t>4</w:t>
      </w:r>
      <w:bookmarkEnd w:id="131"/>
    </w:p>
    <w:p w14:paraId="0BB5DC69" w14:textId="77777777" w:rsidR="004E4089" w:rsidRPr="00B6585E" w:rsidRDefault="004E4089" w:rsidP="004E4089">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We will use the 12-item WHODAS 2.0 score to assess health and disability. We evaluate 6 domains of life i.e. </w:t>
      </w:r>
      <w:r w:rsidRPr="00B6585E">
        <w:rPr>
          <w:rFonts w:ascii="Arial" w:hAnsi="Arial" w:cs="Arial"/>
          <w:i/>
          <w:iCs/>
          <w:color w:val="000000" w:themeColor="text1"/>
          <w:sz w:val="22"/>
          <w:szCs w:val="22"/>
        </w:rPr>
        <w:t>cognition, mobility, self-care, getting along, life activities</w:t>
      </w:r>
      <w:r w:rsidRPr="00B6585E">
        <w:rPr>
          <w:rFonts w:ascii="Arial" w:hAnsi="Arial" w:cs="Arial"/>
          <w:color w:val="000000" w:themeColor="text1"/>
          <w:sz w:val="22"/>
          <w:szCs w:val="22"/>
        </w:rPr>
        <w:t xml:space="preserve">, and </w:t>
      </w:r>
      <w:r w:rsidRPr="00B6585E">
        <w:rPr>
          <w:rFonts w:ascii="Arial" w:hAnsi="Arial" w:cs="Arial"/>
          <w:i/>
          <w:iCs/>
          <w:color w:val="000000" w:themeColor="text1"/>
          <w:sz w:val="22"/>
          <w:szCs w:val="22"/>
        </w:rPr>
        <w:t xml:space="preserve">participations. </w:t>
      </w:r>
    </w:p>
    <w:p w14:paraId="5AD57039" w14:textId="0C194C10" w:rsidR="004E4089" w:rsidRPr="00B6585E" w:rsidRDefault="004E4089" w:rsidP="004E4089">
      <w:pPr>
        <w:jc w:val="both"/>
        <w:rPr>
          <w:rFonts w:ascii="Arial" w:hAnsi="Arial" w:cs="Arial"/>
          <w:color w:val="000000" w:themeColor="text1"/>
          <w:sz w:val="22"/>
          <w:szCs w:val="22"/>
        </w:rPr>
      </w:pPr>
      <w:r w:rsidRPr="00B6585E">
        <w:rPr>
          <w:rFonts w:ascii="Arial" w:hAnsi="Arial" w:cs="Arial"/>
          <w:color w:val="000000" w:themeColor="text1"/>
          <w:sz w:val="22"/>
          <w:szCs w:val="22"/>
        </w:rPr>
        <w:t>We evaluate the WHODAS 2.0 score before surgery on the day of consent, 30 days after surgery, and 1 year after surgery</w:t>
      </w:r>
      <w:r w:rsidR="006156C5" w:rsidRPr="00B6585E">
        <w:rPr>
          <w:rFonts w:ascii="Arial" w:hAnsi="Arial" w:cs="Arial"/>
          <w:color w:val="000000" w:themeColor="text1"/>
          <w:sz w:val="22"/>
          <w:szCs w:val="22"/>
        </w:rPr>
        <w:t xml:space="preserve"> per phone call</w:t>
      </w:r>
      <w:r w:rsidRPr="00B6585E">
        <w:rPr>
          <w:rFonts w:ascii="Arial" w:hAnsi="Arial" w:cs="Arial"/>
          <w:color w:val="000000" w:themeColor="text1"/>
          <w:sz w:val="22"/>
          <w:szCs w:val="22"/>
        </w:rPr>
        <w:t>. For analyzing we use simply scoring. Each score is assigned to each of the following items – “none” (0), “mild” (1), “moderate” (2), “severe” (3), and “extreme (4).</w:t>
      </w:r>
      <w:r w:rsidR="006156C5"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We will simply add up the scores from the items without recoding or collapsing of response categories, thus, there is no weighting of the individual items. As a result, the simple sum of the scores of the items across all domains constitutes a statistic that is sufficient to describe the degree of functional limitations. </w:t>
      </w:r>
    </w:p>
    <w:p w14:paraId="6A725FCF" w14:textId="77777777" w:rsidR="00931A60" w:rsidRPr="00B6585E" w:rsidRDefault="00931A60">
      <w:pPr>
        <w:rPr>
          <w:rFonts w:ascii="Arial" w:hAnsi="Arial" w:cs="Arial"/>
          <w:color w:val="000000" w:themeColor="text1"/>
          <w:sz w:val="22"/>
          <w:szCs w:val="22"/>
        </w:rPr>
      </w:pPr>
    </w:p>
    <w:p w14:paraId="5DE52164" w14:textId="32D2C107" w:rsidR="005179EB" w:rsidRPr="00B6585E" w:rsidRDefault="005179EB">
      <w:pPr>
        <w:pStyle w:val="Heading2"/>
        <w:rPr>
          <w:color w:val="000000" w:themeColor="text1"/>
        </w:rPr>
      </w:pPr>
      <w:bookmarkStart w:id="132" w:name="_Toc23231309"/>
      <w:bookmarkStart w:id="133" w:name="_Toc96924959"/>
      <w:r w:rsidRPr="00B6585E">
        <w:rPr>
          <w:color w:val="000000" w:themeColor="text1"/>
        </w:rPr>
        <w:t>Exploratory Outcome</w:t>
      </w:r>
      <w:bookmarkEnd w:id="132"/>
      <w:bookmarkEnd w:id="133"/>
    </w:p>
    <w:p w14:paraId="40D266C2" w14:textId="7F39CD26" w:rsidR="00931A60" w:rsidRPr="00B6585E" w:rsidRDefault="00931A60">
      <w:pPr>
        <w:rPr>
          <w:rFonts w:ascii="Arial" w:hAnsi="Arial" w:cs="Arial"/>
          <w:color w:val="000000" w:themeColor="text1"/>
          <w:sz w:val="22"/>
          <w:szCs w:val="22"/>
        </w:rPr>
      </w:pPr>
    </w:p>
    <w:p w14:paraId="6780216A" w14:textId="77C62E45" w:rsidR="005179EB" w:rsidRPr="00B6585E" w:rsidRDefault="004A37BC">
      <w:pPr>
        <w:rPr>
          <w:rFonts w:ascii="Arial" w:hAnsi="Arial" w:cs="Arial"/>
          <w:color w:val="000000" w:themeColor="text1"/>
          <w:sz w:val="22"/>
          <w:szCs w:val="22"/>
        </w:rPr>
      </w:pPr>
      <w:r w:rsidRPr="00B6585E">
        <w:rPr>
          <w:rFonts w:ascii="Arial" w:hAnsi="Arial" w:cs="Arial"/>
          <w:color w:val="000000" w:themeColor="text1"/>
          <w:sz w:val="22"/>
          <w:szCs w:val="22"/>
        </w:rPr>
        <w:t xml:space="preserve">Perioperative </w:t>
      </w:r>
      <w:r w:rsidR="00AB326A" w:rsidRPr="00B6585E">
        <w:rPr>
          <w:rFonts w:ascii="Arial" w:hAnsi="Arial" w:cs="Arial"/>
          <w:color w:val="000000" w:themeColor="text1"/>
          <w:sz w:val="22"/>
          <w:szCs w:val="22"/>
        </w:rPr>
        <w:t>NT-proBNP elevations are associated with postoperative mortality, cardiac mortality, mortality and nonfatal MI, and cardiac failure at both 30 days and 180 days or more after surgery.</w:t>
      </w:r>
      <w:r w:rsidR="00064D46" w:rsidRPr="00B6585E">
        <w:rPr>
          <w:rFonts w:ascii="Arial" w:hAnsi="Arial" w:cs="Arial"/>
          <w:color w:val="000000" w:themeColor="text1"/>
          <w:sz w:val="22"/>
          <w:szCs w:val="22"/>
        </w:rPr>
        <w:t xml:space="preserve"> </w:t>
      </w:r>
      <w:r w:rsidR="00AB326A" w:rsidRPr="00B6585E">
        <w:rPr>
          <w:rFonts w:ascii="Arial" w:hAnsi="Arial" w:cs="Arial"/>
          <w:color w:val="000000" w:themeColor="text1"/>
          <w:sz w:val="22"/>
          <w:szCs w:val="22"/>
        </w:rPr>
        <w:fldChar w:fldCharType="begin" w:fldLock="1"/>
      </w:r>
      <w:r w:rsidR="00AB326A" w:rsidRPr="00B6585E">
        <w:rPr>
          <w:rFonts w:ascii="Arial" w:hAnsi="Arial" w:cs="Arial"/>
          <w:color w:val="000000" w:themeColor="text1"/>
          <w:sz w:val="22"/>
          <w:szCs w:val="22"/>
        </w:rPr>
        <w:instrText>ADDIN CSL_CITATION {"citationItems":[{"id":"ITEM-1","itemData":{"DOI":"10.1097/ALN.0b013e31829083f1","ISBN":"1528-1175 (Electronic)\\r0003-3022 (Linking)","ISSN":"1528-1175","PMID":"23528538","abstract":"BACKGROUND: It is unclear whether postoperative B-type natriuretic peptides (i.e., BNP and N-terminal proBNP) can predict cardiovascular complications in noncardiac surgery. METHODS: The authors undertook a systematic review and individual patient data meta-analysis to determine whether postoperative BNPs predict postoperative cardiovascular complications at 30 and 180 days or more. RESULTS: The authors identified 18 eligible studies (n = 2,051). For the primary outcome of 30-day mortality or nonfatal myocardial infarction, BNP of 245 pg/ml had an area under the curve of 0.71 (95% CI, 0.64-0.78), and N-terminal proBNP of 718 pg/ml had an area under the curve of 0.80 (95% CI, 0.77-0.84). These thresholds independently predicted 30-day mortality or nonfatal myocardial infarction (adjusted odds ratio [AOR] 4.5; 95% CI, 2.74-7.4; P &lt; 0.001), mortality (AOR, 4.2; 95% CI, 2.29-7.69; P &lt; 0.001), cardiac mortality (AOR, 9.4; 95% CI, 0.32-254.34; P &lt; 0.001), and cardiac failure (AOR, 18.5; 95% CI, 4.55-75.29; P &lt; 0.001). For greater than or equal to 180-day outcomes, natriuretic peptides independently predicted mortality or nonfatal myocardial infarction (AOR, 3.3; 95% CI, 2.58-4.3; P &lt; 0.001), mortality (AOR, 2.2; 95% CI, 1.67-86; P &lt; 0.001), cardiac mortality (AOR, 2.1; 95% CI, 0.05-1,385.17; P &lt; 0.001), and cardiac failure (AOR, 3.5; 95% CI, 1.0-9.34; P = 0.022). Patients with BNP values of 0-250, greater than 250-400, and greater than 400 pg/ml suffered the primary outcome at a rate of 6.6, 15.7, and 29.5%, respectively. Patients with N-terminal proBNP values of 0-300, greater than 300-900, and greater than 900 pg/ml suffered the primary outcome at a rate of 1.8, 8.7, and 27%, respectively. CONCLUSIONS: Increased postoperative BNPs are independently associated with adverse cardiac events after noncardiac surgery.","author":[{"dropping-particle":"","family":"Rodseth","given":"R N","non-dropping-particle":"","parse-names":false,"suffix":""},{"dropping-particle":"","family":"Biccard","given":"B M","non-dropping-particle":"","parse-names":false,"suffix":""},{"dropping-particle":"","family":"Chu","given":"R","non-dropping-particle":"","parse-names":false,"suffix":""},{"dropping-particle":"","family":"Lurati Buse","given":"G A","non-dropping-particle":"","parse-names":false,"suffix":""},{"dropping-particle":"","family":"Thabane","given":"L","non-dropping-particle":"","parse-names":false,"suffix":""},{"dropping-particle":"","family":"Bakhai","given":"A","non-dropping-particle":"","parse-names":false,"suffix":""},{"dropping-particle":"","family":"Bolliger","given":"D","non-dropping-particle":"","parse-names":false,"suffix":""},{"dropping-particle":"","family":"Cagini","given":"L","non-dropping-particle":"","parse-names":false,"suffix":""},{"dropping-particle":"","family":"Cahill","given":"T J","non-dropping-particle":"","parse-names":false,"suffix":""},{"dropping-particle":"","family":"Cardinale","given":"D","non-dropping-particle":"","parse-names":false,"suffix":""},{"dropping-particle":"","family":"Chong","given":"C P","non-dropping-particle":"","parse-names":false,"suffix":""},{"dropping-particle":"","family":"Cnotliwy","given":"M","non-dropping-particle":"","parse-names":false,"suffix":""},{"dropping-particle":"","family":"Somma","given":"S","non-dropping-particle":"Di","parse-names":false,"suffix":""},{"dropping-particle":"","family":"Fahrner","given":"R","non-dropping-particle":"","parse-names":false,"suffix":""},{"dropping-particle":"","family":"Lim","given":"W K","non-dropping-particle":"","parse-names":false,"suffix":""},{"dropping-particle":"","family":"Mahla","given":"E","non-dropping-particle":"","parse-names":false,"suffix":""},{"dropping-particle":"","family":"Manach","given":"Y","non-dropping-particle":"Le","parse-names":false,"suffix":""},{"dropping-particle":"","family":"Manikandan","given":"R","non-dropping-particle":"","parse-names":false,"suffix":""},{"dropping-particle":"","family":"Pyun","given":"W B","non-dropping-particle":"","parse-names":false,"suffix":""},{"dropping-particle":"","family":"Rajagopalan","given":"S","non-dropping-particle":"","parse-names":false,"suffix":""},{"dropping-particle":"","family":"Radovic","given":"M","non-dropping-particle":"","parse-names":false,"suffix":""},{"dropping-particle":"","family":"Schutt","given":"R C","non-dropping-particle":"","parse-names":false,"suffix":""},{"dropping-particle":"","family":"Sessler","given":"D I","non-dropping-particle":"","parse-names":false,"suffix":""},{"dropping-particle":"","family":"Suttie","given":"S","non-dropping-particle":"","parse-names":false,"suffix":""},{"dropping-particle":"","family":"Vanniyasingam","given":"T","non-dropping-particle":"","parse-names":false,"suffix":""},{"dropping-particle":"","family":"Waliszek","given":"M","non-dropping-particle":"","parse-names":false,"suffix":""},{"dropping-particle":"","family":"Devereaux","given":"P J","non-dropping-particle":"","parse-names":false,"suffix":""}],"container-title":"Anesthesiology","id":"ITEM-1","issue":"2","issued":{"date-parts":[["2013"]]},"page":"270-283","title":"Postoperative B-type natriuretic peptide for prediction of major cardiac events in patients undergoing noncardiac surgery: systematic review and individual patient meta-analysis","type":"article-journal","volume":"119"},"uris":["http://www.mendeley.com/documents/?uuid=840c407d-bb53-44da-8a05-6ddc9c759bb2"]}],"mendeley":{"formattedCitation":"&lt;sup&gt;7&lt;/sup&gt;","plainTextFormattedCitation":"7","previouslyFormattedCitation":"&lt;sup&gt;7&lt;/sup&gt;"},"properties":{"noteIndex":0},"schema":"https://github.com/citation-style-language/schema/raw/master/csl-citation.json"}</w:instrText>
      </w:r>
      <w:r w:rsidR="00AB326A" w:rsidRPr="00B6585E">
        <w:rPr>
          <w:rFonts w:ascii="Arial" w:hAnsi="Arial" w:cs="Arial"/>
          <w:color w:val="000000" w:themeColor="text1"/>
          <w:sz w:val="22"/>
          <w:szCs w:val="22"/>
        </w:rPr>
        <w:fldChar w:fldCharType="separate"/>
      </w:r>
      <w:r w:rsidR="00AB326A" w:rsidRPr="00B6585E">
        <w:rPr>
          <w:rFonts w:ascii="Arial" w:hAnsi="Arial" w:cs="Arial"/>
          <w:noProof/>
          <w:color w:val="000000" w:themeColor="text1"/>
          <w:sz w:val="22"/>
          <w:szCs w:val="22"/>
          <w:vertAlign w:val="superscript"/>
        </w:rPr>
        <w:t>7</w:t>
      </w:r>
      <w:r w:rsidR="00AB326A" w:rsidRPr="00B6585E">
        <w:rPr>
          <w:rFonts w:ascii="Arial" w:hAnsi="Arial" w:cs="Arial"/>
          <w:color w:val="000000" w:themeColor="text1"/>
          <w:sz w:val="22"/>
          <w:szCs w:val="22"/>
        </w:rPr>
        <w:fldChar w:fldCharType="end"/>
      </w:r>
      <w:r w:rsidR="00AB326A" w:rsidRPr="00B6585E">
        <w:rPr>
          <w:rFonts w:ascii="Arial" w:hAnsi="Arial" w:cs="Arial"/>
          <w:color w:val="000000" w:themeColor="text1"/>
          <w:sz w:val="22"/>
          <w:szCs w:val="22"/>
        </w:rPr>
        <w:t xml:space="preserve"> </w:t>
      </w:r>
    </w:p>
    <w:p w14:paraId="311CBED6" w14:textId="08EA0B2D" w:rsidR="00AB326A" w:rsidRPr="00B6585E" w:rsidRDefault="00AB326A">
      <w:pPr>
        <w:rPr>
          <w:rFonts w:ascii="Arial" w:hAnsi="Arial" w:cs="Arial"/>
          <w:color w:val="000000" w:themeColor="text1"/>
          <w:sz w:val="22"/>
          <w:szCs w:val="22"/>
        </w:rPr>
      </w:pPr>
      <w:r w:rsidRPr="00B6585E">
        <w:rPr>
          <w:rFonts w:ascii="Arial" w:hAnsi="Arial" w:cs="Arial"/>
          <w:color w:val="000000" w:themeColor="text1"/>
          <w:sz w:val="22"/>
          <w:szCs w:val="22"/>
        </w:rPr>
        <w:t>NT-proBNP values ha</w:t>
      </w:r>
      <w:r w:rsidR="004A37BC" w:rsidRPr="00B6585E">
        <w:rPr>
          <w:rFonts w:ascii="Arial" w:hAnsi="Arial" w:cs="Arial"/>
          <w:color w:val="000000" w:themeColor="text1"/>
          <w:sz w:val="22"/>
          <w:szCs w:val="22"/>
        </w:rPr>
        <w:t>ve</w:t>
      </w:r>
      <w:r w:rsidRPr="00B6585E">
        <w:rPr>
          <w:rFonts w:ascii="Arial" w:hAnsi="Arial" w:cs="Arial"/>
          <w:color w:val="000000" w:themeColor="text1"/>
          <w:sz w:val="22"/>
          <w:szCs w:val="22"/>
        </w:rPr>
        <w:t xml:space="preserve"> been stratified to the following threshold to predict mortality or MI.</w:t>
      </w:r>
      <w:r w:rsidRPr="00B6585E">
        <w:rPr>
          <w:rFonts w:ascii="Arial" w:hAnsi="Arial" w:cs="Arial"/>
          <w:color w:val="000000" w:themeColor="text1"/>
          <w:sz w:val="22"/>
          <w:szCs w:val="22"/>
        </w:rPr>
        <w:fldChar w:fldCharType="begin" w:fldLock="1"/>
      </w:r>
      <w:r w:rsidR="001701F6" w:rsidRPr="00B6585E">
        <w:rPr>
          <w:rFonts w:ascii="Arial" w:hAnsi="Arial" w:cs="Arial"/>
          <w:color w:val="000000" w:themeColor="text1"/>
          <w:sz w:val="22"/>
          <w:szCs w:val="22"/>
        </w:rPr>
        <w:instrText>ADDIN CSL_CITATION {"citationItems":[{"id":"ITEM-1","itemData":{"DOI":"10.1097/ALN.0b013e31829083f1","ISBN":"1528-1175 (Electronic)\\r0003-3022 (Linking)","ISSN":"1528-1175","PMID":"23528538","abstract":"BACKGROUND: It is unclear whether postoperative B-type natriuretic peptides (i.e., BNP and N-terminal proBNP) can predict cardiovascular complications in noncardiac surgery. METHODS: The authors undertook a systematic review and individual patient data meta-analysis to determine whether postoperative BNPs predict postoperative cardiovascular complications at 30 and 180 days or more. RESULTS: The authors identified 18 eligible studies (n = 2,051). For the primary outcome of 30-day mortality or nonfatal myocardial infarction, BNP of 245 pg/ml had an area under the curve of 0.71 (95% CI, 0.64-0.78), and N-terminal proBNP of 718 pg/ml had an area under the curve of 0.80 (95% CI, 0.77-0.84). These thresholds independently predicted 30-day mortality or nonfatal myocardial infarction (adjusted odds ratio [AOR] 4.5; 95% CI, 2.74-7.4; P &lt; 0.001), mortality (AOR, 4.2; 95% CI, 2.29-7.69; P &lt; 0.001), cardiac mortality (AOR, 9.4; 95% CI, 0.32-254.34; P &lt; 0.001), and cardiac failure (AOR, 18.5; 95% CI, 4.55-75.29; P &lt; 0.001). For greater than or equal to 180-day outcomes, natriuretic peptides independently predicted mortality or nonfatal myocardial infarction (AOR, 3.3; 95% CI, 2.58-4.3; P &lt; 0.001), mortality (AOR, 2.2; 95% CI, 1.67-86; P &lt; 0.001), cardiac mortality (AOR, 2.1; 95% CI, 0.05-1,385.17; P &lt; 0.001), and cardiac failure (AOR, 3.5; 95% CI, 1.0-9.34; P = 0.022). Patients with BNP values of 0-250, greater than 250-400, and greater than 400 pg/ml suffered the primary outcome at a rate of 6.6, 15.7, and 29.5%, respectively. Patients with N-terminal proBNP values of 0-300, greater than 300-900, and greater than 900 pg/ml suffered the primary outcome at a rate of 1.8, 8.7, and 27%, respectively. CONCLUSIONS: Increased postoperative BNPs are independently associated with adverse cardiac events after noncardiac surgery.","author":[{"dropping-particle":"","family":"Rodseth","given":"R N","non-dropping-particle":"","parse-names":false,"suffix":""},{"dropping-particle":"","family":"Biccard","given":"B M","non-dropping-particle":"","parse-names":false,"suffix":""},{"dropping-particle":"","family":"Chu","given":"R","non-dropping-particle":"","parse-names":false,"suffix":""},{"dropping-particle":"","family":"Lurati Buse","given":"G A","non-dropping-particle":"","parse-names":false,"suffix":""},{"dropping-particle":"","family":"Thabane","given":"L","non-dropping-particle":"","parse-names":false,"suffix":""},{"dropping-particle":"","family":"Bakhai","given":"A","non-dropping-particle":"","parse-names":false,"suffix":""},{"dropping-particle":"","family":"Bolliger","given":"D","non-dropping-particle":"","parse-names":false,"suffix":""},{"dropping-particle":"","family":"Cagini","given":"L","non-dropping-particle":"","parse-names":false,"suffix":""},{"dropping-particle":"","family":"Cahill","given":"T J","non-dropping-particle":"","parse-names":false,"suffix":""},{"dropping-particle":"","family":"Cardinale","given":"D","non-dropping-particle":"","parse-names":false,"suffix":""},{"dropping-particle":"","family":"Chong","given":"C P","non-dropping-particle":"","parse-names":false,"suffix":""},{"dropping-particle":"","family":"Cnotliwy","given":"M","non-dropping-particle":"","parse-names":false,"suffix":""},{"dropping-particle":"","family":"Somma","given":"S","non-dropping-particle":"Di","parse-names":false,"suffix":""},{"dropping-particle":"","family":"Fahrner","given":"R","non-dropping-particle":"","parse-names":false,"suffix":""},{"dropping-particle":"","family":"Lim","given":"W K","non-dropping-particle":"","parse-names":false,"suffix":""},{"dropping-particle":"","family":"Mahla","given":"E","non-dropping-particle":"","parse-names":false,"suffix":""},{"dropping-particle":"","family":"Manach","given":"Y","non-dropping-particle":"Le","parse-names":false,"suffix":""},{"dropping-particle":"","family":"Manikandan","given":"R","non-dropping-particle":"","parse-names":false,"suffix":""},{"dropping-particle":"","family":"Pyun","given":"W B","non-dropping-particle":"","parse-names":false,"suffix":""},{"dropping-particle":"","family":"Rajagopalan","given":"S","non-dropping-particle":"","parse-names":false,"suffix":""},{"dropping-particle":"","family":"Radovic","given":"M","non-dropping-particle":"","parse-names":false,"suffix":""},{"dropping-particle":"","family":"Schutt","given":"R C","non-dropping-particle":"","parse-names":false,"suffix":""},{"dropping-particle":"","family":"Sessler","given":"D I","non-dropping-particle":"","parse-names":false,"suffix":""},{"dropping-particle":"","family":"Suttie","given":"S","non-dropping-particle":"","parse-names":false,"suffix":""},{"dropping-particle":"","family":"Vanniyasingam","given":"T","non-dropping-particle":"","parse-names":false,"suffix":""},{"dropping-particle":"","family":"Waliszek","given":"M","non-dropping-particle":"","parse-names":false,"suffix":""},{"dropping-particle":"","family":"Devereaux","given":"P J","non-dropping-particle":"","parse-names":false,"suffix":""}],"container-title":"Anesthesiology","id":"ITEM-1","issue":"2","issued":{"date-parts":[["2013"]]},"page":"270-283","title":"Postoperative B-type natriuretic peptide for prediction of major cardiac events in patients undergoing noncardiac surgery: systematic review and individual patient meta-analysis","type":"article-journal","volume":"119"},"uris":["http://www.mendeley.com/documents/?uuid=840c407d-bb53-44da-8a05-6ddc9c759bb2"]}],"mendeley":{"formattedCitation":"&lt;sup&gt;7&lt;/sup&gt;","plainTextFormattedCitation":"7","previouslyFormattedCitation":"&lt;sup&gt;7&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Pr="00B6585E">
        <w:rPr>
          <w:rFonts w:ascii="Arial" w:hAnsi="Arial" w:cs="Arial"/>
          <w:noProof/>
          <w:color w:val="000000" w:themeColor="text1"/>
          <w:sz w:val="22"/>
          <w:szCs w:val="22"/>
          <w:vertAlign w:val="superscript"/>
        </w:rPr>
        <w:t>7</w:t>
      </w:r>
      <w:r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w:t>
      </w:r>
      <w:r w:rsidR="00F37F12" w:rsidRPr="00B6585E">
        <w:rPr>
          <w:rFonts w:ascii="Arial" w:hAnsi="Arial" w:cs="Arial"/>
          <w:color w:val="000000" w:themeColor="text1"/>
          <w:sz w:val="22"/>
          <w:szCs w:val="22"/>
        </w:rPr>
        <w:t>(Table 1)</w:t>
      </w:r>
    </w:p>
    <w:p w14:paraId="5674EF61" w14:textId="5F104C08" w:rsidR="00AB326A" w:rsidRPr="00B6585E" w:rsidRDefault="00AB326A">
      <w:pPr>
        <w:rPr>
          <w:rFonts w:ascii="Arial" w:hAnsi="Arial" w:cs="Arial"/>
          <w:color w:val="000000" w:themeColor="text1"/>
          <w:sz w:val="22"/>
          <w:szCs w:val="22"/>
        </w:rPr>
      </w:pPr>
    </w:p>
    <w:p w14:paraId="0F41A90C" w14:textId="64E3DC06" w:rsidR="00AB326A" w:rsidRPr="00B6585E" w:rsidRDefault="002C64CD">
      <w:pPr>
        <w:rPr>
          <w:rFonts w:ascii="Arial" w:hAnsi="Arial" w:cs="Arial"/>
          <w:color w:val="000000" w:themeColor="text1"/>
          <w:sz w:val="22"/>
          <w:szCs w:val="22"/>
        </w:rPr>
      </w:pPr>
      <w:r w:rsidRPr="00B6585E">
        <w:rPr>
          <w:rFonts w:ascii="Arial" w:hAnsi="Arial" w:cs="Arial"/>
          <w:color w:val="000000" w:themeColor="text1"/>
          <w:sz w:val="22"/>
          <w:szCs w:val="22"/>
        </w:rPr>
        <w:t xml:space="preserve">Number of patients </w:t>
      </w:r>
      <w:r w:rsidR="00356D26" w:rsidRPr="00B6585E">
        <w:rPr>
          <w:rFonts w:ascii="Arial" w:hAnsi="Arial" w:cs="Arial"/>
          <w:color w:val="000000" w:themeColor="text1"/>
          <w:sz w:val="22"/>
          <w:szCs w:val="22"/>
        </w:rPr>
        <w:t xml:space="preserve">stratified according </w:t>
      </w:r>
      <w:r w:rsidR="004A37BC" w:rsidRPr="00B6585E">
        <w:rPr>
          <w:rFonts w:ascii="Arial" w:hAnsi="Arial" w:cs="Arial"/>
          <w:color w:val="000000" w:themeColor="text1"/>
          <w:sz w:val="22"/>
          <w:szCs w:val="22"/>
        </w:rPr>
        <w:t xml:space="preserve">to </w:t>
      </w:r>
      <w:r w:rsidR="00356D26" w:rsidRPr="00B6585E">
        <w:rPr>
          <w:rFonts w:ascii="Arial" w:hAnsi="Arial" w:cs="Arial"/>
          <w:color w:val="000000" w:themeColor="text1"/>
          <w:sz w:val="22"/>
          <w:szCs w:val="22"/>
        </w:rPr>
        <w:t xml:space="preserve">the following determined </w:t>
      </w:r>
      <w:r w:rsidRPr="00B6585E">
        <w:rPr>
          <w:rFonts w:ascii="Arial" w:hAnsi="Arial" w:cs="Arial"/>
          <w:color w:val="000000" w:themeColor="text1"/>
          <w:sz w:val="22"/>
          <w:szCs w:val="22"/>
        </w:rPr>
        <w:t xml:space="preserve">threshold group will be compared between the levosimendan and the placebo group. </w:t>
      </w:r>
    </w:p>
    <w:p w14:paraId="2D000BE4" w14:textId="2F1A9B81" w:rsidR="00AB326A" w:rsidRPr="00B6585E" w:rsidRDefault="00AB326A">
      <w:pPr>
        <w:rPr>
          <w:rFonts w:ascii="Arial" w:hAnsi="Arial" w:cs="Arial"/>
          <w:color w:val="000000" w:themeColor="text1"/>
          <w:sz w:val="22"/>
          <w:szCs w:val="22"/>
        </w:rPr>
      </w:pPr>
    </w:p>
    <w:p w14:paraId="2ACC7636" w14:textId="4EBB1655" w:rsidR="00F37F12" w:rsidRPr="00B6585E" w:rsidRDefault="00F37F12">
      <w:pPr>
        <w:rPr>
          <w:rFonts w:ascii="Arial" w:hAnsi="Arial" w:cs="Arial"/>
          <w:color w:val="000000" w:themeColor="text1"/>
          <w:sz w:val="22"/>
          <w:szCs w:val="22"/>
        </w:rPr>
      </w:pPr>
      <w:r w:rsidRPr="00B6585E">
        <w:rPr>
          <w:rFonts w:ascii="Arial" w:hAnsi="Arial" w:cs="Arial"/>
          <w:color w:val="000000" w:themeColor="text1"/>
          <w:sz w:val="22"/>
          <w:szCs w:val="22"/>
        </w:rPr>
        <w:t>Table 1</w:t>
      </w:r>
      <w:r w:rsidRPr="00B6585E">
        <w:rPr>
          <w:rFonts w:ascii="Arial" w:hAnsi="Arial" w:cs="Arial"/>
          <w:color w:val="000000" w:themeColor="text1"/>
          <w:sz w:val="22"/>
          <w:szCs w:val="22"/>
        </w:rPr>
        <w:fldChar w:fldCharType="begin" w:fldLock="1"/>
      </w:r>
      <w:r w:rsidR="00934622" w:rsidRPr="00B6585E">
        <w:rPr>
          <w:rFonts w:ascii="Arial" w:hAnsi="Arial" w:cs="Arial"/>
          <w:color w:val="000000" w:themeColor="text1"/>
          <w:sz w:val="22"/>
          <w:szCs w:val="22"/>
        </w:rPr>
        <w:instrText>ADDIN CSL_CITATION {"citationItems":[{"id":"ITEM-1","itemData":{"DOI":"10.1097/ALN.0b013e31829083f1","ISBN":"1528-1175 (Electronic)\\r0003-3022 (Linking)","ISSN":"1528-1175","PMID":"23528538","abstract":"BACKGROUND: It is unclear whether postoperative B-type natriuretic peptides (i.e., BNP and N-terminal proBNP) can predict cardiovascular complications in noncardiac surgery. METHODS: The authors undertook a systematic review and individual patient data meta-analysis to determine whether postoperative BNPs predict postoperative cardiovascular complications at 30 and 180 days or more. RESULTS: The authors identified 18 eligible studies (n = 2,051). For the primary outcome of 30-day mortality or nonfatal myocardial infarction, BNP of 245 pg/ml had an area under the curve of 0.71 (95% CI, 0.64-0.78), and N-terminal proBNP of 718 pg/ml had an area under the curve of 0.80 (95% CI, 0.77-0.84). These thresholds independently predicted 30-day mortality or nonfatal myocardial infarction (adjusted odds ratio [AOR] 4.5; 95% CI, 2.74-7.4; P &lt; 0.001), mortality (AOR, 4.2; 95% CI, 2.29-7.69; P &lt; 0.001), cardiac mortality (AOR, 9.4; 95% CI, 0.32-254.34; P &lt; 0.001), and cardiac failure (AOR, 18.5; 95% CI, 4.55-75.29; P &lt; 0.001). For greater than or equal to 180-day outcomes, natriuretic peptides independently predicted mortality or nonfatal myocardial infarction (AOR, 3.3; 95% CI, 2.58-4.3; P &lt; 0.001), mortality (AOR, 2.2; 95% CI, 1.67-86; P &lt; 0.001), cardiac mortality (AOR, 2.1; 95% CI, 0.05-1,385.17; P &lt; 0.001), and cardiac failure (AOR, 3.5; 95% CI, 1.0-9.34; P = 0.022). Patients with BNP values of 0-250, greater than 250-400, and greater than 400 pg/ml suffered the primary outcome at a rate of 6.6, 15.7, and 29.5%, respectively. Patients with N-terminal proBNP values of 0-300, greater than 300-900, and greater than 900 pg/ml suffered the primary outcome at a rate of 1.8, 8.7, and 27%, respectively. CONCLUSIONS: Increased postoperative BNPs are independently associated with adverse cardiac events after noncardiac surgery.","author":[{"dropping-particle":"","family":"Rodseth","given":"R N","non-dropping-particle":"","parse-names":false,"suffix":""},{"dropping-particle":"","family":"Biccard","given":"B M","non-dropping-particle":"","parse-names":false,"suffix":""},{"dropping-particle":"","family":"Chu","given":"R","non-dropping-particle":"","parse-names":false,"suffix":""},{"dropping-particle":"","family":"Lurati Buse","given":"G A","non-dropping-particle":"","parse-names":false,"suffix":""},{"dropping-particle":"","family":"Thabane","given":"L","non-dropping-particle":"","parse-names":false,"suffix":""},{"dropping-particle":"","family":"Bakhai","given":"A","non-dropping-particle":"","parse-names":false,"suffix":""},{"dropping-particle":"","family":"Bolliger","given":"D","non-dropping-particle":"","parse-names":false,"suffix":""},{"dropping-particle":"","family":"Cagini","given":"L","non-dropping-particle":"","parse-names":false,"suffix":""},{"dropping-particle":"","family":"Cahill","given":"T J","non-dropping-particle":"","parse-names":false,"suffix":""},{"dropping-particle":"","family":"Cardinale","given":"D","non-dropping-particle":"","parse-names":false,"suffix":""},{"dropping-particle":"","family":"Chong","given":"C P","non-dropping-particle":"","parse-names":false,"suffix":""},{"dropping-particle":"","family":"Cnotliwy","given":"M","non-dropping-particle":"","parse-names":false,"suffix":""},{"dropping-particle":"","family":"Somma","given":"S","non-dropping-particle":"Di","parse-names":false,"suffix":""},{"dropping-particle":"","family":"Fahrner","given":"R","non-dropping-particle":"","parse-names":false,"suffix":""},{"dropping-particle":"","family":"Lim","given":"W K","non-dropping-particle":"","parse-names":false,"suffix":""},{"dropping-particle":"","family":"Mahla","given":"E","non-dropping-particle":"","parse-names":false,"suffix":""},{"dropping-particle":"","family":"Manach","given":"Y","non-dropping-particle":"Le","parse-names":false,"suffix":""},{"dropping-particle":"","family":"Manikandan","given":"R","non-dropping-particle":"","parse-names":false,"suffix":""},{"dropping-particle":"","family":"Pyun","given":"W B","non-dropping-particle":"","parse-names":false,"suffix":""},{"dropping-particle":"","family":"Rajagopalan","given":"S","non-dropping-particle":"","parse-names":false,"suffix":""},{"dropping-particle":"","family":"Radovic","given":"M","non-dropping-particle":"","parse-names":false,"suffix":""},{"dropping-particle":"","family":"Schutt","given":"R C","non-dropping-particle":"","parse-names":false,"suffix":""},{"dropping-particle":"","family":"Sessler","given":"D I","non-dropping-particle":"","parse-names":false,"suffix":""},{"dropping-particle":"","family":"Suttie","given":"S","non-dropping-particle":"","parse-names":false,"suffix":""},{"dropping-particle":"","family":"Vanniyasingam","given":"T","non-dropping-particle":"","parse-names":false,"suffix":""},{"dropping-particle":"","family":"Waliszek","given":"M","non-dropping-particle":"","parse-names":false,"suffix":""},{"dropping-particle":"","family":"Devereaux","given":"P J","non-dropping-particle":"","parse-names":false,"suffix":""}],"container-title":"Anesthesiology","id":"ITEM-1","issue":"2","issued":{"date-parts":[["2013"]]},"page":"270-283","title":"Postoperative B-type natriuretic peptide for prediction of major cardiac events in patients undergoing noncardiac surgery: systematic review and individual patient meta-analysis","type":"article-journal","volume":"119"},"uris":["http://www.mendeley.com/documents/?uuid=840c407d-bb53-44da-8a05-6ddc9c759bb2"]}],"mendeley":{"formattedCitation":"&lt;sup&gt;7&lt;/sup&gt;","plainTextFormattedCitation":"7","previouslyFormattedCitation":"&lt;sup&gt;7&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Pr="00B6585E">
        <w:rPr>
          <w:rFonts w:ascii="Arial" w:hAnsi="Arial" w:cs="Arial"/>
          <w:noProof/>
          <w:color w:val="000000" w:themeColor="text1"/>
          <w:sz w:val="22"/>
          <w:szCs w:val="22"/>
          <w:vertAlign w:val="superscript"/>
        </w:rPr>
        <w:t>7</w:t>
      </w:r>
      <w:r w:rsidRPr="00B6585E">
        <w:rPr>
          <w:rFonts w:ascii="Arial" w:hAnsi="Arial" w:cs="Arial"/>
          <w:color w:val="000000" w:themeColor="text1"/>
          <w:sz w:val="22"/>
          <w:szCs w:val="22"/>
        </w:rPr>
        <w:fldChar w:fldCharType="end"/>
      </w:r>
    </w:p>
    <w:p w14:paraId="06FD942D" w14:textId="3EED9820" w:rsidR="00AB326A" w:rsidRPr="00B6585E" w:rsidRDefault="00AB326A">
      <w:pPr>
        <w:rPr>
          <w:rFonts w:ascii="Arial" w:hAnsi="Arial" w:cs="Arial"/>
          <w:color w:val="000000" w:themeColor="text1"/>
          <w:sz w:val="22"/>
          <w:szCs w:val="22"/>
        </w:rPr>
      </w:pPr>
      <w:r w:rsidRPr="00B6585E">
        <w:rPr>
          <w:rFonts w:ascii="Arial" w:hAnsi="Arial" w:cs="Arial"/>
          <w:noProof/>
          <w:color w:val="000000" w:themeColor="text1"/>
          <w:sz w:val="22"/>
          <w:szCs w:val="22"/>
          <w:lang w:val="de-DE" w:eastAsia="de-DE"/>
        </w:rPr>
        <w:drawing>
          <wp:inline distT="0" distB="0" distL="0" distR="0" wp14:anchorId="3BF1DC91" wp14:editId="23BAE56D">
            <wp:extent cx="6120130" cy="1720850"/>
            <wp:effectExtent l="0" t="0" r="1270" b="635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5.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1720850"/>
                    </a:xfrm>
                    <a:prstGeom prst="rect">
                      <a:avLst/>
                    </a:prstGeom>
                  </pic:spPr>
                </pic:pic>
              </a:graphicData>
            </a:graphic>
          </wp:inline>
        </w:drawing>
      </w:r>
    </w:p>
    <w:p w14:paraId="3682B950" w14:textId="30A17DEC" w:rsidR="005179EB" w:rsidRPr="00B6585E" w:rsidRDefault="005179EB">
      <w:pPr>
        <w:rPr>
          <w:rFonts w:ascii="Arial" w:hAnsi="Arial" w:cs="Arial"/>
          <w:color w:val="000000" w:themeColor="text1"/>
          <w:sz w:val="22"/>
          <w:szCs w:val="22"/>
        </w:rPr>
      </w:pPr>
    </w:p>
    <w:p w14:paraId="3E688D64" w14:textId="4C051A2E" w:rsidR="00064D46" w:rsidRPr="00B6585E" w:rsidRDefault="00064D46">
      <w:pPr>
        <w:rPr>
          <w:rFonts w:ascii="Arial" w:hAnsi="Arial" w:cs="Arial"/>
          <w:color w:val="000000" w:themeColor="text1"/>
          <w:sz w:val="22"/>
          <w:szCs w:val="22"/>
        </w:rPr>
      </w:pPr>
    </w:p>
    <w:p w14:paraId="62BD0328" w14:textId="77777777" w:rsidR="00931A60" w:rsidRPr="00B6585E" w:rsidRDefault="00A221DB" w:rsidP="00304D11">
      <w:pPr>
        <w:pStyle w:val="Heading1"/>
        <w:rPr>
          <w:lang w:val="en-US"/>
        </w:rPr>
      </w:pPr>
      <w:bookmarkStart w:id="134" w:name="_Toc9107182"/>
      <w:bookmarkStart w:id="135" w:name="_Toc23231310"/>
      <w:bookmarkStart w:id="136" w:name="_Toc96924960"/>
      <w:r w:rsidRPr="00B6585E">
        <w:rPr>
          <w:lang w:val="en-US"/>
        </w:rPr>
        <w:lastRenderedPageBreak/>
        <w:t>Material and Methods</w:t>
      </w:r>
      <w:bookmarkEnd w:id="134"/>
      <w:bookmarkEnd w:id="135"/>
      <w:bookmarkEnd w:id="136"/>
    </w:p>
    <w:p w14:paraId="082EF7D7" w14:textId="4E970D55" w:rsidR="00931A60" w:rsidRPr="00B6585E" w:rsidRDefault="00A221DB">
      <w:pPr>
        <w:widowControl w:val="0"/>
        <w:numPr>
          <w:ilvl w:val="0"/>
          <w:numId w:val="12"/>
        </w:numPr>
        <w:tabs>
          <w:tab w:val="left" w:pos="0"/>
          <w:tab w:val="left" w:pos="720"/>
        </w:tabs>
        <w:spacing w:before="120" w:after="240" w:line="360" w:lineRule="atLeast"/>
        <w:ind w:left="0" w:right="-6" w:firstLine="0"/>
        <w:rPr>
          <w:rFonts w:ascii="Arial" w:hAnsi="Arial" w:cs="Arial"/>
          <w:color w:val="000000" w:themeColor="text1"/>
          <w:sz w:val="22"/>
          <w:szCs w:val="22"/>
        </w:rPr>
      </w:pPr>
      <w:bookmarkStart w:id="137" w:name="_Toc4579732"/>
      <w:r w:rsidRPr="00B6585E">
        <w:rPr>
          <w:rFonts w:ascii="Arial" w:hAnsi="Arial" w:cs="Arial"/>
          <w:color w:val="000000" w:themeColor="text1"/>
          <w:sz w:val="22"/>
          <w:szCs w:val="22"/>
        </w:rPr>
        <w:t>Eligibility</w:t>
      </w:r>
      <w:bookmarkEnd w:id="137"/>
      <w:r w:rsidRPr="00B6585E">
        <w:rPr>
          <w:rFonts w:ascii="Arial" w:hAnsi="Arial" w:cs="Arial"/>
          <w:color w:val="000000" w:themeColor="text1"/>
          <w:sz w:val="22"/>
          <w:szCs w:val="22"/>
        </w:rPr>
        <w:t xml:space="preserve">: 45 years of age or older AND undergoing elective </w:t>
      </w:r>
      <w:r w:rsidR="00AF778D" w:rsidRPr="00B6585E">
        <w:rPr>
          <w:rFonts w:ascii="Arial" w:hAnsi="Arial" w:cs="Arial"/>
          <w:color w:val="000000" w:themeColor="text1"/>
          <w:sz w:val="22"/>
          <w:szCs w:val="22"/>
        </w:rPr>
        <w:t xml:space="preserve">moderate- to high </w:t>
      </w:r>
      <w:r w:rsidRPr="00B6585E">
        <w:rPr>
          <w:rFonts w:ascii="Arial" w:hAnsi="Arial" w:cs="Arial"/>
          <w:color w:val="000000" w:themeColor="text1"/>
          <w:sz w:val="22"/>
          <w:szCs w:val="22"/>
        </w:rPr>
        <w:t>risk noncardiac surgery</w:t>
      </w:r>
      <w:r w:rsidR="00B05181" w:rsidRPr="00B6585E">
        <w:rPr>
          <w:rFonts w:ascii="Arial" w:hAnsi="Arial" w:cs="Arial"/>
          <w:color w:val="000000" w:themeColor="text1"/>
          <w:sz w:val="22"/>
          <w:szCs w:val="22"/>
        </w:rPr>
        <w:t xml:space="preserve"> under general anaesthesia.</w:t>
      </w:r>
    </w:p>
    <w:p w14:paraId="0CE6B293" w14:textId="77777777" w:rsidR="00931A60" w:rsidRPr="00B6585E" w:rsidRDefault="00A221DB">
      <w:pPr>
        <w:pStyle w:val="Heading2"/>
        <w:rPr>
          <w:color w:val="000000" w:themeColor="text1"/>
        </w:rPr>
      </w:pPr>
      <w:bookmarkStart w:id="138" w:name="_Toc9107183"/>
      <w:bookmarkStart w:id="139" w:name="_Toc23231311"/>
      <w:bookmarkStart w:id="140" w:name="_Toc96924961"/>
      <w:r w:rsidRPr="00B6585E">
        <w:rPr>
          <w:color w:val="000000" w:themeColor="text1"/>
        </w:rPr>
        <w:t>Eligibility</w:t>
      </w:r>
      <w:bookmarkEnd w:id="138"/>
      <w:bookmarkEnd w:id="139"/>
      <w:bookmarkEnd w:id="140"/>
    </w:p>
    <w:p w14:paraId="095D5F1D" w14:textId="77777777" w:rsidR="00931A60" w:rsidRPr="00B6585E" w:rsidRDefault="00A221DB">
      <w:pPr>
        <w:spacing w:before="120" w:after="120"/>
        <w:ind w:right="-7"/>
        <w:rPr>
          <w:rFonts w:ascii="Arial" w:hAnsi="Arial" w:cs="Arial"/>
          <w:color w:val="000000" w:themeColor="text1"/>
          <w:sz w:val="22"/>
          <w:szCs w:val="22"/>
        </w:rPr>
      </w:pPr>
      <w:r w:rsidRPr="00B6585E">
        <w:rPr>
          <w:rFonts w:ascii="Arial" w:hAnsi="Arial" w:cs="Arial"/>
          <w:color w:val="000000" w:themeColor="text1"/>
          <w:sz w:val="22"/>
          <w:szCs w:val="22"/>
        </w:rPr>
        <w:t xml:space="preserve">All patients need to meet all of the following criteria for inclusion (1-4): </w:t>
      </w:r>
    </w:p>
    <w:p w14:paraId="5E16875E" w14:textId="4BE401CE" w:rsidR="00931A60" w:rsidRPr="00B6585E" w:rsidRDefault="00FB1351" w:rsidP="00FB1351">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 xml:space="preserve">1. </w:t>
      </w:r>
      <w:r w:rsidR="000C4086" w:rsidRPr="00B6585E">
        <w:rPr>
          <w:rFonts w:ascii="Arial" w:hAnsi="Arial" w:cs="Arial"/>
          <w:color w:val="000000" w:themeColor="text1"/>
          <w:sz w:val="22"/>
          <w:szCs w:val="22"/>
        </w:rPr>
        <w:t xml:space="preserve">Major surgery (as defined in appendix VII) </w:t>
      </w:r>
      <w:r w:rsidR="00A221DB" w:rsidRPr="00B6585E">
        <w:rPr>
          <w:rFonts w:ascii="Arial" w:hAnsi="Arial" w:cs="Arial"/>
          <w:color w:val="000000" w:themeColor="text1"/>
          <w:sz w:val="22"/>
          <w:szCs w:val="22"/>
        </w:rPr>
        <w:t>planned for more than 2 hours</w:t>
      </w:r>
    </w:p>
    <w:p w14:paraId="215404F5" w14:textId="2A459DC2" w:rsidR="00931A60" w:rsidRPr="00B6585E" w:rsidRDefault="00FB1351" w:rsidP="00FB1351">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 xml:space="preserve">2. </w:t>
      </w:r>
      <w:r w:rsidR="00401FEF" w:rsidRPr="00B6585E">
        <w:rPr>
          <w:rFonts w:ascii="Arial" w:hAnsi="Arial" w:cs="Arial"/>
          <w:color w:val="000000" w:themeColor="text1"/>
          <w:sz w:val="22"/>
          <w:szCs w:val="22"/>
        </w:rPr>
        <w:t>≥</w:t>
      </w:r>
      <w:r w:rsidR="00A221DB" w:rsidRPr="00B6585E">
        <w:rPr>
          <w:rFonts w:ascii="Arial" w:hAnsi="Arial" w:cs="Arial"/>
          <w:color w:val="000000" w:themeColor="text1"/>
          <w:sz w:val="22"/>
          <w:szCs w:val="22"/>
        </w:rPr>
        <w:t xml:space="preserve"> </w:t>
      </w:r>
      <w:r w:rsidR="00971C80" w:rsidRPr="00B6585E">
        <w:rPr>
          <w:rFonts w:ascii="Arial" w:hAnsi="Arial" w:cs="Arial"/>
          <w:color w:val="000000" w:themeColor="text1"/>
          <w:sz w:val="22"/>
          <w:szCs w:val="22"/>
        </w:rPr>
        <w:t>6</w:t>
      </w:r>
      <w:r w:rsidR="00A221DB" w:rsidRPr="00B6585E">
        <w:rPr>
          <w:rFonts w:ascii="Arial" w:hAnsi="Arial" w:cs="Arial"/>
          <w:color w:val="000000" w:themeColor="text1"/>
          <w:sz w:val="22"/>
          <w:szCs w:val="22"/>
        </w:rPr>
        <w:t xml:space="preserve">5 </w:t>
      </w:r>
      <w:r w:rsidR="00971C80" w:rsidRPr="00B6585E">
        <w:rPr>
          <w:rFonts w:ascii="Arial" w:hAnsi="Arial" w:cs="Arial"/>
          <w:color w:val="000000" w:themeColor="text1"/>
          <w:sz w:val="22"/>
          <w:szCs w:val="22"/>
        </w:rPr>
        <w:t xml:space="preserve">years of age and </w:t>
      </w:r>
      <w:r w:rsidR="00401FEF" w:rsidRPr="00B6585E">
        <w:rPr>
          <w:rFonts w:ascii="Arial" w:hAnsi="Arial" w:cs="Arial"/>
          <w:color w:val="000000" w:themeColor="text1"/>
          <w:sz w:val="22"/>
          <w:szCs w:val="22"/>
        </w:rPr>
        <w:t>≤</w:t>
      </w:r>
      <w:r w:rsidR="00971C80" w:rsidRPr="00B6585E">
        <w:rPr>
          <w:rFonts w:ascii="Arial" w:hAnsi="Arial" w:cs="Arial"/>
          <w:color w:val="000000" w:themeColor="text1"/>
          <w:sz w:val="22"/>
          <w:szCs w:val="22"/>
        </w:rPr>
        <w:t xml:space="preserve"> 85 years of age</w:t>
      </w:r>
    </w:p>
    <w:p w14:paraId="2F4EDC62" w14:textId="5A27909A" w:rsidR="00931A60" w:rsidRPr="00B6585E" w:rsidRDefault="00FB1351" w:rsidP="00FB1351">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 xml:space="preserve">3. </w:t>
      </w:r>
      <w:r w:rsidR="00A221DB" w:rsidRPr="00B6585E">
        <w:rPr>
          <w:rFonts w:ascii="Arial" w:hAnsi="Arial" w:cs="Arial"/>
          <w:color w:val="000000" w:themeColor="text1"/>
          <w:sz w:val="22"/>
          <w:szCs w:val="22"/>
        </w:rPr>
        <w:t xml:space="preserve">Provide written informed consent AND </w:t>
      </w:r>
    </w:p>
    <w:p w14:paraId="7F6969F9" w14:textId="069F128B" w:rsidR="00931A60" w:rsidRPr="00B6585E" w:rsidRDefault="00FB1351" w:rsidP="00FB1351">
      <w:pPr>
        <w:spacing w:before="120" w:after="120"/>
        <w:ind w:left="360" w:right="-7"/>
        <w:contextualSpacing/>
        <w:jc w:val="both"/>
        <w:rPr>
          <w:rFonts w:ascii="Arial" w:hAnsi="Arial" w:cs="Arial"/>
          <w:color w:val="000000" w:themeColor="text1"/>
          <w:sz w:val="22"/>
          <w:szCs w:val="22"/>
        </w:rPr>
      </w:pPr>
      <w:r w:rsidRPr="00B6585E">
        <w:rPr>
          <w:rFonts w:ascii="Arial" w:hAnsi="Arial" w:cs="Arial"/>
          <w:color w:val="000000" w:themeColor="text1"/>
          <w:sz w:val="22"/>
          <w:szCs w:val="22"/>
        </w:rPr>
        <w:t xml:space="preserve">4. </w:t>
      </w:r>
      <w:r w:rsidR="00A221DB" w:rsidRPr="00B6585E">
        <w:rPr>
          <w:rFonts w:ascii="Arial" w:hAnsi="Arial" w:cs="Arial"/>
          <w:color w:val="000000" w:themeColor="text1"/>
          <w:sz w:val="22"/>
          <w:szCs w:val="22"/>
        </w:rPr>
        <w:t xml:space="preserve">Fulfill </w:t>
      </w:r>
      <w:r w:rsidR="00592CF2" w:rsidRPr="00B6585E">
        <w:rPr>
          <w:rFonts w:ascii="Arial" w:hAnsi="Arial" w:cs="Arial"/>
          <w:color w:val="000000" w:themeColor="text1"/>
          <w:sz w:val="22"/>
          <w:szCs w:val="22"/>
        </w:rPr>
        <w:t>≥</w:t>
      </w:r>
      <w:r w:rsidR="00A221DB" w:rsidRPr="00B6585E">
        <w:rPr>
          <w:rFonts w:ascii="Arial" w:hAnsi="Arial" w:cs="Arial"/>
          <w:color w:val="000000" w:themeColor="text1"/>
          <w:sz w:val="22"/>
          <w:szCs w:val="22"/>
        </w:rPr>
        <w:t xml:space="preserve"> </w:t>
      </w:r>
      <w:r w:rsidR="00592CF2" w:rsidRPr="00B6585E">
        <w:rPr>
          <w:rFonts w:ascii="Arial" w:hAnsi="Arial" w:cs="Arial"/>
          <w:color w:val="000000" w:themeColor="text1"/>
          <w:sz w:val="22"/>
          <w:szCs w:val="22"/>
        </w:rPr>
        <w:t>2</w:t>
      </w:r>
      <w:r w:rsidR="00A221DB" w:rsidRPr="00B6585E">
        <w:rPr>
          <w:rFonts w:ascii="Arial" w:hAnsi="Arial" w:cs="Arial"/>
          <w:color w:val="000000" w:themeColor="text1"/>
          <w:sz w:val="22"/>
          <w:szCs w:val="22"/>
        </w:rPr>
        <w:t xml:space="preserve"> of the following criteria (A-</w:t>
      </w:r>
      <w:r w:rsidR="007C1F19" w:rsidRPr="00B6585E">
        <w:rPr>
          <w:rFonts w:ascii="Arial" w:hAnsi="Arial" w:cs="Arial"/>
          <w:color w:val="000000" w:themeColor="text1"/>
          <w:sz w:val="22"/>
          <w:szCs w:val="22"/>
        </w:rPr>
        <w:t>E</w:t>
      </w:r>
      <w:r w:rsidR="00A221DB" w:rsidRPr="00B6585E">
        <w:rPr>
          <w:rFonts w:ascii="Arial" w:hAnsi="Arial" w:cs="Arial"/>
          <w:color w:val="000000" w:themeColor="text1"/>
          <w:sz w:val="22"/>
          <w:szCs w:val="22"/>
        </w:rPr>
        <w:t>)</w:t>
      </w:r>
    </w:p>
    <w:p w14:paraId="2BEE78EB" w14:textId="5FF30D84" w:rsidR="00015028" w:rsidRPr="00B6585E" w:rsidRDefault="00A221DB" w:rsidP="00816FA9">
      <w:pPr>
        <w:pStyle w:val="Heading3"/>
        <w:numPr>
          <w:ilvl w:val="2"/>
          <w:numId w:val="3"/>
        </w:numPr>
      </w:pPr>
      <w:bookmarkStart w:id="141" w:name="_Toc9107184"/>
      <w:bookmarkStart w:id="142" w:name="_Toc4579733"/>
      <w:bookmarkStart w:id="143" w:name="_Toc23231312"/>
      <w:bookmarkStart w:id="144" w:name="_Toc96924962"/>
      <w:r w:rsidRPr="00B6585E">
        <w:t xml:space="preserve">Inclusion Criteria (A – </w:t>
      </w:r>
      <w:r w:rsidR="009C4391" w:rsidRPr="00B6585E">
        <w:t>E</w:t>
      </w:r>
      <w:r w:rsidRPr="00B6585E">
        <w:t>)</w:t>
      </w:r>
      <w:bookmarkStart w:id="145" w:name="_Toc9107185"/>
      <w:bookmarkStart w:id="146" w:name="_Toc4579734"/>
      <w:bookmarkStart w:id="147" w:name="_Toc23231313"/>
      <w:bookmarkEnd w:id="141"/>
      <w:bookmarkEnd w:id="142"/>
      <w:bookmarkEnd w:id="143"/>
      <w:bookmarkEnd w:id="144"/>
    </w:p>
    <w:p w14:paraId="76A18FA8" w14:textId="5DACEF77" w:rsidR="00015028" w:rsidRPr="00B6585E" w:rsidRDefault="00015028" w:rsidP="00015028">
      <w:pPr>
        <w:pStyle w:val="ListParagraph"/>
        <w:numPr>
          <w:ilvl w:val="0"/>
          <w:numId w:val="26"/>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NT-proBNP </w:t>
      </w:r>
      <w:r w:rsidR="00401FEF" w:rsidRPr="00B6585E">
        <w:rPr>
          <w:rFonts w:ascii="Arial" w:hAnsi="Arial" w:cs="Arial"/>
          <w:color w:val="000000" w:themeColor="text1"/>
          <w:sz w:val="22"/>
          <w:szCs w:val="22"/>
          <w:lang w:val="en-US"/>
        </w:rPr>
        <w:t>≥</w:t>
      </w:r>
      <w:r w:rsidRPr="00B6585E">
        <w:rPr>
          <w:rFonts w:ascii="Arial" w:hAnsi="Arial" w:cs="Arial"/>
          <w:color w:val="000000" w:themeColor="text1"/>
          <w:sz w:val="22"/>
          <w:szCs w:val="22"/>
          <w:lang w:val="en-US"/>
        </w:rPr>
        <w:t xml:space="preserve"> 200 ng/L</w:t>
      </w:r>
    </w:p>
    <w:p w14:paraId="4E6B86B7" w14:textId="77777777" w:rsidR="003F7316" w:rsidRPr="00B6585E" w:rsidRDefault="003F7316" w:rsidP="003F7316">
      <w:pPr>
        <w:pStyle w:val="ListParagraph"/>
        <w:spacing w:before="120" w:after="120"/>
        <w:ind w:right="-7"/>
        <w:contextualSpacing/>
        <w:rPr>
          <w:rFonts w:ascii="Arial" w:hAnsi="Arial" w:cs="Arial"/>
          <w:color w:val="000000" w:themeColor="text1"/>
          <w:sz w:val="22"/>
          <w:szCs w:val="22"/>
          <w:lang w:val="en-US"/>
        </w:rPr>
      </w:pPr>
    </w:p>
    <w:p w14:paraId="2F111A64" w14:textId="20BE199E" w:rsidR="00015028" w:rsidRPr="00B6585E" w:rsidRDefault="00015028" w:rsidP="00015028">
      <w:pPr>
        <w:pStyle w:val="ListParagraph"/>
        <w:numPr>
          <w:ilvl w:val="0"/>
          <w:numId w:val="26"/>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coronary artery disease defined as 1 of the following 7 criteria (I to VII):</w:t>
      </w:r>
    </w:p>
    <w:p w14:paraId="3E2E39A2" w14:textId="1F4F49DC" w:rsidR="00015028" w:rsidRPr="00B6585E" w:rsidRDefault="00015028" w:rsidP="003804EF">
      <w:pPr>
        <w:pStyle w:val="ListParagraph"/>
        <w:numPr>
          <w:ilvl w:val="0"/>
          <w:numId w:val="32"/>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angina</w:t>
      </w:r>
    </w:p>
    <w:p w14:paraId="0E65C463" w14:textId="79170EF2" w:rsidR="00015028" w:rsidRPr="00B6585E" w:rsidRDefault="00015028" w:rsidP="003804EF">
      <w:pPr>
        <w:pStyle w:val="ListParagraph"/>
        <w:numPr>
          <w:ilvl w:val="0"/>
          <w:numId w:val="32"/>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myocardial infarction or acute coronary syndrome</w:t>
      </w:r>
    </w:p>
    <w:p w14:paraId="712BB6D8" w14:textId="7B4D313C" w:rsidR="00015028" w:rsidRPr="00B6585E" w:rsidRDefault="00015028" w:rsidP="003804EF">
      <w:pPr>
        <w:pStyle w:val="ListParagraph"/>
        <w:numPr>
          <w:ilvl w:val="0"/>
          <w:numId w:val="32"/>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a segmental cardiac wall motion abnormality on echocardiography/radionuclide imaging</w:t>
      </w:r>
    </w:p>
    <w:p w14:paraId="3512751B" w14:textId="77777777" w:rsidR="00015028" w:rsidRPr="00B6585E" w:rsidRDefault="00015028" w:rsidP="003804EF">
      <w:pPr>
        <w:pStyle w:val="ListParagraph"/>
        <w:numPr>
          <w:ilvl w:val="0"/>
          <w:numId w:val="32"/>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positive myocardial stress test (echocardiographic or radionuclide)</w:t>
      </w:r>
    </w:p>
    <w:p w14:paraId="2023515F" w14:textId="77777777" w:rsidR="00015028" w:rsidRPr="00B6585E" w:rsidRDefault="00015028" w:rsidP="003804EF">
      <w:pPr>
        <w:pStyle w:val="ListParagraph"/>
        <w:numPr>
          <w:ilvl w:val="0"/>
          <w:numId w:val="32"/>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a coronary artery stenosis &gt; 50%</w:t>
      </w:r>
    </w:p>
    <w:p w14:paraId="05F564B5" w14:textId="18F3276E" w:rsidR="00015028" w:rsidRPr="00B6585E" w:rsidRDefault="00015028" w:rsidP="003804EF">
      <w:pPr>
        <w:pStyle w:val="ListParagraph"/>
        <w:numPr>
          <w:ilvl w:val="0"/>
          <w:numId w:val="32"/>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ECG with pathological Q waves in </w:t>
      </w:r>
      <w:r w:rsidR="00FC6CC3" w:rsidRPr="00B6585E">
        <w:rPr>
          <w:rFonts w:ascii="Arial" w:eastAsia="Times New Roman" w:hAnsi="Arial" w:cs="Arial"/>
          <w:color w:val="000000" w:themeColor="text1"/>
          <w:sz w:val="22"/>
          <w:szCs w:val="22"/>
          <w:lang w:val="en-US"/>
        </w:rPr>
        <w:t xml:space="preserve">any </w:t>
      </w:r>
      <w:r w:rsidRPr="00B6585E">
        <w:rPr>
          <w:rFonts w:ascii="Arial" w:eastAsia="Times New Roman" w:hAnsi="Arial" w:cs="Arial"/>
          <w:color w:val="000000" w:themeColor="text1"/>
          <w:sz w:val="22"/>
          <w:szCs w:val="22"/>
          <w:lang w:val="en-US"/>
        </w:rPr>
        <w:t>two contiguous leads</w:t>
      </w:r>
    </w:p>
    <w:p w14:paraId="32253A43" w14:textId="61C09C3A" w:rsidR="00015028" w:rsidRPr="00B6585E" w:rsidRDefault="00015028" w:rsidP="003804EF">
      <w:pPr>
        <w:pStyle w:val="ListParagraph"/>
        <w:numPr>
          <w:ilvl w:val="0"/>
          <w:numId w:val="32"/>
        </w:numPr>
        <w:spacing w:before="120" w:after="120"/>
        <w:ind w:right="-7"/>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previous artery revascularizations</w:t>
      </w:r>
    </w:p>
    <w:p w14:paraId="35364286" w14:textId="77777777" w:rsidR="003F7316" w:rsidRPr="00B6585E" w:rsidRDefault="003F7316" w:rsidP="003F7316">
      <w:pPr>
        <w:pStyle w:val="ListParagraph"/>
        <w:spacing w:before="120" w:after="120"/>
        <w:ind w:left="1440" w:right="-7"/>
        <w:contextualSpacing/>
        <w:rPr>
          <w:rFonts w:ascii="Arial" w:eastAsia="Times New Roman" w:hAnsi="Arial" w:cs="Arial"/>
          <w:color w:val="000000" w:themeColor="text1"/>
          <w:sz w:val="22"/>
          <w:szCs w:val="22"/>
          <w:lang w:val="en-US"/>
        </w:rPr>
      </w:pPr>
    </w:p>
    <w:p w14:paraId="474A9FD2" w14:textId="30B8B5FB" w:rsidR="009C4391" w:rsidRPr="00B6585E" w:rsidRDefault="009C4391" w:rsidP="003804EF">
      <w:pPr>
        <w:pStyle w:val="ListParagraph"/>
        <w:numPr>
          <w:ilvl w:val="0"/>
          <w:numId w:val="26"/>
        </w:numPr>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History of permanent/paroxysmal atrial fibrillation diagnosed by physician/specialist</w:t>
      </w:r>
    </w:p>
    <w:p w14:paraId="0F4EE336" w14:textId="77777777" w:rsidR="00015028" w:rsidRPr="00B6585E" w:rsidRDefault="00015028" w:rsidP="00015028">
      <w:pPr>
        <w:pStyle w:val="ListParagraph"/>
        <w:spacing w:before="120" w:after="120"/>
        <w:ind w:left="1440" w:right="-7"/>
        <w:contextualSpacing/>
        <w:rPr>
          <w:rFonts w:ascii="Arial" w:eastAsia="Times New Roman" w:hAnsi="Arial" w:cs="Arial"/>
          <w:color w:val="000000" w:themeColor="text1"/>
          <w:sz w:val="22"/>
          <w:szCs w:val="22"/>
          <w:lang w:val="en-US"/>
        </w:rPr>
      </w:pPr>
    </w:p>
    <w:p w14:paraId="5938F341" w14:textId="48F4359F" w:rsidR="00015028" w:rsidRPr="00B6585E" w:rsidRDefault="00015028" w:rsidP="003804EF">
      <w:pPr>
        <w:pStyle w:val="ListParagraph"/>
        <w:numPr>
          <w:ilvl w:val="0"/>
          <w:numId w:val="26"/>
        </w:numPr>
        <w:tabs>
          <w:tab w:val="left" w:pos="2552"/>
        </w:tabs>
        <w:spacing w:before="120" w:after="120"/>
        <w:ind w:right="-7"/>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History of peripheral arterial disease as defined by a physician/specialist diagnosis of a current, or prior history of any 1 of the following </w:t>
      </w:r>
      <w:r w:rsidR="00764EC7" w:rsidRPr="00B6585E">
        <w:rPr>
          <w:rFonts w:ascii="Arial" w:hAnsi="Arial" w:cs="Arial"/>
          <w:color w:val="000000" w:themeColor="text1"/>
          <w:sz w:val="22"/>
          <w:szCs w:val="22"/>
          <w:lang w:val="en-US"/>
        </w:rPr>
        <w:t>5</w:t>
      </w:r>
      <w:r w:rsidRPr="00B6585E">
        <w:rPr>
          <w:rFonts w:ascii="Arial" w:hAnsi="Arial" w:cs="Arial"/>
          <w:color w:val="000000" w:themeColor="text1"/>
          <w:sz w:val="22"/>
          <w:szCs w:val="22"/>
          <w:lang w:val="en-US"/>
        </w:rPr>
        <w:t>criteria (I-V)</w:t>
      </w:r>
    </w:p>
    <w:p w14:paraId="78D8F96C" w14:textId="39078E61" w:rsidR="00015028" w:rsidRPr="00B6585E" w:rsidRDefault="00015028" w:rsidP="003804EF">
      <w:pPr>
        <w:pStyle w:val="ListParagraph"/>
        <w:numPr>
          <w:ilvl w:val="0"/>
          <w:numId w:val="33"/>
        </w:numPr>
        <w:tabs>
          <w:tab w:val="left" w:pos="709"/>
        </w:tabs>
        <w:spacing w:before="120" w:after="120"/>
        <w:ind w:left="1418" w:right="-7" w:hanging="709"/>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Intermittent claudication</w:t>
      </w:r>
    </w:p>
    <w:p w14:paraId="23E7C2BE" w14:textId="5F1D22DE" w:rsidR="00015028" w:rsidRPr="00B6585E" w:rsidRDefault="00015028" w:rsidP="003804EF">
      <w:pPr>
        <w:pStyle w:val="ListParagraph"/>
        <w:numPr>
          <w:ilvl w:val="0"/>
          <w:numId w:val="34"/>
        </w:numPr>
        <w:tabs>
          <w:tab w:val="left" w:pos="709"/>
        </w:tabs>
        <w:spacing w:before="120" w:after="120"/>
        <w:ind w:left="1418" w:right="-7" w:hanging="709"/>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Stenosis </w:t>
      </w:r>
      <w:r w:rsidR="003F7316" w:rsidRPr="00B6585E">
        <w:rPr>
          <w:rFonts w:ascii="Arial" w:hAnsi="Arial" w:cs="Arial"/>
          <w:color w:val="000000" w:themeColor="text1"/>
          <w:sz w:val="22"/>
          <w:szCs w:val="22"/>
          <w:lang w:val="en-US"/>
        </w:rPr>
        <w:t>≥</w:t>
      </w:r>
      <w:r w:rsidRPr="00B6585E">
        <w:rPr>
          <w:rFonts w:ascii="Arial" w:hAnsi="Arial" w:cs="Arial"/>
          <w:color w:val="000000" w:themeColor="text1"/>
          <w:sz w:val="22"/>
          <w:szCs w:val="22"/>
          <w:lang w:val="en-US"/>
        </w:rPr>
        <w:t xml:space="preserve"> 70 % detected by angiography or doppler </w:t>
      </w:r>
    </w:p>
    <w:p w14:paraId="20571AA4" w14:textId="555E409F" w:rsidR="003F7316" w:rsidRPr="00B6585E" w:rsidRDefault="003F7316" w:rsidP="003804EF">
      <w:pPr>
        <w:pStyle w:val="ListParagraph"/>
        <w:numPr>
          <w:ilvl w:val="0"/>
          <w:numId w:val="34"/>
        </w:numPr>
        <w:tabs>
          <w:tab w:val="left" w:pos="709"/>
        </w:tabs>
        <w:spacing w:before="120" w:after="120"/>
        <w:ind w:left="1418" w:right="-7" w:hanging="709"/>
        <w:contextualSpacing/>
        <w:rPr>
          <w:rFonts w:ascii="Arial" w:hAnsi="Arial" w:cs="Arial"/>
          <w:color w:val="000000" w:themeColor="text1"/>
          <w:sz w:val="22"/>
          <w:szCs w:val="22"/>
          <w:lang w:val="en-US"/>
        </w:rPr>
      </w:pPr>
      <w:r w:rsidRPr="00B6585E">
        <w:rPr>
          <w:rFonts w:ascii="Arial" w:hAnsi="Arial" w:cs="Arial"/>
          <w:color w:val="000000" w:themeColor="text1"/>
          <w:sz w:val="22"/>
          <w:szCs w:val="22"/>
          <w:lang w:val="en-US"/>
        </w:rPr>
        <w:t>Stenosis ≤ 70% detected by angiography or doppler AND requiring medical treatment e.g. ASA</w:t>
      </w:r>
      <w:r w:rsidR="00764EC7" w:rsidRPr="00B6585E">
        <w:rPr>
          <w:rFonts w:ascii="Arial" w:hAnsi="Arial" w:cs="Arial"/>
          <w:color w:val="000000" w:themeColor="text1"/>
          <w:sz w:val="22"/>
          <w:szCs w:val="22"/>
          <w:lang w:val="en-US"/>
        </w:rPr>
        <w:t xml:space="preserve"> or other platelet inhibitor</w:t>
      </w:r>
    </w:p>
    <w:p w14:paraId="0CDE5F64" w14:textId="71631D2E" w:rsidR="00015028" w:rsidRPr="00B6585E" w:rsidRDefault="00015028" w:rsidP="003804EF">
      <w:pPr>
        <w:pStyle w:val="ListParagraph"/>
        <w:numPr>
          <w:ilvl w:val="0"/>
          <w:numId w:val="34"/>
        </w:numPr>
        <w:spacing w:before="120" w:after="120"/>
        <w:ind w:left="1418" w:right="-7" w:hanging="709"/>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stroke or TIA – diagnosed by physician or CT/MRI</w:t>
      </w:r>
    </w:p>
    <w:p w14:paraId="0263600E" w14:textId="5280BFDE" w:rsidR="000C4086" w:rsidRPr="00B6585E" w:rsidRDefault="000C4086" w:rsidP="003804EF">
      <w:pPr>
        <w:pStyle w:val="ListParagraph"/>
        <w:numPr>
          <w:ilvl w:val="0"/>
          <w:numId w:val="34"/>
        </w:numPr>
        <w:spacing w:before="120" w:after="120"/>
        <w:ind w:left="1418" w:right="-7" w:hanging="709"/>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Diagnosed cerebral arteriovascular disease (cAVK) diagnosed by a physician/specialist</w:t>
      </w:r>
    </w:p>
    <w:p w14:paraId="304D7AE5" w14:textId="77777777" w:rsidR="003F7316" w:rsidRPr="00B6585E" w:rsidRDefault="003F7316" w:rsidP="003F7316">
      <w:pPr>
        <w:pStyle w:val="ListParagraph"/>
        <w:spacing w:before="120" w:after="120"/>
        <w:ind w:left="1440" w:right="-7"/>
        <w:contextualSpacing/>
        <w:rPr>
          <w:rFonts w:ascii="Arial" w:eastAsia="Times New Roman" w:hAnsi="Arial" w:cs="Arial"/>
          <w:color w:val="000000" w:themeColor="text1"/>
          <w:sz w:val="22"/>
          <w:szCs w:val="22"/>
          <w:lang w:val="en-US"/>
        </w:rPr>
      </w:pPr>
    </w:p>
    <w:p w14:paraId="221E4806" w14:textId="60E1C967" w:rsidR="00015028" w:rsidRPr="00B6585E" w:rsidRDefault="00015028" w:rsidP="003804EF">
      <w:pPr>
        <w:pStyle w:val="ListParagraph"/>
        <w:numPr>
          <w:ilvl w:val="0"/>
          <w:numId w:val="33"/>
        </w:numPr>
        <w:spacing w:before="120" w:after="120"/>
        <w:ind w:left="1276" w:right="-7" w:hanging="850"/>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Any </w:t>
      </w:r>
      <w:r w:rsidR="0040470B" w:rsidRPr="00B6585E">
        <w:rPr>
          <w:rFonts w:ascii="Arial" w:hAnsi="Arial" w:cs="Arial"/>
          <w:color w:val="000000" w:themeColor="text1"/>
          <w:sz w:val="22"/>
          <w:szCs w:val="22"/>
          <w:lang w:val="en-US"/>
        </w:rPr>
        <w:t xml:space="preserve">3 of </w:t>
      </w:r>
      <w:r w:rsidR="003804EF" w:rsidRPr="00B6585E">
        <w:rPr>
          <w:rFonts w:ascii="Arial" w:hAnsi="Arial" w:cs="Arial"/>
          <w:color w:val="000000" w:themeColor="text1"/>
          <w:sz w:val="22"/>
          <w:szCs w:val="22"/>
          <w:lang w:val="en-US"/>
        </w:rPr>
        <w:t>10</w:t>
      </w:r>
      <w:r w:rsidRPr="00B6585E">
        <w:rPr>
          <w:rFonts w:ascii="Arial" w:hAnsi="Arial" w:cs="Arial"/>
          <w:color w:val="000000" w:themeColor="text1"/>
          <w:sz w:val="22"/>
          <w:szCs w:val="22"/>
          <w:lang w:val="en-US"/>
        </w:rPr>
        <w:t xml:space="preserve"> of the following risk criteria (i – </w:t>
      </w:r>
      <w:r w:rsidR="00B271AA" w:rsidRPr="00B6585E">
        <w:rPr>
          <w:rFonts w:ascii="Arial" w:hAnsi="Arial" w:cs="Arial"/>
          <w:color w:val="000000" w:themeColor="text1"/>
          <w:sz w:val="22"/>
          <w:szCs w:val="22"/>
          <w:lang w:val="en-US"/>
        </w:rPr>
        <w:t>x</w:t>
      </w:r>
      <w:r w:rsidRPr="00B6585E">
        <w:rPr>
          <w:rFonts w:ascii="Arial" w:hAnsi="Arial" w:cs="Arial"/>
          <w:color w:val="000000" w:themeColor="text1"/>
          <w:sz w:val="22"/>
          <w:szCs w:val="22"/>
          <w:lang w:val="en-US"/>
        </w:rPr>
        <w:t>).</w:t>
      </w:r>
    </w:p>
    <w:p w14:paraId="5272E7EA" w14:textId="77777777" w:rsidR="00015028" w:rsidRPr="00B6585E" w:rsidRDefault="00015028"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congestive heart failure defined as a physician diagnosis of a current or prior episode of congestive heart failure OR prior radiographic evidence of vascular redistribution, interstitial pulmonary edema, or frank alveolar pulmonary edema; </w:t>
      </w:r>
    </w:p>
    <w:p w14:paraId="1D37EB21" w14:textId="77777777" w:rsidR="00015028" w:rsidRPr="00B6585E" w:rsidRDefault="00015028"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a transient ischemic attack; </w:t>
      </w:r>
    </w:p>
    <w:p w14:paraId="054412C7" w14:textId="77777777" w:rsidR="00015028" w:rsidRPr="00B6585E" w:rsidRDefault="00015028"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Diabetes and currently taking an oral hypoglycemic agent or insulin; </w:t>
      </w:r>
    </w:p>
    <w:p w14:paraId="1F912234" w14:textId="2CB1A114" w:rsidR="00015028" w:rsidRPr="00B6585E" w:rsidRDefault="00015028"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hypertension; </w:t>
      </w:r>
    </w:p>
    <w:p w14:paraId="357D343D" w14:textId="77AF8B0F" w:rsidR="003F7316" w:rsidRPr="00B6585E" w:rsidRDefault="003F7316"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Hyperlipidemia and currently taking a</w:t>
      </w:r>
      <w:r w:rsidR="00764EC7" w:rsidRPr="00B6585E">
        <w:rPr>
          <w:rFonts w:ascii="Arial" w:eastAsia="Times New Roman" w:hAnsi="Arial" w:cs="Arial"/>
          <w:color w:val="000000" w:themeColor="text1"/>
          <w:sz w:val="22"/>
          <w:szCs w:val="22"/>
          <w:lang w:val="en-US"/>
        </w:rPr>
        <w:t xml:space="preserve"> lipid-lowering agent;</w:t>
      </w:r>
    </w:p>
    <w:p w14:paraId="06CD4D87" w14:textId="15A28C9E" w:rsidR="0040470B" w:rsidRPr="00B6585E" w:rsidRDefault="0040470B"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hAnsi="Arial" w:cs="Arial"/>
          <w:color w:val="000000" w:themeColor="text1"/>
          <w:sz w:val="22"/>
          <w:szCs w:val="22"/>
          <w:lang w:val="en-US"/>
        </w:rPr>
        <w:t>Documented chronic kidney disease</w:t>
      </w:r>
      <w:r w:rsidR="00A96724" w:rsidRPr="00B6585E">
        <w:rPr>
          <w:rFonts w:ascii="Arial" w:hAnsi="Arial" w:cs="Arial"/>
          <w:color w:val="000000" w:themeColor="text1"/>
          <w:sz w:val="22"/>
          <w:szCs w:val="22"/>
          <w:lang w:val="en-US"/>
        </w:rPr>
        <w:t xml:space="preserve"> diagnosed by physician/specialist</w:t>
      </w:r>
      <w:r w:rsidR="000C4086" w:rsidRPr="00B6585E">
        <w:rPr>
          <w:rFonts w:ascii="Arial" w:hAnsi="Arial" w:cs="Arial"/>
          <w:color w:val="000000" w:themeColor="text1"/>
          <w:sz w:val="22"/>
          <w:szCs w:val="22"/>
          <w:lang w:val="en-US"/>
        </w:rPr>
        <w:t xml:space="preserve"> and creatinine clearance &gt; 30 ml/min</w:t>
      </w:r>
    </w:p>
    <w:p w14:paraId="4C0320A7" w14:textId="36C00B29" w:rsidR="00015028" w:rsidRPr="00B6585E" w:rsidRDefault="00015028"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History of smoking within 2 years of surgery</w:t>
      </w:r>
    </w:p>
    <w:p w14:paraId="0078F712" w14:textId="08E6E16D" w:rsidR="0040470B" w:rsidRPr="00B6585E" w:rsidRDefault="0040470B"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Diastolic </w:t>
      </w:r>
      <w:r w:rsidR="00764EC7" w:rsidRPr="00B6585E">
        <w:rPr>
          <w:rFonts w:ascii="Arial" w:eastAsia="Times New Roman" w:hAnsi="Arial" w:cs="Arial"/>
          <w:color w:val="000000" w:themeColor="text1"/>
          <w:sz w:val="22"/>
          <w:szCs w:val="22"/>
          <w:lang w:val="en-US"/>
        </w:rPr>
        <w:t xml:space="preserve">dysfunction (≥ grade 1) </w:t>
      </w:r>
      <w:r w:rsidRPr="00B6585E">
        <w:rPr>
          <w:rFonts w:ascii="Arial" w:eastAsia="Times New Roman" w:hAnsi="Arial" w:cs="Arial"/>
          <w:color w:val="000000" w:themeColor="text1"/>
          <w:sz w:val="22"/>
          <w:szCs w:val="22"/>
          <w:lang w:val="en-US"/>
        </w:rPr>
        <w:t>documented by echocardiography</w:t>
      </w:r>
    </w:p>
    <w:p w14:paraId="228AA8E0" w14:textId="263AA3B0" w:rsidR="0040470B" w:rsidRPr="00B6585E" w:rsidRDefault="0040470B"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Age ≥ 7</w:t>
      </w:r>
      <w:r w:rsidR="00A96724" w:rsidRPr="00B6585E">
        <w:rPr>
          <w:rFonts w:ascii="Arial" w:eastAsia="Times New Roman" w:hAnsi="Arial" w:cs="Arial"/>
          <w:color w:val="000000" w:themeColor="text1"/>
          <w:sz w:val="22"/>
          <w:szCs w:val="22"/>
          <w:lang w:val="en-US"/>
        </w:rPr>
        <w:t xml:space="preserve">0 </w:t>
      </w:r>
      <w:r w:rsidRPr="00B6585E">
        <w:rPr>
          <w:rFonts w:ascii="Arial" w:eastAsia="Times New Roman" w:hAnsi="Arial" w:cs="Arial"/>
          <w:color w:val="000000" w:themeColor="text1"/>
          <w:sz w:val="22"/>
          <w:szCs w:val="22"/>
          <w:lang w:val="en-US"/>
        </w:rPr>
        <w:t>years</w:t>
      </w:r>
    </w:p>
    <w:p w14:paraId="32A6616B" w14:textId="0300A414" w:rsidR="00764EC7" w:rsidRPr="00B6585E" w:rsidRDefault="00764EC7" w:rsidP="003804EF">
      <w:pPr>
        <w:pStyle w:val="ListParagraph"/>
        <w:numPr>
          <w:ilvl w:val="2"/>
          <w:numId w:val="33"/>
        </w:numPr>
        <w:spacing w:before="120" w:after="120"/>
        <w:ind w:right="-7" w:hanging="720"/>
        <w:contextualSpacing/>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Preoperative Troponin T (5</w:t>
      </w:r>
      <w:r w:rsidRPr="00B6585E">
        <w:rPr>
          <w:rFonts w:ascii="Arial" w:eastAsia="Times New Roman" w:hAnsi="Arial" w:cs="Arial"/>
          <w:color w:val="000000" w:themeColor="text1"/>
          <w:sz w:val="22"/>
          <w:szCs w:val="22"/>
          <w:vertAlign w:val="superscript"/>
          <w:lang w:val="en-US"/>
        </w:rPr>
        <w:t>th</w:t>
      </w:r>
      <w:r w:rsidRPr="00B6585E">
        <w:rPr>
          <w:rFonts w:ascii="Arial" w:eastAsia="Times New Roman" w:hAnsi="Arial" w:cs="Arial"/>
          <w:color w:val="000000" w:themeColor="text1"/>
          <w:sz w:val="22"/>
          <w:szCs w:val="22"/>
          <w:lang w:val="en-US"/>
        </w:rPr>
        <w:t xml:space="preserve"> generation) ≥ 25ng/dL</w:t>
      </w:r>
    </w:p>
    <w:p w14:paraId="0A2B0FDD" w14:textId="77777777" w:rsidR="00931A60" w:rsidRPr="00B6585E" w:rsidRDefault="00A221DB">
      <w:pPr>
        <w:pStyle w:val="Heading2"/>
        <w:rPr>
          <w:color w:val="000000" w:themeColor="text1"/>
        </w:rPr>
      </w:pPr>
      <w:bookmarkStart w:id="148" w:name="_Toc96924963"/>
      <w:r w:rsidRPr="00B6585E">
        <w:rPr>
          <w:color w:val="000000" w:themeColor="text1"/>
        </w:rPr>
        <w:lastRenderedPageBreak/>
        <w:t>Exclusion Criteria</w:t>
      </w:r>
      <w:bookmarkEnd w:id="145"/>
      <w:bookmarkEnd w:id="146"/>
      <w:bookmarkEnd w:id="147"/>
      <w:bookmarkEnd w:id="148"/>
    </w:p>
    <w:p w14:paraId="310C3A59" w14:textId="5229A740" w:rsidR="00931A60" w:rsidRPr="00B6585E" w:rsidRDefault="00A221DB" w:rsidP="001E1302">
      <w:pPr>
        <w:pStyle w:val="ListParagraph"/>
        <w:numPr>
          <w:ilvl w:val="0"/>
          <w:numId w:val="17"/>
        </w:numPr>
        <w:spacing w:before="120" w:after="120"/>
        <w:ind w:right="-7"/>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Previous adverse response and/or allergy to levosimendan</w:t>
      </w:r>
    </w:p>
    <w:p w14:paraId="3D27307D" w14:textId="6FF8B82F" w:rsidR="00931A60" w:rsidRPr="00B6585E" w:rsidRDefault="00A221DB"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ICU Patients undergoing surgery  </w:t>
      </w:r>
    </w:p>
    <w:p w14:paraId="237C022E" w14:textId="0A0F75F6" w:rsidR="00931A60" w:rsidRPr="00B6585E" w:rsidRDefault="007C1F19"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Preoperative </w:t>
      </w:r>
      <w:r w:rsidR="00A221DB" w:rsidRPr="00B6585E">
        <w:rPr>
          <w:rFonts w:ascii="Arial" w:eastAsia="Times New Roman" w:hAnsi="Arial" w:cs="Arial"/>
          <w:color w:val="000000" w:themeColor="text1"/>
          <w:sz w:val="22"/>
          <w:szCs w:val="22"/>
          <w:lang w:val="en-US"/>
        </w:rPr>
        <w:t xml:space="preserve">Sepsis/SIRS </w:t>
      </w:r>
      <w:r w:rsidRPr="00B6585E">
        <w:rPr>
          <w:rFonts w:ascii="Arial" w:eastAsia="Times New Roman" w:hAnsi="Arial" w:cs="Arial"/>
          <w:color w:val="000000" w:themeColor="text1"/>
          <w:sz w:val="22"/>
          <w:szCs w:val="22"/>
          <w:lang w:val="en-US"/>
        </w:rPr>
        <w:t>needing ICU treatment</w:t>
      </w:r>
    </w:p>
    <w:p w14:paraId="676C5F39" w14:textId="77777777" w:rsidR="00931A60" w:rsidRPr="00B6585E" w:rsidRDefault="00A221DB"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Preoperative hemodynamically instable patients, who require vasopressor or inotropic support</w:t>
      </w:r>
    </w:p>
    <w:p w14:paraId="438DF69B" w14:textId="77777777" w:rsidR="00931A60" w:rsidRPr="00B6585E" w:rsidRDefault="00A221DB"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Renal or liver transplantation</w:t>
      </w:r>
    </w:p>
    <w:p w14:paraId="383A7D8A" w14:textId="78C6E978" w:rsidR="00931A60" w:rsidRPr="00B6585E" w:rsidRDefault="00971C80" w:rsidP="00971C80">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History of severe heart failure (e.g. </w:t>
      </w:r>
      <w:r w:rsidRPr="00B6585E">
        <w:rPr>
          <w:rFonts w:ascii="Arial" w:hAnsi="Arial" w:cs="Arial"/>
          <w:color w:val="000000" w:themeColor="text1"/>
          <w:sz w:val="22"/>
          <w:szCs w:val="22"/>
          <w:lang w:val="en-US"/>
        </w:rPr>
        <w:t>LVEF</w:t>
      </w:r>
      <w:r w:rsidR="00A221DB" w:rsidRPr="00B6585E">
        <w:rPr>
          <w:rFonts w:ascii="Arial" w:hAnsi="Arial" w:cs="Arial"/>
          <w:color w:val="000000" w:themeColor="text1"/>
          <w:sz w:val="22"/>
          <w:szCs w:val="22"/>
          <w:lang w:val="en-US"/>
        </w:rPr>
        <w:t xml:space="preserve"> &lt; 30%</w:t>
      </w:r>
      <w:r w:rsidRPr="00B6585E">
        <w:rPr>
          <w:rFonts w:ascii="Arial" w:hAnsi="Arial" w:cs="Arial"/>
          <w:color w:val="000000" w:themeColor="text1"/>
          <w:sz w:val="22"/>
          <w:szCs w:val="22"/>
          <w:lang w:val="en-US"/>
        </w:rPr>
        <w:t>)</w:t>
      </w:r>
      <w:r w:rsidR="00A221DB" w:rsidRPr="00B6585E">
        <w:rPr>
          <w:rFonts w:ascii="Arial" w:hAnsi="Arial" w:cs="Arial"/>
          <w:color w:val="000000" w:themeColor="text1"/>
          <w:sz w:val="22"/>
          <w:szCs w:val="22"/>
          <w:lang w:val="en-US"/>
        </w:rPr>
        <w:t xml:space="preserve"> </w:t>
      </w:r>
    </w:p>
    <w:p w14:paraId="36EED9D2" w14:textId="77777777" w:rsidR="00931A60" w:rsidRPr="00B6585E" w:rsidRDefault="00A221DB"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Patients undergoing surgery for pheochromocytoma </w:t>
      </w:r>
    </w:p>
    <w:p w14:paraId="031BD8ED" w14:textId="4EE23567" w:rsidR="00FE4AD8" w:rsidRPr="00B6585E" w:rsidRDefault="00A221DB" w:rsidP="0020579E">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Liver cirrhosis</w:t>
      </w:r>
    </w:p>
    <w:p w14:paraId="1CE8EB06" w14:textId="5A39E089" w:rsidR="00CD344F" w:rsidRPr="00B6585E" w:rsidRDefault="004740C3"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Diagnosed p</w:t>
      </w:r>
      <w:r w:rsidR="00CD344F" w:rsidRPr="00B6585E">
        <w:rPr>
          <w:rFonts w:ascii="Arial" w:eastAsia="Times New Roman" w:hAnsi="Arial" w:cs="Arial"/>
          <w:color w:val="000000" w:themeColor="text1"/>
          <w:sz w:val="22"/>
          <w:szCs w:val="22"/>
          <w:lang w:val="en-US"/>
        </w:rPr>
        <w:t xml:space="preserve">ulmonary </w:t>
      </w:r>
      <w:r w:rsidRPr="00B6585E">
        <w:rPr>
          <w:rFonts w:ascii="Arial" w:eastAsia="Times New Roman" w:hAnsi="Arial" w:cs="Arial"/>
          <w:color w:val="000000" w:themeColor="text1"/>
          <w:sz w:val="22"/>
          <w:szCs w:val="22"/>
          <w:lang w:val="en-US"/>
        </w:rPr>
        <w:t>h</w:t>
      </w:r>
      <w:r w:rsidR="00CD344F" w:rsidRPr="00B6585E">
        <w:rPr>
          <w:rFonts w:ascii="Arial" w:eastAsia="Times New Roman" w:hAnsi="Arial" w:cs="Arial"/>
          <w:color w:val="000000" w:themeColor="text1"/>
          <w:sz w:val="22"/>
          <w:szCs w:val="22"/>
          <w:lang w:val="en-US"/>
        </w:rPr>
        <w:t xml:space="preserve">ypertension </w:t>
      </w:r>
      <w:r w:rsidR="00B62FCE" w:rsidRPr="00B6585E">
        <w:rPr>
          <w:rFonts w:ascii="Arial" w:eastAsia="Times New Roman" w:hAnsi="Arial" w:cs="Arial"/>
          <w:color w:val="000000" w:themeColor="text1"/>
          <w:sz w:val="22"/>
          <w:szCs w:val="22"/>
          <w:lang w:val="en-US"/>
        </w:rPr>
        <w:t>(</w:t>
      </w:r>
      <w:r w:rsidR="007C5633" w:rsidRPr="00B6585E">
        <w:rPr>
          <w:rFonts w:ascii="Arial" w:eastAsia="Times New Roman" w:hAnsi="Arial" w:cs="Arial"/>
          <w:color w:val="000000" w:themeColor="text1"/>
          <w:sz w:val="22"/>
          <w:szCs w:val="22"/>
          <w:lang w:val="en-US"/>
        </w:rPr>
        <w:t>m</w:t>
      </w:r>
      <w:r w:rsidR="00B62FCE" w:rsidRPr="00B6585E">
        <w:rPr>
          <w:rFonts w:ascii="Arial" w:eastAsia="Times New Roman" w:hAnsi="Arial" w:cs="Arial"/>
          <w:color w:val="000000" w:themeColor="text1"/>
          <w:sz w:val="22"/>
          <w:szCs w:val="22"/>
          <w:lang w:val="en-US"/>
        </w:rPr>
        <w:t>PAP &gt; 25 mmHg</w:t>
      </w:r>
      <w:r w:rsidRPr="00B6585E">
        <w:rPr>
          <w:rFonts w:ascii="Arial" w:eastAsia="Times New Roman" w:hAnsi="Arial" w:cs="Arial"/>
          <w:color w:val="000000" w:themeColor="text1"/>
          <w:sz w:val="22"/>
          <w:szCs w:val="22"/>
          <w:lang w:val="en-US"/>
        </w:rPr>
        <w:t xml:space="preserve"> – right heart catherization</w:t>
      </w:r>
      <w:r w:rsidR="00B62FCE" w:rsidRPr="00B6585E">
        <w:rPr>
          <w:rFonts w:ascii="Arial" w:eastAsia="Times New Roman" w:hAnsi="Arial" w:cs="Arial"/>
          <w:color w:val="000000" w:themeColor="text1"/>
          <w:sz w:val="22"/>
          <w:szCs w:val="22"/>
          <w:lang w:val="en-US"/>
        </w:rPr>
        <w:t xml:space="preserve">) </w:t>
      </w:r>
      <w:r w:rsidRPr="00B6585E">
        <w:rPr>
          <w:rFonts w:ascii="Arial" w:eastAsia="Times New Roman" w:hAnsi="Arial" w:cs="Arial"/>
          <w:color w:val="000000" w:themeColor="text1"/>
          <w:sz w:val="22"/>
          <w:szCs w:val="22"/>
          <w:lang w:val="en-US"/>
        </w:rPr>
        <w:t>requiring treatment</w:t>
      </w:r>
    </w:p>
    <w:p w14:paraId="5C41002B" w14:textId="3E38DE2F" w:rsidR="00015028" w:rsidRPr="00B6585E" w:rsidRDefault="00015028" w:rsidP="001E1302">
      <w:pPr>
        <w:pStyle w:val="ListParagraph"/>
        <w:numPr>
          <w:ilvl w:val="0"/>
          <w:numId w:val="17"/>
        </w:numPr>
        <w:spacing w:before="120" w:after="120"/>
        <w:ind w:right="-7"/>
        <w:contextualSpacing/>
        <w:jc w:val="both"/>
        <w:rPr>
          <w:rFonts w:ascii="Arial" w:eastAsia="Times New Roman" w:hAnsi="Arial" w:cs="Arial"/>
          <w:color w:val="000000" w:themeColor="text1"/>
          <w:sz w:val="22"/>
          <w:szCs w:val="22"/>
          <w:lang w:val="en-US"/>
        </w:rPr>
      </w:pPr>
      <w:r w:rsidRPr="00B6585E">
        <w:rPr>
          <w:rFonts w:ascii="Arial" w:eastAsia="Times New Roman" w:hAnsi="Arial" w:cs="Arial"/>
          <w:color w:val="000000" w:themeColor="text1"/>
          <w:sz w:val="22"/>
          <w:szCs w:val="22"/>
          <w:lang w:val="en-US"/>
        </w:rPr>
        <w:t xml:space="preserve">Severe Renal Failure defines as </w:t>
      </w:r>
      <w:r w:rsidR="00C85F39" w:rsidRPr="00B6585E">
        <w:rPr>
          <w:rFonts w:ascii="Arial" w:eastAsia="Times New Roman" w:hAnsi="Arial" w:cs="Arial"/>
          <w:color w:val="000000" w:themeColor="text1"/>
          <w:sz w:val="22"/>
          <w:szCs w:val="22"/>
          <w:lang w:val="en-US"/>
        </w:rPr>
        <w:t>creatinine clearance</w:t>
      </w:r>
      <w:r w:rsidRPr="00B6585E">
        <w:rPr>
          <w:rFonts w:ascii="Arial" w:eastAsia="Times New Roman" w:hAnsi="Arial" w:cs="Arial"/>
          <w:color w:val="000000" w:themeColor="text1"/>
          <w:sz w:val="22"/>
          <w:szCs w:val="22"/>
          <w:lang w:val="en-US"/>
        </w:rPr>
        <w:t xml:space="preserve"> &lt; 30 ml/min</w:t>
      </w:r>
    </w:p>
    <w:p w14:paraId="6B20C529" w14:textId="77777777" w:rsidR="00931A60" w:rsidRPr="00B6585E" w:rsidRDefault="00A221DB">
      <w:pPr>
        <w:pStyle w:val="Heading2"/>
        <w:rPr>
          <w:color w:val="000000" w:themeColor="text1"/>
        </w:rPr>
      </w:pPr>
      <w:bookmarkStart w:id="149" w:name="_Toc9107186"/>
      <w:bookmarkStart w:id="150" w:name="_Toc23231314"/>
      <w:bookmarkStart w:id="151" w:name="_Toc96924964"/>
      <w:r w:rsidRPr="00B6585E">
        <w:rPr>
          <w:color w:val="000000" w:themeColor="text1"/>
        </w:rPr>
        <w:t>Patient Recruitment and Informed Consent</w:t>
      </w:r>
      <w:bookmarkEnd w:id="149"/>
      <w:bookmarkEnd w:id="150"/>
      <w:bookmarkEnd w:id="151"/>
    </w:p>
    <w:p w14:paraId="6338A9CF" w14:textId="604D8806"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Study personal will screen daily surgical list</w:t>
      </w:r>
      <w:r w:rsidR="000F7AE1" w:rsidRPr="00B6585E">
        <w:rPr>
          <w:rFonts w:ascii="Arial" w:hAnsi="Arial" w:cs="Arial"/>
          <w:color w:val="000000" w:themeColor="text1"/>
          <w:sz w:val="22"/>
          <w:szCs w:val="22"/>
        </w:rPr>
        <w:t>s</w:t>
      </w:r>
      <w:r w:rsidRPr="00B6585E">
        <w:rPr>
          <w:rFonts w:ascii="Arial" w:hAnsi="Arial" w:cs="Arial"/>
          <w:color w:val="000000" w:themeColor="text1"/>
          <w:sz w:val="22"/>
          <w:szCs w:val="22"/>
        </w:rPr>
        <w:t xml:space="preserve"> in the operating center and the services of anesthesia for surgery. Study personnel will approach all eligible patients to obtain informed consent before surgery. Previous experience showed that approximately 3-4 patients per week will meet the inclusion criteria. Therefore, we assume a period of 12 to 24 month to complete this trial.</w:t>
      </w:r>
    </w:p>
    <w:p w14:paraId="4D5363E3" w14:textId="77182FC4" w:rsidR="008B4ABF" w:rsidRPr="00B6585E" w:rsidRDefault="001F5D7E" w:rsidP="00015028">
      <w:pPr>
        <w:pStyle w:val="Heading2"/>
        <w:rPr>
          <w:color w:val="000000" w:themeColor="text1"/>
        </w:rPr>
      </w:pPr>
      <w:bookmarkStart w:id="152" w:name="_Toc9107187"/>
      <w:bookmarkStart w:id="153" w:name="_Toc23231315"/>
      <w:bookmarkStart w:id="154" w:name="_Toc96924965"/>
      <w:r w:rsidRPr="00B6585E">
        <w:rPr>
          <w:color w:val="000000" w:themeColor="text1"/>
        </w:rPr>
        <w:t>Random</w:t>
      </w:r>
      <w:r w:rsidR="00A221DB" w:rsidRPr="00B6585E">
        <w:rPr>
          <w:color w:val="000000" w:themeColor="text1"/>
        </w:rPr>
        <w:t>ization</w:t>
      </w:r>
      <w:bookmarkEnd w:id="152"/>
      <w:bookmarkEnd w:id="153"/>
      <w:bookmarkEnd w:id="154"/>
    </w:p>
    <w:p w14:paraId="1F9DEE0D" w14:textId="77777777" w:rsidR="00C315C4" w:rsidRPr="00B6585E" w:rsidRDefault="00C315C4" w:rsidP="00C315C4">
      <w:pPr>
        <w:jc w:val="both"/>
        <w:rPr>
          <w:rFonts w:ascii="Arial" w:hAnsi="Arial" w:cs="Arial"/>
          <w:color w:val="000000" w:themeColor="text1"/>
          <w:sz w:val="22"/>
          <w:szCs w:val="22"/>
          <w:shd w:val="clear" w:color="auto" w:fill="FFFFFF"/>
        </w:rPr>
      </w:pPr>
      <w:r w:rsidRPr="00B6585E">
        <w:rPr>
          <w:rFonts w:ascii="Arial" w:hAnsi="Arial" w:cs="Arial"/>
          <w:color w:val="000000" w:themeColor="text1"/>
          <w:sz w:val="22"/>
          <w:szCs w:val="22"/>
        </w:rPr>
        <w:t xml:space="preserve">Randomization will be conducted after noninvasive blood pressure measurement is performed (within 1 hour before induction of anesthesia). </w:t>
      </w:r>
      <w:r w:rsidRPr="00B6585E">
        <w:rPr>
          <w:rFonts w:ascii="Arial" w:hAnsi="Arial" w:cs="Arial"/>
          <w:color w:val="000000" w:themeColor="text1"/>
          <w:sz w:val="22"/>
          <w:szCs w:val="22"/>
          <w:shd w:val="clear" w:color="auto" w:fill="FFFFFF"/>
        </w:rPr>
        <w:t>Thereafter, patients will be randomized with the online randomization program “Randomizer”</w:t>
      </w:r>
      <w:r w:rsidRPr="00B6585E">
        <w:rPr>
          <w:rFonts w:ascii="Calibri" w:hAnsi="Calibri" w:cs="Arial"/>
          <w:color w:val="000000" w:themeColor="text1"/>
          <w:sz w:val="22"/>
          <w:szCs w:val="22"/>
        </w:rPr>
        <w:t xml:space="preserve"> </w:t>
      </w:r>
      <w:r w:rsidRPr="00B6585E">
        <w:rPr>
          <w:rFonts w:ascii="Arial" w:hAnsi="Arial" w:cs="Arial"/>
          <w:color w:val="000000" w:themeColor="text1"/>
          <w:sz w:val="22"/>
          <w:szCs w:val="22"/>
        </w:rPr>
        <w:t>(Randomizer, Medical University of Graz, Graz, Austria</w:t>
      </w:r>
      <w:r w:rsidRPr="00B6585E">
        <w:rPr>
          <w:rFonts w:ascii="Arial" w:hAnsi="Arial" w:cs="Arial"/>
          <w:color w:val="000000" w:themeColor="text1"/>
          <w:sz w:val="22"/>
          <w:szCs w:val="22"/>
          <w:shd w:val="clear" w:color="auto" w:fill="FFFFFF"/>
        </w:rPr>
        <w:t xml:space="preserve"> </w:t>
      </w:r>
      <w:hyperlink r:id="rId16" w:history="1">
        <w:r w:rsidRPr="00B6585E">
          <w:rPr>
            <w:rStyle w:val="Hyperlink"/>
            <w:rFonts w:ascii="Arial" w:eastAsia="Calibri" w:hAnsi="Arial" w:cs="Arial"/>
            <w:color w:val="000000" w:themeColor="text1"/>
            <w:sz w:val="22"/>
            <w:szCs w:val="22"/>
            <w:shd w:val="clear" w:color="auto" w:fill="FFFFFF"/>
          </w:rPr>
          <w:t>https://www.meduniwien.ac.at/randomizer/web/login.php</w:t>
        </w:r>
      </w:hyperlink>
      <w:r w:rsidRPr="00B6585E">
        <w:rPr>
          <w:rFonts w:ascii="Arial" w:hAnsi="Arial" w:cs="Arial"/>
          <w:color w:val="000000" w:themeColor="text1"/>
          <w:sz w:val="22"/>
          <w:szCs w:val="22"/>
          <w:shd w:val="clear" w:color="auto" w:fill="FFFFFF"/>
        </w:rPr>
        <w:t xml:space="preserve">) provided by the Medical University of Vienna. Randomization will be performed using permutated blocks. </w:t>
      </w:r>
      <w:r w:rsidRPr="00B6585E">
        <w:rPr>
          <w:rFonts w:ascii="Arial" w:hAnsi="Arial" w:cs="Arial"/>
          <w:iCs/>
          <w:color w:val="000000" w:themeColor="text1"/>
          <w:sz w:val="22"/>
          <w:szCs w:val="22"/>
        </w:rPr>
        <w:t>There will be no stratification of the randomization.</w:t>
      </w:r>
    </w:p>
    <w:p w14:paraId="08C22771" w14:textId="77777777" w:rsidR="00C315C4" w:rsidRPr="00B6585E" w:rsidRDefault="00C315C4" w:rsidP="00C315C4">
      <w:pPr>
        <w:jc w:val="both"/>
        <w:rPr>
          <w:rFonts w:ascii="Arial" w:hAnsi="Arial" w:cs="Arial"/>
          <w:color w:val="000000" w:themeColor="text1"/>
          <w:sz w:val="22"/>
          <w:szCs w:val="22"/>
        </w:rPr>
      </w:pPr>
      <w:r w:rsidRPr="00B6585E">
        <w:rPr>
          <w:rFonts w:ascii="Arial" w:hAnsi="Arial" w:cs="Arial"/>
          <w:color w:val="000000" w:themeColor="text1"/>
          <w:sz w:val="22"/>
          <w:szCs w:val="22"/>
          <w:shd w:val="clear" w:color="auto" w:fill="FFFFFF"/>
        </w:rPr>
        <w:t xml:space="preserve">Randomization can only be performed by registered persons. For log-in, an individual User-ID and password entry are necessary. To ensure the double-blind character of the study, only the unblinded study personal can log in that are involved in the preparation of the study drug, but not in the data acquisition. Randomization will be conducted only if the patient can be included in the study (checking of inclusion and exclusion criteria; written informed consent of the patient; preoperative blood pressure measurement). Before randomization, the person who conducts the randomization receives information about the ID-number of the patient that should be randomized. The ID-Number will be a consecutive number of the patients who meet the inclusion criteria. The advantage of the online randomization with the “Randomizer” is that for each patient, information will be available, when the patient was randomized and by whom. Thereafter, patients will receive </w:t>
      </w:r>
      <w:r w:rsidRPr="00B6585E">
        <w:rPr>
          <w:rFonts w:ascii="Arial" w:hAnsi="Arial" w:cs="Arial"/>
          <w:color w:val="000000" w:themeColor="text1"/>
        </w:rPr>
        <w:t>an</w:t>
      </w:r>
      <w:r w:rsidRPr="00B6585E">
        <w:rPr>
          <w:color w:val="000000" w:themeColor="text1"/>
        </w:rPr>
        <w:t xml:space="preserve"> </w:t>
      </w:r>
      <w:r w:rsidRPr="00B6585E">
        <w:rPr>
          <w:rFonts w:ascii="Arial" w:hAnsi="Arial" w:cs="Arial"/>
          <w:color w:val="000000" w:themeColor="text1"/>
          <w:sz w:val="22"/>
          <w:szCs w:val="22"/>
        </w:rPr>
        <w:t>intraoperative infusion of 12.5 mg levosimendan or placebo for 24 hours.</w:t>
      </w:r>
    </w:p>
    <w:p w14:paraId="1B6FCECE" w14:textId="77777777" w:rsidR="00C315C4" w:rsidRPr="00B6585E" w:rsidRDefault="00C315C4" w:rsidP="00C315C4">
      <w:pPr>
        <w:jc w:val="both"/>
        <w:rPr>
          <w:i/>
          <w:iCs/>
          <w:strike/>
          <w:color w:val="000000" w:themeColor="text1"/>
        </w:rPr>
      </w:pPr>
      <w:r w:rsidRPr="00B6585E">
        <w:rPr>
          <w:rFonts w:ascii="Arial" w:hAnsi="Arial" w:cs="Arial"/>
          <w:i/>
          <w:iCs/>
          <w:color w:val="000000" w:themeColor="text1"/>
          <w:sz w:val="22"/>
          <w:szCs w:val="22"/>
        </w:rPr>
        <w:t xml:space="preserve">Infusion of the study drug will be started immediately after skin incision. after shortly after endotracheal intubation and placement of appropriate venous access. Patients will not be informed regarding their randomization. (Figure 1). </w:t>
      </w:r>
    </w:p>
    <w:p w14:paraId="288A5ABA" w14:textId="05248808" w:rsidR="00931A60" w:rsidRPr="00B6585E" w:rsidRDefault="00352FFA">
      <w:pPr>
        <w:spacing w:before="120" w:after="120"/>
        <w:ind w:right="-7"/>
        <w:jc w:val="both"/>
        <w:rPr>
          <w:rFonts w:ascii="Arial" w:hAnsi="Arial" w:cs="Arial"/>
          <w:i/>
          <w:iCs/>
          <w:color w:val="000000" w:themeColor="text1"/>
          <w:sz w:val="22"/>
          <w:szCs w:val="22"/>
        </w:rPr>
      </w:pPr>
      <w:r w:rsidRPr="00B6585E">
        <w:rPr>
          <w:rFonts w:ascii="Arial" w:hAnsi="Arial" w:cs="Arial"/>
          <w:b/>
          <w:i/>
          <w:iCs/>
          <w:color w:val="000000" w:themeColor="text1"/>
          <w:sz w:val="22"/>
          <w:szCs w:val="22"/>
        </w:rPr>
        <w:t xml:space="preserve">Verum - </w:t>
      </w:r>
      <w:r w:rsidR="00A221DB" w:rsidRPr="00B6585E">
        <w:rPr>
          <w:rFonts w:ascii="Arial" w:hAnsi="Arial" w:cs="Arial"/>
          <w:b/>
          <w:i/>
          <w:iCs/>
          <w:color w:val="000000" w:themeColor="text1"/>
          <w:sz w:val="22"/>
          <w:szCs w:val="22"/>
        </w:rPr>
        <w:t>Group:</w:t>
      </w:r>
      <w:r w:rsidR="00A221DB" w:rsidRPr="00B6585E">
        <w:rPr>
          <w:rFonts w:ascii="Arial" w:hAnsi="Arial" w:cs="Arial"/>
          <w:i/>
          <w:iCs/>
          <w:color w:val="000000" w:themeColor="text1"/>
          <w:sz w:val="22"/>
          <w:szCs w:val="22"/>
        </w:rPr>
        <w:t xml:space="preserve"> </w:t>
      </w:r>
      <w:r w:rsidRPr="00B6585E">
        <w:rPr>
          <w:rFonts w:ascii="Arial" w:hAnsi="Arial" w:cs="Arial"/>
          <w:i/>
          <w:iCs/>
          <w:color w:val="000000" w:themeColor="text1"/>
          <w:sz w:val="22"/>
          <w:szCs w:val="22"/>
        </w:rPr>
        <w:t>Immediately after skin incision</w:t>
      </w:r>
      <w:r w:rsidR="00A221DB" w:rsidRPr="00B6585E">
        <w:rPr>
          <w:rFonts w:ascii="Arial" w:hAnsi="Arial" w:cs="Arial"/>
          <w:i/>
          <w:iCs/>
          <w:color w:val="000000" w:themeColor="text1"/>
          <w:sz w:val="22"/>
          <w:szCs w:val="22"/>
        </w:rPr>
        <w:t xml:space="preserve"> patients </w:t>
      </w:r>
      <w:r w:rsidR="00AC0988" w:rsidRPr="00B6585E">
        <w:rPr>
          <w:rFonts w:ascii="Arial" w:hAnsi="Arial" w:cs="Arial"/>
          <w:i/>
          <w:iCs/>
          <w:color w:val="000000" w:themeColor="text1"/>
          <w:sz w:val="22"/>
          <w:szCs w:val="22"/>
        </w:rPr>
        <w:t>allocated</w:t>
      </w:r>
      <w:r w:rsidR="00A221DB" w:rsidRPr="00B6585E">
        <w:rPr>
          <w:rFonts w:ascii="Arial" w:hAnsi="Arial" w:cs="Arial"/>
          <w:i/>
          <w:iCs/>
          <w:color w:val="000000" w:themeColor="text1"/>
          <w:sz w:val="22"/>
          <w:szCs w:val="22"/>
        </w:rPr>
        <w:t xml:space="preserve"> to the verum group will receive a dose of 12.5 mg in </w:t>
      </w:r>
      <w:r w:rsidR="00535B96" w:rsidRPr="00B6585E">
        <w:rPr>
          <w:rFonts w:ascii="Arial" w:hAnsi="Arial" w:cs="Arial"/>
          <w:i/>
          <w:iCs/>
          <w:color w:val="000000" w:themeColor="text1"/>
          <w:sz w:val="22"/>
          <w:szCs w:val="22"/>
        </w:rPr>
        <w:t xml:space="preserve">500mL </w:t>
      </w:r>
      <w:r w:rsidR="00A221DB" w:rsidRPr="00B6585E">
        <w:rPr>
          <w:rFonts w:ascii="Arial" w:hAnsi="Arial" w:cs="Arial"/>
          <w:i/>
          <w:iCs/>
          <w:color w:val="000000" w:themeColor="text1"/>
          <w:sz w:val="22"/>
          <w:szCs w:val="22"/>
        </w:rPr>
        <w:t>of levosimendan.</w:t>
      </w:r>
    </w:p>
    <w:p w14:paraId="3546CAB2" w14:textId="557E78F9" w:rsidR="00B67A26" w:rsidRPr="00B6585E" w:rsidRDefault="00A221DB">
      <w:pPr>
        <w:spacing w:before="120" w:after="120"/>
        <w:ind w:right="-7"/>
        <w:jc w:val="both"/>
        <w:rPr>
          <w:rFonts w:ascii="Arial" w:hAnsi="Arial" w:cs="Arial"/>
          <w:i/>
          <w:iCs/>
          <w:color w:val="000000" w:themeColor="text1"/>
          <w:sz w:val="22"/>
          <w:szCs w:val="22"/>
        </w:rPr>
      </w:pPr>
      <w:r w:rsidRPr="00B6585E">
        <w:rPr>
          <w:rFonts w:ascii="Arial" w:hAnsi="Arial" w:cs="Arial"/>
          <w:b/>
          <w:i/>
          <w:iCs/>
          <w:color w:val="000000" w:themeColor="text1"/>
          <w:sz w:val="22"/>
          <w:szCs w:val="22"/>
        </w:rPr>
        <w:t>Placebo</w:t>
      </w:r>
      <w:r w:rsidR="00352FFA" w:rsidRPr="00B6585E">
        <w:rPr>
          <w:rFonts w:ascii="Arial" w:hAnsi="Arial" w:cs="Arial"/>
          <w:b/>
          <w:i/>
          <w:iCs/>
          <w:color w:val="000000" w:themeColor="text1"/>
          <w:sz w:val="22"/>
          <w:szCs w:val="22"/>
        </w:rPr>
        <w:t xml:space="preserve"> </w:t>
      </w:r>
      <w:r w:rsidRPr="00B6585E">
        <w:rPr>
          <w:rFonts w:ascii="Arial" w:hAnsi="Arial" w:cs="Arial"/>
          <w:b/>
          <w:i/>
          <w:iCs/>
          <w:color w:val="000000" w:themeColor="text1"/>
          <w:sz w:val="22"/>
          <w:szCs w:val="22"/>
        </w:rPr>
        <w:t>-</w:t>
      </w:r>
      <w:r w:rsidR="00352FFA" w:rsidRPr="00B6585E">
        <w:rPr>
          <w:rFonts w:ascii="Arial" w:hAnsi="Arial" w:cs="Arial"/>
          <w:b/>
          <w:i/>
          <w:iCs/>
          <w:color w:val="000000" w:themeColor="text1"/>
          <w:sz w:val="22"/>
          <w:szCs w:val="22"/>
        </w:rPr>
        <w:t xml:space="preserve"> </w:t>
      </w:r>
      <w:r w:rsidRPr="00B6585E">
        <w:rPr>
          <w:rFonts w:ascii="Arial" w:hAnsi="Arial" w:cs="Arial"/>
          <w:b/>
          <w:i/>
          <w:iCs/>
          <w:color w:val="000000" w:themeColor="text1"/>
          <w:sz w:val="22"/>
          <w:szCs w:val="22"/>
        </w:rPr>
        <w:t>Group:</w:t>
      </w:r>
      <w:r w:rsidRPr="00B6585E">
        <w:rPr>
          <w:rFonts w:ascii="Arial" w:hAnsi="Arial" w:cs="Arial"/>
          <w:i/>
          <w:iCs/>
          <w:color w:val="000000" w:themeColor="text1"/>
          <w:sz w:val="22"/>
          <w:szCs w:val="22"/>
        </w:rPr>
        <w:t xml:space="preserve"> </w:t>
      </w:r>
      <w:r w:rsidR="00352FFA" w:rsidRPr="00B6585E">
        <w:rPr>
          <w:rFonts w:ascii="Arial" w:hAnsi="Arial" w:cs="Arial"/>
          <w:i/>
          <w:iCs/>
          <w:color w:val="000000" w:themeColor="text1"/>
          <w:sz w:val="22"/>
          <w:szCs w:val="22"/>
        </w:rPr>
        <w:t xml:space="preserve">Immediately after skin incision </w:t>
      </w:r>
      <w:r w:rsidRPr="00B6585E">
        <w:rPr>
          <w:rFonts w:ascii="Arial" w:hAnsi="Arial" w:cs="Arial"/>
          <w:i/>
          <w:iCs/>
          <w:color w:val="000000" w:themeColor="text1"/>
          <w:sz w:val="22"/>
          <w:szCs w:val="22"/>
        </w:rPr>
        <w:t xml:space="preserve">patients </w:t>
      </w:r>
      <w:r w:rsidR="00AC0988" w:rsidRPr="00B6585E">
        <w:rPr>
          <w:rFonts w:ascii="Arial" w:hAnsi="Arial" w:cs="Arial"/>
          <w:i/>
          <w:iCs/>
          <w:color w:val="000000" w:themeColor="text1"/>
          <w:sz w:val="22"/>
          <w:szCs w:val="22"/>
        </w:rPr>
        <w:t>allocated</w:t>
      </w:r>
      <w:r w:rsidRPr="00B6585E">
        <w:rPr>
          <w:rFonts w:ascii="Arial" w:hAnsi="Arial" w:cs="Arial"/>
          <w:i/>
          <w:iCs/>
          <w:color w:val="000000" w:themeColor="text1"/>
          <w:sz w:val="22"/>
          <w:szCs w:val="22"/>
        </w:rPr>
        <w:t xml:space="preserve"> to the placebo group will receive </w:t>
      </w:r>
      <w:r w:rsidR="00535B96" w:rsidRPr="00B6585E">
        <w:rPr>
          <w:rFonts w:ascii="Arial" w:hAnsi="Arial" w:cs="Arial"/>
          <w:i/>
          <w:iCs/>
          <w:color w:val="000000" w:themeColor="text1"/>
          <w:sz w:val="22"/>
          <w:szCs w:val="22"/>
        </w:rPr>
        <w:t>500</w:t>
      </w:r>
      <w:r w:rsidRPr="00B6585E">
        <w:rPr>
          <w:rFonts w:ascii="Arial" w:hAnsi="Arial" w:cs="Arial"/>
          <w:i/>
          <w:iCs/>
          <w:color w:val="000000" w:themeColor="text1"/>
          <w:sz w:val="22"/>
          <w:szCs w:val="22"/>
        </w:rPr>
        <w:t xml:space="preserve">mL of 5% Glucose. </w:t>
      </w:r>
    </w:p>
    <w:p w14:paraId="25921872" w14:textId="77777777" w:rsidR="00C709D6" w:rsidRPr="00B6585E" w:rsidRDefault="00C709D6">
      <w:pPr>
        <w:spacing w:before="120" w:after="120"/>
        <w:ind w:right="-7"/>
        <w:jc w:val="both"/>
        <w:rPr>
          <w:rFonts w:ascii="Arial" w:hAnsi="Arial" w:cs="Arial"/>
          <w:color w:val="000000" w:themeColor="text1"/>
          <w:sz w:val="22"/>
          <w:szCs w:val="22"/>
        </w:rPr>
      </w:pPr>
    </w:p>
    <w:p w14:paraId="21B2E0DD" w14:textId="77777777" w:rsidR="00931A60" w:rsidRPr="00B6585E" w:rsidRDefault="00A221DB">
      <w:pPr>
        <w:pStyle w:val="Heading2"/>
        <w:rPr>
          <w:color w:val="000000" w:themeColor="text1"/>
        </w:rPr>
      </w:pPr>
      <w:bookmarkStart w:id="155" w:name="_Toc9107188"/>
      <w:bookmarkStart w:id="156" w:name="_Toc23231316"/>
      <w:bookmarkStart w:id="157" w:name="_Toc96924966"/>
      <w:r w:rsidRPr="00B6585E">
        <w:rPr>
          <w:color w:val="000000" w:themeColor="text1"/>
        </w:rPr>
        <w:t>Anonymization</w:t>
      </w:r>
      <w:bookmarkEnd w:id="155"/>
      <w:bookmarkEnd w:id="156"/>
      <w:bookmarkEnd w:id="157"/>
    </w:p>
    <w:p w14:paraId="66694A43" w14:textId="061CD3AF"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Data of all patients will be pseudo-anonymized using a </w:t>
      </w:r>
      <w:r w:rsidR="00AC0988" w:rsidRPr="00B6585E">
        <w:rPr>
          <w:rFonts w:ascii="Arial" w:hAnsi="Arial" w:cs="Arial"/>
          <w:color w:val="000000" w:themeColor="text1"/>
          <w:sz w:val="22"/>
          <w:szCs w:val="22"/>
        </w:rPr>
        <w:t>consecutive ID-</w:t>
      </w:r>
      <w:r w:rsidRPr="00B6585E">
        <w:rPr>
          <w:rFonts w:ascii="Arial" w:hAnsi="Arial" w:cs="Arial"/>
          <w:color w:val="000000" w:themeColor="text1"/>
          <w:sz w:val="22"/>
          <w:szCs w:val="22"/>
        </w:rPr>
        <w:t xml:space="preserve">number for each patient enrolled into this trial. </w:t>
      </w:r>
      <w:r w:rsidR="00AC0988" w:rsidRPr="00B6585E">
        <w:rPr>
          <w:rFonts w:ascii="Arial" w:hAnsi="Arial" w:cs="Arial"/>
          <w:color w:val="000000" w:themeColor="text1"/>
          <w:sz w:val="22"/>
          <w:szCs w:val="22"/>
        </w:rPr>
        <w:t xml:space="preserve">The ID-number will be provided by the web-based randomization program. </w:t>
      </w:r>
      <w:r w:rsidRPr="00B6585E">
        <w:rPr>
          <w:rFonts w:ascii="Arial" w:hAnsi="Arial" w:cs="Arial"/>
          <w:color w:val="000000" w:themeColor="text1"/>
          <w:sz w:val="22"/>
          <w:szCs w:val="22"/>
        </w:rPr>
        <w:t xml:space="preserve">Decoding will only be possible for the primary investigator of this study. No data on patient identity will be presented. </w:t>
      </w:r>
    </w:p>
    <w:p w14:paraId="7052CD38" w14:textId="77777777" w:rsidR="00931A60" w:rsidRPr="00B6585E" w:rsidRDefault="00A221DB">
      <w:pPr>
        <w:pStyle w:val="Heading2"/>
        <w:rPr>
          <w:color w:val="000000" w:themeColor="text1"/>
        </w:rPr>
      </w:pPr>
      <w:bookmarkStart w:id="158" w:name="_Toc9107189"/>
      <w:bookmarkStart w:id="159" w:name="_Toc23231317"/>
      <w:bookmarkStart w:id="160" w:name="_Toc96924967"/>
      <w:r w:rsidRPr="00B6585E">
        <w:rPr>
          <w:color w:val="000000" w:themeColor="text1"/>
        </w:rPr>
        <w:lastRenderedPageBreak/>
        <w:t>Trial Interventions</w:t>
      </w:r>
      <w:bookmarkEnd w:id="158"/>
      <w:bookmarkEnd w:id="159"/>
      <w:bookmarkEnd w:id="160"/>
    </w:p>
    <w:p w14:paraId="5F0FB824" w14:textId="58D0F2CD" w:rsidR="00625687" w:rsidRPr="00B6585E" w:rsidRDefault="00D7377A">
      <w:pPr>
        <w:widowControl w:val="0"/>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Due to the previous described possibility of severe hypotension after bolus administration of levosimendan, we will waive the bolus at the beginning of the study drug administration.</w:t>
      </w:r>
      <w:r w:rsidR="00625687" w:rsidRPr="00B6585E">
        <w:rPr>
          <w:rFonts w:ascii="Arial" w:hAnsi="Arial" w:cs="Arial"/>
          <w:color w:val="000000" w:themeColor="text1"/>
          <w:sz w:val="22"/>
          <w:szCs w:val="22"/>
        </w:rPr>
        <w:t xml:space="preserve"> The study drug infusion will not be started within the early postinduction phase during which hypotension is most prevalent.</w:t>
      </w:r>
      <w:r w:rsidR="00625687" w:rsidRPr="00B6585E">
        <w:rPr>
          <w:rFonts w:ascii="Arial" w:hAnsi="Arial" w:cs="Arial"/>
          <w:color w:val="000000" w:themeColor="text1"/>
          <w:sz w:val="22"/>
          <w:szCs w:val="22"/>
        </w:rPr>
        <w:fldChar w:fldCharType="begin" w:fldLock="1"/>
      </w:r>
      <w:r w:rsidR="00750214" w:rsidRPr="00B6585E">
        <w:rPr>
          <w:rFonts w:ascii="Arial" w:hAnsi="Arial" w:cs="Arial"/>
          <w:color w:val="000000" w:themeColor="text1"/>
          <w:sz w:val="22"/>
          <w:szCs w:val="22"/>
        </w:rPr>
        <w:instrText>ADDIN CSL_CITATION {"citationItems":[{"id":"ITEM-1","itemData":{"DOI":"10.1093/bja/aex127","ISSN":"14716771","abstract":"Background: We hypothesized that different phases of intraoperative hypotension should be differentiated because of different underlying causative mechanisms. We defined post-induction hypotension (PIH; i.e. arterial hypotension occurring during the first 20 min after anaesthesia induction) and early intraoperative hypotension (eIOH; i.e. arterial hypotension during the first 30 min of surgery). Methods: In this retrospective study, we included 2037 adult patients who underwent general anaesthesia. Arterial hypotension was defined as a systolic arterial blood pressure (SAP) &lt;90 mm Hg or a need for norepinephrine infusion at &gt; 6 μg min-1 at least once during the phases of PIH and eIOH. Multivariate logistic regression analysis was used to test for association of clinical factors with PIH and eIOH. Results: Independent variables significantly related to PIH were pre-induction SAP [odds ratio (OR) 0.97 (95% confidence interval 0.97-0.98)], age [OR 1.03 (1.02-1.04)], and emergency surgery [OR 1.75 (1.20-2.56); P&lt;0.01 each]. Pre-induction SAP [OR 0.99 (0.98-0.99), P&lt;0.01], age [OR 1.02 (1.02-1.03), P&lt;0.01], emergency surgery [OR 1.83 (1.28-2.62), P&lt;0.01], supplementary administration of spinal or epidural anaesthetic techniques [OR 3.57 (2.41-5.29), P&lt;0.01], male sex [OR 1.41 (1.12-1.79), P&lt;0.01], and ASA physical status IV [OR 2.18 (1.19-3.99), P=0.01] were significantly related to eIOH. Conclusions: We identified clinical factors associated with PIH and eIOH. The use of these factors to estimate the risk of PIH and eIOH might allow the avoidance or timely treatment of hypotensive episodes during general anaesthesia.","author":[{"dropping-particle":"","family":"Südfeld","given":"S.","non-dropping-particle":"","parse-names":false,"suffix":""},{"dropping-particle":"","family":"Brechnitz","given":"S.","non-dropping-particle":"","parse-names":false,"suffix":""},{"dropping-particle":"","family":"Wagner","given":"J. Y.","non-dropping-particle":"","parse-names":false,"suffix":""},{"dropping-particle":"","family":"Reese","given":"P. C.","non-dropping-particle":"","parse-names":false,"suffix":""},{"dropping-particle":"","family":"Pinnschmidt","given":"H. O.","non-dropping-particle":"","parse-names":false,"suffix":""},{"dropping-particle":"","family":"Reuter","given":"D. A.","non-dropping-particle":"","parse-names":false,"suffix":""},{"dropping-particle":"","family":"Saugel","given":"B.","non-dropping-particle":"","parse-names":false,"suffix":""}],"container-title":"British Journal of Anaesthesia","id":"ITEM-1","issue":"1","issued":{"date-parts":[["2017"]]},"page":"57-64","title":"Post-induction hypotension and early intraoperative hypotension associated with general anaesthesia","type":"article-journal","volume":"119"},"uris":["http://www.mendeley.com/documents/?uuid=386bf73c-a57f-4d9c-b46a-9cd1c86537cb"]}],"mendeley":{"formattedCitation":"&lt;sup&gt;28&lt;/sup&gt;","plainTextFormattedCitation":"28","previouslyFormattedCitation":"&lt;sup&gt;28&lt;/sup&gt;"},"properties":{"noteIndex":0},"schema":"https://github.com/citation-style-language/schema/raw/master/csl-citation.json"}</w:instrText>
      </w:r>
      <w:r w:rsidR="00625687" w:rsidRPr="00B6585E">
        <w:rPr>
          <w:rFonts w:ascii="Arial" w:hAnsi="Arial" w:cs="Arial"/>
          <w:color w:val="000000" w:themeColor="text1"/>
          <w:sz w:val="22"/>
          <w:szCs w:val="22"/>
        </w:rPr>
        <w:fldChar w:fldCharType="separate"/>
      </w:r>
      <w:r w:rsidR="00625687" w:rsidRPr="00B6585E">
        <w:rPr>
          <w:rFonts w:ascii="Arial" w:hAnsi="Arial" w:cs="Arial"/>
          <w:noProof/>
          <w:color w:val="000000" w:themeColor="text1"/>
          <w:sz w:val="22"/>
          <w:szCs w:val="22"/>
          <w:vertAlign w:val="superscript"/>
        </w:rPr>
        <w:t>28</w:t>
      </w:r>
      <w:r w:rsidR="00625687" w:rsidRPr="00B6585E">
        <w:rPr>
          <w:rFonts w:ascii="Arial" w:hAnsi="Arial" w:cs="Arial"/>
          <w:color w:val="000000" w:themeColor="text1"/>
          <w:sz w:val="22"/>
          <w:szCs w:val="22"/>
        </w:rPr>
        <w:fldChar w:fldCharType="end"/>
      </w:r>
      <w:r w:rsidR="00625687" w:rsidRPr="00B6585E">
        <w:rPr>
          <w:rFonts w:ascii="Arial" w:hAnsi="Arial" w:cs="Arial"/>
          <w:color w:val="000000" w:themeColor="text1"/>
          <w:sz w:val="22"/>
          <w:szCs w:val="22"/>
        </w:rPr>
        <w:t xml:space="preserve"> In every patient the study drug will be started immediately after skin incision. </w:t>
      </w:r>
    </w:p>
    <w:p w14:paraId="2089BF7A" w14:textId="3D278A18" w:rsidR="00D7377A" w:rsidRPr="00B6585E" w:rsidRDefault="00695C36">
      <w:pPr>
        <w:widowControl w:val="0"/>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In the case, that the patient will need continuous vasopressor administration</w:t>
      </w:r>
      <w:r w:rsidR="004740C3" w:rsidRPr="00B6585E">
        <w:rPr>
          <w:rFonts w:ascii="Arial" w:hAnsi="Arial" w:cs="Arial"/>
          <w:color w:val="000000" w:themeColor="text1"/>
          <w:sz w:val="22"/>
          <w:szCs w:val="22"/>
        </w:rPr>
        <w:t xml:space="preserve"> (when phenylephrine, etilefrine or ephedrine as appropriate, bolus administration is not sufficient)</w:t>
      </w:r>
      <w:r w:rsidRPr="00B6585E">
        <w:rPr>
          <w:rFonts w:ascii="Arial" w:hAnsi="Arial" w:cs="Arial"/>
          <w:color w:val="000000" w:themeColor="text1"/>
          <w:sz w:val="22"/>
          <w:szCs w:val="22"/>
        </w:rPr>
        <w:t xml:space="preserve"> </w:t>
      </w:r>
      <w:r w:rsidR="00174878" w:rsidRPr="00B6585E">
        <w:rPr>
          <w:rFonts w:ascii="Arial" w:hAnsi="Arial" w:cs="Arial"/>
          <w:color w:val="000000" w:themeColor="text1"/>
          <w:sz w:val="22"/>
          <w:szCs w:val="22"/>
        </w:rPr>
        <w:t>at the time during skin incision we</w:t>
      </w:r>
      <w:r w:rsidRPr="00B6585E">
        <w:rPr>
          <w:rFonts w:ascii="Arial" w:hAnsi="Arial" w:cs="Arial"/>
          <w:color w:val="000000" w:themeColor="text1"/>
          <w:sz w:val="22"/>
          <w:szCs w:val="22"/>
        </w:rPr>
        <w:t xml:space="preserve"> </w:t>
      </w:r>
      <w:r w:rsidR="00174878" w:rsidRPr="00B6585E">
        <w:rPr>
          <w:rFonts w:ascii="Arial" w:hAnsi="Arial" w:cs="Arial"/>
          <w:color w:val="000000" w:themeColor="text1"/>
          <w:sz w:val="22"/>
          <w:szCs w:val="22"/>
        </w:rPr>
        <w:t>will halve the study drug infusion rate and start with</w:t>
      </w:r>
      <w:r w:rsidRPr="00B6585E">
        <w:rPr>
          <w:rFonts w:ascii="Arial" w:hAnsi="Arial" w:cs="Arial"/>
          <w:color w:val="000000" w:themeColor="text1"/>
          <w:sz w:val="22"/>
          <w:szCs w:val="22"/>
        </w:rPr>
        <w:t xml:space="preserve"> of 0.1 µg/kg/min</w:t>
      </w:r>
      <w:r w:rsidR="00174878" w:rsidRPr="00B6585E">
        <w:rPr>
          <w:rFonts w:ascii="Arial" w:hAnsi="Arial" w:cs="Arial"/>
          <w:color w:val="000000" w:themeColor="text1"/>
          <w:sz w:val="22"/>
          <w:szCs w:val="22"/>
        </w:rPr>
        <w:t>.</w:t>
      </w:r>
    </w:p>
    <w:p w14:paraId="6C279D58" w14:textId="77777777" w:rsidR="00D7377A" w:rsidRPr="00B6585E" w:rsidRDefault="00D7377A">
      <w:pPr>
        <w:widowControl w:val="0"/>
        <w:spacing w:before="120" w:after="120"/>
        <w:ind w:right="-7"/>
        <w:jc w:val="both"/>
        <w:rPr>
          <w:rFonts w:ascii="Arial" w:hAnsi="Arial" w:cs="Arial"/>
          <w:color w:val="000000" w:themeColor="text1"/>
          <w:sz w:val="22"/>
          <w:szCs w:val="22"/>
        </w:rPr>
      </w:pPr>
    </w:p>
    <w:p w14:paraId="634EFEB6" w14:textId="6F0173A1" w:rsidR="00931A60" w:rsidRPr="00B6585E" w:rsidRDefault="00A221DB">
      <w:pPr>
        <w:widowControl w:val="0"/>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w:t>
      </w:r>
      <w:r w:rsidR="00602457" w:rsidRPr="00B6585E">
        <w:rPr>
          <w:rFonts w:ascii="Arial" w:hAnsi="Arial" w:cs="Arial"/>
          <w:color w:val="000000" w:themeColor="text1"/>
          <w:sz w:val="22"/>
          <w:szCs w:val="22"/>
        </w:rPr>
        <w:t xml:space="preserve"> study drug</w:t>
      </w:r>
      <w:r w:rsidRPr="00B6585E">
        <w:rPr>
          <w:rFonts w:ascii="Arial" w:hAnsi="Arial" w:cs="Arial"/>
          <w:color w:val="000000" w:themeColor="text1"/>
          <w:sz w:val="22"/>
          <w:szCs w:val="22"/>
        </w:rPr>
        <w:t xml:space="preserve"> (</w:t>
      </w:r>
      <w:r w:rsidR="00535B96" w:rsidRPr="00B6585E">
        <w:rPr>
          <w:rFonts w:ascii="Arial" w:hAnsi="Arial" w:cs="Arial"/>
          <w:color w:val="000000" w:themeColor="text1"/>
          <w:sz w:val="22"/>
          <w:szCs w:val="22"/>
        </w:rPr>
        <w:t>500</w:t>
      </w:r>
      <w:r w:rsidRPr="00B6585E">
        <w:rPr>
          <w:rFonts w:ascii="Arial" w:hAnsi="Arial" w:cs="Arial"/>
          <w:color w:val="000000" w:themeColor="text1"/>
          <w:sz w:val="22"/>
          <w:szCs w:val="22"/>
        </w:rPr>
        <w:t xml:space="preserve"> mL) will continuously </w:t>
      </w:r>
      <w:r w:rsidR="00484D24" w:rsidRPr="00B6585E">
        <w:rPr>
          <w:rFonts w:ascii="Arial" w:hAnsi="Arial" w:cs="Arial"/>
          <w:color w:val="000000" w:themeColor="text1"/>
          <w:sz w:val="22"/>
          <w:szCs w:val="22"/>
        </w:rPr>
        <w:t>be infused</w:t>
      </w:r>
      <w:r w:rsidRPr="00B6585E">
        <w:rPr>
          <w:rFonts w:ascii="Arial" w:hAnsi="Arial" w:cs="Arial"/>
          <w:color w:val="000000" w:themeColor="text1"/>
          <w:sz w:val="22"/>
          <w:szCs w:val="22"/>
        </w:rPr>
        <w:t xml:space="preserve"> with 0.1 </w:t>
      </w:r>
      <w:r w:rsidR="003C0865"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0.2 µg/kg/min with a motor-pump for approximately 24 hours. </w:t>
      </w:r>
    </w:p>
    <w:p w14:paraId="688E7D8E" w14:textId="77777777" w:rsidR="00931A60" w:rsidRPr="00B6585E" w:rsidRDefault="00A221DB">
      <w:pPr>
        <w:widowControl w:val="0"/>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Study drug infusion rate will be adapted as recommended in the investigators brochure as follows:  </w:t>
      </w:r>
    </w:p>
    <w:p w14:paraId="3091C917" w14:textId="1B48D6EC" w:rsidR="009F3C5F" w:rsidRPr="00B6585E" w:rsidRDefault="003C0865" w:rsidP="003C0865">
      <w:pPr>
        <w:pStyle w:val="ListParagraph"/>
        <w:widowControl w:val="0"/>
        <w:numPr>
          <w:ilvl w:val="0"/>
          <w:numId w:val="11"/>
        </w:numPr>
        <w:spacing w:before="120" w:after="120"/>
        <w:ind w:right="-7"/>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The study drug infusion will be stepwise reduced of about</w:t>
      </w:r>
      <w:r w:rsidR="00A221DB" w:rsidRPr="00B6585E">
        <w:rPr>
          <w:rFonts w:ascii="Arial" w:hAnsi="Arial" w:cs="Arial"/>
          <w:color w:val="000000" w:themeColor="text1"/>
          <w:sz w:val="22"/>
          <w:szCs w:val="22"/>
          <w:lang w:val="en-US"/>
        </w:rPr>
        <w:t xml:space="preserve"> 0.05 µg/kg/min </w:t>
      </w:r>
      <w:r w:rsidRPr="00B6585E">
        <w:rPr>
          <w:rFonts w:ascii="Arial" w:hAnsi="Arial" w:cs="Arial"/>
          <w:color w:val="000000" w:themeColor="text1"/>
          <w:sz w:val="22"/>
          <w:szCs w:val="22"/>
          <w:lang w:val="en-US"/>
        </w:rPr>
        <w:t>in the case if</w:t>
      </w:r>
      <w:r w:rsidR="00A221DB" w:rsidRPr="00B6585E">
        <w:rPr>
          <w:rFonts w:ascii="Arial" w:hAnsi="Arial" w:cs="Arial"/>
          <w:color w:val="000000" w:themeColor="text1"/>
          <w:sz w:val="22"/>
          <w:szCs w:val="22"/>
          <w:lang w:val="en-US"/>
        </w:rPr>
        <w:t xml:space="preserve"> </w:t>
      </w:r>
      <w:r w:rsidRPr="00B6585E">
        <w:rPr>
          <w:rFonts w:ascii="Arial" w:hAnsi="Arial" w:cs="Arial"/>
          <w:color w:val="000000" w:themeColor="text1"/>
          <w:sz w:val="22"/>
          <w:szCs w:val="22"/>
          <w:lang w:val="en-US"/>
        </w:rPr>
        <w:t xml:space="preserve">clinical significant </w:t>
      </w:r>
      <w:r w:rsidR="00A221DB" w:rsidRPr="00B6585E">
        <w:rPr>
          <w:rFonts w:ascii="Arial" w:hAnsi="Arial" w:cs="Arial"/>
          <w:color w:val="000000" w:themeColor="text1"/>
          <w:sz w:val="22"/>
          <w:szCs w:val="22"/>
          <w:lang w:val="en-US"/>
        </w:rPr>
        <w:t>hypotension</w:t>
      </w:r>
      <w:r w:rsidR="00750214" w:rsidRPr="00B6585E">
        <w:rPr>
          <w:rFonts w:ascii="Arial" w:hAnsi="Arial" w:cs="Arial"/>
          <w:color w:val="000000" w:themeColor="text1"/>
          <w:sz w:val="22"/>
          <w:szCs w:val="22"/>
          <w:lang w:val="en-US"/>
        </w:rPr>
        <w:t xml:space="preserve"> (mean arterial pressure &lt; 55mmHg for more than 10 minutes)</w:t>
      </w:r>
      <w:r w:rsidR="00750214" w:rsidRPr="00B6585E">
        <w:rPr>
          <w:rFonts w:ascii="Arial" w:hAnsi="Arial" w:cs="Arial"/>
          <w:color w:val="000000" w:themeColor="text1"/>
          <w:sz w:val="22"/>
          <w:szCs w:val="22"/>
          <w:lang w:val="en-US"/>
        </w:rPr>
        <w:fldChar w:fldCharType="begin" w:fldLock="1"/>
      </w:r>
      <w:r w:rsidR="00971C80" w:rsidRPr="00B6585E">
        <w:rPr>
          <w:rFonts w:ascii="Arial" w:hAnsi="Arial" w:cs="Arial"/>
          <w:color w:val="000000" w:themeColor="text1"/>
          <w:sz w:val="22"/>
          <w:szCs w:val="22"/>
          <w:lang w:val="en-US"/>
        </w:rPr>
        <w:instrText>ADDIN CSL_CITATION {"citationItems":[{"id":"ITEM-1","itemData":{"DOI":"10.1097/ALN.0000000000001432","ISBN":"0000000000","ISSN":"0003-3022","abstract":"Background: How best to characterize intraoperative hypotension remains unclear. Thus, the authors assessed the relation- ship between myocardial and kidney injury and intraoperative absolute (mean arterial pressure [MAP]) and relative (reduction from preoperative pressure) MAP thresholds. Methods: The authors characterized hypotension by the lowest MAP below various absolute and relative thresholds for cumu- lative 1, 3, 5, or 10 min and also time-weighted average below various absolute or relative MAP thresholds. The authors mod- eled each relationship using logistic regression. The authors further evaluated whether the relationships between intraoperative hypotension and either myocardial or kidney injury depended on baseline MAP. Finally, the authors compared the strength of associations between absolute and relative thresholds on myocardial and kidney injury using C statistics. Results: MAP below absolute thresholds of 65 mmHg or relative thresholds of 20% were progressively related to both myocar- dial and kidney injury. At any given threshold, prolonged exposure was associated with increased odds. There were no clinically important interactions between preoperative blood pressures and the relationship between hypotension and myocardial or kidney injury at intraoperative mean arterial blood pressures less than 65 mmHg. Absolute and relative thresholds had comparable ability to discriminate patients with myocardial or kidney injury from those without. Conclusions: The associations based on relative thresholds were no stronger than those based on absolute thresholds. Further- more, there was no clinically important interaction with preoperative pressure. Anesthetic management can thus be based on intraoperative pressures without regard to preoperative pressure.","author":[{"dropping-particle":"","family":"Salmasi","given":"Vafi","non-dropping-particle":"","parse-names":false,"suffix":""},{"dropping-particle":"","family":"Maheshwari","given":"Kamal","non-dropping-particle":"","parse-names":false,"suffix":""},{"dropping-particle":"","family":"Yang","given":"Dongsheng","non-dropping-particle":"","parse-names":false,"suffix":""},{"dropping-particle":"","family":"Mascha","given":"Edward J.","non-dropping-particle":"","parse-names":false,"suffix":""},{"dropping-particle":"","family":"Singh","given":"Asha","non-dropping-particle":"","parse-names":false,"suffix":""},{"dropping-particle":"","family":"Sessler","given":"Daniel I.","non-dropping-particle":"","parse-names":false,"suffix":""},{"dropping-particle":"","family":"Kurz","given":"Andrea","non-dropping-particle":"","parse-names":false,"suffix":""},{"dropping-particle":"","family":"F","given":"Botto","non-dropping-particle":"","parse-names":false,"suffix":""},{"dropping-particle":"","family":"G","given":"Landesberg","non-dropping-particle":"","parse-names":false,"suffix":""},{"dropping-particle":"","family":"K","given":"Thygesen","non-dropping-particle":"","parse-names":false,"suffix":""},{"dropping-particle":"","family":"PJ","given":"Devereaux","non-dropping-particle":"","parse-names":false,"suffix":""},{"dropping-particle":"","family":"A","given":"Lienhart","non-dropping-particle":"","parse-names":false,"suffix":""},{"dropping-particle":"","family":"TG","given":"Monk","non-dropping-particle":"","parse-names":false,"suffix":""},{"dropping-particle":"","family":"JB","given":"Bijker","non-dropping-particle":"","parse-names":false,"suffix":""},{"dropping-particle":"","family":"M","given":"Walsh","non-dropping-particle":"","parse-names":false,"suffix":""},{"dropping-particle":"","family":"TG","given":"Monk","non-dropping-particle":"","parse-names":false,"suffix":""},{"dropping-particle":"","family":"LY","given":"Sun","non-dropping-particle":"","parse-names":false,"suffix":""},{"dropping-particle":"","family":"EO","given":"Feigl","non-dropping-particle":"","parse-names":false,"suffix":""},{"dropping-particle":"","family":"JV","given":"Bonventre","non-dropping-particle":"","parse-names":false,"suffix":""},{"dropping-particle":"","family":"R","given":"Munshi","non-dropping-particle":"","parse-names":false,"suffix":""},{"dropping-particle":"","family":"N","given":"Brienza","non-dropping-particle":"","parse-names":false,"suffix":""},{"dropping-particle":"","family":"JA","given":"van Waes","non-dropping-particle":"","parse-names":false,"suffix":""},{"dropping-particle":"","family":"EJ","given":"Mascha","non-dropping-particle":"","parse-names":false,"suffix":""},{"dropping-particle":"","family":"JB","given":"Bijker","non-dropping-particle":"","parse-names":false,"suffix":""},{"dropping-particle":"","family":"P","given":"Peduzzi","non-dropping-particle":"","parse-names":false,"suffix":""},{"dropping-particle":"","family":"MA","given":"Levin","non-dropping-particle":"","parse-names":false,"suffix":""},{"dropping-particle":"","family":"Dongsheng","given":"Yang","non-dropping-particle":"","parse-names":false,"suffix":""},{"dropping-particle":"","family":"Mascha","given":"Edward J.","non-dropping-particle":"","parse-names":false,"suffix":""},{"dropping-particle":"","family":"Singh","given":"Asha","non-dropping-particle":"","parse-names":false,"suffix":""},{"dropping-particle":"","family":"Sessler","given":"Daniel I.","non-dropping-particle":"","parse-names":false,"suffix":""},{"dropping-particle":"","family":"Kurz","given":"Andrea","non-dropping-particle":"","parse-names":false,"suffix":""}],"container-title":"Anesthesiology","id":"ITEM-1","issue":"1","issued":{"date-parts":[["2017"]]},"page":"47-65","title":"Thresholds , and Acute Kidney and Myocardial Injury after Noncardiac Surgery A Retrospective Cohort Analysis","type":"article-journal","volume":"126"},"uris":["http://www.mendeley.com/documents/?uuid=496e364d-4a1f-41e3-a942-ab32d1c10abe"]}],"mendeley":{"formattedCitation":"&lt;sup&gt;29&lt;/sup&gt;","plainTextFormattedCitation":"29","previouslyFormattedCitation":"&lt;sup&gt;29&lt;/sup&gt;"},"properties":{"noteIndex":0},"schema":"https://github.com/citation-style-language/schema/raw/master/csl-citation.json"}</w:instrText>
      </w:r>
      <w:r w:rsidR="00750214" w:rsidRPr="00B6585E">
        <w:rPr>
          <w:rFonts w:ascii="Arial" w:hAnsi="Arial" w:cs="Arial"/>
          <w:color w:val="000000" w:themeColor="text1"/>
          <w:sz w:val="22"/>
          <w:szCs w:val="22"/>
          <w:lang w:val="en-US"/>
        </w:rPr>
        <w:fldChar w:fldCharType="separate"/>
      </w:r>
      <w:r w:rsidR="00750214" w:rsidRPr="00B6585E">
        <w:rPr>
          <w:rFonts w:ascii="Arial" w:hAnsi="Arial" w:cs="Arial"/>
          <w:noProof/>
          <w:color w:val="000000" w:themeColor="text1"/>
          <w:sz w:val="22"/>
          <w:szCs w:val="22"/>
          <w:vertAlign w:val="superscript"/>
          <w:lang w:val="en-US"/>
        </w:rPr>
        <w:t>29</w:t>
      </w:r>
      <w:r w:rsidR="00750214" w:rsidRPr="00B6585E">
        <w:rPr>
          <w:rFonts w:ascii="Arial" w:hAnsi="Arial" w:cs="Arial"/>
          <w:color w:val="000000" w:themeColor="text1"/>
          <w:sz w:val="22"/>
          <w:szCs w:val="22"/>
          <w:lang w:val="en-US"/>
        </w:rPr>
        <w:fldChar w:fldCharType="end"/>
      </w:r>
      <w:r w:rsidR="00A221DB" w:rsidRPr="00B6585E">
        <w:rPr>
          <w:rFonts w:ascii="Arial" w:hAnsi="Arial" w:cs="Arial"/>
          <w:color w:val="000000" w:themeColor="text1"/>
          <w:sz w:val="22"/>
          <w:szCs w:val="22"/>
          <w:lang w:val="en-US"/>
        </w:rPr>
        <w:t xml:space="preserve"> or tachycardia</w:t>
      </w:r>
      <w:r w:rsidR="00B117D2" w:rsidRPr="00B6585E">
        <w:rPr>
          <w:rFonts w:ascii="Arial" w:hAnsi="Arial" w:cs="Arial"/>
          <w:color w:val="000000" w:themeColor="text1"/>
          <w:sz w:val="22"/>
          <w:szCs w:val="22"/>
          <w:lang w:val="en-US"/>
        </w:rPr>
        <w:t xml:space="preserve"> </w:t>
      </w:r>
      <w:r w:rsidR="00A221DB" w:rsidRPr="00B6585E">
        <w:rPr>
          <w:rFonts w:ascii="Arial" w:hAnsi="Arial" w:cs="Arial"/>
          <w:color w:val="000000" w:themeColor="text1"/>
          <w:sz w:val="22"/>
          <w:szCs w:val="22"/>
          <w:lang w:val="en-US"/>
        </w:rPr>
        <w:t xml:space="preserve">occurs. </w:t>
      </w:r>
      <w:r w:rsidR="009F3C5F" w:rsidRPr="00B6585E">
        <w:rPr>
          <w:rFonts w:ascii="Arial" w:hAnsi="Arial" w:cs="Arial"/>
          <w:color w:val="000000" w:themeColor="text1"/>
          <w:sz w:val="22"/>
          <w:szCs w:val="22"/>
          <w:lang w:val="en-US"/>
        </w:rPr>
        <w:t>We defined clinical significant hypotension when for adequate hemodynamic maintenance a continuous noradrenaline infusion of more than 0.1 mcg/kg/min is needed, without signs of hypovolemia, bleeding or sepsis.</w:t>
      </w:r>
    </w:p>
    <w:p w14:paraId="536A9859" w14:textId="391860AD" w:rsidR="00931A60" w:rsidRPr="00B6585E" w:rsidRDefault="00A221DB">
      <w:pPr>
        <w:pStyle w:val="ListParagraph"/>
        <w:widowControl w:val="0"/>
        <w:numPr>
          <w:ilvl w:val="0"/>
          <w:numId w:val="11"/>
        </w:numPr>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Infusion rate will be increased up to 0.2 g/kg/min during hemodynamic stability. This is defined as </w:t>
      </w:r>
      <w:r w:rsidR="009F3C5F" w:rsidRPr="00B6585E">
        <w:rPr>
          <w:rFonts w:ascii="Arial" w:hAnsi="Arial" w:cs="Arial"/>
          <w:color w:val="000000" w:themeColor="text1"/>
          <w:sz w:val="22"/>
          <w:szCs w:val="22"/>
          <w:lang w:val="en-US"/>
        </w:rPr>
        <w:t>mean arterial pressure</w:t>
      </w:r>
      <w:r w:rsidRPr="00B6585E">
        <w:rPr>
          <w:rFonts w:ascii="Arial" w:hAnsi="Arial" w:cs="Arial"/>
          <w:color w:val="000000" w:themeColor="text1"/>
          <w:sz w:val="22"/>
          <w:szCs w:val="22"/>
          <w:lang w:val="en-US"/>
        </w:rPr>
        <w:t xml:space="preserve"> within </w:t>
      </w:r>
      <w:r w:rsidR="009F3C5F" w:rsidRPr="00B6585E">
        <w:rPr>
          <w:rFonts w:ascii="Arial" w:hAnsi="Arial" w:cs="Arial"/>
          <w:color w:val="000000" w:themeColor="text1"/>
          <w:sz w:val="22"/>
          <w:szCs w:val="22"/>
          <w:lang w:val="en-US"/>
        </w:rPr>
        <w:t xml:space="preserve">the </w:t>
      </w:r>
      <w:r w:rsidRPr="00B6585E">
        <w:rPr>
          <w:rFonts w:ascii="Arial" w:hAnsi="Arial" w:cs="Arial"/>
          <w:color w:val="000000" w:themeColor="text1"/>
          <w:sz w:val="22"/>
          <w:szCs w:val="22"/>
          <w:lang w:val="en-US"/>
        </w:rPr>
        <w:t>20%</w:t>
      </w:r>
      <w:r w:rsidR="009F3C5F" w:rsidRPr="00B6585E">
        <w:rPr>
          <w:rFonts w:ascii="Arial" w:hAnsi="Arial" w:cs="Arial"/>
          <w:color w:val="000000" w:themeColor="text1"/>
          <w:sz w:val="22"/>
          <w:szCs w:val="22"/>
          <w:lang w:val="en-US"/>
        </w:rPr>
        <w:t xml:space="preserve"> range</w:t>
      </w:r>
      <w:r w:rsidRPr="00B6585E">
        <w:rPr>
          <w:rFonts w:ascii="Arial" w:hAnsi="Arial" w:cs="Arial"/>
          <w:color w:val="000000" w:themeColor="text1"/>
          <w:sz w:val="22"/>
          <w:szCs w:val="22"/>
          <w:lang w:val="en-US"/>
        </w:rPr>
        <w:t xml:space="preserve"> </w:t>
      </w:r>
      <w:r w:rsidR="009F3C5F" w:rsidRPr="00B6585E">
        <w:rPr>
          <w:rFonts w:ascii="Arial" w:hAnsi="Arial" w:cs="Arial"/>
          <w:color w:val="000000" w:themeColor="text1"/>
          <w:sz w:val="22"/>
          <w:szCs w:val="22"/>
          <w:lang w:val="en-US"/>
        </w:rPr>
        <w:t>of the</w:t>
      </w:r>
      <w:r w:rsidRPr="00B6585E">
        <w:rPr>
          <w:rFonts w:ascii="Arial" w:hAnsi="Arial" w:cs="Arial"/>
          <w:color w:val="000000" w:themeColor="text1"/>
          <w:sz w:val="22"/>
          <w:szCs w:val="22"/>
          <w:lang w:val="en-US"/>
        </w:rPr>
        <w:t xml:space="preserve"> baseline measurements without the need of vasopressor support</w:t>
      </w:r>
      <w:r w:rsidR="00750214" w:rsidRPr="00B6585E">
        <w:rPr>
          <w:rFonts w:ascii="Arial" w:hAnsi="Arial" w:cs="Arial"/>
          <w:color w:val="000000" w:themeColor="text1"/>
          <w:sz w:val="22"/>
          <w:szCs w:val="22"/>
          <w:lang w:val="en-US"/>
        </w:rPr>
        <w:t>.</w:t>
      </w:r>
    </w:p>
    <w:p w14:paraId="769B4CA6" w14:textId="391E297B" w:rsidR="00737E10" w:rsidRPr="00B6585E" w:rsidRDefault="00737E10" w:rsidP="00737E10">
      <w:pPr>
        <w:widowControl w:val="0"/>
        <w:ind w:right="-7"/>
        <w:jc w:val="both"/>
        <w:rPr>
          <w:rFonts w:ascii="Arial" w:hAnsi="Arial" w:cs="Arial"/>
          <w:color w:val="000000" w:themeColor="text1"/>
          <w:sz w:val="22"/>
          <w:szCs w:val="22"/>
        </w:rPr>
      </w:pPr>
    </w:p>
    <w:p w14:paraId="136C6AB2" w14:textId="77777777" w:rsidR="00737E10" w:rsidRPr="00B6585E" w:rsidRDefault="00737E10" w:rsidP="00737E10">
      <w:pPr>
        <w:widowControl w:val="0"/>
        <w:ind w:right="-7"/>
        <w:jc w:val="both"/>
        <w:rPr>
          <w:rFonts w:ascii="Arial" w:hAnsi="Arial" w:cs="Arial"/>
          <w:color w:val="000000" w:themeColor="text1"/>
          <w:sz w:val="22"/>
          <w:szCs w:val="22"/>
        </w:rPr>
      </w:pPr>
    </w:p>
    <w:p w14:paraId="3B637DD3" w14:textId="4A37C297" w:rsidR="00931A60" w:rsidRPr="00B6585E" w:rsidRDefault="00A221DB">
      <w:pPr>
        <w:widowControl w:val="0"/>
        <w:jc w:val="both"/>
        <w:rPr>
          <w:rFonts w:ascii="Arial" w:hAnsi="Arial" w:cs="Arial"/>
          <w:color w:val="000000" w:themeColor="text1"/>
          <w:sz w:val="22"/>
          <w:szCs w:val="22"/>
        </w:rPr>
      </w:pPr>
      <w:r w:rsidRPr="00B6585E">
        <w:rPr>
          <w:rFonts w:ascii="Arial" w:hAnsi="Arial" w:cs="Arial"/>
          <w:color w:val="000000" w:themeColor="text1"/>
          <w:sz w:val="22"/>
          <w:szCs w:val="22"/>
        </w:rPr>
        <w:t>During drug administration, patients will be closely monitored with EKG, SpO</w:t>
      </w:r>
      <w:r w:rsidRPr="00B6585E">
        <w:rPr>
          <w:rFonts w:ascii="Arial" w:hAnsi="Arial" w:cs="Arial"/>
          <w:color w:val="000000" w:themeColor="text1"/>
          <w:sz w:val="22"/>
          <w:szCs w:val="22"/>
          <w:vertAlign w:val="subscript"/>
        </w:rPr>
        <w:t xml:space="preserve">2, </w:t>
      </w:r>
      <w:r w:rsidRPr="00B6585E">
        <w:rPr>
          <w:rFonts w:ascii="Arial" w:hAnsi="Arial" w:cs="Arial"/>
          <w:color w:val="000000" w:themeColor="text1"/>
          <w:sz w:val="22"/>
          <w:szCs w:val="22"/>
        </w:rPr>
        <w:t>and</w:t>
      </w:r>
      <w:r w:rsidRPr="00B6585E">
        <w:rPr>
          <w:rFonts w:ascii="Arial" w:hAnsi="Arial" w:cs="Arial"/>
          <w:color w:val="000000" w:themeColor="text1"/>
          <w:sz w:val="22"/>
          <w:szCs w:val="22"/>
          <w:vertAlign w:val="subscript"/>
        </w:rPr>
        <w:t xml:space="preserve"> </w:t>
      </w:r>
      <w:r w:rsidRPr="00B6585E">
        <w:rPr>
          <w:rFonts w:ascii="Arial" w:hAnsi="Arial" w:cs="Arial"/>
          <w:color w:val="000000" w:themeColor="text1"/>
          <w:sz w:val="22"/>
          <w:szCs w:val="22"/>
        </w:rPr>
        <w:t xml:space="preserve">blood pressure. Patients will stay at the Post-Anesthetic Care Unit (PACU) or Intensive Care Unit (ICU), as long the study drug will be infused. We will include patients with or at risk for cardiovascular events having noncardiac surgery. It is standard of care for these patient population to have a prolonged postoperative observational time.  </w:t>
      </w:r>
    </w:p>
    <w:p w14:paraId="72DEEC47" w14:textId="6270D249" w:rsidR="00931A60" w:rsidRPr="00B6585E" w:rsidRDefault="00931A60">
      <w:pPr>
        <w:widowControl w:val="0"/>
        <w:jc w:val="both"/>
        <w:rPr>
          <w:rFonts w:ascii="Arial" w:hAnsi="Arial" w:cs="Arial"/>
          <w:color w:val="000000" w:themeColor="text1"/>
          <w:sz w:val="22"/>
          <w:szCs w:val="22"/>
        </w:rPr>
      </w:pPr>
    </w:p>
    <w:p w14:paraId="4DEB2F35" w14:textId="54037FA0" w:rsidR="00931A60" w:rsidRPr="00B6585E" w:rsidRDefault="00A221DB">
      <w:pPr>
        <w:widowControl w:val="0"/>
        <w:jc w:val="both"/>
        <w:rPr>
          <w:rFonts w:ascii="Arial" w:hAnsi="Arial" w:cs="Arial"/>
          <w:b/>
          <w:bCs/>
          <w:color w:val="000000" w:themeColor="text1"/>
          <w:sz w:val="22"/>
          <w:szCs w:val="22"/>
          <w:lang w:val="de-AT"/>
        </w:rPr>
      </w:pPr>
      <w:r w:rsidRPr="00B6585E">
        <w:rPr>
          <w:rFonts w:ascii="Arial" w:hAnsi="Arial" w:cs="Arial"/>
          <w:b/>
          <w:bCs/>
          <w:color w:val="000000" w:themeColor="text1"/>
          <w:sz w:val="22"/>
          <w:szCs w:val="22"/>
          <w:lang w:val="de-AT"/>
        </w:rPr>
        <w:t>Figure 1</w:t>
      </w:r>
    </w:p>
    <w:p w14:paraId="3DA996C7" w14:textId="2543F6AB" w:rsidR="00466415" w:rsidRPr="00B6585E" w:rsidRDefault="008A4648">
      <w:pPr>
        <w:widowControl w:val="0"/>
        <w:jc w:val="both"/>
        <w:rPr>
          <w:rFonts w:ascii="Arial" w:hAnsi="Arial" w:cs="Arial"/>
          <w:color w:val="000000" w:themeColor="text1"/>
          <w:sz w:val="22"/>
          <w:szCs w:val="22"/>
        </w:rPr>
      </w:pPr>
      <w:r w:rsidRPr="00B6585E">
        <w:rPr>
          <w:rFonts w:ascii="Arial" w:hAnsi="Arial" w:cs="Arial"/>
          <w:noProof/>
          <w:color w:val="000000" w:themeColor="text1"/>
          <w:sz w:val="22"/>
          <w:szCs w:val="22"/>
          <w:lang w:val="de-DE" w:eastAsia="de-DE"/>
        </w:rPr>
        <w:drawing>
          <wp:anchor distT="0" distB="0" distL="114300" distR="114300" simplePos="0" relativeHeight="251661312" behindDoc="0" locked="0" layoutInCell="1" allowOverlap="1" wp14:anchorId="44C1E1E4" wp14:editId="4E50DA99">
            <wp:simplePos x="0" y="0"/>
            <wp:positionH relativeFrom="column">
              <wp:posOffset>58420</wp:posOffset>
            </wp:positionH>
            <wp:positionV relativeFrom="paragraph">
              <wp:posOffset>169545</wp:posOffset>
            </wp:positionV>
            <wp:extent cx="5164455" cy="2952750"/>
            <wp:effectExtent l="0" t="0" r="4445"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domisierung_17.2.pdf"/>
                    <pic:cNvPicPr/>
                  </pic:nvPicPr>
                  <pic:blipFill rotWithShape="1">
                    <a:blip r:embed="rId17"/>
                    <a:srcRect l="4428" t="13157" r="7698" b="15744"/>
                    <a:stretch/>
                  </pic:blipFill>
                  <pic:spPr bwMode="auto">
                    <a:xfrm>
                      <a:off x="0" y="0"/>
                      <a:ext cx="5164455"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EF013" w14:textId="227CB9A4" w:rsidR="00931A60" w:rsidRPr="00B6585E" w:rsidRDefault="00152D39">
      <w:pPr>
        <w:pStyle w:val="Heading2"/>
        <w:rPr>
          <w:color w:val="000000" w:themeColor="text1"/>
        </w:rPr>
      </w:pPr>
      <w:bookmarkStart w:id="161" w:name="_Toc23231318"/>
      <w:bookmarkStart w:id="162" w:name="_Toc96924968"/>
      <w:r w:rsidRPr="00B6585E">
        <w:rPr>
          <w:color w:val="000000" w:themeColor="text1"/>
        </w:rPr>
        <w:t>Study Drug Preparation</w:t>
      </w:r>
      <w:bookmarkEnd w:id="161"/>
      <w:bookmarkEnd w:id="162"/>
    </w:p>
    <w:p w14:paraId="015D5738" w14:textId="76417D70" w:rsidR="00E739D9" w:rsidRPr="00E739D9" w:rsidRDefault="00152D39">
      <w:pPr>
        <w:spacing w:before="120" w:after="120"/>
        <w:ind w:right="-7"/>
        <w:jc w:val="both"/>
        <w:rPr>
          <w:rFonts w:ascii="Arial" w:hAnsi="Arial" w:cs="Arial"/>
          <w:color w:val="FF0000"/>
          <w:sz w:val="22"/>
          <w:szCs w:val="22"/>
        </w:rPr>
      </w:pPr>
      <w:r w:rsidRPr="00E739D9">
        <w:rPr>
          <w:rFonts w:ascii="Arial" w:hAnsi="Arial" w:cs="Arial"/>
          <w:strike/>
          <w:color w:val="FF0000"/>
          <w:sz w:val="22"/>
          <w:szCs w:val="22"/>
        </w:rPr>
        <w:t xml:space="preserve">Levosimendan and the placebo will be provided to the investigator by Orion Pharma as a sterile, clear, yellow to orange solution in clear glass vials. </w:t>
      </w:r>
      <w:r w:rsidRPr="00E739D9">
        <w:rPr>
          <w:rFonts w:ascii="Arial" w:hAnsi="Arial" w:cs="Arial"/>
          <w:color w:val="000000" w:themeColor="text1"/>
          <w:sz w:val="22"/>
          <w:szCs w:val="22"/>
        </w:rPr>
        <w:t xml:space="preserve">Each vial contains a 5 mL volume, which is intended for single use only. Levosimendan is supplied at a 2.5 mg/mL (12.5mg/5 mL) and include </w:t>
      </w:r>
      <w:r w:rsidRPr="00E739D9">
        <w:rPr>
          <w:rFonts w:ascii="Arial" w:hAnsi="Arial" w:cs="Arial"/>
          <w:color w:val="000000" w:themeColor="text1"/>
          <w:sz w:val="22"/>
          <w:szCs w:val="22"/>
        </w:rPr>
        <w:lastRenderedPageBreak/>
        <w:t>levosimendan, povidone, citric acid and ethanol.</w:t>
      </w:r>
      <w:r w:rsidR="00E739D9">
        <w:rPr>
          <w:rFonts w:ascii="Arial" w:hAnsi="Arial" w:cs="Arial"/>
          <w:strike/>
          <w:color w:val="000000" w:themeColor="text1"/>
          <w:sz w:val="22"/>
          <w:szCs w:val="22"/>
        </w:rPr>
        <w:t xml:space="preserve"> </w:t>
      </w:r>
      <w:r w:rsidR="00E739D9">
        <w:rPr>
          <w:rFonts w:ascii="Arial" w:hAnsi="Arial" w:cs="Arial"/>
          <w:color w:val="FF0000"/>
          <w:sz w:val="22"/>
          <w:szCs w:val="22"/>
        </w:rPr>
        <w:t>We will use Simdax</w:t>
      </w:r>
      <w:r w:rsidR="00650709">
        <w:rPr>
          <w:rFonts w:ascii="Arial" w:hAnsi="Arial" w:cs="Arial"/>
          <w:color w:val="FF0000"/>
          <w:sz w:val="22"/>
          <w:szCs w:val="22"/>
        </w:rPr>
        <w:t>®</w:t>
      </w:r>
      <w:r w:rsidR="00E739D9">
        <w:rPr>
          <w:rFonts w:ascii="Arial" w:hAnsi="Arial" w:cs="Arial"/>
          <w:color w:val="FF0000"/>
          <w:sz w:val="22"/>
          <w:szCs w:val="22"/>
        </w:rPr>
        <w:t xml:space="preserve"> (Orion Cooporation, </w:t>
      </w:r>
      <w:r w:rsidR="005D4922">
        <w:rPr>
          <w:rFonts w:ascii="Arial" w:hAnsi="Arial" w:cs="Arial"/>
          <w:color w:val="FF0000"/>
          <w:sz w:val="22"/>
          <w:szCs w:val="22"/>
        </w:rPr>
        <w:t>Finnland) containing 12.5</w:t>
      </w:r>
      <w:r w:rsidR="004A1AD5">
        <w:rPr>
          <w:rFonts w:ascii="Arial" w:hAnsi="Arial" w:cs="Arial"/>
          <w:color w:val="FF0000"/>
          <w:sz w:val="22"/>
          <w:szCs w:val="22"/>
        </w:rPr>
        <w:t>mg</w:t>
      </w:r>
      <w:r w:rsidR="005D4922">
        <w:rPr>
          <w:rFonts w:ascii="Arial" w:hAnsi="Arial" w:cs="Arial"/>
          <w:color w:val="FF0000"/>
          <w:sz w:val="22"/>
          <w:szCs w:val="22"/>
        </w:rPr>
        <w:t xml:space="preserve"> in each vial. </w:t>
      </w:r>
      <w:r w:rsidR="00E739D9">
        <w:rPr>
          <w:rFonts w:ascii="Arial" w:hAnsi="Arial" w:cs="Arial"/>
          <w:color w:val="FF0000"/>
          <w:sz w:val="22"/>
          <w:szCs w:val="22"/>
        </w:rPr>
        <w:t xml:space="preserve"> </w:t>
      </w:r>
    </w:p>
    <w:p w14:paraId="6CBA16F9" w14:textId="2B923B9F" w:rsidR="00152D39" w:rsidRPr="00B6585E" w:rsidRDefault="00152D39">
      <w:pPr>
        <w:spacing w:before="120" w:after="120"/>
        <w:ind w:right="-7"/>
        <w:jc w:val="both"/>
        <w:rPr>
          <w:rFonts w:ascii="Arial" w:hAnsi="Arial" w:cs="Arial"/>
          <w:color w:val="000000" w:themeColor="text1"/>
          <w:sz w:val="22"/>
          <w:szCs w:val="22"/>
        </w:rPr>
      </w:pPr>
    </w:p>
    <w:p w14:paraId="1930B55F" w14:textId="16B3D4FE" w:rsidR="00152D39" w:rsidRPr="00650709" w:rsidRDefault="00152D39" w:rsidP="00816FA9">
      <w:pPr>
        <w:pStyle w:val="Heading3"/>
        <w:numPr>
          <w:ilvl w:val="2"/>
          <w:numId w:val="3"/>
        </w:numPr>
      </w:pPr>
      <w:bookmarkStart w:id="163" w:name="_Toc23231319"/>
      <w:bookmarkStart w:id="164" w:name="_Toc96924969"/>
      <w:r w:rsidRPr="00650709">
        <w:t>Placebo</w:t>
      </w:r>
      <w:bookmarkEnd w:id="163"/>
      <w:bookmarkEnd w:id="164"/>
    </w:p>
    <w:p w14:paraId="2FF8C256" w14:textId="4FEE0E10" w:rsidR="00650709" w:rsidRPr="00650709" w:rsidRDefault="00152D39" w:rsidP="00650709">
      <w:pPr>
        <w:tabs>
          <w:tab w:val="left" w:pos="4820"/>
        </w:tabs>
        <w:jc w:val="both"/>
        <w:rPr>
          <w:rFonts w:ascii="Arial" w:hAnsi="Arial" w:cs="Arial"/>
          <w:color w:val="000000" w:themeColor="text1"/>
          <w:sz w:val="22"/>
          <w:szCs w:val="22"/>
        </w:rPr>
      </w:pPr>
      <w:r w:rsidRPr="00650709">
        <w:rPr>
          <w:rFonts w:ascii="Arial" w:hAnsi="Arial" w:cs="Arial"/>
          <w:color w:val="000000" w:themeColor="text1"/>
          <w:sz w:val="22"/>
          <w:szCs w:val="22"/>
        </w:rPr>
        <w:t xml:space="preserve">Placebo will be provided as a sterile infusion solution including a coloring agent in order to achieve a similar color to levosimendan. </w:t>
      </w:r>
      <w:r w:rsidR="005D4922" w:rsidRPr="00650709">
        <w:rPr>
          <w:rFonts w:ascii="Arial" w:hAnsi="Arial" w:cs="Arial"/>
          <w:color w:val="FF0000"/>
          <w:sz w:val="22"/>
          <w:szCs w:val="22"/>
        </w:rPr>
        <w:t>For</w:t>
      </w:r>
      <w:r w:rsidR="00CE4AB1" w:rsidRPr="00650709">
        <w:rPr>
          <w:rFonts w:ascii="Arial" w:hAnsi="Arial" w:cs="Arial"/>
          <w:color w:val="FF0000"/>
          <w:sz w:val="22"/>
          <w:szCs w:val="22"/>
        </w:rPr>
        <w:t xml:space="preserve"> </w:t>
      </w:r>
      <w:r w:rsidR="005D4922" w:rsidRPr="00650709">
        <w:rPr>
          <w:rFonts w:ascii="Arial" w:hAnsi="Arial" w:cs="Arial"/>
          <w:color w:val="FF0000"/>
          <w:sz w:val="22"/>
          <w:szCs w:val="22"/>
        </w:rPr>
        <w:t>the</w:t>
      </w:r>
      <w:r w:rsidR="00CE4AB1" w:rsidRPr="00650709">
        <w:rPr>
          <w:rFonts w:ascii="Arial" w:hAnsi="Arial" w:cs="Arial"/>
          <w:color w:val="FF0000"/>
          <w:sz w:val="22"/>
          <w:szCs w:val="22"/>
        </w:rPr>
        <w:t xml:space="preserve"> </w:t>
      </w:r>
      <w:r w:rsidR="00CE4AB1" w:rsidRPr="00650709">
        <w:rPr>
          <w:rFonts w:ascii="Arial" w:hAnsi="Arial" w:cs="Arial"/>
          <w:color w:val="000000" w:themeColor="text1"/>
          <w:sz w:val="22"/>
          <w:szCs w:val="22"/>
        </w:rPr>
        <w:t xml:space="preserve">composition of placebo for levosimendan 2.5mg/mL infusion concentrate </w:t>
      </w:r>
      <w:r w:rsidR="005D4922" w:rsidRPr="00650709">
        <w:rPr>
          <w:rFonts w:ascii="Arial" w:hAnsi="Arial" w:cs="Arial"/>
          <w:color w:val="FF0000"/>
          <w:sz w:val="22"/>
          <w:szCs w:val="22"/>
        </w:rPr>
        <w:t xml:space="preserve">we will use </w:t>
      </w:r>
      <w:r w:rsidR="0052725A" w:rsidRPr="00650709">
        <w:rPr>
          <w:rFonts w:ascii="Arial" w:hAnsi="Arial" w:cs="Arial"/>
          <w:color w:val="FF0000"/>
          <w:sz w:val="22"/>
          <w:szCs w:val="22"/>
        </w:rPr>
        <w:t>Soluvit® (Fresenius Kabi Austria, Austria)</w:t>
      </w:r>
      <w:r w:rsidR="00650709" w:rsidRPr="00650709">
        <w:rPr>
          <w:rFonts w:ascii="Arial" w:hAnsi="Arial" w:cs="Arial"/>
          <w:color w:val="FF0000"/>
          <w:sz w:val="22"/>
          <w:szCs w:val="22"/>
        </w:rPr>
        <w:t xml:space="preserve"> and FrekaVit® (Paesel &amp; Lorei GmbH &amp; Co.KG, 47495 Rheinberg, Germany, which will be used at the Charité) </w:t>
      </w:r>
      <w:r w:rsidR="005D4922" w:rsidRPr="00650709">
        <w:rPr>
          <w:rFonts w:ascii="Arial" w:hAnsi="Arial" w:cs="Arial"/>
          <w:color w:val="FF0000"/>
          <w:sz w:val="22"/>
          <w:szCs w:val="22"/>
        </w:rPr>
        <w:t xml:space="preserve">vials, of which each vials contains </w:t>
      </w:r>
      <w:r w:rsidR="00650709" w:rsidRPr="00650709">
        <w:rPr>
          <w:rFonts w:ascii="Arial" w:hAnsi="Arial" w:cs="Arial"/>
          <w:color w:val="FF0000"/>
          <w:sz w:val="22"/>
          <w:szCs w:val="22"/>
        </w:rPr>
        <w:t xml:space="preserve">thiamin mononitrate 3.1mg, riboflavine natriumposphate 4.9mg, nicotinamide 40mg, pyridoxine hydrochloride 4.9mg, panthothenic acid 16.5mg, ascorbic acid 113mg, biotin 60mg, folic acid 0.4mg, cyanocobalamin 5µg. </w:t>
      </w:r>
    </w:p>
    <w:p w14:paraId="24061A6E" w14:textId="75442F5C" w:rsidR="00152D39" w:rsidRPr="00B6585E" w:rsidRDefault="00152D39">
      <w:pPr>
        <w:spacing w:before="120" w:after="120"/>
        <w:ind w:right="-7"/>
        <w:jc w:val="both"/>
        <w:rPr>
          <w:rFonts w:ascii="Arial" w:hAnsi="Arial" w:cs="Arial"/>
          <w:color w:val="000000" w:themeColor="text1"/>
          <w:sz w:val="22"/>
          <w:szCs w:val="22"/>
        </w:rPr>
      </w:pPr>
    </w:p>
    <w:p w14:paraId="70796172" w14:textId="20FDE734" w:rsidR="00CE4AB1" w:rsidRPr="00B6585E" w:rsidRDefault="00CE4AB1" w:rsidP="00816FA9">
      <w:pPr>
        <w:pStyle w:val="Heading3"/>
        <w:numPr>
          <w:ilvl w:val="2"/>
          <w:numId w:val="3"/>
        </w:numPr>
      </w:pPr>
      <w:bookmarkStart w:id="165" w:name="_Toc23231320"/>
      <w:bookmarkStart w:id="166" w:name="_Toc96924970"/>
      <w:r w:rsidRPr="00B6585E">
        <w:t>Packaging</w:t>
      </w:r>
      <w:bookmarkEnd w:id="165"/>
      <w:bookmarkEnd w:id="166"/>
    </w:p>
    <w:p w14:paraId="521F6427" w14:textId="175A7B8F" w:rsidR="00CE4AB1" w:rsidRPr="00B6585E" w:rsidRDefault="00CE4AB1">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Levosimendan and placebo will be provided in sterile, single-use only clear upper-stoppered glass vials. Details on the packaging of the study drug will be provided in the study manual. </w:t>
      </w:r>
    </w:p>
    <w:p w14:paraId="335D24D3" w14:textId="376BC092" w:rsidR="00CE4AB1" w:rsidRPr="00B6585E" w:rsidRDefault="00CE4AB1" w:rsidP="00816FA9">
      <w:pPr>
        <w:pStyle w:val="Heading3"/>
        <w:numPr>
          <w:ilvl w:val="2"/>
          <w:numId w:val="3"/>
        </w:numPr>
      </w:pPr>
      <w:bookmarkStart w:id="167" w:name="_Toc23231321"/>
      <w:bookmarkStart w:id="168" w:name="_Toc96924971"/>
      <w:r w:rsidRPr="00B6585E">
        <w:t>Labeling</w:t>
      </w:r>
      <w:bookmarkEnd w:id="167"/>
      <w:bookmarkEnd w:id="168"/>
    </w:p>
    <w:p w14:paraId="7BBA4104" w14:textId="4FE983F6" w:rsidR="00CE4AB1" w:rsidRPr="00B6585E" w:rsidRDefault="00CE4AB1">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Study drug labels and cartons will contain information to meet the applicable regulatory requirements. </w:t>
      </w:r>
    </w:p>
    <w:p w14:paraId="4C7850C1" w14:textId="6F4D27E4" w:rsidR="00CE4AB1" w:rsidRPr="00B6585E" w:rsidRDefault="00CE4AB1">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Specialized drug accountability forms will be provided for tracking the study drug administration</w:t>
      </w:r>
      <w:r w:rsidR="00485865" w:rsidRPr="00B6585E">
        <w:rPr>
          <w:rFonts w:ascii="Arial" w:hAnsi="Arial" w:cs="Arial"/>
          <w:color w:val="000000" w:themeColor="text1"/>
          <w:sz w:val="22"/>
          <w:szCs w:val="22"/>
        </w:rPr>
        <w:t xml:space="preserve">. </w:t>
      </w:r>
    </w:p>
    <w:p w14:paraId="452DBF21" w14:textId="14C6173A" w:rsidR="00485865" w:rsidRPr="00B6585E" w:rsidRDefault="00485865" w:rsidP="00816FA9">
      <w:pPr>
        <w:pStyle w:val="Heading3"/>
        <w:numPr>
          <w:ilvl w:val="2"/>
          <w:numId w:val="3"/>
        </w:numPr>
      </w:pPr>
      <w:bookmarkStart w:id="169" w:name="_Toc23231322"/>
      <w:bookmarkStart w:id="170" w:name="_Toc96924972"/>
      <w:r w:rsidRPr="00B6585E">
        <w:t>Preparation and Handling</w:t>
      </w:r>
      <w:bookmarkEnd w:id="169"/>
      <w:bookmarkEnd w:id="170"/>
    </w:p>
    <w:p w14:paraId="00CE8361" w14:textId="7643F7A5" w:rsidR="00A92BC6" w:rsidRPr="005D4922" w:rsidRDefault="000C7315" w:rsidP="0006101E">
      <w:pPr>
        <w:rPr>
          <w:rFonts w:ascii="Arial" w:hAnsi="Arial" w:cs="Arial"/>
          <w:strike/>
          <w:color w:val="000000" w:themeColor="text1"/>
          <w:sz w:val="22"/>
          <w:szCs w:val="22"/>
        </w:rPr>
      </w:pPr>
      <w:r w:rsidRPr="005D4922">
        <w:rPr>
          <w:rFonts w:ascii="Arial" w:hAnsi="Arial" w:cs="Arial"/>
          <w:strike/>
          <w:color w:val="FF0000"/>
          <w:sz w:val="22"/>
          <w:szCs w:val="22"/>
        </w:rPr>
        <w:t xml:space="preserve">Our study drug will be </w:t>
      </w:r>
      <w:r w:rsidR="00005EF8" w:rsidRPr="005D4922">
        <w:rPr>
          <w:rFonts w:ascii="Arial" w:hAnsi="Arial" w:cs="Arial"/>
          <w:strike/>
          <w:color w:val="FF0000"/>
          <w:sz w:val="22"/>
          <w:szCs w:val="22"/>
        </w:rPr>
        <w:t>provided</w:t>
      </w:r>
      <w:r w:rsidRPr="005D4922">
        <w:rPr>
          <w:rFonts w:ascii="Arial" w:hAnsi="Arial" w:cs="Arial"/>
          <w:strike/>
          <w:color w:val="FF0000"/>
          <w:sz w:val="22"/>
          <w:szCs w:val="22"/>
        </w:rPr>
        <w:t xml:space="preserve"> by Orion </w:t>
      </w:r>
      <w:r w:rsidR="005F7101" w:rsidRPr="005D4922">
        <w:rPr>
          <w:rFonts w:ascii="Arial" w:hAnsi="Arial" w:cs="Arial"/>
          <w:strike/>
          <w:color w:val="FF0000"/>
          <w:sz w:val="22"/>
          <w:szCs w:val="22"/>
        </w:rPr>
        <w:t>P</w:t>
      </w:r>
      <w:r w:rsidRPr="005D4922">
        <w:rPr>
          <w:rFonts w:ascii="Arial" w:hAnsi="Arial" w:cs="Arial"/>
          <w:strike/>
          <w:color w:val="FF0000"/>
          <w:sz w:val="22"/>
          <w:szCs w:val="22"/>
        </w:rPr>
        <w:t xml:space="preserve">harma (Orion Corporation, Espoo, Finland). </w:t>
      </w:r>
    </w:p>
    <w:p w14:paraId="13DE1B4D" w14:textId="722B0F06" w:rsidR="004602EF" w:rsidRPr="00B6585E" w:rsidRDefault="004602EF" w:rsidP="004602EF">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study solution will be prepared </w:t>
      </w:r>
      <w:r w:rsidR="00157359" w:rsidRPr="00B6585E">
        <w:rPr>
          <w:rFonts w:ascii="Arial" w:hAnsi="Arial" w:cs="Arial"/>
          <w:color w:val="000000" w:themeColor="text1"/>
          <w:sz w:val="22"/>
          <w:szCs w:val="22"/>
        </w:rPr>
        <w:t xml:space="preserve">and handled </w:t>
      </w:r>
      <w:r w:rsidRPr="00B6585E">
        <w:rPr>
          <w:rFonts w:ascii="Arial" w:hAnsi="Arial" w:cs="Arial"/>
          <w:color w:val="000000" w:themeColor="text1"/>
          <w:sz w:val="22"/>
          <w:szCs w:val="22"/>
        </w:rPr>
        <w:t>from</w:t>
      </w:r>
      <w:r w:rsidR="003A3BCD" w:rsidRPr="00B6585E">
        <w:rPr>
          <w:rFonts w:ascii="Arial" w:hAnsi="Arial" w:cs="Arial"/>
          <w:color w:val="000000" w:themeColor="text1"/>
          <w:sz w:val="22"/>
          <w:szCs w:val="22"/>
        </w:rPr>
        <w:t xml:space="preserve"> an</w:t>
      </w:r>
      <w:r w:rsidRPr="00B6585E">
        <w:rPr>
          <w:rFonts w:ascii="Arial" w:hAnsi="Arial" w:cs="Arial"/>
          <w:color w:val="000000" w:themeColor="text1"/>
          <w:sz w:val="22"/>
          <w:szCs w:val="22"/>
        </w:rPr>
        <w:t xml:space="preserve"> unblinded study staff, which is not involved in patient treatment and outcome assessmen</w:t>
      </w:r>
      <w:r w:rsidR="003A3BCD" w:rsidRPr="00B6585E">
        <w:rPr>
          <w:rFonts w:ascii="Arial" w:hAnsi="Arial" w:cs="Arial"/>
          <w:color w:val="000000" w:themeColor="text1"/>
          <w:sz w:val="22"/>
          <w:szCs w:val="22"/>
        </w:rPr>
        <w:t>t.</w:t>
      </w:r>
      <w:r w:rsidR="00157359" w:rsidRPr="00B6585E">
        <w:rPr>
          <w:rFonts w:ascii="Arial" w:hAnsi="Arial" w:cs="Arial"/>
          <w:color w:val="000000" w:themeColor="text1"/>
          <w:sz w:val="22"/>
          <w:szCs w:val="22"/>
        </w:rPr>
        <w:t xml:space="preserve"> </w:t>
      </w:r>
    </w:p>
    <w:p w14:paraId="55B6DACE" w14:textId="77777777" w:rsidR="00A92BC6" w:rsidRPr="00B6585E" w:rsidRDefault="00A92BC6">
      <w:pPr>
        <w:spacing w:before="120" w:after="120"/>
        <w:ind w:right="-7"/>
        <w:jc w:val="both"/>
        <w:rPr>
          <w:rFonts w:ascii="Arial" w:hAnsi="Arial" w:cs="Arial"/>
          <w:color w:val="000000" w:themeColor="text1"/>
          <w:sz w:val="22"/>
          <w:szCs w:val="22"/>
        </w:rPr>
      </w:pPr>
    </w:p>
    <w:p w14:paraId="1FA92D6E" w14:textId="25B46F55" w:rsidR="00A92BC6" w:rsidRPr="00B6585E" w:rsidRDefault="00A92BC6" w:rsidP="00A92BC6">
      <w:pPr>
        <w:rPr>
          <w:rFonts w:ascii="Arial" w:hAnsi="Arial" w:cs="Arial"/>
          <w:color w:val="000000" w:themeColor="text1"/>
          <w:sz w:val="22"/>
          <w:szCs w:val="22"/>
        </w:rPr>
      </w:pPr>
      <w:r w:rsidRPr="00B6585E">
        <w:rPr>
          <w:rFonts w:ascii="Arial" w:hAnsi="Arial" w:cs="Arial"/>
          <w:b/>
          <w:bCs/>
          <w:i/>
          <w:iCs/>
          <w:color w:val="000000" w:themeColor="text1"/>
          <w:sz w:val="22"/>
          <w:szCs w:val="22"/>
        </w:rPr>
        <w:t>Levosimendan</w:t>
      </w:r>
      <w:r w:rsidRPr="00B6585E">
        <w:rPr>
          <w:rFonts w:ascii="Arial" w:hAnsi="Arial" w:cs="Arial"/>
          <w:color w:val="000000" w:themeColor="text1"/>
          <w:sz w:val="22"/>
          <w:szCs w:val="22"/>
        </w:rPr>
        <w:br/>
        <w:t>Levosimendan 2.5 mg/ml injection contains levosimendan 2.5 mg, povidone, citric acid,</w:t>
      </w:r>
      <w:r w:rsidR="003D2DB9">
        <w:rPr>
          <w:rFonts w:ascii="Arial" w:hAnsi="Arial" w:cs="Arial"/>
          <w:color w:val="000000" w:themeColor="text1"/>
          <w:sz w:val="22"/>
          <w:szCs w:val="22"/>
        </w:rPr>
        <w:t xml:space="preserve"> </w:t>
      </w:r>
      <w:r w:rsidR="003D2DB9" w:rsidRPr="003D2DB9">
        <w:rPr>
          <w:rFonts w:ascii="Arial" w:hAnsi="Arial" w:cs="Arial"/>
          <w:color w:val="FF0000"/>
          <w:sz w:val="22"/>
          <w:szCs w:val="22"/>
        </w:rPr>
        <w:t>785mg.mL</w:t>
      </w:r>
      <w:r w:rsidR="003D2DB9" w:rsidRPr="003D2DB9">
        <w:rPr>
          <w:rFonts w:ascii="Arial" w:hAnsi="Arial" w:cs="Arial"/>
          <w:color w:val="FF0000"/>
          <w:sz w:val="22"/>
          <w:szCs w:val="22"/>
          <w:vertAlign w:val="superscript"/>
        </w:rPr>
        <w:t>-1</w:t>
      </w:r>
      <w:r w:rsidRPr="003D2DB9">
        <w:rPr>
          <w:rFonts w:ascii="Arial" w:hAnsi="Arial" w:cs="Arial"/>
          <w:color w:val="FF0000"/>
          <w:sz w:val="22"/>
          <w:szCs w:val="22"/>
        </w:rPr>
        <w:t xml:space="preserve"> </w:t>
      </w:r>
      <w:r w:rsidRPr="00B6585E">
        <w:rPr>
          <w:rFonts w:ascii="Arial" w:hAnsi="Arial" w:cs="Arial"/>
          <w:color w:val="000000" w:themeColor="text1"/>
          <w:sz w:val="22"/>
          <w:szCs w:val="22"/>
        </w:rPr>
        <w:t>ethanol</w:t>
      </w:r>
      <w:r w:rsidR="003D2DB9">
        <w:rPr>
          <w:rFonts w:ascii="Arial" w:hAnsi="Arial" w:cs="Arial"/>
          <w:color w:val="000000" w:themeColor="text1"/>
          <w:sz w:val="22"/>
          <w:szCs w:val="22"/>
        </w:rPr>
        <w:t xml:space="preserve">. </w:t>
      </w:r>
      <w:r w:rsidRPr="00B6585E">
        <w:rPr>
          <w:rFonts w:ascii="Arial" w:hAnsi="Arial" w:cs="Arial"/>
          <w:color w:val="000000" w:themeColor="text1"/>
          <w:sz w:val="22"/>
          <w:szCs w:val="22"/>
        </w:rPr>
        <w:t>Levosimendan injection is a clear, yellow to orange solution.</w:t>
      </w:r>
    </w:p>
    <w:p w14:paraId="0EF81967" w14:textId="3840945A" w:rsidR="00A92BC6" w:rsidRPr="00B6585E" w:rsidRDefault="00A92BC6" w:rsidP="00A92BC6">
      <w:pPr>
        <w:tabs>
          <w:tab w:val="left" w:pos="4820"/>
        </w:tabs>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injection is packaged in 8 mL (with 5 mL filling volume) injection vials made of colorless transparent Type I glass (Ph. Eur. / USP). </w:t>
      </w:r>
    </w:p>
    <w:p w14:paraId="44F7BAB8" w14:textId="27767B41" w:rsidR="00752B53" w:rsidRPr="00650709" w:rsidRDefault="00A92BC6" w:rsidP="00A92BC6">
      <w:pPr>
        <w:tabs>
          <w:tab w:val="left" w:pos="4820"/>
        </w:tabs>
        <w:jc w:val="both"/>
        <w:rPr>
          <w:rFonts w:ascii="Arial" w:hAnsi="Arial" w:cs="Arial"/>
          <w:color w:val="FF0000"/>
          <w:sz w:val="22"/>
          <w:szCs w:val="22"/>
        </w:rPr>
      </w:pPr>
      <w:r w:rsidRPr="00B6585E">
        <w:rPr>
          <w:rFonts w:ascii="Arial" w:hAnsi="Arial" w:cs="Arial"/>
          <w:color w:val="000000" w:themeColor="text1"/>
          <w:sz w:val="22"/>
          <w:szCs w:val="22"/>
        </w:rPr>
        <w:t>The injection vials are closed with sterilized, coated rubber closures and sealed with an aluminum cap.</w:t>
      </w:r>
      <w:r w:rsidRPr="00B6585E">
        <w:rPr>
          <w:rFonts w:ascii="Helvetica" w:hAnsi="Helvetica"/>
          <w:color w:val="000000" w:themeColor="text1"/>
          <w:sz w:val="18"/>
          <w:szCs w:val="18"/>
        </w:rPr>
        <w:br/>
      </w:r>
      <w:r w:rsidRPr="00B6585E">
        <w:rPr>
          <w:rFonts w:ascii="Helvetica" w:hAnsi="Helvetica"/>
          <w:color w:val="000000" w:themeColor="text1"/>
          <w:sz w:val="18"/>
          <w:szCs w:val="18"/>
        </w:rPr>
        <w:br/>
      </w:r>
      <w:r w:rsidRPr="00B6585E">
        <w:rPr>
          <w:rFonts w:ascii="Arial" w:hAnsi="Arial" w:cs="Arial"/>
          <w:b/>
          <w:bCs/>
          <w:i/>
          <w:iCs/>
          <w:color w:val="000000" w:themeColor="text1"/>
          <w:sz w:val="22"/>
          <w:szCs w:val="22"/>
        </w:rPr>
        <w:t>Placebo</w:t>
      </w:r>
      <w:r w:rsidRPr="00B6585E">
        <w:rPr>
          <w:rFonts w:ascii="Arial" w:hAnsi="Arial" w:cs="Arial"/>
          <w:b/>
          <w:bCs/>
          <w:i/>
          <w:iCs/>
          <w:color w:val="000000" w:themeColor="text1"/>
          <w:sz w:val="22"/>
          <w:szCs w:val="22"/>
        </w:rPr>
        <w:br/>
      </w:r>
      <w:r w:rsidR="00752B53" w:rsidRPr="00650709">
        <w:rPr>
          <w:rFonts w:ascii="Arial" w:hAnsi="Arial" w:cs="Arial"/>
          <w:color w:val="FF0000"/>
          <w:sz w:val="22"/>
          <w:szCs w:val="22"/>
        </w:rPr>
        <w:t>For the Placebo solution we will use Soluvit® (Fresenius</w:t>
      </w:r>
      <w:r w:rsidR="0012402E" w:rsidRPr="00650709">
        <w:rPr>
          <w:rFonts w:ascii="Arial" w:hAnsi="Arial" w:cs="Arial"/>
          <w:color w:val="FF0000"/>
          <w:sz w:val="22"/>
          <w:szCs w:val="22"/>
        </w:rPr>
        <w:t xml:space="preserve"> Kabi Austria GmbH, 8055 Graz, Austria) at the Medical University of Vienna and FrekaVit® (Paesel &amp; Lorei GmbH &amp; Co.KG, 47495 Rheinberg, Germany) at the Charité, Universitätsmedizin Berlin). </w:t>
      </w:r>
    </w:p>
    <w:p w14:paraId="4DF74803" w14:textId="140E63FD" w:rsidR="0012402E" w:rsidRPr="00650709" w:rsidRDefault="0012402E" w:rsidP="00A92BC6">
      <w:pPr>
        <w:tabs>
          <w:tab w:val="left" w:pos="4820"/>
        </w:tabs>
        <w:jc w:val="both"/>
        <w:rPr>
          <w:rFonts w:ascii="Arial" w:hAnsi="Arial" w:cs="Arial"/>
          <w:color w:val="FF0000"/>
          <w:sz w:val="22"/>
          <w:szCs w:val="22"/>
        </w:rPr>
      </w:pPr>
      <w:r w:rsidRPr="00650709">
        <w:rPr>
          <w:rFonts w:ascii="Arial" w:hAnsi="Arial" w:cs="Arial"/>
          <w:color w:val="FF0000"/>
          <w:sz w:val="22"/>
          <w:szCs w:val="22"/>
        </w:rPr>
        <w:t xml:space="preserve">Soluvit® and FrekaVit® contain the same amount and number of vitamins as listed below: </w:t>
      </w:r>
    </w:p>
    <w:p w14:paraId="071EA386" w14:textId="3D741183" w:rsidR="0012402E" w:rsidRPr="00650709" w:rsidRDefault="0012402E" w:rsidP="00A92BC6">
      <w:pPr>
        <w:tabs>
          <w:tab w:val="left" w:pos="4820"/>
        </w:tabs>
        <w:jc w:val="both"/>
        <w:rPr>
          <w:rFonts w:ascii="Arial" w:hAnsi="Arial" w:cs="Arial"/>
          <w:color w:val="FF0000"/>
          <w:sz w:val="22"/>
          <w:szCs w:val="22"/>
        </w:rPr>
      </w:pPr>
    </w:p>
    <w:p w14:paraId="28D0B385" w14:textId="02E58B81" w:rsidR="0012402E" w:rsidRPr="00650709" w:rsidRDefault="0012402E" w:rsidP="00A92BC6">
      <w:pPr>
        <w:tabs>
          <w:tab w:val="left" w:pos="4820"/>
        </w:tabs>
        <w:jc w:val="both"/>
        <w:rPr>
          <w:rFonts w:ascii="Arial" w:hAnsi="Arial" w:cs="Arial"/>
          <w:color w:val="FF0000"/>
          <w:sz w:val="22"/>
          <w:szCs w:val="22"/>
        </w:rPr>
      </w:pPr>
      <w:r w:rsidRPr="00650709">
        <w:rPr>
          <w:rFonts w:ascii="Arial" w:hAnsi="Arial" w:cs="Arial"/>
          <w:color w:val="FF0000"/>
          <w:sz w:val="22"/>
          <w:szCs w:val="22"/>
        </w:rPr>
        <w:t xml:space="preserve">Soluvit®: thiamin mononitrate 3.1mg, riboflavine natriumposphate 4.9mg, nicotinamide 40mg, pyridoxine hydrochloride 4.9mg, panthothenic acid 16.5mg, ascorbic acid 113mg, biotin 60mg, folic acid 0.4mg, cyanocobalamin 5µg. </w:t>
      </w:r>
    </w:p>
    <w:p w14:paraId="3B2586BD" w14:textId="77777777" w:rsidR="00952F57" w:rsidRPr="00650709" w:rsidRDefault="00952F57" w:rsidP="00A92BC6">
      <w:pPr>
        <w:tabs>
          <w:tab w:val="left" w:pos="4820"/>
        </w:tabs>
        <w:jc w:val="both"/>
        <w:rPr>
          <w:rFonts w:ascii="Arial" w:hAnsi="Arial" w:cs="Arial"/>
          <w:color w:val="FF0000"/>
          <w:sz w:val="22"/>
          <w:szCs w:val="22"/>
        </w:rPr>
      </w:pPr>
    </w:p>
    <w:p w14:paraId="43D5FA06" w14:textId="2D5DB879" w:rsidR="00952F57" w:rsidRPr="00650709" w:rsidRDefault="00952F57" w:rsidP="00952F57">
      <w:pPr>
        <w:tabs>
          <w:tab w:val="left" w:pos="4820"/>
        </w:tabs>
        <w:jc w:val="both"/>
        <w:rPr>
          <w:rFonts w:ascii="Arial" w:hAnsi="Arial" w:cs="Arial"/>
          <w:color w:val="FF0000"/>
          <w:sz w:val="22"/>
          <w:szCs w:val="22"/>
        </w:rPr>
      </w:pPr>
      <w:r w:rsidRPr="00650709">
        <w:rPr>
          <w:rFonts w:ascii="Arial" w:hAnsi="Arial" w:cs="Arial"/>
          <w:color w:val="FF0000"/>
          <w:sz w:val="22"/>
          <w:szCs w:val="22"/>
        </w:rPr>
        <w:t xml:space="preserve">FrekaVit®: thiamin mononitrate 3.1mg, riboflavine natriumposphate 4.9mg, nicotinamide 40mg, pyridoxine hydrochloride 4.9mg, panthothenic acid 16.5mg, ascorbic acid 113mg, biotin 60mg, folic acid 0.4mg, cyanocobalamin 5µg. </w:t>
      </w:r>
    </w:p>
    <w:p w14:paraId="352E1485" w14:textId="77777777" w:rsidR="00952F57" w:rsidRPr="00650709" w:rsidRDefault="00952F57" w:rsidP="00A92BC6">
      <w:pPr>
        <w:tabs>
          <w:tab w:val="left" w:pos="4820"/>
        </w:tabs>
        <w:jc w:val="both"/>
        <w:rPr>
          <w:rFonts w:ascii="Arial" w:hAnsi="Arial" w:cs="Arial"/>
          <w:color w:val="FF0000"/>
          <w:sz w:val="22"/>
          <w:szCs w:val="22"/>
        </w:rPr>
      </w:pPr>
    </w:p>
    <w:p w14:paraId="49441629" w14:textId="40D58E5B" w:rsidR="00752B53" w:rsidRPr="00650709" w:rsidRDefault="00180D8B" w:rsidP="00A92BC6">
      <w:pPr>
        <w:tabs>
          <w:tab w:val="left" w:pos="4820"/>
        </w:tabs>
        <w:jc w:val="both"/>
        <w:rPr>
          <w:rFonts w:ascii="Arial" w:hAnsi="Arial" w:cs="Arial"/>
          <w:color w:val="FF0000"/>
          <w:sz w:val="22"/>
          <w:szCs w:val="22"/>
        </w:rPr>
      </w:pPr>
      <w:r w:rsidRPr="00650709">
        <w:rPr>
          <w:rFonts w:ascii="Arial" w:hAnsi="Arial" w:cs="Arial"/>
          <w:color w:val="FF0000"/>
          <w:sz w:val="22"/>
          <w:szCs w:val="22"/>
        </w:rPr>
        <w:t xml:space="preserve">Both drugs will be provided as injection powder for solution. </w:t>
      </w:r>
      <w:r w:rsidR="004A1AD5" w:rsidRPr="00650709">
        <w:rPr>
          <w:rFonts w:ascii="Arial" w:hAnsi="Arial" w:cs="Arial"/>
          <w:color w:val="FF0000"/>
          <w:sz w:val="22"/>
          <w:szCs w:val="22"/>
        </w:rPr>
        <w:t xml:space="preserve">Soluvit® and FrekaVit®, respectively, will be solved in 5mL aqua. The solution will be </w:t>
      </w:r>
    </w:p>
    <w:p w14:paraId="2CFBB36B" w14:textId="77777777" w:rsidR="00180D8B" w:rsidRPr="00650709" w:rsidRDefault="00180D8B" w:rsidP="00A92BC6">
      <w:pPr>
        <w:tabs>
          <w:tab w:val="left" w:pos="4820"/>
        </w:tabs>
        <w:jc w:val="both"/>
        <w:rPr>
          <w:rFonts w:ascii="Arial" w:hAnsi="Arial" w:cs="Arial"/>
          <w:color w:val="FF0000"/>
          <w:sz w:val="22"/>
          <w:szCs w:val="22"/>
        </w:rPr>
      </w:pPr>
    </w:p>
    <w:p w14:paraId="6261CCB7" w14:textId="6EC2FBD5" w:rsidR="00A92BC6" w:rsidRPr="00650709" w:rsidRDefault="00A92BC6" w:rsidP="00A92BC6">
      <w:pPr>
        <w:tabs>
          <w:tab w:val="left" w:pos="4820"/>
        </w:tabs>
        <w:jc w:val="both"/>
        <w:rPr>
          <w:rFonts w:ascii="Arial" w:hAnsi="Arial" w:cs="Arial"/>
          <w:color w:val="FF0000"/>
          <w:sz w:val="22"/>
          <w:szCs w:val="22"/>
        </w:rPr>
      </w:pPr>
      <w:r w:rsidRPr="00650709">
        <w:rPr>
          <w:rFonts w:ascii="Arial" w:hAnsi="Arial" w:cs="Arial"/>
          <w:color w:val="FF0000"/>
          <w:sz w:val="22"/>
          <w:szCs w:val="22"/>
        </w:rPr>
        <w:lastRenderedPageBreak/>
        <w:t>Placebo for levosimendan 2.5 mg/ml injection contains riboflavine sodium phosphate 0.4 mg, dehydrated alcohol 100 mg and water for injection to 1 mL.</w:t>
      </w:r>
    </w:p>
    <w:p w14:paraId="05844ADB" w14:textId="652AFD5C" w:rsidR="00485865" w:rsidRPr="00B6585E" w:rsidRDefault="00485865" w:rsidP="00485865">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Study drug (levosimendan infusion concentrate, placebo concentrate) </w:t>
      </w:r>
      <w:r w:rsidR="000577B8" w:rsidRPr="00B6585E">
        <w:rPr>
          <w:rFonts w:ascii="Arial" w:hAnsi="Arial" w:cs="Arial"/>
          <w:color w:val="000000" w:themeColor="text1"/>
          <w:sz w:val="22"/>
          <w:szCs w:val="22"/>
        </w:rPr>
        <w:t>will</w:t>
      </w:r>
      <w:r w:rsidRPr="00B6585E">
        <w:rPr>
          <w:rFonts w:ascii="Arial" w:hAnsi="Arial" w:cs="Arial"/>
          <w:color w:val="000000" w:themeColor="text1"/>
          <w:sz w:val="22"/>
          <w:szCs w:val="22"/>
        </w:rPr>
        <w:t xml:space="preserve"> be stored between 2-8°C</w:t>
      </w:r>
      <w:r w:rsidR="000577B8" w:rsidRPr="00B6585E">
        <w:rPr>
          <w:rFonts w:ascii="Arial" w:hAnsi="Arial" w:cs="Arial"/>
          <w:color w:val="000000" w:themeColor="text1"/>
          <w:sz w:val="22"/>
          <w:szCs w:val="22"/>
        </w:rPr>
        <w:t xml:space="preserve"> according to the investigator brochure, using</w:t>
      </w:r>
      <w:r w:rsidRPr="00B6585E">
        <w:rPr>
          <w:rFonts w:ascii="Arial" w:hAnsi="Arial" w:cs="Arial"/>
          <w:color w:val="000000" w:themeColor="text1"/>
          <w:sz w:val="22"/>
          <w:szCs w:val="22"/>
        </w:rPr>
        <w:t xml:space="preserve"> a temperature monitored refrigerator which </w:t>
      </w:r>
      <w:r w:rsidR="000577B8" w:rsidRPr="00B6585E">
        <w:rPr>
          <w:rFonts w:ascii="Arial" w:hAnsi="Arial" w:cs="Arial"/>
          <w:color w:val="000000" w:themeColor="text1"/>
          <w:sz w:val="22"/>
          <w:szCs w:val="22"/>
        </w:rPr>
        <w:t>will</w:t>
      </w:r>
      <w:r w:rsidRPr="00B6585E">
        <w:rPr>
          <w:rFonts w:ascii="Arial" w:hAnsi="Arial" w:cs="Arial"/>
          <w:color w:val="000000" w:themeColor="text1"/>
          <w:sz w:val="22"/>
          <w:szCs w:val="22"/>
        </w:rPr>
        <w:t xml:space="preserve"> be locked and protected from light. </w:t>
      </w:r>
    </w:p>
    <w:p w14:paraId="6FDBACB3" w14:textId="19FA6990" w:rsidR="00485865" w:rsidRPr="00B6585E" w:rsidRDefault="00485865" w:rsidP="00485865">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study drug </w:t>
      </w:r>
      <w:r w:rsidR="000577B8" w:rsidRPr="00B6585E">
        <w:rPr>
          <w:rFonts w:ascii="Arial" w:hAnsi="Arial" w:cs="Arial"/>
          <w:color w:val="000000" w:themeColor="text1"/>
          <w:sz w:val="22"/>
          <w:szCs w:val="22"/>
        </w:rPr>
        <w:t>will</w:t>
      </w:r>
      <w:r w:rsidRPr="00B6585E">
        <w:rPr>
          <w:rFonts w:ascii="Arial" w:hAnsi="Arial" w:cs="Arial"/>
          <w:color w:val="000000" w:themeColor="text1"/>
          <w:sz w:val="22"/>
          <w:szCs w:val="22"/>
        </w:rPr>
        <w:t xml:space="preserve"> be prepared immediately prior to use. Dilution of the study drug </w:t>
      </w:r>
      <w:r w:rsidR="000577B8" w:rsidRPr="00B6585E">
        <w:rPr>
          <w:rFonts w:ascii="Arial" w:hAnsi="Arial" w:cs="Arial"/>
          <w:color w:val="000000" w:themeColor="text1"/>
          <w:sz w:val="22"/>
          <w:szCs w:val="22"/>
        </w:rPr>
        <w:t>will</w:t>
      </w:r>
      <w:r w:rsidRPr="00B6585E">
        <w:rPr>
          <w:rFonts w:ascii="Arial" w:hAnsi="Arial" w:cs="Arial"/>
          <w:color w:val="000000" w:themeColor="text1"/>
          <w:sz w:val="22"/>
          <w:szCs w:val="22"/>
        </w:rPr>
        <w:t xml:space="preserve"> be performed as described </w:t>
      </w:r>
      <w:r w:rsidR="00E77C65" w:rsidRPr="00B6585E">
        <w:rPr>
          <w:rFonts w:ascii="Arial" w:hAnsi="Arial" w:cs="Arial"/>
          <w:color w:val="000000" w:themeColor="text1"/>
          <w:sz w:val="22"/>
          <w:szCs w:val="22"/>
        </w:rPr>
        <w:t>as following:</w:t>
      </w:r>
      <w:r w:rsidRPr="00B6585E">
        <w:rPr>
          <w:rFonts w:ascii="Arial" w:hAnsi="Arial" w:cs="Arial"/>
          <w:color w:val="000000" w:themeColor="text1"/>
          <w:sz w:val="22"/>
          <w:szCs w:val="22"/>
        </w:rPr>
        <w:t xml:space="preserve"> </w:t>
      </w:r>
    </w:p>
    <w:p w14:paraId="3AF9E58D" w14:textId="0F59C046" w:rsidR="004E699E" w:rsidRPr="00B6585E" w:rsidRDefault="00152D39" w:rsidP="00485865">
      <w:pPr>
        <w:spacing w:before="100" w:beforeAutospacing="1" w:after="100" w:afterAutospacing="1"/>
        <w:jc w:val="both"/>
        <w:rPr>
          <w:rFonts w:ascii="Arial" w:hAnsi="Arial" w:cs="Arial"/>
          <w:color w:val="000000" w:themeColor="text1"/>
          <w:sz w:val="22"/>
          <w:szCs w:val="22"/>
        </w:rPr>
      </w:pPr>
      <w:r w:rsidRPr="00B6585E">
        <w:rPr>
          <w:rFonts w:ascii="Arial" w:hAnsi="Arial" w:cs="Arial"/>
          <w:color w:val="000000" w:themeColor="text1"/>
          <w:sz w:val="22"/>
          <w:szCs w:val="22"/>
        </w:rPr>
        <w:t xml:space="preserve">One 5 mL vials of study drug are added </w:t>
      </w:r>
      <w:r w:rsidR="0070423B" w:rsidRPr="00B6585E">
        <w:rPr>
          <w:rFonts w:ascii="Arial" w:hAnsi="Arial" w:cs="Arial"/>
          <w:color w:val="000000" w:themeColor="text1"/>
          <w:sz w:val="22"/>
          <w:szCs w:val="22"/>
        </w:rPr>
        <w:t>in</w:t>
      </w:r>
      <w:r w:rsidRPr="00B6585E">
        <w:rPr>
          <w:rFonts w:ascii="Arial" w:hAnsi="Arial" w:cs="Arial"/>
          <w:color w:val="000000" w:themeColor="text1"/>
          <w:sz w:val="22"/>
          <w:szCs w:val="22"/>
        </w:rPr>
        <w:t xml:space="preserve"> </w:t>
      </w:r>
      <w:r w:rsidR="00535B96" w:rsidRPr="00B6585E">
        <w:rPr>
          <w:rFonts w:ascii="Arial" w:hAnsi="Arial" w:cs="Arial"/>
          <w:color w:val="000000" w:themeColor="text1"/>
          <w:sz w:val="22"/>
          <w:szCs w:val="22"/>
        </w:rPr>
        <w:t>500</w:t>
      </w:r>
      <w:r w:rsidRPr="00B6585E">
        <w:rPr>
          <w:rFonts w:ascii="Arial" w:hAnsi="Arial" w:cs="Arial"/>
          <w:color w:val="000000" w:themeColor="text1"/>
          <w:sz w:val="22"/>
          <w:szCs w:val="22"/>
        </w:rPr>
        <w:t xml:space="preserve"> mL</w:t>
      </w:r>
      <w:r w:rsidR="0070423B" w:rsidRPr="00B6585E">
        <w:rPr>
          <w:rFonts w:ascii="Arial" w:hAnsi="Arial" w:cs="Arial"/>
          <w:color w:val="000000" w:themeColor="text1"/>
          <w:sz w:val="22"/>
          <w:szCs w:val="22"/>
        </w:rPr>
        <w:t xml:space="preserve"> of 5% </w:t>
      </w:r>
      <w:r w:rsidR="00535B96" w:rsidRPr="00B6585E">
        <w:rPr>
          <w:rFonts w:ascii="Arial" w:hAnsi="Arial" w:cs="Arial"/>
          <w:color w:val="000000" w:themeColor="text1"/>
          <w:sz w:val="22"/>
          <w:szCs w:val="22"/>
        </w:rPr>
        <w:t>glucose</w:t>
      </w:r>
      <w:r w:rsidR="0096562F"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w:t>
      </w:r>
    </w:p>
    <w:p w14:paraId="557D82CF" w14:textId="77777777" w:rsidR="00931A60" w:rsidRPr="00B6585E" w:rsidRDefault="00A221DB">
      <w:pPr>
        <w:pStyle w:val="Heading2"/>
        <w:rPr>
          <w:color w:val="000000" w:themeColor="text1"/>
        </w:rPr>
      </w:pPr>
      <w:bookmarkStart w:id="171" w:name="_Toc9107191"/>
      <w:bookmarkStart w:id="172" w:name="_Toc23231323"/>
      <w:bookmarkStart w:id="173" w:name="_Toc96924973"/>
      <w:r w:rsidRPr="00B6585E">
        <w:rPr>
          <w:color w:val="000000" w:themeColor="text1"/>
        </w:rPr>
        <w:t>Anesthesia protocol</w:t>
      </w:r>
      <w:bookmarkEnd w:id="171"/>
      <w:bookmarkEnd w:id="172"/>
      <w:bookmarkEnd w:id="173"/>
    </w:p>
    <w:p w14:paraId="4B1010B9" w14:textId="77777777"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According to the clinical standard of care all patients receive an ECG, blood pressure and peripheral oxygen saturation. We will measure arterial blood pressure after induction of anesthesia in all patients. A central venous line will be placed and monitored as necessary. </w:t>
      </w:r>
    </w:p>
    <w:p w14:paraId="0E34C24B" w14:textId="2937775C"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Anesthesia will be induced with 1-3 µg/kg/ body weight (BW) fentanyl, 2 mg/kg/BW Propofol and 0.6 mg/kg/BW rocuronium. All patients will be endotracheal intubated. Anesthesia will be maintained with sevoflurane in a mixed oxygen carrier gas</w:t>
      </w:r>
      <w:r w:rsidR="00510AD0" w:rsidRPr="00B6585E">
        <w:rPr>
          <w:rFonts w:ascii="Arial" w:hAnsi="Arial" w:cs="Arial"/>
          <w:color w:val="000000" w:themeColor="text1"/>
          <w:sz w:val="22"/>
          <w:szCs w:val="22"/>
        </w:rPr>
        <w:t xml:space="preserve"> and propofol infusion of 6-8 mg/kgBW, respectively. </w:t>
      </w:r>
      <w:r w:rsidRPr="00B6585E">
        <w:rPr>
          <w:rFonts w:ascii="Arial" w:hAnsi="Arial" w:cs="Arial"/>
          <w:color w:val="000000" w:themeColor="text1"/>
          <w:sz w:val="22"/>
          <w:szCs w:val="22"/>
        </w:rPr>
        <w:t>Sevoflurane</w:t>
      </w:r>
      <w:r w:rsidR="00122E13" w:rsidRPr="00B6585E">
        <w:rPr>
          <w:rFonts w:ascii="Arial" w:hAnsi="Arial" w:cs="Arial"/>
          <w:color w:val="000000" w:themeColor="text1"/>
          <w:sz w:val="22"/>
          <w:szCs w:val="22"/>
        </w:rPr>
        <w:t xml:space="preserve"> or propofol</w:t>
      </w:r>
      <w:r w:rsidRPr="00B6585E">
        <w:rPr>
          <w:rFonts w:ascii="Arial" w:hAnsi="Arial" w:cs="Arial"/>
          <w:color w:val="000000" w:themeColor="text1"/>
          <w:sz w:val="22"/>
          <w:szCs w:val="22"/>
        </w:rPr>
        <w:t xml:space="preserve"> concentration will be titrated adjusted using processed electroencephalography (NarcoTrend, Narcotrend-Gruppe, Hannover, Germany). Fentanyl boli</w:t>
      </w:r>
      <w:r w:rsidR="00122E13"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will be administered if necessary.</w:t>
      </w:r>
      <w:r w:rsidR="00122E13" w:rsidRPr="00B6585E">
        <w:rPr>
          <w:rFonts w:ascii="Arial" w:hAnsi="Arial" w:cs="Arial"/>
          <w:color w:val="000000" w:themeColor="text1"/>
          <w:sz w:val="22"/>
          <w:szCs w:val="22"/>
        </w:rPr>
        <w:t xml:space="preserve"> When remifentanil will be used, the infusion rate will be increased until adequate analgesia will be reached. </w:t>
      </w:r>
      <w:r w:rsidRPr="00B6585E">
        <w:rPr>
          <w:rFonts w:ascii="Arial" w:hAnsi="Arial" w:cs="Arial"/>
          <w:color w:val="000000" w:themeColor="text1"/>
          <w:sz w:val="22"/>
          <w:szCs w:val="22"/>
        </w:rPr>
        <w:t xml:space="preserve">We will give additional muscle relaxation to maintain 1-2 mechanical twitches in response to supra-maximal stimulation (Train-of-Four stimulation, target of &lt; </w:t>
      </w:r>
      <w:r w:rsidR="00B271AA" w:rsidRPr="00B6585E">
        <w:rPr>
          <w:rFonts w:ascii="Arial" w:hAnsi="Arial" w:cs="Arial"/>
          <w:color w:val="000000" w:themeColor="text1"/>
          <w:sz w:val="22"/>
          <w:szCs w:val="22"/>
        </w:rPr>
        <w:t>x</w:t>
      </w:r>
      <w:r w:rsidRPr="00B6585E">
        <w:rPr>
          <w:rFonts w:ascii="Arial" w:hAnsi="Arial" w:cs="Arial"/>
          <w:color w:val="000000" w:themeColor="text1"/>
          <w:sz w:val="22"/>
          <w:szCs w:val="22"/>
        </w:rPr>
        <w:t xml:space="preserve">75%). </w:t>
      </w:r>
    </w:p>
    <w:p w14:paraId="190E63E8" w14:textId="30977E84"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For mechanical ventilation a FiO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between 0.3 and 0.5 will be used to maintain a SpO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&gt; 95% or pO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of &gt; 80mmHg.Tidal volume will be set between 6 and 8mL lean body weight to maintain end-tidal CO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within 35-40 mmHg. </w:t>
      </w:r>
      <w:r w:rsidR="00122E13" w:rsidRPr="00B6585E">
        <w:rPr>
          <w:rFonts w:ascii="Arial" w:hAnsi="Arial" w:cs="Arial"/>
          <w:color w:val="000000" w:themeColor="text1"/>
          <w:sz w:val="22"/>
          <w:szCs w:val="22"/>
        </w:rPr>
        <w:t>Positive e</w:t>
      </w:r>
      <w:r w:rsidRPr="00B6585E">
        <w:rPr>
          <w:rFonts w:ascii="Arial" w:hAnsi="Arial" w:cs="Arial"/>
          <w:color w:val="000000" w:themeColor="text1"/>
          <w:sz w:val="22"/>
          <w:szCs w:val="22"/>
        </w:rPr>
        <w:t xml:space="preserve">nd expiratory pressure will be set at 5 mmHg or higher according to the patient´s requirements. </w:t>
      </w:r>
    </w:p>
    <w:p w14:paraId="581B78A5" w14:textId="77777777"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We will actively warm patients with convective warming to maintain perioperative normothermia. </w:t>
      </w:r>
    </w:p>
    <w:p w14:paraId="30F04914" w14:textId="3651BEEC" w:rsidR="00931A60" w:rsidRPr="003D2DB9" w:rsidRDefault="00122E13">
      <w:pPr>
        <w:spacing w:before="120" w:after="120"/>
        <w:ind w:right="-7"/>
        <w:jc w:val="both"/>
        <w:rPr>
          <w:rFonts w:ascii="Arial" w:hAnsi="Arial" w:cs="Arial"/>
          <w:color w:val="FF0000"/>
          <w:sz w:val="22"/>
          <w:szCs w:val="22"/>
        </w:rPr>
      </w:pPr>
      <w:r w:rsidRPr="00B6585E">
        <w:rPr>
          <w:rFonts w:ascii="Arial" w:hAnsi="Arial" w:cs="Arial"/>
          <w:color w:val="000000" w:themeColor="text1"/>
          <w:sz w:val="22"/>
          <w:szCs w:val="22"/>
        </w:rPr>
        <w:t>F</w:t>
      </w:r>
      <w:r w:rsidR="00A221DB" w:rsidRPr="00B6585E">
        <w:rPr>
          <w:rFonts w:ascii="Arial" w:hAnsi="Arial" w:cs="Arial"/>
          <w:color w:val="000000" w:themeColor="text1"/>
          <w:sz w:val="22"/>
          <w:szCs w:val="22"/>
        </w:rPr>
        <w:t>luid management</w:t>
      </w:r>
      <w:r w:rsidRPr="00B6585E">
        <w:rPr>
          <w:rFonts w:ascii="Arial" w:hAnsi="Arial" w:cs="Arial"/>
          <w:color w:val="000000" w:themeColor="text1"/>
          <w:sz w:val="22"/>
          <w:szCs w:val="22"/>
        </w:rPr>
        <w:t xml:space="preserve"> during surgery</w:t>
      </w:r>
      <w:r w:rsidR="00A221DB" w:rsidRPr="00B6585E">
        <w:rPr>
          <w:rFonts w:ascii="Arial" w:hAnsi="Arial" w:cs="Arial"/>
          <w:color w:val="000000" w:themeColor="text1"/>
          <w:sz w:val="22"/>
          <w:szCs w:val="22"/>
        </w:rPr>
        <w:t xml:space="preserve"> will be goal-directed</w:t>
      </w:r>
      <w:r w:rsidR="005F7101" w:rsidRPr="00B6585E">
        <w:rPr>
          <w:rFonts w:ascii="Arial" w:hAnsi="Arial" w:cs="Arial"/>
          <w:color w:val="000000" w:themeColor="text1"/>
          <w:sz w:val="22"/>
          <w:szCs w:val="22"/>
        </w:rPr>
        <w:t xml:space="preserve"> guided</w:t>
      </w:r>
      <w:r w:rsidR="00A221DB" w:rsidRPr="00B6585E">
        <w:rPr>
          <w:rFonts w:ascii="Arial" w:hAnsi="Arial" w:cs="Arial"/>
          <w:color w:val="000000" w:themeColor="text1"/>
          <w:sz w:val="22"/>
          <w:szCs w:val="22"/>
        </w:rPr>
        <w:t xml:space="preserve"> using an esophageal Doppler (CardiacQ, Deltex Medical, Chichester, Westsussex)</w:t>
      </w:r>
      <w:r w:rsidR="003D2DB9">
        <w:rPr>
          <w:rFonts w:ascii="Arial" w:hAnsi="Arial" w:cs="Arial"/>
          <w:color w:val="000000" w:themeColor="text1"/>
          <w:sz w:val="22"/>
          <w:szCs w:val="22"/>
        </w:rPr>
        <w:t xml:space="preserve"> </w:t>
      </w:r>
      <w:r w:rsidR="003D2DB9" w:rsidRPr="003D2DB9">
        <w:rPr>
          <w:rFonts w:ascii="Arial" w:hAnsi="Arial" w:cs="Arial"/>
          <w:color w:val="FF0000"/>
          <w:sz w:val="22"/>
          <w:szCs w:val="22"/>
        </w:rPr>
        <w:t xml:space="preserve">or </w:t>
      </w:r>
      <w:r w:rsidR="003D2DB9">
        <w:rPr>
          <w:rFonts w:ascii="Arial" w:hAnsi="Arial" w:cs="Arial"/>
          <w:color w:val="FF0000"/>
          <w:sz w:val="22"/>
          <w:szCs w:val="22"/>
        </w:rPr>
        <w:t>pulse-contour analysis (e.g. EV100, Edwards Lifesciences, Irvine, CA) as appropriate</w:t>
      </w:r>
      <w:r w:rsidR="00A221DB" w:rsidRPr="00B6585E">
        <w:rPr>
          <w:rFonts w:ascii="Arial" w:hAnsi="Arial" w:cs="Arial"/>
          <w:color w:val="000000" w:themeColor="text1"/>
          <w:sz w:val="22"/>
          <w:szCs w:val="22"/>
        </w:rPr>
        <w:t xml:space="preserve"> according to a previous published algorithm.</w:t>
      </w:r>
      <w:r w:rsidR="00A221DB" w:rsidRPr="00B6585E">
        <w:rPr>
          <w:color w:val="000000" w:themeColor="text1"/>
        </w:rPr>
        <w:fldChar w:fldCharType="begin" w:fldLock="1"/>
      </w:r>
      <w:r w:rsidR="00971C80" w:rsidRPr="00B6585E">
        <w:rPr>
          <w:color w:val="000000" w:themeColor="text1"/>
        </w:rPr>
        <w:instrText>ADDIN CSL_CITATION {"citationItems":[{"id":"ITEM-1","itemData":{"DOI":"10.1093/bja/aes377","ISSN":"00070912","author":[{"dropping-particle":"","family":"Feldheiser","given":"A.","non-dropping-particle":"","parse-names":false,"suffix":""},{"dropping-particle":"","family":"Pavlova","given":"V.","non-dropping-particle":"","parse-names":false,"suffix":""},{"dropping-particle":"","family":"Bonomo","given":"T.","non-dropping-particle":"","parse-names":false,"suffix":""},{"dropping-particle":"","family":"Jones","given":"A.","non-dropping-particle":"","parse-names":false,"suffix":""},{"dropping-particle":"","family":"Fotopoulou","given":"C.","non-dropping-particle":"","parse-names":false,"suffix":""},{"dropping-particle":"","family":"Sehouli","given":"J.","non-dropping-particle":"","parse-names":false,"suffix":""},{"dropping-particle":"","family":"Wernecke","given":"K.-D.","non-dropping-particle":"","parse-names":false,"suffix":""},{"dropping-particle":"","family":"Spies","given":"C.","non-dropping-particle":"","parse-names":false,"suffix":""}],"container-title":"British Journal of Anaesthesia","id":"ITEM-1","issue":"2","issued":{"date-parts":[["2012"]]},"page":"231-240","publisher":"The Author(s)","title":"Balanced crystalloid compared with balanced colloid solution using a goal-directed haemodynamic algorithm","type":"article-journal","volume":"110"},"uris":["http://www.mendeley.com/documents/?uuid=5956d766-e262-4d56-b828-d61ddfafb1c4"]}],"mendeley":{"formattedCitation":"&lt;sup&gt;30&lt;/sup&gt;","plainTextFormattedCitation":"30","previouslyFormattedCitation":"&lt;sup&gt;30&lt;/sup&gt;"},"properties":{"noteIndex":0},"schema":"https://github.com/citation-style-language/schema/raw/master/csl-citation.json"}</w:instrText>
      </w:r>
      <w:r w:rsidR="00A221DB" w:rsidRPr="00B6585E">
        <w:rPr>
          <w:color w:val="000000" w:themeColor="text1"/>
        </w:rPr>
        <w:fldChar w:fldCharType="separate"/>
      </w:r>
      <w:bookmarkStart w:id="174" w:name="__Fieldmark__2164_2706913586"/>
      <w:bookmarkStart w:id="175" w:name="__Fieldmark__1338_3246776249"/>
      <w:bookmarkStart w:id="176" w:name="__Fieldmark__1815_218254580"/>
      <w:r w:rsidR="00750214" w:rsidRPr="00B6585E">
        <w:rPr>
          <w:rFonts w:ascii="Arial" w:hAnsi="Arial" w:cs="Arial"/>
          <w:noProof/>
          <w:color w:val="000000" w:themeColor="text1"/>
          <w:sz w:val="22"/>
          <w:szCs w:val="22"/>
          <w:vertAlign w:val="superscript"/>
        </w:rPr>
        <w:t>30</w:t>
      </w:r>
      <w:r w:rsidR="00A221DB" w:rsidRPr="00B6585E">
        <w:rPr>
          <w:color w:val="000000" w:themeColor="text1"/>
        </w:rPr>
        <w:fldChar w:fldCharType="end"/>
      </w:r>
      <w:bookmarkEnd w:id="174"/>
      <w:bookmarkEnd w:id="175"/>
      <w:bookmarkEnd w:id="176"/>
      <w:r w:rsidR="00A221DB" w:rsidRPr="00B6585E">
        <w:rPr>
          <w:rFonts w:ascii="Arial" w:hAnsi="Arial" w:cs="Arial"/>
          <w:color w:val="000000" w:themeColor="text1"/>
          <w:sz w:val="22"/>
          <w:szCs w:val="22"/>
        </w:rPr>
        <w:t xml:space="preserve"> We will use an acetate buffered crystalloid solution according to the standard of clinical care. In the case of acute bleeding volume administration according to the algorithm may not be sufficient. To keep place with fluid requirements, further volume boluses (5% albumin, 20% albumin) will be administered as necessary according to the attending anesthesiologist.</w:t>
      </w:r>
      <w:r w:rsidR="003D2DB9">
        <w:rPr>
          <w:rFonts w:ascii="Arial" w:hAnsi="Arial" w:cs="Arial"/>
          <w:color w:val="000000" w:themeColor="text1"/>
          <w:sz w:val="22"/>
          <w:szCs w:val="22"/>
        </w:rPr>
        <w:t xml:space="preserve"> </w:t>
      </w:r>
      <w:r w:rsidR="003D2DB9">
        <w:rPr>
          <w:rFonts w:ascii="Arial" w:hAnsi="Arial" w:cs="Arial"/>
          <w:color w:val="FF0000"/>
          <w:sz w:val="22"/>
          <w:szCs w:val="22"/>
        </w:rPr>
        <w:t>Transesophageal echocardiography will be performed per clinical judgement.</w:t>
      </w:r>
    </w:p>
    <w:p w14:paraId="0D3056C4" w14:textId="055A4597"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We will maintain a hematocrit of at least 26 %. </w:t>
      </w:r>
    </w:p>
    <w:p w14:paraId="732C616F" w14:textId="69FC311F" w:rsidR="00B90651" w:rsidRPr="00B6585E" w:rsidRDefault="00B90651">
      <w:pPr>
        <w:spacing w:before="120" w:after="120"/>
        <w:ind w:right="-7"/>
        <w:jc w:val="both"/>
        <w:rPr>
          <w:rFonts w:ascii="Arial" w:hAnsi="Arial" w:cs="Arial"/>
          <w:color w:val="000000" w:themeColor="text1"/>
          <w:sz w:val="22"/>
          <w:szCs w:val="22"/>
        </w:rPr>
      </w:pPr>
    </w:p>
    <w:p w14:paraId="53FE203F" w14:textId="043D8085" w:rsidR="00B90651" w:rsidRPr="00B6585E" w:rsidRDefault="00B90651" w:rsidP="00816FA9">
      <w:pPr>
        <w:pStyle w:val="Heading3"/>
        <w:numPr>
          <w:ilvl w:val="2"/>
          <w:numId w:val="3"/>
        </w:numPr>
      </w:pPr>
      <w:bookmarkStart w:id="177" w:name="_Toc96924974"/>
      <w:r w:rsidRPr="00B6585E">
        <w:t>Blood Pressure Management</w:t>
      </w:r>
      <w:bookmarkEnd w:id="177"/>
    </w:p>
    <w:p w14:paraId="6BB1A440" w14:textId="2F3948E6" w:rsidR="00B90651" w:rsidRPr="00B6585E" w:rsidRDefault="00B90651" w:rsidP="00AE0EAD">
      <w:pPr>
        <w:jc w:val="both"/>
        <w:rPr>
          <w:rFonts w:ascii="Arial" w:hAnsi="Arial" w:cs="Arial"/>
          <w:color w:val="000000" w:themeColor="text1"/>
          <w:sz w:val="22"/>
          <w:szCs w:val="22"/>
        </w:rPr>
      </w:pPr>
      <w:r w:rsidRPr="00B6585E">
        <w:rPr>
          <w:rFonts w:ascii="Arial" w:hAnsi="Arial" w:cs="Arial"/>
          <w:color w:val="000000" w:themeColor="text1"/>
          <w:sz w:val="22"/>
          <w:szCs w:val="22"/>
        </w:rPr>
        <w:t>Blood pressure will be managed as follows:</w:t>
      </w:r>
    </w:p>
    <w:p w14:paraId="43AE7892" w14:textId="60E5C133" w:rsidR="00B90651" w:rsidRPr="00B6585E" w:rsidRDefault="00B90651" w:rsidP="00AE0EAD">
      <w:pPr>
        <w:jc w:val="both"/>
        <w:rPr>
          <w:rFonts w:ascii="Arial" w:hAnsi="Arial" w:cs="Arial"/>
          <w:color w:val="000000" w:themeColor="text1"/>
          <w:sz w:val="22"/>
          <w:szCs w:val="22"/>
        </w:rPr>
      </w:pPr>
      <w:r w:rsidRPr="00B6585E">
        <w:rPr>
          <w:rFonts w:ascii="Arial" w:hAnsi="Arial" w:cs="Arial"/>
          <w:color w:val="000000" w:themeColor="text1"/>
          <w:sz w:val="22"/>
          <w:szCs w:val="22"/>
        </w:rPr>
        <w:t>If the MAP falls below 65 mmHg a</w:t>
      </w:r>
      <w:r w:rsidR="004B737C" w:rsidRPr="00B6585E">
        <w:rPr>
          <w:rFonts w:ascii="Arial" w:hAnsi="Arial" w:cs="Arial"/>
          <w:color w:val="000000" w:themeColor="text1"/>
          <w:sz w:val="22"/>
          <w:szCs w:val="22"/>
        </w:rPr>
        <w:t xml:space="preserve"> bolus of phenylephrine 0.1 – 0.2 </w:t>
      </w:r>
      <w:r w:rsidR="00AE0EAD" w:rsidRPr="00B6585E">
        <w:rPr>
          <w:rFonts w:ascii="Arial" w:hAnsi="Arial" w:cs="Arial"/>
          <w:color w:val="000000" w:themeColor="text1"/>
          <w:sz w:val="22"/>
          <w:szCs w:val="22"/>
        </w:rPr>
        <w:t>m</w:t>
      </w:r>
      <w:r w:rsidR="004B737C" w:rsidRPr="00B6585E">
        <w:rPr>
          <w:rFonts w:ascii="Arial" w:hAnsi="Arial" w:cs="Arial"/>
          <w:color w:val="000000" w:themeColor="text1"/>
          <w:sz w:val="22"/>
          <w:szCs w:val="22"/>
        </w:rPr>
        <w:t>g will be given to achieve blood pressure above MAP 65</w:t>
      </w:r>
      <w:r w:rsidR="00AE0EAD" w:rsidRPr="00B6585E">
        <w:rPr>
          <w:rFonts w:ascii="Arial" w:hAnsi="Arial" w:cs="Arial"/>
          <w:color w:val="000000" w:themeColor="text1"/>
          <w:sz w:val="22"/>
          <w:szCs w:val="22"/>
        </w:rPr>
        <w:t xml:space="preserve"> </w:t>
      </w:r>
      <w:r w:rsidR="004B737C" w:rsidRPr="00B6585E">
        <w:rPr>
          <w:rFonts w:ascii="Arial" w:hAnsi="Arial" w:cs="Arial"/>
          <w:color w:val="000000" w:themeColor="text1"/>
          <w:sz w:val="22"/>
          <w:szCs w:val="22"/>
        </w:rPr>
        <w:t xml:space="preserve">mmHg. Phenylephrine will be dosed up to maximum dose of </w:t>
      </w:r>
      <w:r w:rsidR="00AE0EAD" w:rsidRPr="00B6585E">
        <w:rPr>
          <w:rFonts w:ascii="Arial" w:hAnsi="Arial" w:cs="Arial"/>
          <w:color w:val="000000" w:themeColor="text1"/>
          <w:sz w:val="22"/>
          <w:szCs w:val="22"/>
        </w:rPr>
        <w:t>1 m</w:t>
      </w:r>
      <w:r w:rsidR="004B737C" w:rsidRPr="00B6585E">
        <w:rPr>
          <w:rFonts w:ascii="Arial" w:hAnsi="Arial" w:cs="Arial"/>
          <w:color w:val="000000" w:themeColor="text1"/>
          <w:sz w:val="22"/>
          <w:szCs w:val="22"/>
        </w:rPr>
        <w:t xml:space="preserve">g phenylephrine per hour. If more than a total of </w:t>
      </w:r>
      <w:r w:rsidR="00AE0EAD" w:rsidRPr="00B6585E">
        <w:rPr>
          <w:rFonts w:ascii="Arial" w:hAnsi="Arial" w:cs="Arial"/>
          <w:color w:val="000000" w:themeColor="text1"/>
          <w:sz w:val="22"/>
          <w:szCs w:val="22"/>
        </w:rPr>
        <w:t>1m</w:t>
      </w:r>
      <w:r w:rsidR="004B737C" w:rsidRPr="00B6585E">
        <w:rPr>
          <w:rFonts w:ascii="Arial" w:hAnsi="Arial" w:cs="Arial"/>
          <w:color w:val="000000" w:themeColor="text1"/>
          <w:sz w:val="22"/>
          <w:szCs w:val="22"/>
        </w:rPr>
        <w:t xml:space="preserve">g of phenylephrine in multiple boluses </w:t>
      </w:r>
      <w:r w:rsidR="003D2DB9" w:rsidRPr="00B6585E">
        <w:rPr>
          <w:rFonts w:ascii="Arial" w:hAnsi="Arial" w:cs="Arial"/>
          <w:color w:val="000000" w:themeColor="text1"/>
          <w:sz w:val="22"/>
          <w:szCs w:val="22"/>
        </w:rPr>
        <w:t>will be</w:t>
      </w:r>
      <w:r w:rsidR="004B737C" w:rsidRPr="00B6585E">
        <w:rPr>
          <w:rFonts w:ascii="Arial" w:hAnsi="Arial" w:cs="Arial"/>
          <w:color w:val="000000" w:themeColor="text1"/>
          <w:sz w:val="22"/>
          <w:szCs w:val="22"/>
        </w:rPr>
        <w:t xml:space="preserve"> necessary within 1 hour, or the degree of hypotension will be likely to require more than </w:t>
      </w:r>
      <w:r w:rsidR="00AE0EAD" w:rsidRPr="00B6585E">
        <w:rPr>
          <w:rFonts w:ascii="Arial" w:hAnsi="Arial" w:cs="Arial"/>
          <w:color w:val="000000" w:themeColor="text1"/>
          <w:sz w:val="22"/>
          <w:szCs w:val="22"/>
        </w:rPr>
        <w:t>1 mg per hour, continuous infusion of norepinephrine will be started at a dose of 0.01 – 0.02 µg/kg/min and titrated to achieve MAP &gt; 65 mmHg.</w:t>
      </w:r>
      <w:r w:rsidR="00162262" w:rsidRPr="00B6585E">
        <w:rPr>
          <w:rFonts w:ascii="Arial" w:hAnsi="Arial" w:cs="Arial"/>
          <w:color w:val="000000" w:themeColor="text1"/>
          <w:sz w:val="22"/>
          <w:szCs w:val="22"/>
        </w:rPr>
        <w:t xml:space="preserve"> For further intraoperative blood pressure management see Figure 2.</w:t>
      </w:r>
    </w:p>
    <w:p w14:paraId="6BDF36A5" w14:textId="675FE8F0" w:rsidR="008A4648" w:rsidRPr="00B6585E" w:rsidRDefault="008A4648">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65783400" w14:textId="77777777" w:rsidR="00162262" w:rsidRPr="00B6585E" w:rsidRDefault="00162262" w:rsidP="00AE0EAD">
      <w:pPr>
        <w:jc w:val="both"/>
        <w:rPr>
          <w:rFonts w:ascii="Arial" w:hAnsi="Arial" w:cs="Arial"/>
          <w:color w:val="000000" w:themeColor="text1"/>
          <w:sz w:val="22"/>
          <w:szCs w:val="22"/>
        </w:rPr>
      </w:pPr>
    </w:p>
    <w:p w14:paraId="425914C2" w14:textId="0EDF0A82" w:rsidR="00B90651" w:rsidRPr="00B6585E" w:rsidRDefault="008A4648" w:rsidP="00162262">
      <w:pPr>
        <w:rPr>
          <w:rFonts w:ascii="Arial" w:hAnsi="Arial" w:cs="Arial"/>
          <w:color w:val="000000" w:themeColor="text1"/>
          <w:sz w:val="22"/>
          <w:szCs w:val="22"/>
        </w:rPr>
      </w:pPr>
      <w:r w:rsidRPr="00B6585E">
        <w:rPr>
          <w:noProof/>
          <w:color w:val="000000" w:themeColor="text1"/>
          <w:lang w:val="de-DE" w:eastAsia="de-DE"/>
        </w:rPr>
        <mc:AlternateContent>
          <mc:Choice Requires="wpg">
            <w:drawing>
              <wp:anchor distT="0" distB="0" distL="114300" distR="114300" simplePos="0" relativeHeight="251660288" behindDoc="0" locked="0" layoutInCell="1" allowOverlap="1" wp14:anchorId="578B8A87" wp14:editId="18AE8C62">
                <wp:simplePos x="0" y="0"/>
                <wp:positionH relativeFrom="column">
                  <wp:posOffset>239041</wp:posOffset>
                </wp:positionH>
                <wp:positionV relativeFrom="paragraph">
                  <wp:posOffset>625975</wp:posOffset>
                </wp:positionV>
                <wp:extent cx="5844208" cy="3267986"/>
                <wp:effectExtent l="0" t="0" r="0" b="0"/>
                <wp:wrapNone/>
                <wp:docPr id="13" name="Group 11"/>
                <wp:cNvGraphicFramePr/>
                <a:graphic xmlns:a="http://schemas.openxmlformats.org/drawingml/2006/main">
                  <a:graphicData uri="http://schemas.microsoft.com/office/word/2010/wordprocessingGroup">
                    <wpg:wgp>
                      <wpg:cNvGrpSpPr/>
                      <wpg:grpSpPr>
                        <a:xfrm>
                          <a:off x="0" y="0"/>
                          <a:ext cx="5844208" cy="3267986"/>
                          <a:chOff x="0" y="0"/>
                          <a:chExt cx="8128000" cy="4575642"/>
                        </a:xfrm>
                      </wpg:grpSpPr>
                      <wpg:graphicFrame>
                        <wpg:cNvPr id="14" name="Diagram 14"/>
                        <wpg:cNvFrPr/>
                        <wpg:xfrm>
                          <a:off x="0" y="0"/>
                          <a:ext cx="8128000" cy="4430914"/>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16" name="TextBox 8"/>
                        <wps:cNvSpPr txBox="1"/>
                        <wps:spPr>
                          <a:xfrm>
                            <a:off x="0" y="3990579"/>
                            <a:ext cx="7964360" cy="585063"/>
                          </a:xfrm>
                          <a:prstGeom prst="rect">
                            <a:avLst/>
                          </a:prstGeom>
                          <a:solidFill>
                            <a:schemeClr val="accent4">
                              <a:lumMod val="20000"/>
                              <a:lumOff val="80000"/>
                            </a:schemeClr>
                          </a:solidFill>
                        </wps:spPr>
                        <wps:txbx>
                          <w:txbxContent>
                            <w:p w14:paraId="663F1C44" w14:textId="77777777" w:rsidR="001D162A" w:rsidRDefault="001D162A" w:rsidP="007651A1">
                              <w:pPr>
                                <w:jc w:val="center"/>
                              </w:pPr>
                              <w:r>
                                <w:rPr>
                                  <w:rFonts w:asciiTheme="minorHAnsi" w:hAnsi="Calibri" w:cstheme="minorBidi"/>
                                  <w:color w:val="000000" w:themeColor="text1"/>
                                  <w:kern w:val="24"/>
                                  <w:sz w:val="20"/>
                                  <w:szCs w:val="20"/>
                                </w:rPr>
                                <w:t xml:space="preserve">Reevaluation every 30 minutes: if necessary further dose reduction OR if possible, increase dose – 0.05µg/kg/min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8B8A87" id="Group 11" o:spid="_x0000_s1026" style="position:absolute;margin-left:18.8pt;margin-top:49.3pt;width:460.15pt;height:257.3pt;z-index:251660288;mso-width-relative:margin;mso-height-relative:margin" coordsize="81280,45756"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4" o:spid="_x0000_s1027" type="#_x0000_t75" style="position:absolute;left:883;top:6934;width:79129;height:3040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">
                  <v:imagedata r:id="rId23" o:title=""/>
                  <o:lock v:ext="edit" aspectratio="f"/>
                </v:shape>
                <v:shapetype id="_x0000_t202" coordsize="21600,21600" o:spt="202" path="m,l,21600r21600,l21600,xe">
                  <v:stroke joinstyle="miter"/>
                  <v:path gradientshapeok="t" o:connecttype="rect"/>
                </v:shapetype>
                <v:shape id="TextBox 8" o:spid="_x0000_s1028" type="#_x0000_t202" style="position:absolute;top:39905;width:79643;height:5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" fillcolor="#fff2cc [663]" stroked="f">
                  <v:textbox>
                    <w:txbxContent>
                      <w:p w14:paraId="663F1C44" w14:textId="77777777" w:rsidR="001D162A" w:rsidRDefault="001D162A" w:rsidP="007651A1">
                        <w:pPr>
                          <w:jc w:val="center"/>
                        </w:pPr>
                        <w:r>
                          <w:rPr>
                            <w:rFonts w:asciiTheme="minorHAnsi" w:hAnsi="Calibri" w:cstheme="minorBidi"/>
                            <w:color w:val="000000" w:themeColor="text1"/>
                            <w:kern w:val="24"/>
                            <w:sz w:val="20"/>
                            <w:szCs w:val="20"/>
                          </w:rPr>
                          <w:t xml:space="preserve">Reevaluation every 30 minutes: if necessary further dose reduction OR if possible, increase dose – 0.05µg/kg/min </w:t>
                        </w:r>
                      </w:p>
                    </w:txbxContent>
                  </v:textbox>
                </v:shape>
              </v:group>
            </w:pict>
          </mc:Fallback>
        </mc:AlternateContent>
      </w:r>
      <w:r w:rsidR="00162262" w:rsidRPr="00B6585E">
        <w:rPr>
          <w:rFonts w:ascii="Arial" w:hAnsi="Arial" w:cs="Arial"/>
          <w:color w:val="000000" w:themeColor="text1"/>
          <w:sz w:val="22"/>
          <w:szCs w:val="22"/>
        </w:rPr>
        <w:t>Figure 2:</w:t>
      </w:r>
    </w:p>
    <w:p w14:paraId="0B556DBF" w14:textId="77777777" w:rsidR="008A4648" w:rsidRPr="00B6585E" w:rsidRDefault="008A4648">
      <w:pPr>
        <w:rPr>
          <w:rFonts w:ascii="Arial" w:eastAsia="MS Gothic" w:hAnsi="Arial" w:cs="Arial"/>
          <w:b/>
          <w:bCs/>
          <w:color w:val="000000" w:themeColor="text1"/>
          <w:sz w:val="22"/>
          <w:szCs w:val="22"/>
        </w:rPr>
      </w:pPr>
      <w:bookmarkStart w:id="178" w:name="_Toc9107192"/>
      <w:bookmarkStart w:id="179" w:name="_Toc23231324"/>
      <w:r w:rsidRPr="00B6585E">
        <w:rPr>
          <w:color w:val="000000" w:themeColor="text1"/>
        </w:rPr>
        <w:br w:type="page"/>
      </w:r>
    </w:p>
    <w:p w14:paraId="127D5028" w14:textId="1DA2D86C" w:rsidR="00931A60" w:rsidRPr="00B6585E" w:rsidRDefault="00A221DB">
      <w:pPr>
        <w:pStyle w:val="Heading2"/>
        <w:rPr>
          <w:color w:val="000000" w:themeColor="text1"/>
        </w:rPr>
      </w:pPr>
      <w:bookmarkStart w:id="180" w:name="_Toc96924975"/>
      <w:r w:rsidRPr="00B6585E">
        <w:rPr>
          <w:color w:val="000000" w:themeColor="text1"/>
        </w:rPr>
        <w:lastRenderedPageBreak/>
        <w:t>Follow-Up</w:t>
      </w:r>
      <w:bookmarkEnd w:id="178"/>
      <w:bookmarkEnd w:id="179"/>
      <w:bookmarkEnd w:id="180"/>
    </w:p>
    <w:p w14:paraId="71C17625" w14:textId="062AB17C" w:rsidR="005A6494"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During postoperative study drug infusion, the patient will be closely monitored</w:t>
      </w:r>
      <w:r w:rsidR="005A6494" w:rsidRPr="00B6585E">
        <w:rPr>
          <w:rFonts w:ascii="Arial" w:hAnsi="Arial" w:cs="Arial"/>
          <w:color w:val="000000" w:themeColor="text1"/>
          <w:sz w:val="22"/>
          <w:szCs w:val="22"/>
        </w:rPr>
        <w:t xml:space="preserve"> at the </w:t>
      </w:r>
      <w:r w:rsidR="005E4A18" w:rsidRPr="00B6585E">
        <w:rPr>
          <w:rFonts w:ascii="Arial" w:hAnsi="Arial" w:cs="Arial"/>
          <w:color w:val="000000" w:themeColor="text1"/>
          <w:sz w:val="22"/>
          <w:szCs w:val="22"/>
        </w:rPr>
        <w:t>post anesthesia</w:t>
      </w:r>
      <w:r w:rsidR="005A6494" w:rsidRPr="00B6585E">
        <w:rPr>
          <w:rFonts w:ascii="Arial" w:hAnsi="Arial" w:cs="Arial"/>
          <w:color w:val="000000" w:themeColor="text1"/>
          <w:sz w:val="22"/>
          <w:szCs w:val="22"/>
        </w:rPr>
        <w:t xml:space="preserve"> care unit and intensive care unit, respectively. </w:t>
      </w:r>
    </w:p>
    <w:p w14:paraId="5CECFA46" w14:textId="5949EC03" w:rsidR="005A6494" w:rsidRPr="00B6585E" w:rsidRDefault="005E4A18">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A</w:t>
      </w:r>
      <w:r w:rsidR="00354D4E" w:rsidRPr="00B6585E">
        <w:rPr>
          <w:rFonts w:ascii="Arial" w:hAnsi="Arial" w:cs="Arial"/>
          <w:color w:val="000000" w:themeColor="text1"/>
          <w:sz w:val="22"/>
          <w:szCs w:val="22"/>
        </w:rPr>
        <w:t>n</w:t>
      </w:r>
      <w:r w:rsidRPr="00B6585E">
        <w:rPr>
          <w:rFonts w:ascii="Arial" w:hAnsi="Arial" w:cs="Arial"/>
          <w:color w:val="000000" w:themeColor="text1"/>
          <w:sz w:val="22"/>
          <w:szCs w:val="22"/>
        </w:rPr>
        <w:t xml:space="preserve"> investigator will visit all patients during their hospital stay on the first, second and third day after surgery. During the visits the investigators will evaluate the incidence of possible si</w:t>
      </w:r>
      <w:r w:rsidR="008E2E58" w:rsidRPr="00B6585E">
        <w:rPr>
          <w:rFonts w:ascii="Arial" w:hAnsi="Arial" w:cs="Arial"/>
          <w:color w:val="000000" w:themeColor="text1"/>
          <w:sz w:val="22"/>
          <w:szCs w:val="22"/>
        </w:rPr>
        <w:t>d</w:t>
      </w:r>
      <w:r w:rsidRPr="00B6585E">
        <w:rPr>
          <w:rFonts w:ascii="Arial" w:hAnsi="Arial" w:cs="Arial"/>
          <w:color w:val="000000" w:themeColor="text1"/>
          <w:sz w:val="22"/>
          <w:szCs w:val="22"/>
        </w:rPr>
        <w:t xml:space="preserve">e effects. </w:t>
      </w:r>
      <w:r w:rsidR="009021D4" w:rsidRPr="00B6585E">
        <w:rPr>
          <w:rFonts w:ascii="Arial" w:hAnsi="Arial" w:cs="Arial"/>
          <w:color w:val="000000" w:themeColor="text1"/>
          <w:sz w:val="22"/>
          <w:szCs w:val="22"/>
        </w:rPr>
        <w:t>To detect any changes in cardiac rhythm or new onset of cardiac arrhythmias, a</w:t>
      </w:r>
      <w:r w:rsidR="008E2E58" w:rsidRPr="00B6585E">
        <w:rPr>
          <w:rFonts w:ascii="Arial" w:hAnsi="Arial" w:cs="Arial"/>
          <w:color w:val="000000" w:themeColor="text1"/>
          <w:sz w:val="22"/>
          <w:szCs w:val="22"/>
        </w:rPr>
        <w:t>n</w:t>
      </w:r>
      <w:r w:rsidR="009021D4" w:rsidRPr="00B6585E">
        <w:rPr>
          <w:rFonts w:ascii="Arial" w:hAnsi="Arial" w:cs="Arial"/>
          <w:color w:val="000000" w:themeColor="text1"/>
          <w:sz w:val="22"/>
          <w:szCs w:val="22"/>
        </w:rPr>
        <w:t xml:space="preserve"> ECG will be performed daily during the first three days. </w:t>
      </w:r>
      <w:r w:rsidR="00F542CB" w:rsidRPr="00B6585E">
        <w:rPr>
          <w:rFonts w:ascii="Arial" w:hAnsi="Arial" w:cs="Arial"/>
          <w:color w:val="000000" w:themeColor="text1"/>
          <w:sz w:val="22"/>
          <w:szCs w:val="22"/>
        </w:rPr>
        <w:t>After hospital discharge the patient discharge record will be used for evaluation of the in-hospital adverse events</w:t>
      </w:r>
      <w:r w:rsidR="007447EC" w:rsidRPr="00B6585E">
        <w:rPr>
          <w:rFonts w:ascii="Arial" w:hAnsi="Arial" w:cs="Arial"/>
          <w:color w:val="000000" w:themeColor="text1"/>
          <w:sz w:val="22"/>
          <w:szCs w:val="22"/>
        </w:rPr>
        <w:t>.</w:t>
      </w:r>
    </w:p>
    <w:p w14:paraId="49BF2C0C" w14:textId="03F00663" w:rsidR="00F542CB" w:rsidRPr="00B6585E" w:rsidRDefault="00F542C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A</w:t>
      </w:r>
      <w:r w:rsidR="0048530B" w:rsidRPr="00B6585E">
        <w:rPr>
          <w:rFonts w:ascii="Arial" w:hAnsi="Arial" w:cs="Arial"/>
          <w:color w:val="000000" w:themeColor="text1"/>
          <w:sz w:val="22"/>
          <w:szCs w:val="22"/>
        </w:rPr>
        <w:t>n</w:t>
      </w:r>
      <w:r w:rsidRPr="00B6585E">
        <w:rPr>
          <w:rFonts w:ascii="Arial" w:hAnsi="Arial" w:cs="Arial"/>
          <w:color w:val="000000" w:themeColor="text1"/>
          <w:sz w:val="22"/>
          <w:szCs w:val="22"/>
        </w:rPr>
        <w:t xml:space="preserve"> investigator will call all participants 30 day and 1 year after surgery to evaluate cardiovascular morbidity. </w:t>
      </w:r>
    </w:p>
    <w:p w14:paraId="60AE42F8" w14:textId="4FE5A717" w:rsidR="00131C69" w:rsidRPr="00B6585E" w:rsidRDefault="00F542C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All adverse events will be recorded in the appropriate section of the CRF. </w:t>
      </w:r>
    </w:p>
    <w:p w14:paraId="0A59C18C" w14:textId="53725D1F" w:rsidR="008E2E58" w:rsidRPr="00B6585E" w:rsidRDefault="008E2E58" w:rsidP="008E2E58">
      <w:pPr>
        <w:pStyle w:val="Heading2"/>
        <w:rPr>
          <w:color w:val="000000" w:themeColor="text1"/>
        </w:rPr>
      </w:pPr>
      <w:bookmarkStart w:id="181" w:name="_Toc96924976"/>
      <w:r w:rsidRPr="00B6585E">
        <w:rPr>
          <w:color w:val="000000" w:themeColor="text1"/>
        </w:rPr>
        <w:t>Perioperative Patient Management</w:t>
      </w:r>
      <w:bookmarkEnd w:id="181"/>
    </w:p>
    <w:p w14:paraId="38A6D0FC" w14:textId="5230D31E" w:rsidR="00131C69" w:rsidRPr="00B6585E" w:rsidRDefault="008E2E58" w:rsidP="008E2E58">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perioperative management will be handled with the current standard of care according the guidelines published by the Austrian Society for Anesthesiology (ÖGARI). The postoperative management </w:t>
      </w:r>
      <w:r w:rsidR="00A81FDD" w:rsidRPr="00B6585E">
        <w:rPr>
          <w:rFonts w:ascii="Arial" w:hAnsi="Arial" w:cs="Arial"/>
          <w:color w:val="000000" w:themeColor="text1"/>
          <w:sz w:val="22"/>
          <w:szCs w:val="22"/>
        </w:rPr>
        <w:t>of</w:t>
      </w:r>
      <w:r w:rsidRPr="00B6585E">
        <w:rPr>
          <w:rFonts w:ascii="Arial" w:hAnsi="Arial" w:cs="Arial"/>
          <w:color w:val="000000" w:themeColor="text1"/>
          <w:sz w:val="22"/>
          <w:szCs w:val="22"/>
        </w:rPr>
        <w:t xml:space="preserve"> medication will be done according to the attending physician. There will be no changes </w:t>
      </w:r>
      <w:r w:rsidR="00FE4AD8" w:rsidRPr="00B6585E">
        <w:rPr>
          <w:rFonts w:ascii="Arial" w:hAnsi="Arial" w:cs="Arial"/>
          <w:color w:val="000000" w:themeColor="text1"/>
          <w:sz w:val="22"/>
          <w:szCs w:val="22"/>
        </w:rPr>
        <w:t xml:space="preserve">of </w:t>
      </w:r>
      <w:r w:rsidR="00A81FDD" w:rsidRPr="00B6585E">
        <w:rPr>
          <w:rFonts w:ascii="Arial" w:hAnsi="Arial" w:cs="Arial"/>
          <w:color w:val="000000" w:themeColor="text1"/>
          <w:sz w:val="22"/>
          <w:szCs w:val="22"/>
        </w:rPr>
        <w:t>any</w:t>
      </w:r>
      <w:r w:rsidRPr="00B6585E">
        <w:rPr>
          <w:rFonts w:ascii="Arial" w:hAnsi="Arial" w:cs="Arial"/>
          <w:color w:val="000000" w:themeColor="text1"/>
          <w:sz w:val="22"/>
          <w:szCs w:val="22"/>
        </w:rPr>
        <w:t xml:space="preserve"> medication because related </w:t>
      </w:r>
      <w:r w:rsidR="00746BD3" w:rsidRPr="00B6585E">
        <w:rPr>
          <w:rFonts w:ascii="Arial" w:hAnsi="Arial" w:cs="Arial"/>
          <w:color w:val="000000" w:themeColor="text1"/>
          <w:sz w:val="22"/>
          <w:szCs w:val="22"/>
        </w:rPr>
        <w:t>to</w:t>
      </w:r>
      <w:r w:rsidRPr="00B6585E">
        <w:rPr>
          <w:rFonts w:ascii="Arial" w:hAnsi="Arial" w:cs="Arial"/>
          <w:color w:val="000000" w:themeColor="text1"/>
          <w:sz w:val="22"/>
          <w:szCs w:val="22"/>
        </w:rPr>
        <w:t xml:space="preserve"> this trial. </w:t>
      </w:r>
    </w:p>
    <w:p w14:paraId="55408B3C" w14:textId="2D1FCE94" w:rsidR="00750214" w:rsidRPr="00B6585E" w:rsidRDefault="00752A6B" w:rsidP="008E2E58">
      <w:pPr>
        <w:jc w:val="both"/>
        <w:rPr>
          <w:rFonts w:ascii="Arial" w:hAnsi="Arial" w:cs="Arial"/>
          <w:b/>
          <w:bCs/>
          <w:color w:val="000000" w:themeColor="text1"/>
          <w:sz w:val="22"/>
          <w:szCs w:val="22"/>
        </w:rPr>
      </w:pPr>
      <w:r w:rsidRPr="00B6585E">
        <w:rPr>
          <w:rFonts w:ascii="Arial" w:hAnsi="Arial" w:cs="Arial"/>
          <w:color w:val="000000" w:themeColor="text1"/>
          <w:sz w:val="22"/>
          <w:szCs w:val="22"/>
        </w:rPr>
        <w:t xml:space="preserve">The VISION Study showed that clinically important hypotension is common on the first few days after surgery. Hypotension occurred most frequently (12%) on postoperative day 1; however, 5% and 2% of patients experience at least one episode of clinically important hypotension on postoperative day 2 and day 3, respectively. </w:t>
      </w:r>
      <w:r w:rsidR="00D02927"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{"citationItems":[{"id":"ITEM-1","itemData":{"ISBN":"0000000000","abstract":"Past population size can be estimated from modern genetic diversity using coalescent theory. Estimates of ancestral human population dynamics in sub-Saharan Africa can tell us about the timing and nature of our first steps towards colonizing the globe. Here, we combine Bayesian coalescent inference with a dataset of 224 complete human mitochondrial DNA (mtDNA) sequences to estimate effective population size through time for each of the four major African mtDNA haplogroups (L0-L3). We find evidence of three distinct demographic histories underlying the four haplogroups. Haplogroups L0 and L1 both show slow, steady exponential growth from 156 to 213kyr ago. By contrast, haplogroups L2 and L3 show evidence of substantial growth beginning 12-20 and 61-86kyr ago, respectively. These later expansions may be associated with contemporaneous environmental and/or cultural changes. The timing of the L3 expansion--8-12kyr prior to the emergence of the first non-African mtDNA lineages--together with high L3 diversity in eastern Africa, strongly supports the proposal that the human exodus from Africa and subsequent colonization of the globe was prefaced by a major expansion within Africa, perhaps driven by some form of cultural innovation.","author":[{"dropping-particle":"","family":"Roshanov","given":"P.","non-dropping-particle":"","parse-names":false,"suffix":""},{"dropping-particle":"","family":"Rochwerg","given":"B.","non-dropping-particle":"","parse-names":false,"suffix":""},{"dropping-particle":"","family":"Patel","given":"A.","non-dropping-particle":"","parse-names":false,"suffix":""},{"dropping-particle":"","family":"Salehian","given":"O.","non-dropping-particle":"","parse-names":false,"suffix":""},{"dropping-particle":"","family":"Duceppe","given":"E.","non-dropping-particle":"","parse-names":false,"suffix":""},{"dropping-particle":"","family":"Belley-Coté","given":"E.","non-dropping-particle":"","parse-names":false,"suffix":""},{"dropping-particle":"","family":"Guyatt","given":"G.","non-dropping-particle":"","parse-names":false,"suffix":""},{"dropping-particle":"","family":"Sessler","given":"D.","non-dropping-particle":"","parse-names":false,"suffix":""},{"dropping-particle":"","family":"Manach","given":"Y.","non-dropping-particle":"Le","parse-names":false,"suffix":""},{"dropping-particle":"","family":"Borges","given":"F.","non-dropping-particle":"","parse-names":false,"suffix":""},{"dropping-particle":"","family":"Tandon","given":"V.","non-dropping-particle":"","parse-names":false,"suffix":""},{"dropping-particle":"","family":"Worster","given":"A.","non-dropping-particle":"","parse-names":false,"suffix":""},{"dropping-particle":"","family":"Thompson","given":"A.","non-dropping-particle":"","parse-names":false,"suffix":""},{"dropping-particle":"","family":"Koshy","given":"M.","non-dropping-particle":"","parse-names":false,"suffix":""},{"dropping-particle":"","family":"Devereaux","given":"B.","non-dropping-particle":"","parse-names":false,"suffix":""},{"dropping-particle":"","family":"Spencer","given":"F.","non-dropping-particle":"","parse-names":false,"suffix":""},{"dropping-particle":"","family":"Sanders","given":"R.","non-dropping-particle":"","parse-names":false,"suffix":""},{"dropping-particle":"","family":"Sloan","given":"E.","non-dropping-particle":"","parse-names":false,"suffix":""},{"dropping-particle":"","family":"Morley","given":"E.","non-dropping-particle":"","parse-names":false,"suffix":""},{"dropping-particle":"","family":"Paul","given":"J.","non-dropping-particle":"","parse-names":false,"suffix":""},{"dropping-particle":"","family":"Raymer","given":"K.","non-dropping-particle":"","parse-names":false,"suffix":""},{"dropping-particle":"","family":"Punthakee","given":"Z.","non-dropping-particle":"","parse-names":false,"suffix":""},{"dropping-particle":"","family":"Devereaux","given":"P.J.","non-dropping-particle":"","parse-names":false,"suffix":""}],"container-title":"Anesthesiology","id":"ITEM-1","issue":"1","issued":{"date-parts":[["2017"]]},"page":"16-27","title":"Withholding versus Continuing Angiotensin-converting Enzyme Inhibitors or Angiotensin II Receptor Blockers before Noncardiac Surgery An Analysis of the Vascular events In noncardiac Surgery patIents cOhort evaluatioN Prospective Cohort","type":"article-journal"},"uris":["http://www.mendeley.com/documents/?uuid=cb31333f-cd24-4db1-b3de-ca055e1122a7"]}],"mendeley":{"formattedCitation":"&lt;sup&gt;31&lt;/sup&gt;","plainTextFormattedCitation":"31"},"properties":{"noteIndex":0},"schema":"https://github.com/citation-style-language/schema/raw/master/csl-citation.json"}</w:instrText>
      </w:r>
      <w:r w:rsidR="00D02927"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31</w:t>
      </w:r>
      <w:r w:rsidR="00D02927" w:rsidRPr="00B6585E">
        <w:rPr>
          <w:rFonts w:ascii="Arial" w:hAnsi="Arial" w:cs="Arial"/>
          <w:color w:val="000000" w:themeColor="text1"/>
          <w:sz w:val="22"/>
          <w:szCs w:val="22"/>
        </w:rPr>
        <w:fldChar w:fldCharType="end"/>
      </w:r>
      <w:r w:rsidR="00D02927" w:rsidRPr="00B6585E">
        <w:rPr>
          <w:rFonts w:ascii="Arial" w:hAnsi="Arial" w:cs="Arial"/>
          <w:color w:val="000000" w:themeColor="text1"/>
          <w:sz w:val="22"/>
          <w:szCs w:val="22"/>
        </w:rPr>
        <w:t xml:space="preserve"> </w:t>
      </w:r>
    </w:p>
    <w:p w14:paraId="29FB8DBB" w14:textId="77777777" w:rsidR="00931A60" w:rsidRPr="00B6585E" w:rsidRDefault="00A221DB" w:rsidP="00304D11">
      <w:pPr>
        <w:pStyle w:val="Heading1"/>
        <w:rPr>
          <w:lang w:val="en-US"/>
        </w:rPr>
      </w:pPr>
      <w:bookmarkStart w:id="182" w:name="_Toc9107193"/>
      <w:bookmarkStart w:id="183" w:name="_Toc23231325"/>
      <w:bookmarkStart w:id="184" w:name="_Toc96924977"/>
      <w:r w:rsidRPr="00B6585E">
        <w:rPr>
          <w:lang w:val="en-US"/>
        </w:rPr>
        <w:lastRenderedPageBreak/>
        <w:t>Measurements</w:t>
      </w:r>
      <w:bookmarkEnd w:id="182"/>
      <w:bookmarkEnd w:id="183"/>
      <w:bookmarkEnd w:id="184"/>
    </w:p>
    <w:p w14:paraId="32790AFD" w14:textId="77777777" w:rsidR="00931A60" w:rsidRPr="00B6585E" w:rsidRDefault="00A221DB">
      <w:pPr>
        <w:pStyle w:val="Heading2"/>
        <w:rPr>
          <w:color w:val="000000" w:themeColor="text1"/>
        </w:rPr>
      </w:pPr>
      <w:bookmarkStart w:id="185" w:name="_Toc9107194"/>
      <w:bookmarkStart w:id="186" w:name="_Toc23231326"/>
      <w:bookmarkStart w:id="187" w:name="_Toc96924978"/>
      <w:r w:rsidRPr="00B6585E">
        <w:rPr>
          <w:color w:val="000000" w:themeColor="text1"/>
        </w:rPr>
        <w:t>Demographic and Morphometric Data</w:t>
      </w:r>
      <w:bookmarkEnd w:id="185"/>
      <w:bookmarkEnd w:id="186"/>
      <w:bookmarkEnd w:id="187"/>
    </w:p>
    <w:p w14:paraId="68A74D65" w14:textId="77777777" w:rsidR="00931A60" w:rsidRPr="00B6585E" w:rsidRDefault="00A221DB">
      <w:pPr>
        <w:pStyle w:val="Protokoll"/>
        <w:tabs>
          <w:tab w:val="clear" w:pos="405"/>
        </w:tabs>
        <w:spacing w:before="120" w:after="120" w:line="240" w:lineRule="auto"/>
        <w:ind w:left="0" w:right="-7" w:firstLine="0"/>
        <w:rPr>
          <w:rFonts w:cs="Arial"/>
          <w:b w:val="0"/>
          <w:color w:val="000000" w:themeColor="text1"/>
          <w:sz w:val="22"/>
          <w:szCs w:val="22"/>
        </w:rPr>
      </w:pPr>
      <w:r w:rsidRPr="00B6585E">
        <w:rPr>
          <w:rFonts w:cs="Arial"/>
          <w:b w:val="0"/>
          <w:color w:val="000000" w:themeColor="text1"/>
          <w:sz w:val="22"/>
          <w:szCs w:val="22"/>
        </w:rPr>
        <w:t xml:space="preserve">Basic data including age, sex, body mass index, gender, ASA physical status, revised cardiac index, will be recorded. We will record social history including tobacco and alcohol use, comorbidities, long-term medication, type of surgery. Preoperative laboratory values such as creatinine, hemoglobin, sodium, c-reactive protein, and cardiac biomarkers (troponin T, BNP and Copeptine) will be recorded as well. </w:t>
      </w:r>
    </w:p>
    <w:p w14:paraId="75511273" w14:textId="77777777" w:rsidR="00931A60" w:rsidRPr="00B6585E" w:rsidRDefault="00A221DB">
      <w:pPr>
        <w:pStyle w:val="Heading2"/>
        <w:rPr>
          <w:color w:val="000000" w:themeColor="text1"/>
        </w:rPr>
      </w:pPr>
      <w:bookmarkStart w:id="188" w:name="_Toc9107195"/>
      <w:bookmarkStart w:id="189" w:name="_Toc23231327"/>
      <w:bookmarkStart w:id="190" w:name="_Toc96924979"/>
      <w:r w:rsidRPr="00B6585E">
        <w:rPr>
          <w:color w:val="000000" w:themeColor="text1"/>
        </w:rPr>
        <w:t>Laboratory Measurements</w:t>
      </w:r>
      <w:bookmarkEnd w:id="188"/>
      <w:bookmarkEnd w:id="189"/>
      <w:bookmarkEnd w:id="190"/>
      <w:r w:rsidRPr="00B6585E">
        <w:rPr>
          <w:color w:val="000000" w:themeColor="text1"/>
        </w:rPr>
        <w:t xml:space="preserve"> </w:t>
      </w:r>
    </w:p>
    <w:p w14:paraId="423DC229" w14:textId="15003084" w:rsidR="00931A60" w:rsidRPr="00B6585E" w:rsidRDefault="00A221DB" w:rsidP="00816FA9">
      <w:pPr>
        <w:pStyle w:val="Heading3"/>
        <w:numPr>
          <w:ilvl w:val="2"/>
          <w:numId w:val="3"/>
        </w:numPr>
      </w:pPr>
      <w:bookmarkStart w:id="191" w:name="_Toc9107196"/>
      <w:bookmarkStart w:id="192" w:name="_Toc23231328"/>
      <w:bookmarkStart w:id="193" w:name="_Toc96924980"/>
      <w:r w:rsidRPr="00B6585E">
        <w:t>Cardiac Biomarker</w:t>
      </w:r>
      <w:bookmarkEnd w:id="191"/>
      <w:bookmarkEnd w:id="192"/>
      <w:bookmarkEnd w:id="193"/>
      <w:r w:rsidRPr="00B6585E">
        <w:t xml:space="preserve"> </w:t>
      </w:r>
    </w:p>
    <w:p w14:paraId="564E6673" w14:textId="4C62BC52" w:rsidR="00931A60" w:rsidRPr="00B6585E" w:rsidRDefault="00E44251">
      <w:pPr>
        <w:pStyle w:val="Protokoll2"/>
        <w:spacing w:before="120" w:after="120"/>
        <w:ind w:left="0" w:right="-7" w:firstLine="0"/>
        <w:jc w:val="both"/>
        <w:rPr>
          <w:color w:val="000000" w:themeColor="text1"/>
          <w:sz w:val="22"/>
          <w:szCs w:val="22"/>
          <w:lang w:val="en-US"/>
        </w:rPr>
      </w:pPr>
      <w:r w:rsidRPr="00B6585E">
        <w:rPr>
          <w:color w:val="000000" w:themeColor="text1"/>
          <w:sz w:val="22"/>
          <w:szCs w:val="22"/>
          <w:lang w:val="en-US"/>
        </w:rPr>
        <w:t>S</w:t>
      </w:r>
      <w:r w:rsidR="00A221DB" w:rsidRPr="00B6585E">
        <w:rPr>
          <w:color w:val="000000" w:themeColor="text1"/>
          <w:sz w:val="22"/>
          <w:szCs w:val="22"/>
          <w:lang w:val="en-US"/>
        </w:rPr>
        <w:t xml:space="preserve">tudy specific blood samples </w:t>
      </w:r>
      <w:r w:rsidRPr="00B6585E">
        <w:rPr>
          <w:color w:val="000000" w:themeColor="text1"/>
          <w:sz w:val="22"/>
          <w:szCs w:val="22"/>
          <w:lang w:val="en-US"/>
        </w:rPr>
        <w:t>will include</w:t>
      </w:r>
      <w:r w:rsidR="00A221DB" w:rsidRPr="00B6585E">
        <w:rPr>
          <w:color w:val="000000" w:themeColor="text1"/>
          <w:sz w:val="22"/>
          <w:szCs w:val="22"/>
          <w:lang w:val="en-US"/>
        </w:rPr>
        <w:t xml:space="preserve"> N-terminal brain natriuretic peptide (NT-proBNP) and cardiac Troponin T (TnT). We will further perform Copeptin measurements </w:t>
      </w:r>
      <w:r w:rsidRPr="00B6585E">
        <w:rPr>
          <w:color w:val="000000" w:themeColor="text1"/>
          <w:sz w:val="22"/>
          <w:szCs w:val="22"/>
          <w:lang w:val="en-US"/>
        </w:rPr>
        <w:t>to improve our cardiovascular risk stratification.</w:t>
      </w:r>
      <w:r w:rsidR="00A221DB" w:rsidRPr="00B6585E">
        <w:rPr>
          <w:color w:val="000000" w:themeColor="text1"/>
          <w:sz w:val="22"/>
          <w:szCs w:val="22"/>
          <w:lang w:val="en-US"/>
        </w:rPr>
        <w:t xml:space="preserve"> Department of Laboratory Medicine at the Medical University of Vienna will assess</w:t>
      </w:r>
      <w:r w:rsidRPr="00B6585E">
        <w:rPr>
          <w:color w:val="000000" w:themeColor="text1"/>
          <w:sz w:val="22"/>
          <w:szCs w:val="22"/>
          <w:lang w:val="en-US"/>
        </w:rPr>
        <w:t xml:space="preserve"> our</w:t>
      </w:r>
      <w:r w:rsidR="00A221DB" w:rsidRPr="00B6585E">
        <w:rPr>
          <w:color w:val="000000" w:themeColor="text1"/>
          <w:sz w:val="22"/>
          <w:szCs w:val="22"/>
          <w:lang w:val="en-US"/>
        </w:rPr>
        <w:t xml:space="preserve"> biomarker measurements. </w:t>
      </w:r>
      <w:r w:rsidR="007B7CD9" w:rsidRPr="00B6585E">
        <w:rPr>
          <w:color w:val="000000" w:themeColor="text1"/>
          <w:sz w:val="22"/>
          <w:szCs w:val="22"/>
          <w:lang w:val="en-US"/>
        </w:rPr>
        <w:t xml:space="preserve">Institute of Laboratory Medicine, Clinical Chemistry </w:t>
      </w:r>
      <w:r w:rsidR="00FF1545" w:rsidRPr="00B6585E">
        <w:rPr>
          <w:color w:val="000000" w:themeColor="text1"/>
          <w:sz w:val="22"/>
          <w:szCs w:val="22"/>
          <w:lang w:val="en-US"/>
        </w:rPr>
        <w:t>and Pathobiochemistry – Charité will m</w:t>
      </w:r>
      <w:r w:rsidR="0016075F" w:rsidRPr="00B6585E">
        <w:rPr>
          <w:color w:val="000000" w:themeColor="text1"/>
          <w:sz w:val="22"/>
          <w:szCs w:val="22"/>
          <w:lang w:val="en-US"/>
        </w:rPr>
        <w:t>ea</w:t>
      </w:r>
      <w:r w:rsidR="00FF1545" w:rsidRPr="00B6585E">
        <w:rPr>
          <w:color w:val="000000" w:themeColor="text1"/>
          <w:sz w:val="22"/>
          <w:szCs w:val="22"/>
          <w:lang w:val="en-US"/>
        </w:rPr>
        <w:t>sure blood samples</w:t>
      </w:r>
      <w:r w:rsidR="0016075F" w:rsidRPr="00B6585E">
        <w:rPr>
          <w:color w:val="000000" w:themeColor="text1"/>
          <w:sz w:val="22"/>
          <w:szCs w:val="22"/>
          <w:lang w:val="en-US"/>
        </w:rPr>
        <w:t xml:space="preserve"> which will be </w:t>
      </w:r>
      <w:r w:rsidR="00FF1545" w:rsidRPr="00B6585E">
        <w:rPr>
          <w:color w:val="000000" w:themeColor="text1"/>
          <w:sz w:val="22"/>
          <w:szCs w:val="22"/>
          <w:lang w:val="en-US"/>
        </w:rPr>
        <w:t>drawn at the Charité – Universitätsmedizin Berlin.</w:t>
      </w:r>
      <w:r w:rsidR="009E4FD7" w:rsidRPr="00B6585E">
        <w:rPr>
          <w:color w:val="000000" w:themeColor="text1"/>
          <w:sz w:val="22"/>
          <w:szCs w:val="22"/>
          <w:lang w:val="en-US"/>
        </w:rPr>
        <w:t xml:space="preserve"> </w:t>
      </w:r>
      <w:r w:rsidR="00A221DB" w:rsidRPr="00B6585E">
        <w:rPr>
          <w:color w:val="000000" w:themeColor="text1"/>
          <w:sz w:val="22"/>
          <w:szCs w:val="22"/>
          <w:lang w:val="en-US"/>
        </w:rPr>
        <w:t xml:space="preserve">Blood samples will be treated with standard care to provide best accuracy of measurement by the department of laboratory medicine. Study specific blood samples will be drawn shortly before induction of anesthesia, within 2 hours after surgery and </w:t>
      </w:r>
      <w:r w:rsidR="006C18E5" w:rsidRPr="00B6585E">
        <w:rPr>
          <w:color w:val="000000" w:themeColor="text1"/>
          <w:sz w:val="22"/>
          <w:szCs w:val="22"/>
          <w:lang w:val="en-US"/>
        </w:rPr>
        <w:t>on the first, second and third postoperative day</w:t>
      </w:r>
      <w:r w:rsidR="00A221DB" w:rsidRPr="00B6585E">
        <w:rPr>
          <w:color w:val="000000" w:themeColor="text1"/>
          <w:sz w:val="22"/>
          <w:szCs w:val="22"/>
          <w:lang w:val="en-US"/>
        </w:rPr>
        <w:t xml:space="preserve">. Routine blood tests will be performed according to the attending physician. </w:t>
      </w:r>
      <w:r w:rsidRPr="00B6585E">
        <w:rPr>
          <w:color w:val="000000" w:themeColor="text1"/>
          <w:sz w:val="22"/>
          <w:szCs w:val="22"/>
          <w:lang w:val="en-US"/>
        </w:rPr>
        <w:t>All r</w:t>
      </w:r>
      <w:r w:rsidR="00A221DB" w:rsidRPr="00B6585E">
        <w:rPr>
          <w:color w:val="000000" w:themeColor="text1"/>
          <w:sz w:val="22"/>
          <w:szCs w:val="22"/>
          <w:lang w:val="en-US"/>
        </w:rPr>
        <w:t>esults will be recorded.</w:t>
      </w:r>
      <w:r w:rsidR="00751A3C" w:rsidRPr="00B6585E">
        <w:rPr>
          <w:color w:val="000000" w:themeColor="text1"/>
          <w:sz w:val="22"/>
          <w:szCs w:val="22"/>
          <w:lang w:val="en-US"/>
        </w:rPr>
        <w:t xml:space="preserve"> (</w:t>
      </w:r>
      <w:r w:rsidR="00131C69" w:rsidRPr="00B6585E">
        <w:rPr>
          <w:color w:val="000000" w:themeColor="text1"/>
          <w:sz w:val="22"/>
          <w:szCs w:val="22"/>
          <w:lang w:val="en-US"/>
        </w:rPr>
        <w:t xml:space="preserve">see </w:t>
      </w:r>
      <w:r w:rsidR="00751A3C" w:rsidRPr="00B6585E">
        <w:rPr>
          <w:color w:val="000000" w:themeColor="text1"/>
          <w:sz w:val="22"/>
          <w:szCs w:val="22"/>
          <w:lang w:val="en-US"/>
        </w:rPr>
        <w:t>Appendix V)</w:t>
      </w:r>
    </w:p>
    <w:p w14:paraId="2DBB372A" w14:textId="77777777" w:rsidR="00931A60" w:rsidRPr="00B6585E" w:rsidRDefault="00931A60">
      <w:pPr>
        <w:rPr>
          <w:color w:val="000000" w:themeColor="text1"/>
        </w:rPr>
      </w:pPr>
    </w:p>
    <w:p w14:paraId="024005CD" w14:textId="77777777" w:rsidR="00931A60" w:rsidRPr="00B6585E" w:rsidRDefault="00A221DB">
      <w:pPr>
        <w:pStyle w:val="Heading2"/>
        <w:rPr>
          <w:color w:val="000000" w:themeColor="text1"/>
        </w:rPr>
      </w:pPr>
      <w:bookmarkStart w:id="194" w:name="_Toc9107197"/>
      <w:bookmarkStart w:id="195" w:name="_Toc23231329"/>
      <w:bookmarkStart w:id="196" w:name="_Toc96924981"/>
      <w:r w:rsidRPr="00B6585E">
        <w:rPr>
          <w:color w:val="000000" w:themeColor="text1"/>
        </w:rPr>
        <w:t>Records of Routine Data</w:t>
      </w:r>
      <w:bookmarkEnd w:id="194"/>
      <w:bookmarkEnd w:id="195"/>
      <w:bookmarkEnd w:id="196"/>
    </w:p>
    <w:p w14:paraId="6D2B3E25" w14:textId="33E276AB" w:rsidR="00931A60" w:rsidRPr="00B6585E" w:rsidRDefault="00A221DB" w:rsidP="00816FA9">
      <w:pPr>
        <w:pStyle w:val="Heading3"/>
        <w:numPr>
          <w:ilvl w:val="2"/>
          <w:numId w:val="3"/>
        </w:numPr>
      </w:pPr>
      <w:bookmarkStart w:id="197" w:name="_Toc9107198"/>
      <w:bookmarkStart w:id="198" w:name="_Toc4579684"/>
      <w:bookmarkStart w:id="199" w:name="_Toc2083818"/>
      <w:bookmarkStart w:id="200" w:name="_Toc23231330"/>
      <w:bookmarkStart w:id="201" w:name="_Toc96924982"/>
      <w:r w:rsidRPr="00B6585E">
        <w:t>Intra/postoperative Data</w:t>
      </w:r>
      <w:bookmarkEnd w:id="197"/>
      <w:bookmarkEnd w:id="198"/>
      <w:bookmarkEnd w:id="199"/>
      <w:bookmarkEnd w:id="200"/>
      <w:bookmarkEnd w:id="201"/>
    </w:p>
    <w:p w14:paraId="2EFC05E2" w14:textId="6CF0469D"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Routine intra- and postoperative </w:t>
      </w:r>
      <w:r w:rsidR="00751A3C" w:rsidRPr="00B6585E">
        <w:rPr>
          <w:rFonts w:ascii="Arial" w:hAnsi="Arial" w:cs="Arial"/>
          <w:color w:val="000000" w:themeColor="text1"/>
          <w:sz w:val="22"/>
          <w:szCs w:val="22"/>
        </w:rPr>
        <w:t xml:space="preserve">anaesthesia specific </w:t>
      </w:r>
      <w:r w:rsidRPr="00B6585E">
        <w:rPr>
          <w:rFonts w:ascii="Arial" w:hAnsi="Arial" w:cs="Arial"/>
          <w:color w:val="000000" w:themeColor="text1"/>
          <w:sz w:val="22"/>
          <w:szCs w:val="22"/>
        </w:rPr>
        <w:t xml:space="preserve">data will be extracted from our electronic anesthesia </w:t>
      </w:r>
      <w:r w:rsidR="00751A3C" w:rsidRPr="00B6585E">
        <w:rPr>
          <w:rFonts w:ascii="Arial" w:hAnsi="Arial" w:cs="Arial"/>
          <w:color w:val="000000" w:themeColor="text1"/>
          <w:sz w:val="22"/>
          <w:szCs w:val="22"/>
        </w:rPr>
        <w:t>records</w:t>
      </w:r>
      <w:r w:rsidRPr="00B6585E">
        <w:rPr>
          <w:rFonts w:ascii="Arial" w:hAnsi="Arial" w:cs="Arial"/>
          <w:color w:val="000000" w:themeColor="text1"/>
          <w:sz w:val="22"/>
          <w:szCs w:val="22"/>
        </w:rPr>
        <w:t xml:space="preserve">. Intraoperatively, arterial blood gas analysis, time of anesthesia and surgery, intraoperative fluid management, blood loss, blood given, urinary output, intraoperative medication, and hemodynamic data (MAP, HR, SV, CO, CVP, SVR, FTc) and the use of vasopressors will be recorded. At the PACU </w:t>
      </w:r>
      <w:r w:rsidR="00131C69" w:rsidRPr="00B6585E">
        <w:rPr>
          <w:rFonts w:ascii="Arial" w:hAnsi="Arial" w:cs="Arial"/>
          <w:color w:val="000000" w:themeColor="text1"/>
          <w:sz w:val="22"/>
          <w:szCs w:val="22"/>
        </w:rPr>
        <w:t>and</w:t>
      </w:r>
      <w:r w:rsidRPr="00B6585E">
        <w:rPr>
          <w:rFonts w:ascii="Arial" w:hAnsi="Arial" w:cs="Arial"/>
          <w:color w:val="000000" w:themeColor="text1"/>
          <w:sz w:val="22"/>
          <w:szCs w:val="22"/>
        </w:rPr>
        <w:t xml:space="preserve"> ICU</w:t>
      </w:r>
      <w:r w:rsidR="00131C69" w:rsidRPr="00B6585E">
        <w:rPr>
          <w:rFonts w:ascii="Arial" w:hAnsi="Arial" w:cs="Arial"/>
          <w:color w:val="000000" w:themeColor="text1"/>
          <w:sz w:val="22"/>
          <w:szCs w:val="22"/>
        </w:rPr>
        <w:t xml:space="preserve">, respectively, </w:t>
      </w:r>
      <w:r w:rsidRPr="00B6585E">
        <w:rPr>
          <w:rFonts w:ascii="Arial" w:hAnsi="Arial" w:cs="Arial"/>
          <w:color w:val="000000" w:themeColor="text1"/>
          <w:sz w:val="22"/>
          <w:szCs w:val="22"/>
        </w:rPr>
        <w:t xml:space="preserve">blood pressure heart rate, fluid management urinary output, use of vasopressors will be recorded. At the ward blood pressure will </w:t>
      </w:r>
      <w:r w:rsidR="00131C69" w:rsidRPr="00B6585E">
        <w:rPr>
          <w:rFonts w:ascii="Arial" w:hAnsi="Arial" w:cs="Arial"/>
          <w:color w:val="000000" w:themeColor="text1"/>
          <w:sz w:val="22"/>
          <w:szCs w:val="22"/>
        </w:rPr>
        <w:t>be measured routinely</w:t>
      </w:r>
      <w:r w:rsidRPr="00B6585E">
        <w:rPr>
          <w:rFonts w:ascii="Arial" w:hAnsi="Arial" w:cs="Arial"/>
          <w:color w:val="000000" w:themeColor="text1"/>
          <w:sz w:val="22"/>
          <w:szCs w:val="22"/>
        </w:rPr>
        <w:t xml:space="preserve"> 4 times </w:t>
      </w:r>
      <w:r w:rsidR="00131C69" w:rsidRPr="00B6585E">
        <w:rPr>
          <w:rFonts w:ascii="Arial" w:hAnsi="Arial" w:cs="Arial"/>
          <w:color w:val="000000" w:themeColor="text1"/>
          <w:sz w:val="22"/>
          <w:szCs w:val="22"/>
        </w:rPr>
        <w:t>per day at least for the first three postoperative days.</w:t>
      </w:r>
      <w:r w:rsidRPr="00B6585E">
        <w:rPr>
          <w:rFonts w:ascii="Arial" w:hAnsi="Arial" w:cs="Arial"/>
          <w:color w:val="000000" w:themeColor="text1"/>
          <w:sz w:val="22"/>
          <w:szCs w:val="22"/>
        </w:rPr>
        <w:t xml:space="preserve"> </w:t>
      </w:r>
      <w:r w:rsidR="00131C69" w:rsidRPr="00B6585E">
        <w:rPr>
          <w:rFonts w:ascii="Arial" w:hAnsi="Arial" w:cs="Arial"/>
          <w:color w:val="000000" w:themeColor="text1"/>
          <w:sz w:val="22"/>
          <w:szCs w:val="22"/>
        </w:rPr>
        <w:t>For our substudy, w</w:t>
      </w:r>
      <w:r w:rsidRPr="00B6585E">
        <w:rPr>
          <w:rFonts w:ascii="Arial" w:hAnsi="Arial" w:cs="Arial"/>
          <w:color w:val="000000" w:themeColor="text1"/>
          <w:sz w:val="22"/>
          <w:szCs w:val="22"/>
        </w:rPr>
        <w:t xml:space="preserve">e will record fluid requirements and urinary output for the first 3 days as well. </w:t>
      </w:r>
      <w:r w:rsidR="00131C69" w:rsidRPr="00B6585E">
        <w:rPr>
          <w:rFonts w:ascii="Arial" w:hAnsi="Arial" w:cs="Arial"/>
          <w:color w:val="000000" w:themeColor="text1"/>
          <w:sz w:val="22"/>
          <w:szCs w:val="22"/>
        </w:rPr>
        <w:t>(see Appendix III)</w:t>
      </w:r>
    </w:p>
    <w:p w14:paraId="012BBB14" w14:textId="77777777" w:rsidR="000C7315" w:rsidRPr="00B6585E" w:rsidRDefault="000C7315">
      <w:pPr>
        <w:spacing w:before="120" w:after="120"/>
        <w:ind w:right="-7"/>
        <w:jc w:val="both"/>
        <w:rPr>
          <w:rFonts w:ascii="Arial" w:hAnsi="Arial" w:cs="Arial"/>
          <w:color w:val="000000" w:themeColor="text1"/>
          <w:sz w:val="22"/>
          <w:szCs w:val="22"/>
        </w:rPr>
      </w:pPr>
    </w:p>
    <w:p w14:paraId="157A8400" w14:textId="77777777" w:rsidR="00931A60" w:rsidRPr="00B6585E" w:rsidRDefault="00A221DB" w:rsidP="00816FA9">
      <w:pPr>
        <w:pStyle w:val="Heading3"/>
        <w:numPr>
          <w:ilvl w:val="2"/>
          <w:numId w:val="3"/>
        </w:numPr>
      </w:pPr>
      <w:bookmarkStart w:id="202" w:name="_Toc9107199"/>
      <w:bookmarkStart w:id="203" w:name="_Toc4579685"/>
      <w:bookmarkStart w:id="204" w:name="_Toc2083819"/>
      <w:bookmarkStart w:id="205" w:name="_Toc23231331"/>
      <w:bookmarkStart w:id="206" w:name="_Toc96924983"/>
      <w:r w:rsidRPr="00B6585E">
        <w:t>Laboratory Measurements</w:t>
      </w:r>
      <w:bookmarkEnd w:id="202"/>
      <w:bookmarkEnd w:id="203"/>
      <w:bookmarkEnd w:id="204"/>
      <w:bookmarkEnd w:id="205"/>
      <w:bookmarkEnd w:id="206"/>
    </w:p>
    <w:p w14:paraId="18269FC3" w14:textId="05B48D4A" w:rsidR="00931A60" w:rsidRPr="00B6585E" w:rsidRDefault="00A221DB">
      <w:pPr>
        <w:spacing w:before="120" w:after="120"/>
        <w:ind w:right="-7"/>
        <w:rPr>
          <w:rFonts w:ascii="Arial" w:hAnsi="Arial" w:cs="Arial"/>
          <w:color w:val="000000" w:themeColor="text1"/>
          <w:sz w:val="22"/>
          <w:szCs w:val="22"/>
        </w:rPr>
      </w:pPr>
      <w:r w:rsidRPr="00B6585E">
        <w:rPr>
          <w:rFonts w:ascii="Arial" w:hAnsi="Arial" w:cs="Arial"/>
          <w:color w:val="000000" w:themeColor="text1"/>
          <w:sz w:val="22"/>
          <w:szCs w:val="22"/>
        </w:rPr>
        <w:t>Routinely performed laboratory parameters during the first 3 postoperative days will be recorded.</w:t>
      </w:r>
    </w:p>
    <w:p w14:paraId="7A9D0B00" w14:textId="77777777" w:rsidR="000C7315" w:rsidRPr="00B6585E" w:rsidRDefault="000C7315">
      <w:pPr>
        <w:spacing w:before="120" w:after="120"/>
        <w:ind w:right="-7"/>
        <w:rPr>
          <w:rFonts w:ascii="Arial" w:hAnsi="Arial" w:cs="Arial"/>
          <w:color w:val="000000" w:themeColor="text1"/>
          <w:sz w:val="22"/>
          <w:szCs w:val="22"/>
        </w:rPr>
      </w:pPr>
    </w:p>
    <w:p w14:paraId="1CCBB251" w14:textId="77777777" w:rsidR="00931A60" w:rsidRPr="00B6585E" w:rsidRDefault="00A221DB">
      <w:pPr>
        <w:pStyle w:val="Heading2"/>
        <w:rPr>
          <w:color w:val="000000" w:themeColor="text1"/>
        </w:rPr>
      </w:pPr>
      <w:bookmarkStart w:id="207" w:name="_Toc9107200"/>
      <w:bookmarkStart w:id="208" w:name="_Toc23231332"/>
      <w:bookmarkStart w:id="209" w:name="_Toc96924984"/>
      <w:r w:rsidRPr="00B6585E">
        <w:rPr>
          <w:color w:val="000000" w:themeColor="text1"/>
        </w:rPr>
        <w:t>Follow Up</w:t>
      </w:r>
      <w:bookmarkEnd w:id="207"/>
      <w:bookmarkEnd w:id="208"/>
      <w:bookmarkEnd w:id="209"/>
    </w:p>
    <w:p w14:paraId="4D8482ED" w14:textId="2A31A888"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Duration of hospitalization, based on the discharge </w:t>
      </w:r>
      <w:r w:rsidR="00131C69" w:rsidRPr="00B6585E">
        <w:rPr>
          <w:rFonts w:ascii="Arial" w:hAnsi="Arial" w:cs="Arial"/>
          <w:color w:val="000000" w:themeColor="text1"/>
          <w:sz w:val="22"/>
          <w:szCs w:val="22"/>
        </w:rPr>
        <w:t>report</w:t>
      </w:r>
      <w:r w:rsidRPr="00B6585E">
        <w:rPr>
          <w:rFonts w:ascii="Arial" w:hAnsi="Arial" w:cs="Arial"/>
          <w:color w:val="000000" w:themeColor="text1"/>
          <w:sz w:val="22"/>
          <w:szCs w:val="22"/>
        </w:rPr>
        <w:t xml:space="preserve">, will be recorded in all study patients. </w:t>
      </w:r>
      <w:r w:rsidR="00354D4E" w:rsidRPr="00B6585E">
        <w:rPr>
          <w:rFonts w:ascii="Arial" w:hAnsi="Arial" w:cs="Arial"/>
          <w:color w:val="000000" w:themeColor="text1"/>
          <w:sz w:val="22"/>
          <w:szCs w:val="22"/>
        </w:rPr>
        <w:t>R</w:t>
      </w:r>
      <w:r w:rsidRPr="00B6585E">
        <w:rPr>
          <w:rFonts w:ascii="Arial" w:hAnsi="Arial" w:cs="Arial"/>
          <w:color w:val="000000" w:themeColor="text1"/>
          <w:sz w:val="22"/>
          <w:szCs w:val="22"/>
        </w:rPr>
        <w:t xml:space="preserve">esearch personnel will follow up patients throughout hospitalization. </w:t>
      </w:r>
    </w:p>
    <w:p w14:paraId="6F9F8C18" w14:textId="076D3B47" w:rsidR="00931A60" w:rsidRPr="00B6585E" w:rsidRDefault="00A221DB">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We will perform a phone follow up at 30 day and 1 year after surgery. Hospital record will be checked in the case of readmission.</w:t>
      </w:r>
      <w:r w:rsidR="00037C03" w:rsidRPr="00B6585E">
        <w:rPr>
          <w:rFonts w:ascii="Arial" w:hAnsi="Arial" w:cs="Arial"/>
          <w:color w:val="000000" w:themeColor="text1"/>
          <w:sz w:val="22"/>
          <w:szCs w:val="22"/>
        </w:rPr>
        <w:t xml:space="preserve"> We further will perform the WHODAS 2.0 (see Appendix VI) questionnaire evaluate disability. </w:t>
      </w:r>
    </w:p>
    <w:p w14:paraId="6811FEF7" w14:textId="7301F60C" w:rsidR="00037C03" w:rsidRPr="00B6585E" w:rsidRDefault="00037C03">
      <w:pPr>
        <w:spacing w:before="120"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Every patient will receive a copy of the WHODAS 2.0 questionnaire before discharge of hospital to facilitate the implementation. Research personal will call patients ± 5 days at 30 days and 1 year after discharge and will stepwise query the questions. </w:t>
      </w:r>
    </w:p>
    <w:p w14:paraId="56CE784B" w14:textId="77777777" w:rsidR="00931A60" w:rsidRPr="00B6585E" w:rsidRDefault="00931A60">
      <w:pPr>
        <w:spacing w:before="120" w:after="120"/>
        <w:ind w:right="-7"/>
        <w:rPr>
          <w:rFonts w:ascii="Arial" w:hAnsi="Arial" w:cs="Arial"/>
          <w:color w:val="000000" w:themeColor="text1"/>
          <w:sz w:val="22"/>
          <w:szCs w:val="22"/>
        </w:rPr>
      </w:pPr>
    </w:p>
    <w:p w14:paraId="24B53341" w14:textId="4D4CF6EE" w:rsidR="00931A60" w:rsidRPr="00B6585E" w:rsidRDefault="00931A60">
      <w:pPr>
        <w:spacing w:before="120" w:after="120"/>
        <w:ind w:right="-7"/>
        <w:rPr>
          <w:rFonts w:ascii="Arial" w:hAnsi="Arial" w:cs="Arial"/>
          <w:color w:val="000000" w:themeColor="text1"/>
          <w:sz w:val="22"/>
          <w:szCs w:val="22"/>
        </w:rPr>
        <w:sectPr w:rsidR="00931A60" w:rsidRPr="00B6585E" w:rsidSect="00A5257C">
          <w:footerReference w:type="default" r:id="rId24"/>
          <w:headerReference w:type="first" r:id="rId25"/>
          <w:footerReference w:type="first" r:id="rId26"/>
          <w:pgSz w:w="11906" w:h="16838"/>
          <w:pgMar w:top="1464" w:right="1134" w:bottom="1134" w:left="1134" w:header="709" w:footer="709" w:gutter="0"/>
          <w:cols w:space="720"/>
          <w:formProt w:val="0"/>
          <w:titlePg/>
          <w:docGrid w:linePitch="360"/>
        </w:sectPr>
      </w:pPr>
    </w:p>
    <w:p w14:paraId="567BFD55" w14:textId="77777777" w:rsidR="00931A60" w:rsidRPr="00B6585E" w:rsidRDefault="00931A60">
      <w:pPr>
        <w:spacing w:before="120" w:after="120"/>
        <w:ind w:right="-7"/>
        <w:rPr>
          <w:rFonts w:ascii="Arial" w:hAnsi="Arial" w:cs="Arial"/>
          <w:color w:val="000000" w:themeColor="text1"/>
          <w:sz w:val="22"/>
          <w:szCs w:val="22"/>
        </w:rPr>
      </w:pPr>
    </w:p>
    <w:p w14:paraId="6DB292F9" w14:textId="77777777" w:rsidR="00931A60" w:rsidRPr="00B6585E" w:rsidRDefault="00A221DB">
      <w:pPr>
        <w:pStyle w:val="Heading2"/>
        <w:rPr>
          <w:color w:val="000000" w:themeColor="text1"/>
        </w:rPr>
      </w:pPr>
      <w:bookmarkStart w:id="210" w:name="_Toc9107202"/>
      <w:bookmarkStart w:id="211" w:name="_Toc23231334"/>
      <w:bookmarkStart w:id="212" w:name="_Toc96924985"/>
      <w:r w:rsidRPr="00B6585E">
        <w:rPr>
          <w:color w:val="000000" w:themeColor="text1"/>
        </w:rPr>
        <w:t>Data Analysis and Sample Size</w:t>
      </w:r>
      <w:bookmarkEnd w:id="210"/>
      <w:bookmarkEnd w:id="211"/>
      <w:bookmarkEnd w:id="212"/>
    </w:p>
    <w:p w14:paraId="76BD4647" w14:textId="40C6AFD0" w:rsidR="00931A60" w:rsidRPr="00B6585E" w:rsidRDefault="00A221DB" w:rsidP="00816FA9">
      <w:pPr>
        <w:pStyle w:val="Heading3"/>
        <w:numPr>
          <w:ilvl w:val="2"/>
          <w:numId w:val="3"/>
        </w:numPr>
      </w:pPr>
      <w:bookmarkStart w:id="213" w:name="_Toc9107203"/>
      <w:bookmarkStart w:id="214" w:name="_Toc23231335"/>
      <w:bookmarkStart w:id="215" w:name="_Toc96924986"/>
      <w:r w:rsidRPr="00B6585E">
        <w:t>Primary Endpoint and Hypothesis</w:t>
      </w:r>
      <w:bookmarkEnd w:id="213"/>
      <w:bookmarkEnd w:id="214"/>
      <w:bookmarkEnd w:id="215"/>
    </w:p>
    <w:p w14:paraId="563DFA51" w14:textId="0142F4DA" w:rsidR="00931A60" w:rsidRPr="00B6585E" w:rsidRDefault="00A221DB">
      <w:pPr>
        <w:jc w:val="both"/>
        <w:rPr>
          <w:color w:val="000000" w:themeColor="text1"/>
          <w:highlight w:val="yellow"/>
        </w:rPr>
      </w:pPr>
      <w:r w:rsidRPr="00B6585E">
        <w:rPr>
          <w:rFonts w:ascii="Arial" w:hAnsi="Arial" w:cs="Arial"/>
          <w:color w:val="000000" w:themeColor="text1"/>
          <w:sz w:val="22"/>
          <w:szCs w:val="22"/>
        </w:rPr>
        <w:t xml:space="preserve">The primary endpoint, maxNT-proBNP is defined as the maximum of the NT-proBNP values measured within 2 hours after surgery and on </w:t>
      </w:r>
      <w:r w:rsidR="006C18E5" w:rsidRPr="00B6585E">
        <w:rPr>
          <w:rFonts w:ascii="Arial" w:hAnsi="Arial" w:cs="Arial"/>
          <w:color w:val="000000" w:themeColor="text1"/>
          <w:sz w:val="22"/>
          <w:szCs w:val="22"/>
        </w:rPr>
        <w:t>the first, second and third postoperative day</w:t>
      </w:r>
      <w:r w:rsidRPr="00B6585E">
        <w:rPr>
          <w:rFonts w:ascii="Arial" w:hAnsi="Arial" w:cs="Arial"/>
          <w:color w:val="000000" w:themeColor="text1"/>
          <w:sz w:val="22"/>
          <w:szCs w:val="22"/>
        </w:rPr>
        <w:t>. The primary hypothesis: Intraoperative single-dose</w:t>
      </w:r>
      <w:r w:rsidR="00F264BB" w:rsidRPr="00B6585E">
        <w:rPr>
          <w:rFonts w:ascii="Arial" w:hAnsi="Arial" w:cs="Arial"/>
          <w:color w:val="000000" w:themeColor="text1"/>
          <w:sz w:val="22"/>
          <w:szCs w:val="22"/>
        </w:rPr>
        <w:t xml:space="preserve"> (12.5 mg)</w:t>
      </w:r>
      <w:r w:rsidRPr="00B6585E">
        <w:rPr>
          <w:rFonts w:ascii="Arial" w:hAnsi="Arial" w:cs="Arial"/>
          <w:color w:val="000000" w:themeColor="text1"/>
          <w:sz w:val="22"/>
          <w:szCs w:val="22"/>
        </w:rPr>
        <w:t xml:space="preserve"> administration of levosimendan decreases maxNT-proBNP as compared to placebo in patients with increased cardiovascular risk factors undergoing moderate-to-high risk noncardiac surgery.</w:t>
      </w:r>
    </w:p>
    <w:p w14:paraId="22B8DE41" w14:textId="77777777" w:rsidR="00931A60" w:rsidRPr="00B6585E" w:rsidRDefault="00931A60">
      <w:pPr>
        <w:jc w:val="both"/>
        <w:rPr>
          <w:rFonts w:ascii="Arial" w:hAnsi="Arial" w:cs="Arial"/>
          <w:color w:val="000000" w:themeColor="text1"/>
          <w:sz w:val="22"/>
          <w:szCs w:val="22"/>
        </w:rPr>
      </w:pPr>
    </w:p>
    <w:p w14:paraId="29331B83" w14:textId="140AE1CB" w:rsidR="00931A60" w:rsidRPr="00B6585E" w:rsidRDefault="00A221DB" w:rsidP="00816FA9">
      <w:pPr>
        <w:pStyle w:val="Heading3"/>
        <w:numPr>
          <w:ilvl w:val="2"/>
          <w:numId w:val="3"/>
        </w:numPr>
      </w:pPr>
      <w:bookmarkStart w:id="216" w:name="_Toc9107204"/>
      <w:bookmarkStart w:id="217" w:name="_Toc23231336"/>
      <w:bookmarkStart w:id="218" w:name="_Toc96924987"/>
      <w:r w:rsidRPr="00B6585E">
        <w:t>Statistical Analysis</w:t>
      </w:r>
      <w:bookmarkEnd w:id="216"/>
      <w:bookmarkEnd w:id="217"/>
      <w:bookmarkEnd w:id="218"/>
    </w:p>
    <w:p w14:paraId="4143AACF" w14:textId="77777777" w:rsidR="00C315C4" w:rsidRPr="00B6585E" w:rsidRDefault="00C315C4" w:rsidP="00C315C4">
      <w:pPr>
        <w:jc w:val="both"/>
        <w:rPr>
          <w:color w:val="000000" w:themeColor="text1"/>
        </w:rPr>
      </w:pPr>
      <w:r w:rsidRPr="00B6585E">
        <w:rPr>
          <w:rFonts w:ascii="Arial" w:hAnsi="Arial" w:cs="Arial"/>
          <w:color w:val="000000" w:themeColor="text1"/>
          <w:sz w:val="22"/>
          <w:szCs w:val="22"/>
        </w:rPr>
        <w:t>The primary hypothesis will be tested using a Wilcoxon-Mann-Whitney-U test. If a patient dies before BNP on postoperative day 3 can be measured, the patient's maxNT-proBNP will be set to the maximum of maxNT-proBNP values over all patients. An interim analysis will be performed after the collection of data of a third of the overall planned patients. To control for the overall type 1 error rate of 0.05, O'Brien-Flemming boundaries for group sequential designs will be used, hence for the interim analysis the two-sided significance level is 0.0007 and for the final analysis the two-sided significance level is 0.0497.</w:t>
      </w:r>
      <w:r w:rsidRPr="00B6585E">
        <w:rPr>
          <w:color w:val="000000" w:themeColor="text1"/>
        </w:rPr>
        <w:fldChar w:fldCharType="begin" w:fldLock="1"/>
      </w:r>
      <w:r w:rsidRPr="00B6585E">
        <w:rPr>
          <w:color w:val="000000" w:themeColor="text1"/>
        </w:rPr>
        <w:instrText>ADDIN CSL_CITATION {"citationItems":[{"id":"ITEM-1","itemData":{"author":[{"dropping-particle":"","family":"C.","given":"Jennison","non-dropping-particle":"","parse-names":false,"suffix":""},{"dropping-particle":"","family":"B.W.","given":"Turnbull","non-dropping-particle":"","parse-names":false,"suffix":""}],"id":"ITEM-1","issued":{"date-parts":[["1999"]]},"publisher-place":"New York","title":"Group Sequential Methods with Applications to Clinical Trials","type":"book"},"uris":["http://www.mendeley.com/documents/?uuid=f673cc70-0bd2-488b-99b4-6697bbd72785"]}],"mendeley":{"formattedCitation":"&lt;sup&gt;32&lt;/sup&gt;","plainTextFormattedCitation":"32","previouslyFormattedCitation":"&lt;sup&gt;31&lt;/sup&gt;"},"properties":{"noteIndex":0},"schema":"https://github.com/citation-style-language/schema/raw/master/csl-citation.json"}</w:instrText>
      </w:r>
      <w:r w:rsidRPr="00B6585E">
        <w:rPr>
          <w:color w:val="000000" w:themeColor="text1"/>
        </w:rPr>
        <w:fldChar w:fldCharType="separate"/>
      </w:r>
      <w:r w:rsidRPr="00B6585E">
        <w:rPr>
          <w:rFonts w:ascii="Arial" w:hAnsi="Arial" w:cs="Arial"/>
          <w:noProof/>
          <w:color w:val="000000" w:themeColor="text1"/>
          <w:sz w:val="22"/>
          <w:szCs w:val="22"/>
          <w:vertAlign w:val="superscript"/>
        </w:rPr>
        <w:t>32</w:t>
      </w:r>
      <w:r w:rsidRPr="00B6585E">
        <w:rPr>
          <w:color w:val="000000" w:themeColor="text1"/>
        </w:rPr>
        <w:fldChar w:fldCharType="end"/>
      </w:r>
      <w:r w:rsidRPr="00B6585E">
        <w:rPr>
          <w:rFonts w:ascii="Arial" w:hAnsi="Arial" w:cs="Arial"/>
          <w:color w:val="000000" w:themeColor="text1"/>
          <w:sz w:val="22"/>
          <w:szCs w:val="22"/>
        </w:rPr>
        <w:t xml:space="preserve"> </w:t>
      </w:r>
    </w:p>
    <w:p w14:paraId="5BFCA8FB" w14:textId="77777777" w:rsidR="00C315C4" w:rsidRPr="00B6585E" w:rsidRDefault="00C315C4" w:rsidP="00C315C4">
      <w:pPr>
        <w:pStyle w:val="ListParagraph"/>
        <w:ind w:left="964"/>
        <w:jc w:val="both"/>
        <w:rPr>
          <w:rFonts w:ascii="Arial" w:hAnsi="Arial" w:cs="Arial"/>
          <w:color w:val="000000" w:themeColor="text1"/>
          <w:sz w:val="22"/>
          <w:szCs w:val="22"/>
          <w:lang w:val="en-US"/>
        </w:rPr>
      </w:pPr>
    </w:p>
    <w:p w14:paraId="06EB809A" w14:textId="77777777" w:rsidR="00C315C4" w:rsidRPr="00B6585E" w:rsidRDefault="00C315C4" w:rsidP="00C315C4">
      <w:pPr>
        <w:jc w:val="both"/>
        <w:rPr>
          <w:color w:val="000000" w:themeColor="text1"/>
        </w:rPr>
      </w:pPr>
      <w:r w:rsidRPr="00B6585E">
        <w:rPr>
          <w:rFonts w:ascii="Arial" w:hAnsi="Arial" w:cs="Arial"/>
          <w:color w:val="000000" w:themeColor="text1"/>
          <w:sz w:val="22"/>
          <w:szCs w:val="22"/>
        </w:rPr>
        <w:t>The secondary hypothesis (AIM1), whether Levosimendan decreases maxTnT – which is defined as the maximum of the TnT values measured within 2 hours after surgery and on the first, second and third postoperative day – as compared to placebo will be tested using a Wilcoxon-Mann-Whitney U-test.</w:t>
      </w:r>
    </w:p>
    <w:p w14:paraId="13B13824" w14:textId="77777777" w:rsidR="00C315C4" w:rsidRPr="00B6585E" w:rsidRDefault="00C315C4" w:rsidP="00C315C4">
      <w:pPr>
        <w:pStyle w:val="ListParagraph"/>
        <w:ind w:left="964"/>
        <w:jc w:val="both"/>
        <w:rPr>
          <w:rFonts w:ascii="Arial" w:hAnsi="Arial" w:cs="Arial"/>
          <w:color w:val="000000" w:themeColor="text1"/>
          <w:sz w:val="22"/>
          <w:szCs w:val="22"/>
          <w:lang w:val="en-US"/>
        </w:rPr>
      </w:pPr>
    </w:p>
    <w:p w14:paraId="10C3664B" w14:textId="77777777" w:rsidR="00C315C4" w:rsidRPr="00B6585E" w:rsidRDefault="00C315C4" w:rsidP="00C315C4">
      <w:pPr>
        <w:jc w:val="both"/>
        <w:rPr>
          <w:color w:val="000000" w:themeColor="text1"/>
        </w:rPr>
      </w:pPr>
      <w:r w:rsidRPr="00B6585E">
        <w:rPr>
          <w:rFonts w:ascii="Arial" w:hAnsi="Arial" w:cs="Arial"/>
          <w:color w:val="000000" w:themeColor="text1"/>
          <w:sz w:val="22"/>
          <w:szCs w:val="22"/>
        </w:rPr>
        <w:t>The secondary hypothesis (AIM2), whether Levosimendan decreases the incidence of MINS during the first 3 postoperative days as compared to placebo, a logistic regression will be calculated, where incidence of MINS during the first three days is the dependent variable, and the treatment group is the explanatory variable. Furthermore, age and sex will be used as covariates.</w:t>
      </w:r>
    </w:p>
    <w:p w14:paraId="3337FAFA" w14:textId="77777777" w:rsidR="00C315C4" w:rsidRPr="00B6585E" w:rsidRDefault="00C315C4" w:rsidP="00C315C4">
      <w:pPr>
        <w:pStyle w:val="ListParagraph"/>
        <w:ind w:left="964"/>
        <w:jc w:val="both"/>
        <w:rPr>
          <w:rFonts w:ascii="Arial" w:hAnsi="Arial" w:cs="Arial"/>
          <w:color w:val="000000" w:themeColor="text1"/>
          <w:sz w:val="22"/>
          <w:szCs w:val="22"/>
          <w:lang w:val="en-US"/>
        </w:rPr>
      </w:pPr>
    </w:p>
    <w:p w14:paraId="05A41759" w14:textId="77777777" w:rsidR="00C315C4" w:rsidRPr="00B6585E" w:rsidRDefault="00C315C4" w:rsidP="00C315C4">
      <w:pPr>
        <w:jc w:val="both"/>
        <w:rPr>
          <w:color w:val="000000" w:themeColor="text1"/>
        </w:rPr>
      </w:pPr>
      <w:r w:rsidRPr="00B6585E">
        <w:rPr>
          <w:rFonts w:ascii="Arial" w:hAnsi="Arial" w:cs="Arial"/>
          <w:color w:val="000000" w:themeColor="text1"/>
          <w:sz w:val="22"/>
          <w:szCs w:val="22"/>
        </w:rPr>
        <w:t>The secondary hypothesis (AIM3), whether Levosimendan reduces the event rates of myocardial infarction and death during 30 days after surgery as compared to placebo will be tested with a Cox proportional-hazards model. The composite endpoint myocardial infarction and death during 30 days is the dependent variable and the treatment group is the explanatory variable. Age and sex will be used as covariates.</w:t>
      </w:r>
    </w:p>
    <w:p w14:paraId="03207299" w14:textId="77777777" w:rsidR="00C315C4" w:rsidRPr="00B6585E" w:rsidRDefault="00C315C4" w:rsidP="00C315C4">
      <w:pPr>
        <w:pStyle w:val="ListParagraph"/>
        <w:ind w:left="964"/>
        <w:jc w:val="both"/>
        <w:rPr>
          <w:rFonts w:ascii="Arial" w:hAnsi="Arial" w:cs="Arial"/>
          <w:color w:val="000000" w:themeColor="text1"/>
          <w:sz w:val="22"/>
          <w:szCs w:val="22"/>
          <w:lang w:val="en-US"/>
        </w:rPr>
      </w:pPr>
    </w:p>
    <w:p w14:paraId="0ED91314" w14:textId="77777777" w:rsidR="00C315C4" w:rsidRPr="00B6585E" w:rsidRDefault="00C315C4" w:rsidP="00C315C4">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number of patients between both study groups grouped according to the previous evaluated NT-proBNP thresholds will be analyzed with a chi-squared test. </w:t>
      </w:r>
    </w:p>
    <w:p w14:paraId="38BDA249" w14:textId="77777777" w:rsidR="00C315C4" w:rsidRPr="00B6585E" w:rsidRDefault="00C315C4" w:rsidP="00C315C4">
      <w:pPr>
        <w:pStyle w:val="ListParagraph"/>
        <w:ind w:left="964"/>
        <w:jc w:val="both"/>
        <w:rPr>
          <w:rFonts w:ascii="Arial" w:hAnsi="Arial" w:cs="Arial"/>
          <w:color w:val="000000" w:themeColor="text1"/>
          <w:sz w:val="22"/>
          <w:szCs w:val="22"/>
          <w:lang w:val="en-US"/>
        </w:rPr>
      </w:pPr>
    </w:p>
    <w:p w14:paraId="5E07A7F4" w14:textId="77777777" w:rsidR="00C315C4" w:rsidRPr="00B6585E" w:rsidRDefault="00C315C4" w:rsidP="00C315C4">
      <w:pPr>
        <w:jc w:val="both"/>
        <w:rPr>
          <w:rFonts w:ascii="Arial" w:hAnsi="Arial" w:cs="Arial"/>
          <w:color w:val="000000" w:themeColor="text1"/>
          <w:sz w:val="22"/>
          <w:szCs w:val="22"/>
        </w:rPr>
      </w:pPr>
      <w:r w:rsidRPr="00B6585E">
        <w:rPr>
          <w:rFonts w:ascii="Arial" w:hAnsi="Arial" w:cs="Arial"/>
          <w:color w:val="000000" w:themeColor="text1"/>
          <w:sz w:val="22"/>
          <w:szCs w:val="22"/>
        </w:rPr>
        <w:t>Baseline characteristics such as age, sex, ASA physical status, revised cardiac index, tobacco and alcohol use, comorbidities, long-term medication and type of surgery, as well as laboratory values such as creatinine, hemoglobin, sodium and c-reactive protein will be analyzed descriptively. For continuous variables mean, standard deviation, minimum, 1st quartile, median, 3rd quartile and maximum will be calculated for both treatment groups. For categorial variables, absolute and relative frequencies will be calculated for both treatment groups.</w:t>
      </w:r>
    </w:p>
    <w:p w14:paraId="66C328E2" w14:textId="77777777" w:rsidR="00C315C4" w:rsidRPr="00B6585E" w:rsidRDefault="00C315C4" w:rsidP="00C315C4">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If hospital discharge occurs before the third postoperative day, the maximum value of the available data will be used for outcome measure. </w:t>
      </w:r>
    </w:p>
    <w:p w14:paraId="68045FDC" w14:textId="77777777" w:rsidR="00C315C4" w:rsidRPr="00B6585E" w:rsidRDefault="00C315C4" w:rsidP="00C315C4">
      <w:pPr>
        <w:pStyle w:val="ListParagraph"/>
        <w:ind w:left="964"/>
        <w:jc w:val="both"/>
        <w:rPr>
          <w:rFonts w:ascii="Arial" w:hAnsi="Arial" w:cs="Arial"/>
          <w:color w:val="000000" w:themeColor="text1"/>
          <w:sz w:val="22"/>
          <w:szCs w:val="22"/>
          <w:lang w:val="en-US"/>
        </w:rPr>
      </w:pPr>
    </w:p>
    <w:p w14:paraId="0ADE5B22" w14:textId="77777777" w:rsidR="00C315C4" w:rsidRPr="00B6585E" w:rsidRDefault="00C315C4" w:rsidP="00C315C4">
      <w:pPr>
        <w:jc w:val="both"/>
        <w:rPr>
          <w:rFonts w:ascii="Arial" w:hAnsi="Arial" w:cs="Arial"/>
          <w:color w:val="000000" w:themeColor="text1"/>
          <w:sz w:val="22"/>
          <w:szCs w:val="22"/>
        </w:rPr>
      </w:pPr>
      <w:r w:rsidRPr="00B6585E">
        <w:rPr>
          <w:rFonts w:ascii="Arial" w:hAnsi="Arial" w:cs="Arial"/>
          <w:color w:val="000000" w:themeColor="text1"/>
          <w:sz w:val="22"/>
          <w:szCs w:val="22"/>
        </w:rPr>
        <w:t>For analysis of our tertiary outcome (AIM4) we will use a chi-squared test to compare the individual scores between both study groups on each measurement timepoint and furthermore we will compare the total sum of all scores between both study groups using a Wilcoxon rank-sum test.</w:t>
      </w:r>
    </w:p>
    <w:p w14:paraId="0084E19F" w14:textId="04D03F12" w:rsidR="00C315C4" w:rsidRPr="00B6585E" w:rsidRDefault="00C315C4" w:rsidP="00C315C4">
      <w:pPr>
        <w:rPr>
          <w:color w:val="000000" w:themeColor="text1"/>
        </w:rPr>
      </w:pPr>
    </w:p>
    <w:p w14:paraId="441052C2" w14:textId="77777777" w:rsidR="00C315C4" w:rsidRPr="00B6585E" w:rsidRDefault="00C315C4" w:rsidP="00C315C4">
      <w:pPr>
        <w:rPr>
          <w:color w:val="000000" w:themeColor="text1"/>
        </w:rPr>
      </w:pPr>
    </w:p>
    <w:p w14:paraId="03DF6BEA" w14:textId="77777777" w:rsidR="00E87E8E" w:rsidRPr="00B6585E" w:rsidRDefault="00E87E8E">
      <w:pPr>
        <w:jc w:val="both"/>
        <w:rPr>
          <w:color w:val="000000" w:themeColor="text1"/>
        </w:rPr>
      </w:pPr>
    </w:p>
    <w:p w14:paraId="29020645" w14:textId="77777777" w:rsidR="00931A60" w:rsidRPr="00B6585E" w:rsidRDefault="00A221DB" w:rsidP="00816FA9">
      <w:pPr>
        <w:pStyle w:val="Heading3"/>
        <w:numPr>
          <w:ilvl w:val="2"/>
          <w:numId w:val="3"/>
        </w:numPr>
      </w:pPr>
      <w:bookmarkStart w:id="219" w:name="_Toc9107205"/>
      <w:bookmarkStart w:id="220" w:name="_Toc23231337"/>
      <w:bookmarkStart w:id="221" w:name="_Toc96924988"/>
      <w:r w:rsidRPr="00B6585E">
        <w:t>Sample Size Considerations</w:t>
      </w:r>
      <w:bookmarkEnd w:id="219"/>
      <w:bookmarkEnd w:id="220"/>
      <w:bookmarkEnd w:id="221"/>
    </w:p>
    <w:p w14:paraId="4DB753BE" w14:textId="04DEB15C" w:rsidR="00931A60" w:rsidRPr="00B6585E" w:rsidRDefault="00A221DB">
      <w:pPr>
        <w:jc w:val="both"/>
        <w:rPr>
          <w:rFonts w:ascii="Arial" w:hAnsi="Arial" w:cs="Arial"/>
          <w:color w:val="000000" w:themeColor="text1"/>
          <w:sz w:val="22"/>
          <w:szCs w:val="22"/>
          <w:highlight w:val="yellow"/>
        </w:rPr>
      </w:pPr>
      <w:r w:rsidRPr="00B6585E">
        <w:rPr>
          <w:rFonts w:ascii="Arial" w:hAnsi="Arial" w:cs="Arial"/>
          <w:color w:val="000000" w:themeColor="text1"/>
          <w:sz w:val="22"/>
          <w:szCs w:val="22"/>
        </w:rPr>
        <w:t xml:space="preserve">For the control group, data from a previous study was available, where NT-proBNP was measured within 1 hour after surgery and on postoperative day 1 and 3. The maximum of these values was </w:t>
      </w:r>
      <w:r w:rsidRPr="00B6585E">
        <w:rPr>
          <w:rFonts w:ascii="Arial" w:hAnsi="Arial" w:cs="Arial"/>
          <w:color w:val="000000" w:themeColor="text1"/>
          <w:sz w:val="22"/>
          <w:szCs w:val="22"/>
        </w:rPr>
        <w:lastRenderedPageBreak/>
        <w:t xml:space="preserve">calculated. For the calculation of the sample size, we assume median maxNT-proBNP is reduced by 37% </w:t>
      </w:r>
      <w:r w:rsidR="00934622" w:rsidRPr="00B6585E">
        <w:rPr>
          <w:rFonts w:ascii="Arial" w:hAnsi="Arial" w:cs="Arial"/>
          <w:color w:val="000000" w:themeColor="text1"/>
          <w:sz w:val="22"/>
          <w:szCs w:val="22"/>
        </w:rPr>
        <w:fldChar w:fldCharType="begin" w:fldLock="1"/>
      </w:r>
      <w:r w:rsidR="005F2992" w:rsidRPr="00B6585E">
        <w:rPr>
          <w:rFonts w:ascii="Arial" w:hAnsi="Arial" w:cs="Arial"/>
          <w:color w:val="000000" w:themeColor="text1"/>
          <w:sz w:val="22"/>
          <w:szCs w:val="22"/>
        </w:rPr>
        <w:instrText>ADDIN CSL_CITATION {"citationItems":[{"id":"ITEM-1","itemData":{"abstract":"BACKGROUND: Leprosy can have its course interrupted by type 1 and 2 reactional episodes, the last named of erythema nodosum leprosum (ENL). Thalidomide has been the medication of choice for the control of ENL episodes since 1965. OBJECTIVES: These episodes can repeat and cause damages to the patient. In order to prevent these episodes, an extra dose of 100 mg/day thalidomide was used during six months, followed by a follow-up period of six more months after thalidomide discontinuation. METHODS: We included 42 patients with multibacillary (MB) leprosy who had episodes of ENL. They were male and female patients aged between 18 and 84 years. RESULTS: Of the 42 patients, 39 (92.85%) had the lepromatous form and three (7.15%) had the borderline form. We found that 100% of patients had no reactional episode during the use of the drug. During the follow-up period after thalidomide discontinuation, 33 (78.57%) patients had no reactional episode and nine (21.43%), all of them with the lepromatous form, had mild episodes, which were controlled using non-steroidal anti-inflammatory. There were no thalidomide-related side effects. CONCLUSION: A maintenance dose of 100 mg/day of thalidomide showed to be effective to prevent repeated type 2 reactional episodes of ENL.","author":[{"dropping-particle":"","family":"Mebazaa","given":"A.","non-dropping-particle":"","parse-names":false,"suffix":""},{"dropping-particle":"","family":"Nieminen","given":"M.","non-dropping-particle":"","parse-names":false,"suffix":""},{"dropping-particle":"","family":"Packer","given":"M.","non-dropping-particle":"","parse-names":false,"suffix":""},{"dropping-particle":"","family":"Cohen-Solal","given":"A.","non-dropping-particle":"","parse-names":false,"suffix":""},{"dropping-particle":"","family":"Kleber","given":"F.X.","non-dropping-particle":"","parse-names":false,"suffix":""},{"dropping-particle":"","family":"Pocock","given":"S.J.","non-dropping-particle":"","parse-names":false,"suffix":""},{"dropping-particle":"","family":"Thakkar","given":"R.","non-dropping-particle":"","parse-names":false,"suffix":""},{"dropping-particle":"","family":"Padley","given":"R.J.","non-dropping-particle":"","parse-names":false,"suffix":""},{"dropping-particle":"","family":"Poder","given":"P.","non-dropping-particle":"","parse-names":false,"suffix":""},{"dropping-particle":"","family":"Kivikko","given":"M.","non-dropping-particle":"","parse-names":false,"suffix":""},{"dropping-particle":"","family":"Investigators","given":"for the SURVIVE","non-dropping-particle":"","parse-names":false,"suffix":""}],"container-title":"JAMA : the journal of the American Medical Association","id":"ITEM-1","issue":"17","issued":{"date-parts":[["2007"]]},"page":"1883-1891","title":"Levosimendan vs Dobutamine for Patients","type":"article-journal","volume":"297"},"uris":["http://www.mendeley.com/documents/?uuid=0938f34a-71ac-4386-9826-12fdfc687d35"]}],"mendeley":{"formattedCitation":"&lt;sup&gt;25&lt;/sup&gt;","plainTextFormattedCitation":"25","previouslyFormattedCitation":"&lt;sup&gt;25&lt;/sup&gt;"},"properties":{"noteIndex":0},"schema":"https://github.com/citation-style-language/schema/raw/master/csl-citation.json"}</w:instrText>
      </w:r>
      <w:r w:rsidR="00934622" w:rsidRPr="00B6585E">
        <w:rPr>
          <w:rFonts w:ascii="Arial" w:hAnsi="Arial" w:cs="Arial"/>
          <w:color w:val="000000" w:themeColor="text1"/>
          <w:sz w:val="22"/>
          <w:szCs w:val="22"/>
        </w:rPr>
        <w:fldChar w:fldCharType="separate"/>
      </w:r>
      <w:r w:rsidR="00934622" w:rsidRPr="00B6585E">
        <w:rPr>
          <w:rFonts w:ascii="Arial" w:hAnsi="Arial" w:cs="Arial"/>
          <w:noProof/>
          <w:color w:val="000000" w:themeColor="text1"/>
          <w:sz w:val="22"/>
          <w:szCs w:val="22"/>
          <w:vertAlign w:val="superscript"/>
        </w:rPr>
        <w:t>25</w:t>
      </w:r>
      <w:r w:rsidR="00934622"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in the treatment group. To estimate the power, the distribution of the z-approximations of the Wilcoxon test statistics was estimated using the bootstrap method. 10000 bootstrap samples were drawn. The data for the control group was sampled from the data from the previous study. The data for the treatment group was sampled from the same data set, where all values were reduced by 37%. </w:t>
      </w:r>
      <w:r w:rsidR="000307DD" w:rsidRPr="00B6585E">
        <w:rPr>
          <w:rFonts w:ascii="Arial" w:hAnsi="Arial" w:cs="Arial"/>
          <w:color w:val="000000" w:themeColor="text1"/>
          <w:sz w:val="22"/>
          <w:szCs w:val="22"/>
        </w:rPr>
        <w:t>We considered a drop</w:t>
      </w:r>
      <w:r w:rsidR="005F7010" w:rsidRPr="00B6585E">
        <w:rPr>
          <w:rFonts w:ascii="Arial" w:hAnsi="Arial" w:cs="Arial"/>
          <w:color w:val="000000" w:themeColor="text1"/>
          <w:sz w:val="22"/>
          <w:szCs w:val="22"/>
        </w:rPr>
        <w:t>-</w:t>
      </w:r>
      <w:r w:rsidR="000307DD" w:rsidRPr="00B6585E">
        <w:rPr>
          <w:rFonts w:ascii="Arial" w:hAnsi="Arial" w:cs="Arial"/>
          <w:color w:val="000000" w:themeColor="text1"/>
          <w:sz w:val="22"/>
          <w:szCs w:val="22"/>
        </w:rPr>
        <w:t xml:space="preserve">out rate of </w:t>
      </w:r>
      <w:r w:rsidR="00F6182A" w:rsidRPr="00B6585E">
        <w:rPr>
          <w:rFonts w:ascii="Arial" w:hAnsi="Arial" w:cs="Arial"/>
          <w:color w:val="000000" w:themeColor="text1"/>
          <w:sz w:val="22"/>
          <w:szCs w:val="22"/>
        </w:rPr>
        <w:t>5</w:t>
      </w:r>
      <w:r w:rsidR="000307D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With a total sample size of 2</w:t>
      </w:r>
      <w:r w:rsidR="00F6182A" w:rsidRPr="00B6585E">
        <w:rPr>
          <w:rFonts w:ascii="Arial" w:hAnsi="Arial" w:cs="Arial"/>
          <w:color w:val="000000" w:themeColor="text1"/>
          <w:sz w:val="22"/>
          <w:szCs w:val="22"/>
        </w:rPr>
        <w:t>30</w:t>
      </w:r>
      <w:r w:rsidRPr="00B6585E">
        <w:rPr>
          <w:rFonts w:ascii="Arial" w:hAnsi="Arial" w:cs="Arial"/>
          <w:color w:val="000000" w:themeColor="text1"/>
          <w:sz w:val="22"/>
          <w:szCs w:val="22"/>
        </w:rPr>
        <w:t xml:space="preserve"> (1</w:t>
      </w:r>
      <w:r w:rsidR="000307DD" w:rsidRPr="00B6585E">
        <w:rPr>
          <w:rFonts w:ascii="Arial" w:hAnsi="Arial" w:cs="Arial"/>
          <w:color w:val="000000" w:themeColor="text1"/>
          <w:sz w:val="22"/>
          <w:szCs w:val="22"/>
        </w:rPr>
        <w:t>1</w:t>
      </w:r>
      <w:r w:rsidR="00F6182A" w:rsidRPr="00B6585E">
        <w:rPr>
          <w:rFonts w:ascii="Arial" w:hAnsi="Arial" w:cs="Arial"/>
          <w:color w:val="000000" w:themeColor="text1"/>
          <w:sz w:val="22"/>
          <w:szCs w:val="22"/>
        </w:rPr>
        <w:t>5</w:t>
      </w:r>
      <w:r w:rsidRPr="00B6585E">
        <w:rPr>
          <w:rFonts w:ascii="Arial" w:hAnsi="Arial" w:cs="Arial"/>
          <w:color w:val="000000" w:themeColor="text1"/>
          <w:sz w:val="22"/>
          <w:szCs w:val="22"/>
        </w:rPr>
        <w:t xml:space="preserve"> per group, with a planned interim analysis after 3</w:t>
      </w:r>
      <w:r w:rsidR="00F6182A" w:rsidRPr="00B6585E">
        <w:rPr>
          <w:rFonts w:ascii="Arial" w:hAnsi="Arial" w:cs="Arial"/>
          <w:color w:val="000000" w:themeColor="text1"/>
          <w:sz w:val="22"/>
          <w:szCs w:val="22"/>
        </w:rPr>
        <w:t>8</w:t>
      </w:r>
      <w:r w:rsidRPr="00B6585E">
        <w:rPr>
          <w:rFonts w:ascii="Arial" w:hAnsi="Arial" w:cs="Arial"/>
          <w:color w:val="000000" w:themeColor="text1"/>
          <w:sz w:val="22"/>
          <w:szCs w:val="22"/>
        </w:rPr>
        <w:t xml:space="preserve"> patients per group) the overall estimated power (i.e. the power to reject either at interim or at the final analysis) is 80%. To correct for multiple testing due to the interim analysis, O'Brien-Flemming's design was used (see statistical analysis).</w:t>
      </w:r>
      <w:r w:rsidR="000307DD" w:rsidRPr="00B6585E">
        <w:rPr>
          <w:rFonts w:ascii="Arial" w:hAnsi="Arial" w:cs="Arial"/>
          <w:color w:val="000000" w:themeColor="text1"/>
          <w:sz w:val="22"/>
          <w:szCs w:val="22"/>
        </w:rPr>
        <w:t xml:space="preserve"> </w:t>
      </w:r>
    </w:p>
    <w:p w14:paraId="63FBB752" w14:textId="77777777" w:rsidR="00931A60" w:rsidRPr="00B6585E" w:rsidRDefault="00931A60">
      <w:pPr>
        <w:spacing w:after="120"/>
        <w:ind w:right="-7"/>
        <w:rPr>
          <w:color w:val="000000" w:themeColor="text1"/>
          <w:sz w:val="22"/>
          <w:u w:val="single"/>
        </w:rPr>
      </w:pPr>
    </w:p>
    <w:p w14:paraId="4AB4A7EB" w14:textId="77777777" w:rsidR="00931A60" w:rsidRPr="00B6585E" w:rsidRDefault="00A221DB" w:rsidP="00304D11">
      <w:pPr>
        <w:pStyle w:val="Heading1"/>
      </w:pPr>
      <w:r w:rsidRPr="00B6585E">
        <w:rPr>
          <w:lang w:val="en-US"/>
        </w:rPr>
        <w:lastRenderedPageBreak/>
        <w:t xml:space="preserve"> </w:t>
      </w:r>
      <w:bookmarkStart w:id="222" w:name="_Toc9107206"/>
      <w:bookmarkStart w:id="223" w:name="_Toc23231338"/>
      <w:bookmarkStart w:id="224" w:name="_Toc96924989"/>
      <w:r w:rsidRPr="00B6585E">
        <w:t>Risk/benefit assessment</w:t>
      </w:r>
      <w:bookmarkEnd w:id="222"/>
      <w:bookmarkEnd w:id="223"/>
      <w:bookmarkEnd w:id="224"/>
    </w:p>
    <w:p w14:paraId="0F9AC821" w14:textId="77777777" w:rsidR="00931A60" w:rsidRPr="00B6585E" w:rsidRDefault="00931A60">
      <w:pPr>
        <w:rPr>
          <w:rFonts w:ascii="Arial" w:hAnsi="Arial" w:cs="Arial"/>
          <w:color w:val="000000" w:themeColor="text1"/>
          <w:sz w:val="22"/>
          <w:szCs w:val="22"/>
        </w:rPr>
      </w:pPr>
    </w:p>
    <w:p w14:paraId="3FFC40BA" w14:textId="77777777" w:rsidR="00931A60" w:rsidRPr="00B6585E" w:rsidRDefault="00A221DB">
      <w:pPr>
        <w:pStyle w:val="Heading2"/>
        <w:rPr>
          <w:color w:val="000000" w:themeColor="text1"/>
        </w:rPr>
      </w:pPr>
      <w:bookmarkStart w:id="225" w:name="_Toc9107207"/>
      <w:bookmarkStart w:id="226" w:name="_Toc23231339"/>
      <w:bookmarkStart w:id="227" w:name="_Toc96924990"/>
      <w:r w:rsidRPr="00B6585E">
        <w:rPr>
          <w:color w:val="000000" w:themeColor="text1"/>
        </w:rPr>
        <w:t>Risk</w:t>
      </w:r>
      <w:bookmarkEnd w:id="225"/>
      <w:bookmarkEnd w:id="226"/>
      <w:bookmarkEnd w:id="227"/>
    </w:p>
    <w:p w14:paraId="19477E13" w14:textId="67283174" w:rsidR="00971C8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administration of levosimendan is accompanied with side effects such as headache, dizziness, insomnia, tachycardia, hypotension, heart failure, atrial fibrillation, hypokalemia, MI, low hemoglobin, emesis, constipation and diarrhea. Nevertheless, levosimendan was described as well tolerated in previous large trials investigat</w:t>
      </w:r>
      <w:r w:rsidR="00AE46A8" w:rsidRPr="00B6585E">
        <w:rPr>
          <w:rFonts w:ascii="Arial" w:hAnsi="Arial" w:cs="Arial"/>
          <w:color w:val="000000" w:themeColor="text1"/>
          <w:sz w:val="22"/>
          <w:szCs w:val="22"/>
        </w:rPr>
        <w:t>ing</w:t>
      </w:r>
      <w:r w:rsidRPr="00B6585E">
        <w:rPr>
          <w:rFonts w:ascii="Arial" w:hAnsi="Arial" w:cs="Arial"/>
          <w:color w:val="000000" w:themeColor="text1"/>
          <w:sz w:val="22"/>
          <w:szCs w:val="22"/>
        </w:rPr>
        <w:t xml:space="preserve"> hospitalized patients with acute </w:t>
      </w:r>
      <w:r w:rsidR="00971C80" w:rsidRPr="00B6585E">
        <w:rPr>
          <w:rFonts w:ascii="Arial" w:hAnsi="Arial" w:cs="Arial"/>
          <w:color w:val="000000" w:themeColor="text1"/>
          <w:sz w:val="22"/>
          <w:szCs w:val="22"/>
        </w:rPr>
        <w:t xml:space="preserve">severe </w:t>
      </w:r>
      <w:r w:rsidRPr="00B6585E">
        <w:rPr>
          <w:rFonts w:ascii="Arial" w:hAnsi="Arial" w:cs="Arial"/>
          <w:color w:val="000000" w:themeColor="text1"/>
          <w:sz w:val="22"/>
          <w:szCs w:val="22"/>
        </w:rPr>
        <w:t xml:space="preserve">heart failure. </w:t>
      </w:r>
      <w:r w:rsidR="00971C80" w:rsidRPr="00B6585E">
        <w:rPr>
          <w:rFonts w:ascii="Arial" w:hAnsi="Arial" w:cs="Arial"/>
          <w:color w:val="000000" w:themeColor="text1"/>
          <w:sz w:val="22"/>
          <w:szCs w:val="22"/>
        </w:rPr>
        <w:t>We excluded patients with a history of severe heart failure, thus no serious side effects will be expected. Furthermore, the study medication will be started during surgery during a time period, when the patient will be closely hemodynamically monitored.</w:t>
      </w:r>
    </w:p>
    <w:p w14:paraId="4B4BF5E3" w14:textId="6E46C074" w:rsidR="00931A60" w:rsidRPr="00B6585E" w:rsidRDefault="00931A60">
      <w:pPr>
        <w:spacing w:after="120"/>
        <w:ind w:right="-7"/>
        <w:jc w:val="both"/>
        <w:rPr>
          <w:rFonts w:ascii="Arial" w:hAnsi="Arial" w:cs="Arial"/>
          <w:strike/>
          <w:color w:val="000000" w:themeColor="text1"/>
          <w:sz w:val="22"/>
          <w:szCs w:val="22"/>
        </w:rPr>
      </w:pPr>
    </w:p>
    <w:p w14:paraId="3C24E8E5" w14:textId="01A73511" w:rsidR="00931A60" w:rsidRPr="00B6585E" w:rsidRDefault="00971C80">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Severe h</w:t>
      </w:r>
      <w:r w:rsidR="00A221DB" w:rsidRPr="00B6585E">
        <w:rPr>
          <w:rFonts w:ascii="Arial" w:hAnsi="Arial" w:cs="Arial"/>
          <w:color w:val="000000" w:themeColor="text1"/>
          <w:sz w:val="22"/>
          <w:szCs w:val="22"/>
        </w:rPr>
        <w:t xml:space="preserve">ypotension </w:t>
      </w:r>
      <w:r w:rsidRPr="00B6585E">
        <w:rPr>
          <w:rFonts w:ascii="Arial" w:hAnsi="Arial" w:cs="Arial"/>
          <w:color w:val="000000" w:themeColor="text1"/>
          <w:sz w:val="22"/>
          <w:szCs w:val="22"/>
        </w:rPr>
        <w:t>and other side effects were</w:t>
      </w:r>
      <w:r w:rsidR="00A221DB" w:rsidRPr="00B6585E">
        <w:rPr>
          <w:rFonts w:ascii="Arial" w:hAnsi="Arial" w:cs="Arial"/>
          <w:color w:val="000000" w:themeColor="text1"/>
          <w:sz w:val="22"/>
          <w:szCs w:val="22"/>
        </w:rPr>
        <w:t xml:space="preserve"> described when levosimendan was started in patients with a systolic blood pressure lower than 100 mmHg.</w:t>
      </w:r>
      <w:r w:rsidRPr="00B6585E">
        <w:rPr>
          <w:rFonts w:ascii="Arial" w:hAnsi="Arial" w:cs="Arial"/>
          <w:color w:val="000000" w:themeColor="text1"/>
          <w:sz w:val="22"/>
          <w:szCs w:val="22"/>
        </w:rPr>
        <w:t xml:space="preserve"> To</w:t>
      </w:r>
      <w:r w:rsidR="007B2A01" w:rsidRPr="00B6585E">
        <w:rPr>
          <w:rFonts w:ascii="Arial" w:hAnsi="Arial" w:cs="Arial"/>
          <w:color w:val="000000" w:themeColor="text1"/>
          <w:sz w:val="22"/>
          <w:szCs w:val="22"/>
        </w:rPr>
        <w:t xml:space="preserve"> reduce the risk for</w:t>
      </w:r>
      <w:r w:rsidRPr="00B6585E">
        <w:rPr>
          <w:rFonts w:ascii="Arial" w:hAnsi="Arial" w:cs="Arial"/>
          <w:color w:val="000000" w:themeColor="text1"/>
          <w:sz w:val="22"/>
          <w:szCs w:val="22"/>
        </w:rPr>
        <w:t xml:space="preserve"> severe</w:t>
      </w:r>
      <w:r w:rsidR="007B2A01" w:rsidRPr="00B6585E">
        <w:rPr>
          <w:rFonts w:ascii="Arial" w:hAnsi="Arial" w:cs="Arial"/>
          <w:color w:val="000000" w:themeColor="text1"/>
          <w:sz w:val="22"/>
          <w:szCs w:val="22"/>
        </w:rPr>
        <w:t xml:space="preserve"> hypotension we </w:t>
      </w:r>
      <w:r w:rsidR="00E24032" w:rsidRPr="00B6585E">
        <w:rPr>
          <w:rFonts w:ascii="Arial" w:hAnsi="Arial" w:cs="Arial"/>
          <w:color w:val="000000" w:themeColor="text1"/>
          <w:sz w:val="22"/>
          <w:szCs w:val="22"/>
        </w:rPr>
        <w:t xml:space="preserve">will </w:t>
      </w:r>
      <w:r w:rsidR="007B2A01" w:rsidRPr="00B6585E">
        <w:rPr>
          <w:rFonts w:ascii="Arial" w:hAnsi="Arial" w:cs="Arial"/>
          <w:color w:val="000000" w:themeColor="text1"/>
          <w:sz w:val="22"/>
          <w:szCs w:val="22"/>
        </w:rPr>
        <w:t xml:space="preserve">only enroll patients </w:t>
      </w:r>
      <w:r w:rsidR="00A221DB" w:rsidRPr="00B6585E">
        <w:rPr>
          <w:rFonts w:ascii="Arial" w:hAnsi="Arial" w:cs="Arial"/>
          <w:color w:val="000000" w:themeColor="text1"/>
          <w:sz w:val="22"/>
          <w:szCs w:val="22"/>
        </w:rPr>
        <w:t xml:space="preserve">with </w:t>
      </w:r>
      <w:r w:rsidR="007B2A01" w:rsidRPr="00B6585E">
        <w:rPr>
          <w:rFonts w:ascii="Arial" w:hAnsi="Arial" w:cs="Arial"/>
          <w:color w:val="000000" w:themeColor="text1"/>
          <w:sz w:val="22"/>
          <w:szCs w:val="22"/>
        </w:rPr>
        <w:t xml:space="preserve">a </w:t>
      </w:r>
      <w:r w:rsidR="00A221DB" w:rsidRPr="00B6585E">
        <w:rPr>
          <w:rFonts w:ascii="Arial" w:hAnsi="Arial" w:cs="Arial"/>
          <w:color w:val="000000" w:themeColor="text1"/>
          <w:sz w:val="22"/>
          <w:szCs w:val="22"/>
        </w:rPr>
        <w:t>systolic blood pressure more than 1</w:t>
      </w:r>
      <w:r w:rsidRPr="00B6585E">
        <w:rPr>
          <w:rFonts w:ascii="Arial" w:hAnsi="Arial" w:cs="Arial"/>
          <w:color w:val="000000" w:themeColor="text1"/>
          <w:sz w:val="22"/>
          <w:szCs w:val="22"/>
        </w:rPr>
        <w:t>1</w:t>
      </w:r>
      <w:r w:rsidR="00A221DB" w:rsidRPr="00B6585E">
        <w:rPr>
          <w:rFonts w:ascii="Arial" w:hAnsi="Arial" w:cs="Arial"/>
          <w:color w:val="000000" w:themeColor="text1"/>
          <w:sz w:val="22"/>
          <w:szCs w:val="22"/>
        </w:rPr>
        <w:t>0 mmHg</w:t>
      </w:r>
      <w:r w:rsidRPr="00B6585E">
        <w:rPr>
          <w:rFonts w:ascii="Arial" w:hAnsi="Arial" w:cs="Arial"/>
          <w:color w:val="000000" w:themeColor="text1"/>
          <w:sz w:val="22"/>
          <w:szCs w:val="22"/>
        </w:rPr>
        <w:fldChar w:fldCharType="begin" w:fldLock="1"/>
      </w:r>
      <w:r w:rsidR="00174878" w:rsidRPr="00B6585E">
        <w:rPr>
          <w:rFonts w:ascii="Arial" w:hAnsi="Arial" w:cs="Arial"/>
          <w:color w:val="000000" w:themeColor="text1"/>
          <w:sz w:val="22"/>
          <w:szCs w:val="22"/>
        </w:rPr>
        <w:instrText>ADDIN CSL_CITATION {"citationItems":[{"id":"ITEM-1","itemData":{"DOI":"10.1093/bja/aex127","ISSN":"14716771","abstract":"Background: We hypothesized that different phases of intraoperative hypotension should be differentiated because of different underlying causative mechanisms. We defined post-induction hypotension (PIH; i.e. arterial hypotension occurring during the first 20 min after anaesthesia induction) and early intraoperative hypotension (eIOH; i.e. arterial hypotension during the first 30 min of surgery). Methods: In this retrospective study, we included 2037 adult patients who underwent general anaesthesia. Arterial hypotension was defined as a systolic arterial blood pressure (SAP) &lt;90 mm Hg or a need for norepinephrine infusion at &gt; 6 μg min-1 at least once during the phases of PIH and eIOH. Multivariate logistic regression analysis was used to test for association of clinical factors with PIH and eIOH. Results: Independent variables significantly related to PIH were pre-induction SAP [odds ratio (OR) 0.97 (95% confidence interval 0.97-0.98)], age [OR 1.03 (1.02-1.04)], and emergency surgery [OR 1.75 (1.20-2.56); P&lt;0.01 each]. Pre-induction SAP [OR 0.99 (0.98-0.99), P&lt;0.01], age [OR 1.02 (1.02-1.03), P&lt;0.01], emergency surgery [OR 1.83 (1.28-2.62), P&lt;0.01], supplementary administration of spinal or epidural anaesthetic techniques [OR 3.57 (2.41-5.29), P&lt;0.01], male sex [OR 1.41 (1.12-1.79), P&lt;0.01], and ASA physical status IV [OR 2.18 (1.19-3.99), P=0.01] were significantly related to eIOH. Conclusions: We identified clinical factors associated with PIH and eIOH. The use of these factors to estimate the risk of PIH and eIOH might allow the avoidance or timely treatment of hypotensive episodes during general anaesthesia.","author":[{"dropping-particle":"","family":"Südfeld","given":"S.","non-dropping-particle":"","parse-names":false,"suffix":""},{"dropping-particle":"","family":"Brechnitz","given":"S.","non-dropping-particle":"","parse-names":false,"suffix":""},{"dropping-particle":"","family":"Wagner","given":"J. Y.","non-dropping-particle":"","parse-names":false,"suffix":""},{"dropping-particle":"","family":"Reese","given":"P. C.","non-dropping-particle":"","parse-names":false,"suffix":""},{"dropping-particle":"","family":"Pinnschmidt","given":"H. O.","non-dropping-particle":"","parse-names":false,"suffix":""},{"dropping-particle":"","family":"Reuter","given":"D. A.","non-dropping-particle":"","parse-names":false,"suffix":""},{"dropping-particle":"","family":"Saugel","given":"B.","non-dropping-particle":"","parse-names":false,"suffix":""}],"container-title":"British Journal of Anaesthesia","id":"ITEM-1","issue":"1","issued":{"date-parts":[["2017"]]},"page":"57-64","title":"Post-induction hypotension and early intraoperative hypotension associated with general anaesthesia","type":"article-journal","volume":"119"},"uris":["http://www.mendeley.com/documents/?uuid=386bf73c-a57f-4d9c-b46a-9cd1c86537cb"]}],"mendeley":{"formattedCitation":"&lt;sup&gt;28&lt;/sup&gt;","plainTextFormattedCitation":"28","previouslyFormattedCitation":"&lt;sup&gt;28&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Pr="00B6585E">
        <w:rPr>
          <w:rFonts w:ascii="Arial" w:hAnsi="Arial" w:cs="Arial"/>
          <w:noProof/>
          <w:color w:val="000000" w:themeColor="text1"/>
          <w:sz w:val="22"/>
          <w:szCs w:val="22"/>
          <w:vertAlign w:val="superscript"/>
        </w:rPr>
        <w:t>28</w:t>
      </w:r>
      <w:r w:rsidRPr="00B6585E">
        <w:rPr>
          <w:rFonts w:ascii="Arial" w:hAnsi="Arial" w:cs="Arial"/>
          <w:color w:val="000000" w:themeColor="text1"/>
          <w:sz w:val="22"/>
          <w:szCs w:val="22"/>
        </w:rPr>
        <w:fldChar w:fldCharType="end"/>
      </w:r>
      <w:r w:rsidR="00A221DB" w:rsidRPr="00B6585E">
        <w:rPr>
          <w:rFonts w:ascii="Arial" w:hAnsi="Arial" w:cs="Arial"/>
          <w:color w:val="000000" w:themeColor="text1"/>
          <w:sz w:val="22"/>
          <w:szCs w:val="22"/>
        </w:rPr>
        <w:t xml:space="preserve"> (measured before induction of anesthesia)</w:t>
      </w:r>
      <w:r w:rsidR="007B2A01" w:rsidRPr="00B6585E">
        <w:rPr>
          <w:rFonts w:ascii="Arial" w:hAnsi="Arial" w:cs="Arial"/>
          <w:color w:val="000000" w:themeColor="text1"/>
          <w:sz w:val="22"/>
          <w:szCs w:val="22"/>
        </w:rPr>
        <w:t>.</w:t>
      </w:r>
      <w:r w:rsidR="00A221DB" w:rsidRPr="00B6585E">
        <w:rPr>
          <w:rFonts w:ascii="Arial" w:hAnsi="Arial" w:cs="Arial"/>
          <w:color w:val="000000" w:themeColor="text1"/>
          <w:sz w:val="22"/>
          <w:szCs w:val="22"/>
        </w:rPr>
        <w:t xml:space="preserve"> </w:t>
      </w:r>
    </w:p>
    <w:p w14:paraId="287F57C8" w14:textId="50A6EE44" w:rsidR="00B90900" w:rsidRPr="00B6585E" w:rsidRDefault="00B90900">
      <w:pPr>
        <w:spacing w:after="120"/>
        <w:ind w:right="-7"/>
        <w:jc w:val="both"/>
        <w:rPr>
          <w:rFonts w:ascii="Arial" w:eastAsia="MS Gothic" w:hAnsi="Arial" w:cs="Arial"/>
          <w:b/>
          <w:bCs/>
          <w:color w:val="000000" w:themeColor="text1"/>
          <w:sz w:val="22"/>
          <w:szCs w:val="22"/>
        </w:rPr>
      </w:pPr>
      <w:r w:rsidRPr="00B6585E">
        <w:rPr>
          <w:rFonts w:ascii="Arial" w:hAnsi="Arial" w:cs="Arial"/>
          <w:color w:val="000000" w:themeColor="text1"/>
          <w:sz w:val="22"/>
          <w:szCs w:val="22"/>
        </w:rPr>
        <w:t>To further minimize the risk for sever</w:t>
      </w:r>
      <w:r w:rsidR="00741164" w:rsidRPr="00B6585E">
        <w:rPr>
          <w:rFonts w:ascii="Arial" w:hAnsi="Arial" w:cs="Arial"/>
          <w:color w:val="000000" w:themeColor="text1"/>
          <w:sz w:val="22"/>
          <w:szCs w:val="22"/>
        </w:rPr>
        <w:t>e</w:t>
      </w:r>
      <w:r w:rsidRPr="00B6585E">
        <w:rPr>
          <w:rFonts w:ascii="Arial" w:hAnsi="Arial" w:cs="Arial"/>
          <w:color w:val="000000" w:themeColor="text1"/>
          <w:sz w:val="22"/>
          <w:szCs w:val="22"/>
        </w:rPr>
        <w:t xml:space="preserve"> intraoperative hypotension we will not include patients for emergency surgery</w:t>
      </w:r>
      <w:r w:rsidR="00741164"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older than 85 years</w:t>
      </w:r>
      <w:r w:rsidR="00174878" w:rsidRPr="00B6585E">
        <w:rPr>
          <w:rFonts w:ascii="Arial" w:hAnsi="Arial" w:cs="Arial"/>
          <w:color w:val="000000" w:themeColor="text1"/>
          <w:sz w:val="22"/>
          <w:szCs w:val="22"/>
        </w:rPr>
        <w:t xml:space="preserve"> </w:t>
      </w:r>
      <w:r w:rsidR="009845FE" w:rsidRPr="00B6585E">
        <w:rPr>
          <w:rFonts w:ascii="Arial" w:hAnsi="Arial" w:cs="Arial"/>
          <w:color w:val="000000" w:themeColor="text1"/>
          <w:sz w:val="22"/>
          <w:szCs w:val="22"/>
        </w:rPr>
        <w:t>or</w:t>
      </w:r>
      <w:r w:rsidR="00174878" w:rsidRPr="00B6585E">
        <w:rPr>
          <w:rFonts w:ascii="Arial" w:hAnsi="Arial" w:cs="Arial"/>
          <w:color w:val="000000" w:themeColor="text1"/>
          <w:sz w:val="22"/>
          <w:szCs w:val="22"/>
        </w:rPr>
        <w:t xml:space="preserve"> receiving spinal/or epidural anesthesia.</w:t>
      </w:r>
      <w:r w:rsidR="00174878"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{"citationItems":[{"id":"ITEM-1","itemData":{"DOI":"10.1093/bja/aex127","ISSN":"14716771","abstract":"Background: We hypothesized that different phases of intraoperative hypotension should be differentiated because of different underlying causative mechanisms. We defined post-induction hypotension (PIH; i.e. arterial hypotension occurring during the first 20 min after anaesthesia induction) and early intraoperative hypotension (eIOH; i.e. arterial hypotension during the first 30 min of surgery). Methods: In this retrospective study, we included 2037 adult patients who underwent general anaesthesia. Arterial hypotension was defined as a systolic arterial blood pressure (SAP) &lt;90 mm Hg or a need for norepinephrine infusion at &gt; 6 μg min-1 at least once during the phases of PIH and eIOH. Multivariate logistic regression analysis was used to test for association of clinical factors with PIH and eIOH. Results: Independent variables significantly related to PIH were pre-induction SAP [odds ratio (OR) 0.97 (95% confidence interval 0.97-0.98)], age [OR 1.03 (1.02-1.04)], and emergency surgery [OR 1.75 (1.20-2.56); P&lt;0.01 each]. Pre-induction SAP [OR 0.99 (0.98-0.99), P&lt;0.01], age [OR 1.02 (1.02-1.03), P&lt;0.01], emergency surgery [OR 1.83 (1.28-2.62), P&lt;0.01], supplementary administration of spinal or epidural anaesthetic techniques [OR 3.57 (2.41-5.29), P&lt;0.01], male sex [OR 1.41 (1.12-1.79), P&lt;0.01], and ASA physical status IV [OR 2.18 (1.19-3.99), P=0.01] were significantly related to eIOH. Conclusions: We identified clinical factors associated with PIH and eIOH. The use of these factors to estimate the risk of PIH and eIOH might allow the avoidance or timely treatment of hypotensive episodes during general anaesthesia.","author":[{"dropping-particle":"","family":"Südfeld","given":"S.","non-dropping-particle":"","parse-names":false,"suffix":""},{"dropping-particle":"","family":"Brechnitz","given":"S.","non-dropping-particle":"","parse-names":false,"suffix":""},{"dropping-particle":"","family":"Wagner","given":"J. Y.","non-dropping-particle":"","parse-names":false,"suffix":""},{"dropping-particle":"","family":"Reese","given":"P. C.","non-dropping-particle":"","parse-names":false,"suffix":""},{"dropping-particle":"","family":"Pinnschmidt","given":"H. O.","non-dropping-particle":"","parse-names":false,"suffix":""},{"dropping-particle":"","family":"Reuter","given":"D. A.","non-dropping-particle":"","parse-names":false,"suffix":""},{"dropping-particle":"","family":"Saugel","given":"B.","non-dropping-particle":"","parse-names":false,"suffix":""}],"container-title":"British Journal of Anaesthesia","id":"ITEM-1","issue":"1","issued":{"date-parts":[["2017"]]},"page":"57-64","title":"Post-induction hypotension and early intraoperative hypotension associated with general anaesthesia","type":"article-journal","volume":"119"},"uris":["http://www.mendeley.com/documents/?uuid=386bf73c-a57f-4d9c-b46a-9cd1c86537cb"]}],"mendeley":{"formattedCitation":"&lt;sup&gt;28&lt;/sup&gt;","plainTextFormattedCitation":"28","previouslyFormattedCitation":"&lt;sup&gt;28&lt;/sup&gt;"},"properties":{"noteIndex":0},"schema":"https://github.com/citation-style-language/schema/raw/master/csl-citation.json"}</w:instrText>
      </w:r>
      <w:r w:rsidR="00174878" w:rsidRPr="00B6585E">
        <w:rPr>
          <w:rFonts w:ascii="Arial" w:hAnsi="Arial" w:cs="Arial"/>
          <w:color w:val="000000" w:themeColor="text1"/>
          <w:sz w:val="22"/>
          <w:szCs w:val="22"/>
        </w:rPr>
        <w:fldChar w:fldCharType="separate"/>
      </w:r>
      <w:r w:rsidR="00174878" w:rsidRPr="00B6585E">
        <w:rPr>
          <w:rFonts w:ascii="Arial" w:hAnsi="Arial" w:cs="Arial"/>
          <w:noProof/>
          <w:color w:val="000000" w:themeColor="text1"/>
          <w:sz w:val="22"/>
          <w:szCs w:val="22"/>
          <w:vertAlign w:val="superscript"/>
        </w:rPr>
        <w:t>28</w:t>
      </w:r>
      <w:r w:rsidR="00174878" w:rsidRPr="00B6585E">
        <w:rPr>
          <w:rFonts w:ascii="Arial" w:hAnsi="Arial" w:cs="Arial"/>
          <w:color w:val="000000" w:themeColor="text1"/>
          <w:sz w:val="22"/>
          <w:szCs w:val="22"/>
        </w:rPr>
        <w:fldChar w:fldCharType="end"/>
      </w:r>
      <w:r w:rsidR="00174878" w:rsidRPr="00B6585E">
        <w:rPr>
          <w:rFonts w:ascii="Arial" w:eastAsia="MS Gothic" w:hAnsi="Arial" w:cs="Arial"/>
          <w:b/>
          <w:bCs/>
          <w:color w:val="000000" w:themeColor="text1"/>
          <w:sz w:val="22"/>
          <w:szCs w:val="22"/>
        </w:rPr>
        <w:t xml:space="preserve"> </w:t>
      </w:r>
    </w:p>
    <w:p w14:paraId="6F077474" w14:textId="77777777" w:rsidR="00931A60" w:rsidRPr="00B6585E" w:rsidRDefault="00A221DB">
      <w:pPr>
        <w:pStyle w:val="Heading2"/>
        <w:rPr>
          <w:color w:val="000000" w:themeColor="text1"/>
        </w:rPr>
      </w:pPr>
      <w:bookmarkStart w:id="228" w:name="_Toc9107208"/>
      <w:bookmarkStart w:id="229" w:name="_Toc23231340"/>
      <w:bookmarkStart w:id="230" w:name="_Toc96924991"/>
      <w:r w:rsidRPr="00B6585E">
        <w:rPr>
          <w:color w:val="000000" w:themeColor="text1"/>
        </w:rPr>
        <w:t>Benefit</w:t>
      </w:r>
      <w:bookmarkEnd w:id="228"/>
      <w:bookmarkEnd w:id="229"/>
      <w:bookmarkEnd w:id="230"/>
    </w:p>
    <w:p w14:paraId="0C0B6920" w14:textId="663EB695"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most susceptible phase during the perioperative period </w:t>
      </w:r>
      <w:r w:rsidR="00466747" w:rsidRPr="00B6585E">
        <w:rPr>
          <w:rFonts w:ascii="Arial" w:hAnsi="Arial" w:cs="Arial"/>
          <w:color w:val="000000" w:themeColor="text1"/>
          <w:sz w:val="22"/>
          <w:szCs w:val="22"/>
        </w:rPr>
        <w:t>is</w:t>
      </w:r>
      <w:r w:rsidRPr="00B6585E">
        <w:rPr>
          <w:rFonts w:ascii="Arial" w:hAnsi="Arial" w:cs="Arial"/>
          <w:color w:val="000000" w:themeColor="text1"/>
          <w:sz w:val="22"/>
          <w:szCs w:val="22"/>
        </w:rPr>
        <w:t xml:space="preserve"> the </w:t>
      </w:r>
      <w:r w:rsidR="00466747" w:rsidRPr="00B6585E">
        <w:rPr>
          <w:rFonts w:ascii="Arial" w:hAnsi="Arial" w:cs="Arial"/>
          <w:color w:val="000000" w:themeColor="text1"/>
          <w:sz w:val="22"/>
          <w:szCs w:val="22"/>
        </w:rPr>
        <w:t xml:space="preserve">time between the </w:t>
      </w:r>
      <w:r w:rsidRPr="00B6585E">
        <w:rPr>
          <w:rFonts w:ascii="Arial" w:hAnsi="Arial" w:cs="Arial"/>
          <w:color w:val="000000" w:themeColor="text1"/>
          <w:sz w:val="22"/>
          <w:szCs w:val="22"/>
        </w:rPr>
        <w:t xml:space="preserve">first </w:t>
      </w:r>
      <w:r w:rsidR="00466747" w:rsidRPr="00B6585E">
        <w:rPr>
          <w:rFonts w:ascii="Arial" w:hAnsi="Arial" w:cs="Arial"/>
          <w:color w:val="000000" w:themeColor="text1"/>
          <w:sz w:val="22"/>
          <w:szCs w:val="22"/>
        </w:rPr>
        <w:t>and third</w:t>
      </w:r>
      <w:r w:rsidRPr="00B6585E">
        <w:rPr>
          <w:rFonts w:ascii="Arial" w:hAnsi="Arial" w:cs="Arial"/>
          <w:color w:val="000000" w:themeColor="text1"/>
          <w:sz w:val="22"/>
          <w:szCs w:val="22"/>
        </w:rPr>
        <w:t xml:space="preserve"> postoperative day.</w:t>
      </w:r>
      <w:r w:rsidR="00717992"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{"citationItems":[{"id":"ITEM-1","itemData":{"DOI":"10.1097/CCM.0000000000003763","ISBN":"0000000000","ISSN":"15300293","abstract":"Objectives: Hypotension thresholds that provoke renal injury, myocardial injury, and mortality in critical care patients remain unknown. We primarily sought to determine the relationship between hypotension and a composite of myocardial injury (troponin T ≥ 0.03 ng/mL without nonischemic cause) and death up to 7 postoperative days. Secondarily, we considered acute kidney injury (creatinine concentration ≥ 0.3 mg/dL or 1.5 times baseline). Design: Retrospective cohort. Setting: Surgical ICU at an academic medical center. Patients: Two-thousand eight-hundred thirty-three postoperative patients admitted to the surgical ICU. Interventions: A Cox proportional hazard survival model was used to assess the association between lowest mean arterial pressure on each intensive care day, considered as a time-varying covariate, and outcomes. In sensitivity analyses hypotension defined as pressures less than 80 mm Hg and 70 mm Hg were also considered. Measurements and Main Results: There was a strong nonlinear (quadratic) association between the lowest mean arterial pressure and the primary outcome of myocardial injury after noncardiac surgery or mortality, with estimated risk increasing at lower pressures. The risk of myocardial injury after noncardiac surgery or mortality was an estimated 23% higher at the 25th percentile (78 mm Hg) of lowest mean arterial pressure compared with at the median of 87 mm Hg, with adjusted hazard ratio (95% CI) of 1.23 (1.12-1.355; p &lt; 0.001). Overall results were generally similar in sensitivity analyses based on every hour of mean arterial pressure less than 80 mm Hg and any mean arterial pressure less than 70 mm Hg. Post hoc analyses showed that the relationship between ICU hypotension and outcomes depended on the amount of intraoperative hypotension. The risk of acute kidney injury increased over a range of minimum daily pressures from 110 mm Hg to 50 mm Hg, with an adjusted hazard ratio of 1.27 (95% CI, 1.18-1.37; p &lt; 0.001). Conclusions: Increasing amounts of hypotension (defined by lowest mean arterial pressures per day) were strongly associated with myocardial injury, mortality, and renal injury in postoperative critical care patients.","author":[{"dropping-particle":"","family":"Khanna","given":"Ashish K.","non-dropping-particle":"","parse-names":false,"suffix":""},{"dropping-particle":"","family":"Maheshwari","given":"Kamal","non-dropping-particle":"","parse-names":false,"suffix":""},{"dropping-particle":"","family":"Mao","given":"Guangmei","non-dropping-particle":"","parse-names":false,"suffix":""},{"dropping-particle":"","family":"Liu","given":"Liu","non-dropping-particle":"","parse-names":false,"suffix":""},{"dropping-particle":"","family":"Perez-Protto","given":"Silvia E.","non-dropping-particle":"","parse-names":false,"suffix":""},{"dropping-particle":"","family":"Chodavarapu","given":"Praneeta","non-dropping-particle":"","parse-names":false,"suffix":""},{"dropping-particle":"","family":"Schacham","given":"Yehoshua N.","non-dropping-particle":"","parse-names":false,"suffix":""},{"dropping-particle":"","family":"Sessler","given":"Daniel I.","non-dropping-particle":"","parse-names":false,"suffix":""}],"container-title":"Critical Care Medicine","id":"ITEM-1","issue":"7","issued":{"date-parts":[["2019"]]},"page":"910-917","title":"Association between Mean Arterial Pressure and Acute Kidney Injury and a Composite of Myocardial Injury and Mortality in Postoperative Critically Ill Patients: A Retrospective Cohort Analysis","type":"article-journal","volume":"47"},"uris":["http://www.mendeley.com/documents/?uuid=63744751-c453-4308-a85d-ab349cfac230"]},{"id":"ITEM-2","itemData":{"DOI":"10.1001/jama.2017.4360","ISSN":"15383598","abstract":"IMPORTANCE Little is known about the relationship between perioperative high-sensitivity troponin T (hsTnT) measurements and 30-day mortality andmyocardial injury after noncardiac surgery (MINS). OBJECTIVE To determine the association between perioperative hsTnT measurements and 30-day mortality and potential diagnostic criteria for MINS (ie,myocardial injury due to ischemia associated with 30-day mortality). DESIGN, SETTING, AND PARTICIPANTS Prospective cohort study of patients aged 45 years or older who underwent inpatient noncardiac surgery and had a postoperative hsTnT measurement. Starting in October 2008, participants were recruited at 23 centers in 13 countries; follow-up finished in December 2013. EXPOSURES Patients had hsTnT measurements 6 to 12 hours after surgery and daily for 3 days; 40.4%had a preoperative hsTnT measurement. MAIN OUTCOMES AND MEASURES A modified Mazumdar approach (an iterative process)was used to determine if there were hsTnT thresholds associated with risk of death and had an adjusted hazard ratio (HR) of 3.0 or higher and a risk of 30-day mortality of 3%or higher. To determine potential diagnostic criteria for MINS, regression analyses ascertained if postoperative hsTnT elevations required an ischemic feature (eg, ischemic symptom or electrocardiography finding) to be associated with 30-day mortality. RESULTS Among 21 842 participants, the mean age was 63.1 (SD, 10.7) years and 49.1%were female. Death within 30 days after surgery occurred in 266 patients (1.2%; 95%CI, 1.1%-1.4%). Multivariable analysis demonstrated that compared with the reference group (peak hsTnT &lt;5 ng/L), peak postoperative hsTnT levels of 20 to less than 65 ng/L, 65 to less than 1000 ng/L, and 1000 ng/L or higher had 30-day mortality rates of 3.0%(123/4049; 95%CI, 2.6%-3.6%), 9.1% (102/1118; 95%CI, 7.6%-11.0%), and 29.6%(16/54; 95%CI, 19.1%-42.8%), with corresponding adjusted HRs of 23.63 (95%CI, 10.32-54.09), 70.34 (95% CI, 30.60-161.71), and 227.01 (95%CI, 87.35-589.92), respectively. An absolute hsTnT change of 5 ng/L or higher was associated with an increased risk of 30-day mortality (adjusted HR, 4.69; 95%CI, 3.52-6.25). An elevated postoperative hsTnT (ie, 20 to &lt;65 ng/L with an absolute change ≥5 ng/L or hsTnT ≥65 ng/L) without an ischemic feature was associated with 30-day mortality (adjusted HR, 3.20; 95%CI, 2.37-4.32). Among the 3904 patients (17.9%; 95%CI, 17.4%-18.4%) with MINS, 3633 (93.1%; 95%CI, 92.2%-93.8%) did not experience an ischem…","author":[{"dropping-particle":"","family":"Devereaux","given":"P. J.","non-dropping-particle":"","parse-names":false,"suffix":""},{"dropping-particle":"","family":"Biccard","given":"Bruce M.","non-dropping-particle":"","parse-names":false,"suffix":""},{"dropping-particle":"","family":"Sigamani","given":"Alben","non-dropping-particle":"","parse-names":false,"suffix":""},{"dropping-particle":"","family":"Xavier","given":"Denis","non-dropping-particle":"","parse-names":false,"suffix":""},{"dropping-particle":"","family":"Chan","given":"Matthew T.V.","non-dropping-particle":"","parse-names":false,"suffix":""},{"dropping-particle":"","family":"Srinathan","given":"Sadeesh K.","non-dropping-particle":"","parse-names":false,"suffix":""},{"dropping-particle":"","family":"Walsh","given":"Michael","non-dropping-particle":"","parse-names":false,"suffix":""},{"dropping-particle":"","family":"Abraham","given":"Valsa","non-dropping-particle":"","parse-names":false,"suffix":""},{"dropping-particle":"","family":"Pearse","given":"Rupert","non-dropping-particle":"","parse-names":false,"suffix":""},{"dropping-particle":"","family":"Wang","given":"C. Y.","non-dropping-particle":"","parse-names":false,"suffix":""},{"dropping-particle":"","family":"Sessler","given":"Daniel I.","non-dropping-particle":"","parse-names":false,"suffix":""},{"dropping-particle":"","family":"Kurz","given":"Andrea","non-dropping-particle":"","parse-names":false,"suffix":""},{"dropping-particle":"","family":"Szczeklik","given":"Wojciech","non-dropping-particle":"","parse-names":false,"suffix":""},{"dropping-particle":"","family":"Berwanger","given":"Otavio","non-dropping-particle":"","parse-names":false,"suffix":""},{"dropping-particle":"","family":"Villar","given":"Juan Carlos","non-dropping-particle":"","parse-names":false,"suffix":""},{"dropping-particle":"","family":"Malaga","given":"German","non-dropping-particle":"","parse-names":false,"suffix":""},{"dropping-particle":"","family":"Garg","given":"Amit X.","non-dropping-particle":"","parse-names":false,"suffix":""},{"dropping-particle":"","family":"Chow","given":"Clara K.","non-dropping-particle":"","parse-names":false,"suffix":""},{"dropping-particle":"","family":"Ackland","given":"Gareth","non-dropping-particle":"","parse-names":false,"suffix":""},{"dropping-particle":"","family":"Patel","given":"Ameen","non-dropping-particle":"","parse-names":false,"suffix":""},{"dropping-particle":"","family":"Borges","given":"Flavia Kessler","non-dropping-particle":"","parse-names":false,"suffix":""},{"dropping-particle":"","family":"Belley-Cote","given":"Emilie P.","non-dropping-particle":"","parse-names":false,"suffix":""},{"dropping-particle":"","family":"Duceppe","given":"Emmanuelle","non-dropping-particle":"","parse-names":false,"suffix":""},{"dropping-particle":"","family":"Spence","given":"Jessica","non-dropping-particle":"","parse-names":false,"suffix":""},{"dropping-particle":"","family":"Tandon","given":"Vikas","non-dropping-particle":"","parse-names":false,"suffix":""},{"dropping-particle":"","family":"Williams","given":"Colin","non-dropping-particle":"","parse-names":false,"suffix":""},{"dropping-particle":"","family":"Sapsford","given":"Robert J.","non-dropping-particle":"","parse-names":false,"suffix":""},{"dropping-particle":"","family":"Polanczyk","given":"Carisi A.","non-dropping-particle":"","parse-names":false,"suffix":""},{"dropping-particle":"","family":"Tiboni","given":"Maria","non-dropping-particle":"","parse-names":false,"suffix":""},{"dropping-particle":"","family":"Alonso-Coello","given":"Pablo","non-dropping-particle":"","parse-names":false,"suffix":""},{"dropping-particle":"","family":"Faruqui","given":"Atiya","non-dropping-particle":"","parse-names":false,"suffix":""},{"dropping-particle":"","family":"Heels-Ansdell","given":"DIane","non-dropping-particle":"","parse-names":false,"suffix":""},{"dropping-particle":"","family":"Lamy","given":"Andre","non-dropping-particle":"","parse-names":false,"suffix":""},{"dropping-particle":"","family":"Whitlock","given":"Richard","non-dropping-particle":"","parse-names":false,"suffix":""},{"dropping-particle":"","family":"LeManach","given":"Yannick","non-dropping-particle":"","parse-names":false,"suffix":""},{"dropping-particle":"","family":"Roshanov","given":"Pavel S.","non-dropping-particle":"","parse-names":false,"suffix":""},{"dropping-particle":"","family":"McGillion","given":"Michael","non-dropping-particle":"","parse-names":false,"suffix":""},{"dropping-particle":"","family":"Kavsak","given":"Peter","non-dropping-particle":"","parse-names":false,"suffix":""},{"dropping-particle":"","family":"McQueen","given":"Matthew J.","non-dropping-particle":"","parse-names":false,"suffix":""},{"dropping-particle":"","family":"Thabane","given":"Lehana","non-dropping-particle":"","parse-names":false,"suffix":""},{"dropping-particle":"","family":"Rodseth","given":"Reitze N.","non-dropping-particle":"","parse-names":false,"suffix":""},{"dropping-particle":"","family":"Buse","given":"Giovanna A.Lurati","non-dropping-particle":"","parse-names":false,"suffix":""},{"dropping-particle":"","family":"Bhandari","given":"Mohit","non-dropping-particle":"","parse-names":false,"suffix":""},{"dropping-particle":"","family":"Garutti","given":"Ignacia","non-dropping-particle":"","parse-names":false,"suffix":""},{"dropping-particle":"","family":"Jacka","given":"Michael J.","non-dropping-particle":"","parse-names":false,"suffix":""},{"dropping-particle":"","family":"Schünemann","given":"Holger J.","non-dropping-particle":"","parse-names":false,"suffix":""},{"dropping-particle":"","family":"Cortes","given":"Olga Luciá","non-dropping-particle":"","parse-names":false,"suffix":""},{"dropping-particle":"","family":"Coriat","given":"Pierre","non-dropping-particle":"","parse-names":false,"suffix":""},{"dropping-particle":"","family":"Dvirnik","given":"Nazari","non-dropping-particle":"","parse-names":false,"suffix":""},{"dropping-particle":"","family":"Botto","given":"Fernando","non-dropping-particle":"","parse-names":false,"suffix":""},{"dropping-particle":"","family":"Pettit","given":"Shirley","non-dropping-particle":"","parse-names":false,"suffix":""},{"dropping-particle":"","family":"Jaffe","given":"Allan S.","non-dropping-particle":"","parse-names":false,"suffix":""},{"dropping-particle":"","family":"Guyatt","given":"Gordon H.","non-dropping-particle":"","parse-names":false,"suffix":""}],"container-title":"JAMA - Journal of the American Medical Association","id":"ITEM-2","issue":"16","issued":{"date-parts":[["2017"]]},"page":"1642-1651","title":"Association of postoperative high-sensitivity troponin levels with myocardial injury and 30-day mortality among patients undergoing noncardiac surgery","type":"article-journal","volume":"317"},"uris":["http://www.mendeley.com/documents/?uuid=6d0cde6e-1505-4759-bc58-3f66d2a492d8"]}],"mendeley":{"formattedCitation":"&lt;sup&gt;33 34&lt;/sup&gt;","plainTextFormattedCitation":"33 34","previouslyFormattedCitation":"&lt;sup&gt;32 33&lt;/sup&gt;"},"properties":{"noteIndex":0},"schema":"https://github.com/citation-style-language/schema/raw/master/csl-citation.json"}</w:instrText>
      </w:r>
      <w:r w:rsidR="00717992"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33 34</w:t>
      </w:r>
      <w:r w:rsidR="00717992" w:rsidRPr="00B6585E">
        <w:rPr>
          <w:rFonts w:ascii="Arial" w:hAnsi="Arial" w:cs="Arial"/>
          <w:color w:val="000000" w:themeColor="text1"/>
          <w:sz w:val="22"/>
          <w:szCs w:val="22"/>
        </w:rPr>
        <w:fldChar w:fldCharType="end"/>
      </w:r>
      <w:r w:rsidR="00717992" w:rsidRPr="00B6585E">
        <w:rPr>
          <w:rFonts w:ascii="Arial" w:hAnsi="Arial" w:cs="Arial"/>
          <w:color w:val="000000" w:themeColor="text1"/>
          <w:sz w:val="22"/>
          <w:szCs w:val="22"/>
        </w:rPr>
        <w:t xml:space="preserve"> Perioperative</w:t>
      </w:r>
      <w:r w:rsidRPr="00B6585E">
        <w:rPr>
          <w:rFonts w:ascii="Arial" w:hAnsi="Arial" w:cs="Arial"/>
          <w:color w:val="000000" w:themeColor="text1"/>
          <w:sz w:val="22"/>
          <w:szCs w:val="22"/>
        </w:rPr>
        <w:t xml:space="preserve"> </w:t>
      </w:r>
      <w:r w:rsidR="00717992" w:rsidRPr="00B6585E">
        <w:rPr>
          <w:rFonts w:ascii="Arial" w:hAnsi="Arial" w:cs="Arial"/>
          <w:color w:val="000000" w:themeColor="text1"/>
          <w:sz w:val="22"/>
          <w:szCs w:val="22"/>
        </w:rPr>
        <w:t>h</w:t>
      </w:r>
      <w:r w:rsidRPr="00B6585E">
        <w:rPr>
          <w:rFonts w:ascii="Arial" w:hAnsi="Arial" w:cs="Arial"/>
          <w:color w:val="000000" w:themeColor="text1"/>
          <w:sz w:val="22"/>
          <w:szCs w:val="22"/>
        </w:rPr>
        <w:t>ypotension, tachycardia and hypovolemia and/or fluid overload are associated with increased cardiovascular events.</w:t>
      </w:r>
      <w:r w:rsidR="00FB10E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{"citationItems":[{"id":"ITEM-1","itemData":{"DOI":"10.1111/anae.14416","ISSN":"13652044","abstract":"Intra-operative hypotension is associated with acute postoperative kidney injury. It is unclear how much hypotension occurs before skin incision compared with after, or whether hypotension in these two periods is similarly associated with postoperative kidney injury. We analysed the association of mean arterial pressure &lt; 65 mmHg with postoperative kidney injury in 42,825 patients who were anaesthetised for elective non-cardiac surgery. Intra-operative hypotension occurred in 30,423 (71%) patients: 22,569 (53%) patients before skin incision; and 24,102 (56%) patients after incision. Anaesthetised patients who were hypotensive had mean arterial pressures &lt; 65 mmHg for a median (IQR [range]) of 5.5 (0.0-14.7 [0.0-60.0]) min.h-1 before skin incision, compared with 1.7 [0.3-5.1 [0.0-57.5]) min.h-1 after incision: a median (IQR [range]) of 36% (0%-84% [0%-100%]) of hypotensive readings were before incision. We diagnosed postoperative kidney injury in 2328 (5%) patients. The odds ratio (95%CI) for acute kidney injury was 1.05 (1.02-1.07) for each doubling of the duration of hypotension, p &lt; 0.001. Postoperative kidney injury was associated with the product of hypotension duration and severity, that is, area under the curve, before skin incision and after, odds ratio (95%CI): 1.02 (1.01-1.04), p = 0.004; and 1.02 (1.00-1.04), p = 0.016, respectively. A substantial fraction of all hypotension happened before surgical incision and was thus completely due to anaesthetic management. We recommend that anaesthetists should avoid mean arterial pressure &lt; 65 mmHg during surgery, especially after induction, assuming that its association with postoperative kidney injury is, at least in part, causal.","author":[{"dropping-particle":"","family":"Maheshwari","given":"K.","non-dropping-particle":"","parse-names":false,"suffix":""},{"dropping-particle":"","family":"Turan","given":"A.","non-dropping-particle":"","parse-names":false,"suffix":""},{"dropping-particle":"","family":"Mao","given":"G.","non-dropping-particle":"","parse-names":false,"suffix":""},{"dropping-particle":"","family":"Yang","given":"D.","non-dropping-particle":"","parse-names":false,"suffix":""},{"dropping-particle":"","family":"Niazi","given":"A. K.","non-dropping-particle":"","parse-names":false,"suffix":""},{"dropping-particle":"","family":"Agarwal","given":"D.","non-dropping-particle":"","parse-names":false,"suffix":""},{"dropping-particle":"","family":"Sessler","given":"D. I.","non-dropping-particle":"","parse-names":false,"suffix":""},{"dropping-particle":"","family":"Kurz","given":"A.","non-dropping-particle":"","parse-names":false,"suffix":""}],"container-title":"Anaesthesia","id":"ITEM-1","issue":"10","issued":{"date-parts":[["2018"]]},"page":"1223-1228","title":"The association of hypotension during non-cardiac surgery, before and after skin incision, with postoperative acute kidney injury: a retrospective cohort analysis","type":"article-journal","volume":"73"},"uris":["http://www.mendeley.com/documents/?uuid=2fad32f0-a6dc-45fe-882f-a9bc0614d71c"]}],"mendeley":{"formattedCitation":"&lt;sup&gt;35&lt;/sup&gt;","plainTextFormattedCitation":"35","previouslyFormattedCitation":"&lt;sup&gt;34&lt;/sup&gt;"},"properties":{"noteIndex":0},"schema":"https://github.com/citation-style-language/schema/raw/master/csl-citation.json"}</w:instrText>
      </w:r>
      <w:r w:rsidR="00FB10E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35</w:t>
      </w:r>
      <w:r w:rsidR="00FB10E3"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The long duration of action of levosimendan of approximately 7 days, might therefore be beneficial to support patients during the first 3 postoperative days. Studies showed improved hemodynamic stability in patients</w:t>
      </w:r>
      <w:r w:rsidR="008521A8" w:rsidRPr="00B6585E">
        <w:rPr>
          <w:rFonts w:ascii="Arial" w:hAnsi="Arial" w:cs="Arial"/>
          <w:color w:val="000000" w:themeColor="text1"/>
          <w:sz w:val="22"/>
          <w:szCs w:val="22"/>
        </w:rPr>
        <w:t xml:space="preserve"> in patients with congestive heart failure</w:t>
      </w:r>
      <w:r w:rsidRPr="00B6585E">
        <w:rPr>
          <w:rFonts w:ascii="Arial" w:hAnsi="Arial" w:cs="Arial"/>
          <w:color w:val="000000" w:themeColor="text1"/>
          <w:sz w:val="22"/>
          <w:szCs w:val="22"/>
        </w:rPr>
        <w:t>, who received a single dose of levosimendan.</w:t>
      </w:r>
      <w:r w:rsidR="008521A8"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{"citationItems":[{"id":"ITEM-1","itemData":{"DOI":"10.1016/S0735-1097(00)00961-X","ISSN":"07351097","PMID":"11092663","abstract":"OBJECTIVES: We sought to define the therapeutic dose range of levosimendan in patients with New York Heart Association class II-IV heart failure of ischemic origin. BACKGROUND: Levosimendan is a calcium sensitizer for treatment of acute decompensated heart failure. METHODS: A double-blind, placebo-controlled, randomized, multicenter, parallel-group study included 151 adult patients. Levosimendan was given as a 10-min intravenous bolus of 3, 6, 12, 24 or 36 μg/kg, followed by a 24-h infusion of 0.05, 0.1, 0.2, 0.4 or 0.6 μg/kg/min, respectively. Dobutamine, for comparative purposes, was given as an open-label infusion (6 μg/kg/min). The primary efficacy variable was the proportion of patients achieving in each treatment group at least one of the following: 1) a ≥15% increase in stroke volume (SV) at 23 h to 24 h; 2) a ≥25% decrease in pulmonary capillary wedge pressure (PCWP) (and ≥4 mm Hg) at 23 h to 24 h; 3) a ≥40% increase in cardiac output (CO) (with change in heart rate [HR] &lt;20%); 4) a ≥50% decrease in PCWP during two consecutive measurements. RESULTS: The response rate to levosimendan ranged from 50% at the lowest dose to 88% at the highest dose (compared with placebo 14%, dobutamine 70%). A dose-response relationship was demonstrated for levosimendan on increases in CO and SV, and reductions in PCWP during the infusion (for all, p ≤ 0.001). Headache (9%), nausea (5%) and hypotension (5%) were the most frequently reported adverse events at higher dosages. CONCLUSIONS: Dosing of levosimendan with a 10-min bolus of 6 to 24 μg/kg followed by an infusion of 0.05 to 0.2 μg/kg/min is wall tolerated and leads to favorable hemodynamic effects. (C) 2000 by the American College of Cardiology.","author":[{"dropping-particle":"","family":"Nieminen","given":"Markku S.","non-dropping-particle":"","parse-names":false,"suffix":""},{"dropping-particle":"","family":"Akkila","given":"Juha","non-dropping-particle":"","parse-names":false,"suffix":""},{"dropping-particle":"","family":"Hasenfuss","given":"Gerd","non-dropping-particle":"","parse-names":false,"suffix":""},{"dropping-particle":"","family":"Kleber","given":"Franz X.","non-dropping-particle":"","parse-names":false,"suffix":""},{"dropping-particle":"","family":"Lehtonen","given":"Lasse A.","non-dropping-particle":"","parse-names":false,"suffix":""},{"dropping-particle":"","family":"Mitrovic","given":"Veselin","non-dropping-particle":"","parse-names":false,"suffix":""},{"dropping-particle":"","family":"Nyquist","given":"Olof","non-dropping-particle":"","parse-names":false,"suffix":""},{"dropping-particle":"","family":"Remme","given":"Willem J.","non-dropping-particle":"","parse-names":false,"suffix":""}],"container-title":"Journal of the American College of Cardiology","id":"ITEM-1","issue":"6","issued":{"date-parts":[["2000"]]},"page":"1903-1912","publisher":"Elsevier Masson SAS","title":"Hemodynamic and neurohumoral effects of continuous infusion of levosimendan in patients with congestive heart failure","type":"article-journal","volume":"36"},"uris":["http://www.mendeley.com/documents/?uuid=6acff9f3-58c9-4349-9c28-a502b0b4d675"]}],"mendeley":{"formattedCitation":"&lt;sup&gt;36&lt;/sup&gt;","plainTextFormattedCitation":"36","previouslyFormattedCitation":"&lt;sup&gt;35&lt;/sup&gt;"},"properties":{"noteIndex":0},"schema":"https://github.com/citation-style-language/schema/raw/master/csl-citation.json"}</w:instrText>
      </w:r>
      <w:r w:rsidR="008521A8"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36</w:t>
      </w:r>
      <w:r w:rsidR="008521A8"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Furthermore, the administration of levosimendan increases cardiac contractility caused by calcium sensitization of troponin C and further has cardioprotective properties mediated by opening mitochondrial potassium channels.  </w:t>
      </w:r>
    </w:p>
    <w:p w14:paraId="2CCCA227" w14:textId="0F61CAAB"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In patients with acute heart failure, levosimendan significantly reduced NT-proBNP within 3 hours of starting the infusion compared to treatment with dobutamine. </w:t>
      </w:r>
      <w:r w:rsidR="001327D2" w:rsidRPr="00B6585E">
        <w:rPr>
          <w:rFonts w:ascii="Arial" w:hAnsi="Arial" w:cs="Arial"/>
          <w:color w:val="000000" w:themeColor="text1"/>
          <w:sz w:val="22"/>
          <w:szCs w:val="22"/>
        </w:rPr>
        <w:fldChar w:fldCharType="begin" w:fldLock="1"/>
      </w:r>
      <w:r w:rsidR="00625687" w:rsidRPr="00B6585E">
        <w:rPr>
          <w:rFonts w:ascii="Arial" w:hAnsi="Arial" w:cs="Arial"/>
          <w:color w:val="000000" w:themeColor="text1"/>
          <w:sz w:val="22"/>
          <w:szCs w:val="22"/>
        </w:rPr>
        <w:instrText>ADDIN CSL_CITATION {"citationItems":[{"id":"ITEM-1","itemData":{"abstract":"BACKGROUND: Leprosy can have its course interrupted by type 1 and 2 reactional episodes, the last named of erythema nodosum leprosum (ENL). Thalidomide has been the medication of choice for the control of ENL episodes since 1965. OBJECTIVES: These episodes can repeat and cause damages to the patient. In order to prevent these episodes, an extra dose of 100 mg/day thalidomide was used during six months, followed by a follow-up period of six more months after thalidomide discontinuation. METHODS: We included 42 patients with multibacillary (MB) leprosy who had episodes of ENL. They were male and female patients aged between 18 and 84 years. RESULTS: Of the 42 patients, 39 (92.85%) had the lepromatous form and three (7.15%) had the borderline form. We found that 100% of patients had no reactional episode during the use of the drug. During the follow-up period after thalidomide discontinuation, 33 (78.57%) patients had no reactional episode and nine (21.43%), all of them with the lepromatous form, had mild episodes, which were controlled using non-steroidal anti-inflammatory. There were no thalidomide-related side effects. CONCLUSION: A maintenance dose of 100 mg/day of thalidomide showed to be effective to prevent repeated type 2 reactional episodes of ENL.","author":[{"dropping-particle":"","family":"Mebazaa","given":"A.","non-dropping-particle":"","parse-names":false,"suffix":""},{"dropping-particle":"","family":"Nieminen","given":"M.","non-dropping-particle":"","parse-names":false,"suffix":""},{"dropping-particle":"","family":"Packer","given":"M.","non-dropping-particle":"","parse-names":false,"suffix":""},{"dropping-particle":"","family":"Cohen-Solal","given":"A.","non-dropping-particle":"","parse-names":false,"suffix":""},{"dropping-particle":"","family":"Kleber","given":"F.X.","non-dropping-particle":"","parse-names":false,"suffix":""},{"dropping-particle":"","family":"Pocock","given":"S.J.","non-dropping-particle":"","parse-names":false,"suffix":""},{"dropping-particle":"","family":"Thakkar","given":"R.","non-dropping-particle":"","parse-names":false,"suffix":""},{"dropping-particle":"","family":"Padley","given":"R.J.","non-dropping-particle":"","parse-names":false,"suffix":""},{"dropping-particle":"","family":"Poder","given":"P.","non-dropping-particle":"","parse-names":false,"suffix":""},{"dropping-particle":"","family":"Kivikko","given":"M.","non-dropping-particle":"","parse-names":false,"suffix":""},{"dropping-particle":"","family":"Investigators","given":"for the SURVIVE","non-dropping-particle":"","parse-names":false,"suffix":""}],"container-title":"JAMA : the journal of the American Medical Association","id":"ITEM-1","issue":"17","issued":{"date-parts":[["2007"]]},"page":"1883-1891","title":"Levosimendan vs Dobutamine for Patients","type":"article-journal","volume":"297"},"uris":["http://www.mendeley.com/documents/?uuid=0938f34a-71ac-4386-9826-12fdfc687d35"]}],"mendeley":{"formattedCitation":"&lt;sup&gt;25&lt;/sup&gt;","plainTextFormattedCitation":"25","previouslyFormattedCitation":"&lt;sup&gt;25&lt;/sup&gt;"},"properties":{"noteIndex":0},"schema":"https://github.com/citation-style-language/schema/raw/master/csl-citation.json"}</w:instrText>
      </w:r>
      <w:r w:rsidR="001327D2" w:rsidRPr="00B6585E">
        <w:rPr>
          <w:rFonts w:ascii="Arial" w:hAnsi="Arial" w:cs="Arial"/>
          <w:color w:val="000000" w:themeColor="text1"/>
          <w:sz w:val="22"/>
          <w:szCs w:val="22"/>
        </w:rPr>
        <w:fldChar w:fldCharType="separate"/>
      </w:r>
      <w:r w:rsidR="001327D2" w:rsidRPr="00B6585E">
        <w:rPr>
          <w:rFonts w:ascii="Arial" w:hAnsi="Arial" w:cs="Arial"/>
          <w:noProof/>
          <w:color w:val="000000" w:themeColor="text1"/>
          <w:sz w:val="22"/>
          <w:szCs w:val="22"/>
          <w:vertAlign w:val="superscript"/>
        </w:rPr>
        <w:t>25</w:t>
      </w:r>
      <w:r w:rsidR="001327D2" w:rsidRPr="00B6585E">
        <w:rPr>
          <w:rFonts w:ascii="Arial" w:hAnsi="Arial" w:cs="Arial"/>
          <w:color w:val="000000" w:themeColor="text1"/>
          <w:sz w:val="22"/>
          <w:szCs w:val="22"/>
        </w:rPr>
        <w:fldChar w:fldCharType="end"/>
      </w:r>
    </w:p>
    <w:p w14:paraId="7BE3E6C7" w14:textId="74014C39" w:rsidR="002A00D1" w:rsidRPr="00B6585E" w:rsidRDefault="002A00D1">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risk and benefit profile of </w:t>
      </w:r>
      <w:r w:rsidR="00717992" w:rsidRPr="00B6585E">
        <w:rPr>
          <w:rFonts w:ascii="Arial" w:hAnsi="Arial" w:cs="Arial"/>
          <w:color w:val="000000" w:themeColor="text1"/>
          <w:sz w:val="22"/>
          <w:szCs w:val="22"/>
        </w:rPr>
        <w:t>l</w:t>
      </w:r>
      <w:r w:rsidRPr="00B6585E">
        <w:rPr>
          <w:rFonts w:ascii="Arial" w:hAnsi="Arial" w:cs="Arial"/>
          <w:color w:val="000000" w:themeColor="text1"/>
          <w:sz w:val="22"/>
          <w:szCs w:val="22"/>
        </w:rPr>
        <w:t xml:space="preserve">evosimendan in the noncardiac surgery setting has not yet been established. </w:t>
      </w:r>
    </w:p>
    <w:p w14:paraId="70D6288E" w14:textId="70C1B813" w:rsidR="003F7EC4" w:rsidRPr="00B6585E" w:rsidRDefault="003F7EC4">
      <w:pPr>
        <w:jc w:val="both"/>
        <w:rPr>
          <w:rFonts w:ascii="Arial" w:hAnsi="Arial" w:cs="Arial"/>
          <w:color w:val="000000" w:themeColor="text1"/>
          <w:sz w:val="22"/>
          <w:szCs w:val="22"/>
        </w:rPr>
      </w:pPr>
      <w:r w:rsidRPr="00B6585E">
        <w:rPr>
          <w:rFonts w:ascii="Arial" w:hAnsi="Arial" w:cs="Arial"/>
          <w:color w:val="000000" w:themeColor="text1"/>
          <w:sz w:val="22"/>
          <w:szCs w:val="22"/>
        </w:rPr>
        <w:t>However</w:t>
      </w:r>
      <w:r w:rsidR="00AD5166"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all patients will be monitored during the trial for cardiac events and will be immediately treated.</w:t>
      </w:r>
    </w:p>
    <w:p w14:paraId="52BF9AED" w14:textId="080D8BB8" w:rsidR="008414B3" w:rsidRPr="00B6585E" w:rsidRDefault="008414B3">
      <w:pPr>
        <w:jc w:val="both"/>
        <w:rPr>
          <w:rFonts w:ascii="Arial" w:hAnsi="Arial" w:cs="Arial"/>
          <w:color w:val="000000" w:themeColor="text1"/>
          <w:sz w:val="22"/>
          <w:szCs w:val="22"/>
        </w:rPr>
      </w:pPr>
    </w:p>
    <w:p w14:paraId="1A992E0D" w14:textId="7883FBA1" w:rsidR="00B34F27" w:rsidRPr="00B6585E" w:rsidRDefault="008414B3">
      <w:pPr>
        <w:jc w:val="both"/>
        <w:rPr>
          <w:rFonts w:ascii="Arial" w:hAnsi="Arial" w:cs="Arial"/>
          <w:color w:val="000000" w:themeColor="text1"/>
          <w:sz w:val="22"/>
          <w:szCs w:val="22"/>
        </w:rPr>
      </w:pPr>
      <w:r w:rsidRPr="00B6585E">
        <w:rPr>
          <w:rFonts w:ascii="Arial" w:hAnsi="Arial" w:cs="Arial"/>
          <w:color w:val="000000" w:themeColor="text1"/>
          <w:sz w:val="22"/>
          <w:szCs w:val="22"/>
        </w:rPr>
        <w:t>In the case of a</w:t>
      </w:r>
      <w:r w:rsidR="00B34F27" w:rsidRPr="00B6585E">
        <w:rPr>
          <w:rFonts w:ascii="Arial" w:hAnsi="Arial" w:cs="Arial"/>
          <w:color w:val="000000" w:themeColor="text1"/>
          <w:sz w:val="22"/>
          <w:szCs w:val="22"/>
        </w:rPr>
        <w:t xml:space="preserve"> clinical relevant Troponin T </w:t>
      </w:r>
      <w:r w:rsidR="00026897" w:rsidRPr="00B6585E">
        <w:rPr>
          <w:rFonts w:ascii="Arial" w:hAnsi="Arial" w:cs="Arial"/>
          <w:color w:val="000000" w:themeColor="text1"/>
          <w:sz w:val="22"/>
          <w:szCs w:val="22"/>
        </w:rPr>
        <w:t>increase</w:t>
      </w:r>
      <w:r w:rsidR="00B34F27" w:rsidRPr="00B6585E">
        <w:rPr>
          <w:rFonts w:ascii="Arial" w:hAnsi="Arial" w:cs="Arial"/>
          <w:color w:val="000000" w:themeColor="text1"/>
          <w:sz w:val="22"/>
          <w:szCs w:val="22"/>
        </w:rPr>
        <w:t xml:space="preserve"> </w:t>
      </w:r>
      <w:r w:rsidR="00026897" w:rsidRPr="00B6585E">
        <w:rPr>
          <w:rFonts w:ascii="Arial" w:hAnsi="Arial" w:cs="Arial"/>
          <w:color w:val="000000" w:themeColor="text1"/>
          <w:sz w:val="22"/>
          <w:szCs w:val="22"/>
        </w:rPr>
        <w:t>combined with significant</w:t>
      </w:r>
      <w:r w:rsidR="00B34F27" w:rsidRPr="00B6585E">
        <w:rPr>
          <w:rFonts w:ascii="Arial" w:hAnsi="Arial" w:cs="Arial"/>
          <w:color w:val="000000" w:themeColor="text1"/>
          <w:sz w:val="22"/>
          <w:szCs w:val="22"/>
        </w:rPr>
        <w:t xml:space="preserve"> clinical signs of myocardial ischemia as there are: </w:t>
      </w:r>
    </w:p>
    <w:p w14:paraId="1C483C16" w14:textId="45282E98"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Pressure or tightness in the chest</w:t>
      </w:r>
    </w:p>
    <w:p w14:paraId="319062BF" w14:textId="31E47BE6"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Pain in the chest, back, jaw</w:t>
      </w:r>
    </w:p>
    <w:p w14:paraId="2571EFB0" w14:textId="736AD35F"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Shortness of breath</w:t>
      </w:r>
    </w:p>
    <w:p w14:paraId="643BD4F4" w14:textId="7B2B4F16"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Sweating</w:t>
      </w:r>
    </w:p>
    <w:p w14:paraId="41CC91D4" w14:textId="329343C2"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Nausea</w:t>
      </w:r>
    </w:p>
    <w:p w14:paraId="24945D20" w14:textId="72E20D04"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Vomiting</w:t>
      </w:r>
    </w:p>
    <w:p w14:paraId="3BF0E595" w14:textId="0D36DE31" w:rsidR="00B34F27"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Anxiety</w:t>
      </w:r>
    </w:p>
    <w:p w14:paraId="0AB5D91B" w14:textId="23B194D2" w:rsidR="008414B3" w:rsidRPr="00B6585E" w:rsidRDefault="00B34F27" w:rsidP="00B34F27">
      <w:pPr>
        <w:pStyle w:val="ListParagraph"/>
        <w:numPr>
          <w:ilvl w:val="0"/>
          <w:numId w:val="21"/>
        </w:numPr>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Cough</w:t>
      </w:r>
    </w:p>
    <w:p w14:paraId="6EA6FFDF" w14:textId="6AE4BD52" w:rsidR="00B34F27" w:rsidRPr="00B6585E" w:rsidRDefault="00B34F27" w:rsidP="00B34F27">
      <w:pPr>
        <w:jc w:val="both"/>
        <w:rPr>
          <w:rFonts w:ascii="Arial" w:hAnsi="Arial" w:cs="Arial"/>
          <w:color w:val="000000" w:themeColor="text1"/>
          <w:sz w:val="22"/>
          <w:szCs w:val="22"/>
        </w:rPr>
      </w:pPr>
      <w:r w:rsidRPr="00B6585E">
        <w:rPr>
          <w:rFonts w:ascii="Arial" w:hAnsi="Arial" w:cs="Arial"/>
          <w:color w:val="000000" w:themeColor="text1"/>
          <w:sz w:val="22"/>
          <w:szCs w:val="22"/>
        </w:rPr>
        <w:t>OR</w:t>
      </w:r>
    </w:p>
    <w:p w14:paraId="643FD9D0" w14:textId="7BD86C8F" w:rsidR="00B34F27" w:rsidRPr="00B6585E" w:rsidRDefault="00B34F27" w:rsidP="00B34F27">
      <w:pPr>
        <w:jc w:val="both"/>
        <w:rPr>
          <w:rFonts w:ascii="Arial" w:hAnsi="Arial" w:cs="Arial"/>
          <w:color w:val="000000" w:themeColor="text1"/>
          <w:sz w:val="22"/>
          <w:szCs w:val="22"/>
        </w:rPr>
      </w:pPr>
      <w:r w:rsidRPr="00B6585E">
        <w:rPr>
          <w:rFonts w:ascii="Arial" w:hAnsi="Arial" w:cs="Arial"/>
          <w:color w:val="000000" w:themeColor="text1"/>
          <w:sz w:val="22"/>
          <w:szCs w:val="22"/>
        </w:rPr>
        <w:t>Signs of ST-segment elevati</w:t>
      </w:r>
      <w:r w:rsidR="00437FFE" w:rsidRPr="00B6585E">
        <w:rPr>
          <w:rFonts w:ascii="Arial" w:hAnsi="Arial" w:cs="Arial"/>
          <w:color w:val="000000" w:themeColor="text1"/>
          <w:sz w:val="22"/>
          <w:szCs w:val="22"/>
        </w:rPr>
        <w:t>o</w:t>
      </w:r>
      <w:r w:rsidR="009A3582" w:rsidRPr="00B6585E">
        <w:rPr>
          <w:rFonts w:ascii="Arial" w:hAnsi="Arial" w:cs="Arial"/>
          <w:color w:val="000000" w:themeColor="text1"/>
          <w:sz w:val="22"/>
          <w:szCs w:val="22"/>
        </w:rPr>
        <w:t>n</w:t>
      </w:r>
      <w:r w:rsidR="00026897" w:rsidRPr="00B6585E">
        <w:rPr>
          <w:rFonts w:ascii="Arial" w:hAnsi="Arial" w:cs="Arial"/>
          <w:color w:val="000000" w:themeColor="text1"/>
          <w:sz w:val="22"/>
          <w:szCs w:val="22"/>
        </w:rPr>
        <w:t>/depression</w:t>
      </w:r>
    </w:p>
    <w:p w14:paraId="38C99BC4" w14:textId="296984BF" w:rsidR="00026897" w:rsidRPr="00B6585E" w:rsidRDefault="00026897" w:rsidP="00B34F27">
      <w:pPr>
        <w:jc w:val="both"/>
        <w:rPr>
          <w:rFonts w:ascii="Arial" w:hAnsi="Arial" w:cs="Arial"/>
          <w:color w:val="000000" w:themeColor="text1"/>
          <w:sz w:val="22"/>
          <w:szCs w:val="22"/>
        </w:rPr>
      </w:pPr>
    </w:p>
    <w:p w14:paraId="5016655C" w14:textId="30140821" w:rsidR="00026897" w:rsidRPr="00B6585E" w:rsidRDefault="00026897" w:rsidP="00B34F27">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a cardiologist will be consulted for further management. </w:t>
      </w:r>
    </w:p>
    <w:p w14:paraId="3BADAE11" w14:textId="41327374" w:rsidR="00437FFE" w:rsidRPr="00B6585E" w:rsidRDefault="00437FFE" w:rsidP="00B34F27">
      <w:pPr>
        <w:jc w:val="both"/>
        <w:rPr>
          <w:rFonts w:ascii="Arial" w:hAnsi="Arial" w:cs="Arial"/>
          <w:color w:val="000000" w:themeColor="text1"/>
          <w:sz w:val="22"/>
          <w:szCs w:val="22"/>
        </w:rPr>
      </w:pPr>
    </w:p>
    <w:p w14:paraId="4783F664" w14:textId="2C903E95" w:rsidR="00437FFE" w:rsidRPr="00B6585E" w:rsidRDefault="00437FFE" w:rsidP="00B34F27">
      <w:pPr>
        <w:jc w:val="both"/>
        <w:rPr>
          <w:rFonts w:ascii="Arial" w:hAnsi="Arial" w:cs="Arial"/>
          <w:color w:val="000000" w:themeColor="text1"/>
          <w:sz w:val="22"/>
          <w:szCs w:val="22"/>
        </w:rPr>
      </w:pPr>
    </w:p>
    <w:p w14:paraId="34BDB551" w14:textId="6CE1C06F" w:rsidR="00437FFE" w:rsidRPr="00B6585E" w:rsidRDefault="00437FFE" w:rsidP="00B34F27">
      <w:pPr>
        <w:jc w:val="both"/>
        <w:rPr>
          <w:rFonts w:ascii="Arial" w:hAnsi="Arial" w:cs="Arial"/>
          <w:color w:val="000000" w:themeColor="text1"/>
          <w:sz w:val="22"/>
          <w:szCs w:val="22"/>
        </w:rPr>
      </w:pPr>
    </w:p>
    <w:p w14:paraId="2BA064A0" w14:textId="4341232B" w:rsidR="00437FFE" w:rsidRPr="00B6585E" w:rsidRDefault="00437FFE" w:rsidP="00B34F27">
      <w:pPr>
        <w:jc w:val="both"/>
        <w:rPr>
          <w:rFonts w:ascii="Arial" w:hAnsi="Arial" w:cs="Arial"/>
          <w:color w:val="000000" w:themeColor="text1"/>
          <w:sz w:val="22"/>
          <w:szCs w:val="22"/>
        </w:rPr>
      </w:pPr>
    </w:p>
    <w:p w14:paraId="7D4EC0F5" w14:textId="77777777" w:rsidR="009A3582" w:rsidRPr="00B6585E" w:rsidRDefault="009A3582">
      <w:pPr>
        <w:jc w:val="both"/>
        <w:rPr>
          <w:rFonts w:ascii="Arial" w:hAnsi="Arial" w:cs="Arial"/>
          <w:color w:val="000000" w:themeColor="text1"/>
          <w:sz w:val="22"/>
          <w:szCs w:val="22"/>
        </w:rPr>
      </w:pPr>
    </w:p>
    <w:p w14:paraId="41758E7B" w14:textId="77777777" w:rsidR="00931A60" w:rsidRPr="00B6585E" w:rsidRDefault="00A221DB">
      <w:pPr>
        <w:pStyle w:val="Heading2"/>
        <w:rPr>
          <w:color w:val="000000" w:themeColor="text1"/>
        </w:rPr>
      </w:pPr>
      <w:bookmarkStart w:id="231" w:name="_Toc9107209"/>
      <w:bookmarkStart w:id="232" w:name="_Toc23231341"/>
      <w:bookmarkStart w:id="233" w:name="_Toc96924992"/>
      <w:r w:rsidRPr="00B6585E">
        <w:rPr>
          <w:color w:val="000000" w:themeColor="text1"/>
        </w:rPr>
        <w:t>Patient privacy</w:t>
      </w:r>
      <w:bookmarkEnd w:id="231"/>
      <w:bookmarkEnd w:id="232"/>
      <w:bookmarkEnd w:id="233"/>
    </w:p>
    <w:p w14:paraId="55E7D621" w14:textId="467F9008" w:rsidR="00931A60" w:rsidRPr="00B6585E" w:rsidRDefault="00A221DB">
      <w:pPr>
        <w:spacing w:after="120"/>
        <w:ind w:right="-7"/>
        <w:jc w:val="both"/>
        <w:rPr>
          <w:rFonts w:ascii="Arial" w:eastAsia="ArialMT" w:hAnsi="Arial" w:cs="Arial"/>
          <w:color w:val="000000" w:themeColor="text1"/>
          <w:sz w:val="22"/>
          <w:szCs w:val="22"/>
        </w:rPr>
      </w:pPr>
      <w:r w:rsidRPr="00B6585E">
        <w:rPr>
          <w:rFonts w:ascii="Arial" w:hAnsi="Arial" w:cs="Arial"/>
          <w:color w:val="000000" w:themeColor="text1"/>
          <w:sz w:val="22"/>
          <w:szCs w:val="22"/>
        </w:rPr>
        <w:t xml:space="preserve">All patients have to sign the written informed consent before they will be </w:t>
      </w:r>
      <w:r w:rsidR="007B2A01" w:rsidRPr="00B6585E">
        <w:rPr>
          <w:rFonts w:ascii="Arial" w:hAnsi="Arial" w:cs="Arial"/>
          <w:color w:val="000000" w:themeColor="text1"/>
          <w:sz w:val="22"/>
          <w:szCs w:val="22"/>
        </w:rPr>
        <w:t>enrolled</w:t>
      </w:r>
      <w:r w:rsidRPr="00B6585E">
        <w:rPr>
          <w:rFonts w:ascii="Arial" w:hAnsi="Arial" w:cs="Arial"/>
          <w:color w:val="000000" w:themeColor="text1"/>
          <w:sz w:val="22"/>
          <w:szCs w:val="22"/>
        </w:rPr>
        <w:t xml:space="preserve"> into the study. Patient privacy will be fully respected. Access to medical records is limited only to the study staff. Data will be managed by </w:t>
      </w:r>
      <w:r w:rsidR="007B2A01" w:rsidRPr="00B6585E">
        <w:rPr>
          <w:rFonts w:ascii="Arial" w:hAnsi="Arial" w:cs="Arial"/>
          <w:color w:val="000000" w:themeColor="text1"/>
          <w:sz w:val="22"/>
          <w:szCs w:val="22"/>
        </w:rPr>
        <w:t>ID-number</w:t>
      </w:r>
      <w:r w:rsidRPr="00B6585E">
        <w:rPr>
          <w:rFonts w:ascii="Arial" w:hAnsi="Arial" w:cs="Arial"/>
          <w:color w:val="000000" w:themeColor="text1"/>
          <w:sz w:val="22"/>
          <w:szCs w:val="22"/>
        </w:rPr>
        <w:t xml:space="preserve"> and </w:t>
      </w:r>
      <w:r w:rsidR="007B2A01" w:rsidRPr="00B6585E">
        <w:rPr>
          <w:rFonts w:ascii="Arial" w:hAnsi="Arial" w:cs="Arial"/>
          <w:color w:val="000000" w:themeColor="text1"/>
          <w:sz w:val="22"/>
          <w:szCs w:val="22"/>
        </w:rPr>
        <w:t>stored pseudo-</w:t>
      </w:r>
      <w:r w:rsidRPr="00B6585E">
        <w:rPr>
          <w:rFonts w:ascii="Arial" w:hAnsi="Arial" w:cs="Arial"/>
          <w:color w:val="000000" w:themeColor="text1"/>
          <w:sz w:val="22"/>
          <w:szCs w:val="22"/>
        </w:rPr>
        <w:t xml:space="preserve">anonymously. </w:t>
      </w:r>
      <w:r w:rsidRPr="00B6585E">
        <w:rPr>
          <w:rFonts w:ascii="Arial" w:eastAsia="ArialMT" w:hAnsi="Arial" w:cs="Arial"/>
          <w:color w:val="000000" w:themeColor="text1"/>
          <w:sz w:val="22"/>
          <w:szCs w:val="22"/>
        </w:rPr>
        <w:t>The investigators and study coordinators are keenly aware of the increasing ethical concerns of using medical information in research and its potential misuse in clinical care. Data will be handled appropriately so that confidentiality is strictly maintained.</w:t>
      </w:r>
    </w:p>
    <w:p w14:paraId="3A0E9AD6" w14:textId="77777777" w:rsidR="00931A60" w:rsidRPr="00B6585E" w:rsidRDefault="00A221DB">
      <w:pPr>
        <w:pStyle w:val="Heading2"/>
        <w:rPr>
          <w:color w:val="000000" w:themeColor="text1"/>
        </w:rPr>
      </w:pPr>
      <w:bookmarkStart w:id="234" w:name="_Toc9107210"/>
      <w:bookmarkStart w:id="235" w:name="_Toc23231342"/>
      <w:bookmarkStart w:id="236" w:name="_Toc96924993"/>
      <w:r w:rsidRPr="00B6585E">
        <w:rPr>
          <w:color w:val="000000" w:themeColor="text1"/>
        </w:rPr>
        <w:t>Recruitment and Informed Consent</w:t>
      </w:r>
      <w:bookmarkEnd w:id="234"/>
      <w:bookmarkEnd w:id="235"/>
      <w:bookmarkEnd w:id="236"/>
    </w:p>
    <w:p w14:paraId="5D56DE54" w14:textId="2B521E86"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All patients will be recruited using the operation schedule the day before surgery. After meeting the eligibility criteria, the inclusion criteria will be checked. When a patient meets all criteria (eligibility and inclusion criteria) to participate in this trial he will be consented by a </w:t>
      </w:r>
      <w:r w:rsidR="00C40C0A" w:rsidRPr="00B6585E">
        <w:rPr>
          <w:rFonts w:ascii="Arial" w:hAnsi="Arial" w:cs="Arial"/>
          <w:color w:val="000000" w:themeColor="text1"/>
          <w:sz w:val="22"/>
          <w:szCs w:val="22"/>
        </w:rPr>
        <w:t>study staff physician</w:t>
      </w:r>
      <w:r w:rsidR="001B4CC4" w:rsidRPr="00B6585E">
        <w:rPr>
          <w:rFonts w:ascii="Arial" w:hAnsi="Arial" w:cs="Arial"/>
          <w:color w:val="000000" w:themeColor="text1"/>
          <w:sz w:val="22"/>
          <w:szCs w:val="22"/>
        </w:rPr>
        <w:t xml:space="preserve"> latest </w:t>
      </w:r>
      <w:r w:rsidR="00AD5166" w:rsidRPr="00B6585E">
        <w:rPr>
          <w:rFonts w:ascii="Arial" w:hAnsi="Arial" w:cs="Arial"/>
          <w:color w:val="000000" w:themeColor="text1"/>
          <w:sz w:val="22"/>
          <w:szCs w:val="22"/>
        </w:rPr>
        <w:t>at the</w:t>
      </w:r>
      <w:r w:rsidR="006622FB" w:rsidRPr="00B6585E">
        <w:rPr>
          <w:rFonts w:ascii="Arial" w:hAnsi="Arial" w:cs="Arial"/>
          <w:color w:val="000000" w:themeColor="text1"/>
          <w:sz w:val="22"/>
          <w:szCs w:val="22"/>
        </w:rPr>
        <w:t xml:space="preserve"> </w:t>
      </w:r>
      <w:r w:rsidR="00C40C0A" w:rsidRPr="00B6585E">
        <w:rPr>
          <w:rFonts w:ascii="Arial" w:hAnsi="Arial" w:cs="Arial"/>
          <w:color w:val="000000" w:themeColor="text1"/>
          <w:sz w:val="22"/>
          <w:szCs w:val="22"/>
        </w:rPr>
        <w:t xml:space="preserve">day before surgery. </w:t>
      </w:r>
      <w:r w:rsidRPr="00B6585E">
        <w:rPr>
          <w:rFonts w:ascii="Arial" w:hAnsi="Arial" w:cs="Arial"/>
          <w:color w:val="000000" w:themeColor="text1"/>
          <w:sz w:val="22"/>
          <w:szCs w:val="22"/>
        </w:rPr>
        <w:t xml:space="preserve"> </w:t>
      </w:r>
    </w:p>
    <w:p w14:paraId="689C2D81"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After written informed consent two copies will be made. One copy remains in the patient´s chart, another copy will be given to the patient. The original will be stored and remains by the principal investigator. </w:t>
      </w:r>
    </w:p>
    <w:p w14:paraId="4A8AAAC5" w14:textId="77777777" w:rsidR="00931A60" w:rsidRPr="00B6585E" w:rsidRDefault="00A221DB">
      <w:pPr>
        <w:pStyle w:val="Heading2"/>
        <w:rPr>
          <w:color w:val="000000" w:themeColor="text1"/>
        </w:rPr>
      </w:pPr>
      <w:bookmarkStart w:id="237" w:name="_Toc23231343"/>
      <w:bookmarkStart w:id="238" w:name="_Toc96924994"/>
      <w:r w:rsidRPr="00B6585E">
        <w:rPr>
          <w:color w:val="000000" w:themeColor="text1"/>
        </w:rPr>
        <w:t>Gender Aspects</w:t>
      </w:r>
      <w:bookmarkEnd w:id="237"/>
      <w:bookmarkEnd w:id="238"/>
    </w:p>
    <w:p w14:paraId="44C6198A" w14:textId="5065AC30"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Previous studies indicated no differences in the use of levosimendan between men and woman. Therefore, no differences between both sexes are expected in our trial either. </w:t>
      </w:r>
    </w:p>
    <w:p w14:paraId="678B7B10" w14:textId="77777777" w:rsidR="00131C69" w:rsidRPr="00B6585E" w:rsidRDefault="00131C69">
      <w:pPr>
        <w:spacing w:after="120"/>
        <w:ind w:right="-7"/>
        <w:jc w:val="both"/>
        <w:rPr>
          <w:rFonts w:ascii="Arial" w:hAnsi="Arial" w:cs="Arial"/>
          <w:color w:val="000000" w:themeColor="text1"/>
          <w:sz w:val="22"/>
          <w:szCs w:val="22"/>
        </w:rPr>
      </w:pPr>
    </w:p>
    <w:p w14:paraId="7ECE9207" w14:textId="77777777" w:rsidR="00931A60" w:rsidRPr="00B6585E" w:rsidRDefault="00A221DB" w:rsidP="00304D11">
      <w:pPr>
        <w:pStyle w:val="Heading1"/>
      </w:pPr>
      <w:bookmarkStart w:id="239" w:name="_Toc9107211"/>
      <w:bookmarkStart w:id="240" w:name="_Toc23231344"/>
      <w:bookmarkStart w:id="241" w:name="_Toc96924995"/>
      <w:r w:rsidRPr="00B6585E">
        <w:lastRenderedPageBreak/>
        <w:t>Reporting Events</w:t>
      </w:r>
      <w:bookmarkStart w:id="242" w:name="_Toc485823823"/>
      <w:bookmarkEnd w:id="239"/>
      <w:bookmarkEnd w:id="240"/>
      <w:bookmarkEnd w:id="241"/>
      <w:bookmarkEnd w:id="242"/>
    </w:p>
    <w:p w14:paraId="55C52102" w14:textId="77777777" w:rsidR="00931A60" w:rsidRPr="00B6585E" w:rsidRDefault="00931A60">
      <w:pPr>
        <w:widowControl w:val="0"/>
        <w:spacing w:after="240"/>
        <w:rPr>
          <w:rFonts w:ascii="Arial" w:hAnsi="Arial" w:cs="Arial"/>
          <w:color w:val="000000" w:themeColor="text1"/>
          <w:sz w:val="22"/>
          <w:szCs w:val="22"/>
        </w:rPr>
      </w:pPr>
    </w:p>
    <w:p w14:paraId="06903D58" w14:textId="77777777" w:rsidR="00931A60" w:rsidRPr="00B6585E" w:rsidRDefault="00A221DB" w:rsidP="00816FA9">
      <w:pPr>
        <w:pStyle w:val="Heading3"/>
        <w:numPr>
          <w:ilvl w:val="2"/>
          <w:numId w:val="3"/>
        </w:numPr>
      </w:pPr>
      <w:bookmarkStart w:id="243" w:name="_Toc9107212"/>
      <w:bookmarkStart w:id="244" w:name="_Toc4579697"/>
      <w:bookmarkStart w:id="245" w:name="_Toc23231345"/>
      <w:bookmarkStart w:id="246" w:name="_Toc96924996"/>
      <w:r w:rsidRPr="00B6585E">
        <w:t>Adverse (Drug) Reaction (ADR)</w:t>
      </w:r>
      <w:bookmarkEnd w:id="243"/>
      <w:bookmarkEnd w:id="244"/>
      <w:bookmarkEnd w:id="245"/>
      <w:bookmarkEnd w:id="246"/>
    </w:p>
    <w:p w14:paraId="668E16DC" w14:textId="5B290D85"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All noxious and unintended responses to a medic</w:t>
      </w:r>
      <w:r w:rsidR="005615C5" w:rsidRPr="00B6585E">
        <w:rPr>
          <w:rFonts w:ascii="Arial" w:hAnsi="Arial" w:cs="Arial"/>
          <w:color w:val="000000" w:themeColor="text1"/>
          <w:sz w:val="22"/>
          <w:szCs w:val="22"/>
        </w:rPr>
        <w:t>al</w:t>
      </w:r>
      <w:r w:rsidRPr="00B6585E">
        <w:rPr>
          <w:rFonts w:ascii="Arial" w:hAnsi="Arial" w:cs="Arial"/>
          <w:color w:val="000000" w:themeColor="text1"/>
          <w:sz w:val="22"/>
          <w:szCs w:val="22"/>
        </w:rPr>
        <w:t xml:space="preserve"> product related to any dose should be considered </w:t>
      </w:r>
      <w:r w:rsidR="00AE46A8" w:rsidRPr="00B6585E">
        <w:rPr>
          <w:rFonts w:ascii="Arial" w:hAnsi="Arial" w:cs="Arial"/>
          <w:color w:val="000000" w:themeColor="text1"/>
          <w:sz w:val="22"/>
          <w:szCs w:val="22"/>
        </w:rPr>
        <w:t xml:space="preserve">as </w:t>
      </w:r>
      <w:r w:rsidRPr="00B6585E">
        <w:rPr>
          <w:rFonts w:ascii="Arial" w:hAnsi="Arial" w:cs="Arial"/>
          <w:color w:val="000000" w:themeColor="text1"/>
          <w:sz w:val="22"/>
          <w:szCs w:val="22"/>
        </w:rPr>
        <w:t xml:space="preserve">an adverse drug reaction. „Responses“ to a medical product means that a causal relationship between a medical product and adverse event is at least a reasonable possibility, i.e., </w:t>
      </w:r>
      <w:r w:rsidR="007F44D3" w:rsidRPr="00B6585E">
        <w:rPr>
          <w:rFonts w:ascii="Arial" w:hAnsi="Arial" w:cs="Arial"/>
          <w:color w:val="000000" w:themeColor="text1"/>
          <w:sz w:val="22"/>
          <w:szCs w:val="22"/>
        </w:rPr>
        <w:t>a</w:t>
      </w:r>
      <w:r w:rsidRPr="00B6585E">
        <w:rPr>
          <w:rFonts w:ascii="Arial" w:hAnsi="Arial" w:cs="Arial"/>
          <w:color w:val="000000" w:themeColor="text1"/>
          <w:sz w:val="22"/>
          <w:szCs w:val="22"/>
        </w:rPr>
        <w:t xml:space="preserve"> relationship cannot be ruled out. </w:t>
      </w:r>
    </w:p>
    <w:p w14:paraId="740FD11B" w14:textId="24B81427" w:rsidR="00931A60" w:rsidRPr="00B6585E" w:rsidRDefault="00643ED4">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following guidelines will be used to describe severity of the AE: </w:t>
      </w:r>
    </w:p>
    <w:p w14:paraId="061856CB" w14:textId="10980C50" w:rsidR="00643ED4" w:rsidRPr="00B6585E" w:rsidRDefault="00643ED4">
      <w:pPr>
        <w:spacing w:after="120"/>
        <w:ind w:right="-7"/>
        <w:jc w:val="both"/>
        <w:rPr>
          <w:rFonts w:ascii="Arial" w:hAnsi="Arial" w:cs="Arial"/>
          <w:color w:val="000000" w:themeColor="text1"/>
          <w:sz w:val="22"/>
          <w:szCs w:val="22"/>
        </w:rPr>
      </w:pPr>
      <w:r w:rsidRPr="00B6585E">
        <w:rPr>
          <w:rFonts w:ascii="Arial" w:hAnsi="Arial" w:cs="Arial"/>
          <w:b/>
          <w:bCs/>
          <w:color w:val="000000" w:themeColor="text1"/>
          <w:sz w:val="22"/>
          <w:szCs w:val="22"/>
        </w:rPr>
        <w:t>Mild:</w:t>
      </w:r>
      <w:r w:rsidRPr="00B6585E">
        <w:rPr>
          <w:rFonts w:ascii="Arial" w:hAnsi="Arial" w:cs="Arial"/>
          <w:color w:val="000000" w:themeColor="text1"/>
          <w:sz w:val="22"/>
          <w:szCs w:val="22"/>
        </w:rPr>
        <w:t xml:space="preserve"> Events require minimal or no treatment and do not interfere with the participant´s daily activities. </w:t>
      </w:r>
    </w:p>
    <w:p w14:paraId="4D2C4BC6" w14:textId="5994F964" w:rsidR="00643ED4" w:rsidRPr="00B6585E" w:rsidRDefault="00643ED4">
      <w:pPr>
        <w:spacing w:after="120"/>
        <w:ind w:right="-7"/>
        <w:jc w:val="both"/>
        <w:rPr>
          <w:rFonts w:ascii="Arial" w:hAnsi="Arial" w:cs="Arial"/>
          <w:color w:val="000000" w:themeColor="text1"/>
          <w:sz w:val="22"/>
          <w:szCs w:val="22"/>
        </w:rPr>
      </w:pPr>
      <w:r w:rsidRPr="00B6585E">
        <w:rPr>
          <w:rFonts w:ascii="Arial" w:hAnsi="Arial" w:cs="Arial"/>
          <w:b/>
          <w:bCs/>
          <w:color w:val="000000" w:themeColor="text1"/>
          <w:sz w:val="22"/>
          <w:szCs w:val="22"/>
        </w:rPr>
        <w:t xml:space="preserve">Moderate: </w:t>
      </w:r>
      <w:r w:rsidRPr="00B6585E">
        <w:rPr>
          <w:rFonts w:ascii="Arial" w:hAnsi="Arial" w:cs="Arial"/>
          <w:color w:val="000000" w:themeColor="text1"/>
          <w:sz w:val="22"/>
          <w:szCs w:val="22"/>
        </w:rPr>
        <w:t xml:space="preserve">Events result in a low level of inconvenience or concern with the therapeutic measures. Moderate events may cause some interference with functioning. </w:t>
      </w:r>
    </w:p>
    <w:p w14:paraId="6C4BDE3F" w14:textId="25AFC94E" w:rsidR="00643ED4" w:rsidRPr="00B6585E" w:rsidRDefault="00643ED4">
      <w:pPr>
        <w:spacing w:after="120"/>
        <w:ind w:right="-7"/>
        <w:jc w:val="both"/>
        <w:rPr>
          <w:rFonts w:ascii="Arial" w:hAnsi="Arial" w:cs="Arial"/>
          <w:color w:val="000000" w:themeColor="text1"/>
          <w:sz w:val="22"/>
          <w:szCs w:val="22"/>
        </w:rPr>
      </w:pPr>
      <w:r w:rsidRPr="00B6585E">
        <w:rPr>
          <w:rFonts w:ascii="Arial" w:hAnsi="Arial" w:cs="Arial"/>
          <w:b/>
          <w:bCs/>
          <w:color w:val="000000" w:themeColor="text1"/>
          <w:sz w:val="22"/>
          <w:szCs w:val="22"/>
        </w:rPr>
        <w:t xml:space="preserve">Severe: </w:t>
      </w:r>
      <w:r w:rsidRPr="00B6585E">
        <w:rPr>
          <w:rFonts w:ascii="Arial" w:hAnsi="Arial" w:cs="Arial"/>
          <w:color w:val="000000" w:themeColor="text1"/>
          <w:sz w:val="22"/>
          <w:szCs w:val="22"/>
        </w:rPr>
        <w:t xml:space="preserve">Events interrupt a participant´s usual daily activity and may require systemic drug therapy or other treatment. Severe events are usually potentially life threatening or incapacitating. Of note, the term “severe” does not necessarily equate to “serious”. </w:t>
      </w:r>
    </w:p>
    <w:p w14:paraId="0B296F2B" w14:textId="77777777" w:rsidR="00643ED4" w:rsidRPr="00B6585E" w:rsidRDefault="00643ED4">
      <w:pPr>
        <w:spacing w:after="120"/>
        <w:ind w:right="-7"/>
        <w:jc w:val="both"/>
        <w:rPr>
          <w:rFonts w:ascii="Arial" w:hAnsi="Arial" w:cs="Arial"/>
          <w:color w:val="000000" w:themeColor="text1"/>
          <w:sz w:val="22"/>
          <w:szCs w:val="22"/>
        </w:rPr>
      </w:pPr>
    </w:p>
    <w:p w14:paraId="1DD5FB30" w14:textId="77777777" w:rsidR="00931A60" w:rsidRPr="00B6585E" w:rsidRDefault="00A221DB" w:rsidP="00816FA9">
      <w:pPr>
        <w:pStyle w:val="Heading3"/>
        <w:numPr>
          <w:ilvl w:val="2"/>
          <w:numId w:val="3"/>
        </w:numPr>
      </w:pPr>
      <w:bookmarkStart w:id="247" w:name="_Toc9107213"/>
      <w:bookmarkStart w:id="248" w:name="_Toc4579698"/>
      <w:bookmarkStart w:id="249" w:name="_Toc23231346"/>
      <w:bookmarkStart w:id="250" w:name="_Toc96924997"/>
      <w:r w:rsidRPr="00B6585E">
        <w:t>Suspected Unexpected Serious Adverse Reactions (SUSAR)</w:t>
      </w:r>
      <w:bookmarkEnd w:id="247"/>
      <w:bookmarkEnd w:id="248"/>
      <w:bookmarkEnd w:id="249"/>
      <w:bookmarkEnd w:id="250"/>
    </w:p>
    <w:p w14:paraId="35121603"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SUSARs are events that meet the following criteria: </w:t>
      </w:r>
    </w:p>
    <w:p w14:paraId="11E34610" w14:textId="77777777" w:rsidR="00931A60" w:rsidRPr="00B6585E" w:rsidRDefault="00A221DB">
      <w:pPr>
        <w:numPr>
          <w:ilvl w:val="0"/>
          <w:numId w:val="5"/>
        </w:num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suspected to be causally associated with the study medication</w:t>
      </w:r>
    </w:p>
    <w:p w14:paraId="5703868A" w14:textId="77777777" w:rsidR="00931A60" w:rsidRPr="00B6585E" w:rsidRDefault="00A221DB">
      <w:pPr>
        <w:numPr>
          <w:ilvl w:val="0"/>
          <w:numId w:val="5"/>
        </w:num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serious (as defined for an SAE)</w:t>
      </w:r>
    </w:p>
    <w:p w14:paraId="3D4D34D9" w14:textId="77777777" w:rsidR="00931A60" w:rsidRPr="00B6585E" w:rsidRDefault="00A221DB">
      <w:pPr>
        <w:numPr>
          <w:ilvl w:val="0"/>
          <w:numId w:val="5"/>
        </w:num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nature or severity of the event is not consistent with the applicable reference safety information.</w:t>
      </w:r>
    </w:p>
    <w:p w14:paraId="55F14511" w14:textId="77777777" w:rsidR="00931A60" w:rsidRPr="00B6585E" w:rsidRDefault="00A221DB" w:rsidP="00816FA9">
      <w:pPr>
        <w:pStyle w:val="Heading3"/>
        <w:numPr>
          <w:ilvl w:val="2"/>
          <w:numId w:val="3"/>
        </w:numPr>
      </w:pPr>
      <w:bookmarkStart w:id="251" w:name="_Toc9107214"/>
      <w:bookmarkStart w:id="252" w:name="_Toc4579699"/>
      <w:bookmarkStart w:id="253" w:name="_Toc23231347"/>
      <w:bookmarkStart w:id="254" w:name="_Toc96924998"/>
      <w:r w:rsidRPr="00B6585E">
        <w:t>Serious Adverse Events (SAE)</w:t>
      </w:r>
      <w:bookmarkEnd w:id="251"/>
      <w:bookmarkEnd w:id="252"/>
      <w:bookmarkEnd w:id="253"/>
      <w:bookmarkEnd w:id="254"/>
    </w:p>
    <w:p w14:paraId="23F38E05"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An adverse event or adverse reaction is considered serious if, it results in any of the following outcomes: </w:t>
      </w:r>
    </w:p>
    <w:p w14:paraId="519C1E6C" w14:textId="77777777" w:rsidR="00931A60" w:rsidRPr="00B6585E" w:rsidRDefault="00A221DB">
      <w:pPr>
        <w:pStyle w:val="ColorfulList-Accent11"/>
        <w:numPr>
          <w:ilvl w:val="0"/>
          <w:numId w:val="4"/>
        </w:numPr>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Death</w:t>
      </w:r>
    </w:p>
    <w:p w14:paraId="6D47EF72" w14:textId="77777777" w:rsidR="00931A60" w:rsidRPr="00B6585E" w:rsidRDefault="00A221DB">
      <w:pPr>
        <w:pStyle w:val="ColorfulList-Accent11"/>
        <w:numPr>
          <w:ilvl w:val="0"/>
          <w:numId w:val="4"/>
        </w:numPr>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A life-threatening experience</w:t>
      </w:r>
    </w:p>
    <w:p w14:paraId="7BB9DCED" w14:textId="77777777" w:rsidR="00931A60" w:rsidRPr="00B6585E" w:rsidRDefault="00A221DB">
      <w:pPr>
        <w:pStyle w:val="ColorfulList-Accent11"/>
        <w:numPr>
          <w:ilvl w:val="0"/>
          <w:numId w:val="4"/>
        </w:numPr>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A persistent or significant disability/incapacity</w:t>
      </w:r>
    </w:p>
    <w:p w14:paraId="245D5B52" w14:textId="585D0CB3" w:rsidR="00931A60" w:rsidRPr="00B6585E" w:rsidRDefault="00A221DB">
      <w:pPr>
        <w:pStyle w:val="ColorfulList-Accent11"/>
        <w:numPr>
          <w:ilvl w:val="0"/>
          <w:numId w:val="4"/>
        </w:numPr>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A congenital anomaly/birth defect</w:t>
      </w:r>
    </w:p>
    <w:p w14:paraId="04BD1A07" w14:textId="2C5345E9" w:rsidR="001C5E63" w:rsidRPr="00B6585E" w:rsidRDefault="00202ED0">
      <w:pPr>
        <w:pStyle w:val="ColorfulList-Accent11"/>
        <w:numPr>
          <w:ilvl w:val="0"/>
          <w:numId w:val="4"/>
        </w:numPr>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Requires hospitalization or prolongation of existing hospitalizations; </w:t>
      </w:r>
    </w:p>
    <w:p w14:paraId="11ADC108" w14:textId="2A33E697" w:rsidR="00202ED0" w:rsidRPr="00B6585E" w:rsidRDefault="00202ED0" w:rsidP="00202ED0">
      <w:pPr>
        <w:pStyle w:val="ColorfulList-Accent11"/>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NOTE: Any hospital </w:t>
      </w:r>
      <w:r w:rsidR="009B2AC3" w:rsidRPr="00B6585E">
        <w:rPr>
          <w:rFonts w:ascii="Arial" w:hAnsi="Arial" w:cs="Arial"/>
          <w:color w:val="000000" w:themeColor="text1"/>
          <w:sz w:val="22"/>
          <w:szCs w:val="22"/>
          <w:lang w:val="en-US"/>
        </w:rPr>
        <w:t>re</w:t>
      </w:r>
      <w:r w:rsidRPr="00B6585E">
        <w:rPr>
          <w:rFonts w:ascii="Arial" w:hAnsi="Arial" w:cs="Arial"/>
          <w:color w:val="000000" w:themeColor="text1"/>
          <w:sz w:val="22"/>
          <w:szCs w:val="22"/>
          <w:lang w:val="en-US"/>
        </w:rPr>
        <w:t xml:space="preserve">admission with at least </w:t>
      </w:r>
      <w:r w:rsidR="009B2AC3" w:rsidRPr="00B6585E">
        <w:rPr>
          <w:rFonts w:ascii="Arial" w:hAnsi="Arial" w:cs="Arial"/>
          <w:color w:val="000000" w:themeColor="text1"/>
          <w:sz w:val="22"/>
          <w:szCs w:val="22"/>
          <w:lang w:val="en-US"/>
        </w:rPr>
        <w:t>1 overnight stay will be considered</w:t>
      </w:r>
      <w:r w:rsidR="00643ED4" w:rsidRPr="00B6585E">
        <w:rPr>
          <w:rFonts w:ascii="Arial" w:hAnsi="Arial" w:cs="Arial"/>
          <w:color w:val="000000" w:themeColor="text1"/>
          <w:sz w:val="22"/>
          <w:szCs w:val="22"/>
          <w:lang w:val="en-US"/>
        </w:rPr>
        <w:t xml:space="preserve"> as</w:t>
      </w:r>
      <w:r w:rsidR="009B2AC3" w:rsidRPr="00B6585E">
        <w:rPr>
          <w:rFonts w:ascii="Arial" w:hAnsi="Arial" w:cs="Arial"/>
          <w:color w:val="000000" w:themeColor="text1"/>
          <w:sz w:val="22"/>
          <w:szCs w:val="22"/>
          <w:lang w:val="en-US"/>
        </w:rPr>
        <w:t xml:space="preserve"> an inpatient hospitalization. An emergency room visit without hospital admission will not be recorded as a SAE under this criterion, nor will hospitalization for a procedure scheduled or planned before signing of informed consent. However, unexpected complications and/or prolongation of hospitalization that occur during elective surgery should be recorded as adverse events and assessed for seriousness. Admission to the hospital for social or situational reasons (i.e. no place to stay, live too far away to come for hospital visits) will not be considered inpatient hospitalizations. </w:t>
      </w:r>
    </w:p>
    <w:p w14:paraId="2C852FEF" w14:textId="7FD67B3C" w:rsidR="00931A60" w:rsidRPr="00B6585E" w:rsidRDefault="00A221DB">
      <w:pPr>
        <w:pStyle w:val="ColorfulList-Accent11"/>
        <w:numPr>
          <w:ilvl w:val="0"/>
          <w:numId w:val="4"/>
        </w:numPr>
        <w:spacing w:after="120"/>
        <w:ind w:right="-7"/>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An important medical event </w:t>
      </w:r>
    </w:p>
    <w:p w14:paraId="0C8CA0D2" w14:textId="77777777" w:rsidR="00931A60" w:rsidRPr="00B6585E" w:rsidRDefault="00931A60" w:rsidP="009B2AC3">
      <w:pPr>
        <w:pStyle w:val="ColorfulList-Accent11"/>
        <w:spacing w:after="120"/>
        <w:ind w:left="0" w:right="-7"/>
        <w:jc w:val="both"/>
        <w:rPr>
          <w:rFonts w:ascii="Arial" w:hAnsi="Arial" w:cs="Arial"/>
          <w:color w:val="000000" w:themeColor="text1"/>
          <w:sz w:val="22"/>
          <w:szCs w:val="22"/>
          <w:lang w:val="en-US"/>
        </w:rPr>
      </w:pPr>
    </w:p>
    <w:p w14:paraId="0A024639" w14:textId="486CA173"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Efficacy or safety outcomes will not be considered as SAEs, except if, because of the course or severity or any other feature of such events, the investigator, according to his/her best medical judgment, </w:t>
      </w:r>
      <w:r w:rsidR="00F977C0" w:rsidRPr="00B6585E">
        <w:rPr>
          <w:rFonts w:ascii="Arial" w:hAnsi="Arial" w:cs="Arial"/>
          <w:color w:val="000000" w:themeColor="text1"/>
          <w:sz w:val="22"/>
          <w:szCs w:val="22"/>
        </w:rPr>
        <w:t xml:space="preserve">will </w:t>
      </w:r>
      <w:r w:rsidRPr="00B6585E">
        <w:rPr>
          <w:rFonts w:ascii="Arial" w:hAnsi="Arial" w:cs="Arial"/>
          <w:color w:val="000000" w:themeColor="text1"/>
          <w:sz w:val="22"/>
          <w:szCs w:val="22"/>
        </w:rPr>
        <w:t xml:space="preserve">consider these events as exceptional in this medical condition. All events considered as part of the primary, secondary, or </w:t>
      </w:r>
      <w:r w:rsidR="00D642D8" w:rsidRPr="00B6585E">
        <w:rPr>
          <w:rFonts w:ascii="Arial" w:hAnsi="Arial" w:cs="Arial"/>
          <w:color w:val="000000" w:themeColor="text1"/>
          <w:sz w:val="22"/>
          <w:szCs w:val="22"/>
        </w:rPr>
        <w:t>exploratory</w:t>
      </w:r>
      <w:r w:rsidRPr="00B6585E">
        <w:rPr>
          <w:rFonts w:ascii="Arial" w:hAnsi="Arial" w:cs="Arial"/>
          <w:color w:val="000000" w:themeColor="text1"/>
          <w:sz w:val="22"/>
          <w:szCs w:val="22"/>
        </w:rPr>
        <w:t xml:space="preserve"> </w:t>
      </w:r>
      <w:r w:rsidR="00D642D8" w:rsidRPr="00B6585E">
        <w:rPr>
          <w:rFonts w:ascii="Arial" w:hAnsi="Arial" w:cs="Arial"/>
          <w:color w:val="000000" w:themeColor="text1"/>
          <w:sz w:val="22"/>
          <w:szCs w:val="22"/>
        </w:rPr>
        <w:t>outcomes</w:t>
      </w:r>
      <w:r w:rsidR="001C5E63" w:rsidRPr="00B6585E">
        <w:rPr>
          <w:rFonts w:ascii="Arial" w:hAnsi="Arial" w:cs="Arial"/>
          <w:color w:val="000000" w:themeColor="text1"/>
          <w:sz w:val="22"/>
          <w:szCs w:val="22"/>
        </w:rPr>
        <w:t xml:space="preserve"> (as described in 13.1 see Appendix I)</w:t>
      </w:r>
      <w:r w:rsidRPr="00B6585E">
        <w:rPr>
          <w:rFonts w:ascii="Arial" w:hAnsi="Arial" w:cs="Arial"/>
          <w:color w:val="000000" w:themeColor="text1"/>
          <w:sz w:val="22"/>
          <w:szCs w:val="22"/>
        </w:rPr>
        <w:t>, should be reported on the appropriate page(s) in the case report form (CRF´s) but not as an SAE, unless considered exceptional in this medical condition. All adverse events will be recorded on the appropriate CRF.</w:t>
      </w:r>
      <w:r w:rsidR="008414B3" w:rsidRPr="00B6585E">
        <w:rPr>
          <w:rFonts w:ascii="Arial" w:hAnsi="Arial" w:cs="Arial"/>
          <w:color w:val="000000" w:themeColor="text1"/>
          <w:sz w:val="22"/>
          <w:szCs w:val="22"/>
        </w:rPr>
        <w:t xml:space="preserve"> </w:t>
      </w:r>
    </w:p>
    <w:p w14:paraId="5E7321DB" w14:textId="4D01CF4E" w:rsidR="00931A60" w:rsidRPr="00B6585E" w:rsidRDefault="00A221DB">
      <w:pPr>
        <w:widowControl w:val="0"/>
        <w:spacing w:after="240"/>
        <w:jc w:val="both"/>
        <w:rPr>
          <w:rFonts w:ascii="Arial" w:hAnsi="Arial" w:cs="Arial"/>
          <w:color w:val="000000" w:themeColor="text1"/>
          <w:sz w:val="22"/>
          <w:szCs w:val="22"/>
        </w:rPr>
      </w:pPr>
      <w:r w:rsidRPr="00B6585E">
        <w:rPr>
          <w:rFonts w:ascii="Arial" w:hAnsi="Arial" w:cs="Arial"/>
          <w:color w:val="000000" w:themeColor="text1"/>
          <w:sz w:val="22"/>
          <w:szCs w:val="22"/>
        </w:rPr>
        <w:t xml:space="preserve">Only unexpected and not previously described serious adverse events that are believed with a </w:t>
      </w:r>
      <w:r w:rsidRPr="00B6585E">
        <w:rPr>
          <w:rFonts w:ascii="Arial" w:hAnsi="Arial" w:cs="Arial"/>
          <w:color w:val="000000" w:themeColor="text1"/>
          <w:sz w:val="22"/>
          <w:szCs w:val="22"/>
        </w:rPr>
        <w:lastRenderedPageBreak/>
        <w:t xml:space="preserve">reasonable level of certainty to be associated with the trial medication need to be reported immediately (i.e. within 24 hours of knowledge of the event) to the sponsor of the study, the Medical University of Vienna. For such events research personal should complete an SAE CRF immediately. </w:t>
      </w:r>
      <w:r w:rsidRPr="00B6585E">
        <w:rPr>
          <w:rFonts w:ascii="Arial" w:hAnsi="Arial" w:cs="Arial"/>
          <w:bCs/>
          <w:color w:val="000000" w:themeColor="text1"/>
          <w:sz w:val="22"/>
          <w:szCs w:val="22"/>
        </w:rPr>
        <w:t xml:space="preserve">Research personnel in representation of the sponsor will then inform regulatory authorities in a timely manner. </w:t>
      </w:r>
      <w:r w:rsidRPr="00B6585E">
        <w:rPr>
          <w:rFonts w:ascii="Arial" w:hAnsi="Arial" w:cs="Arial"/>
          <w:color w:val="000000" w:themeColor="text1"/>
          <w:sz w:val="22"/>
          <w:szCs w:val="22"/>
        </w:rPr>
        <w:t xml:space="preserve">The </w:t>
      </w:r>
      <w:r w:rsidR="007F44D3" w:rsidRPr="00B6585E">
        <w:rPr>
          <w:rFonts w:ascii="Arial" w:hAnsi="Arial" w:cs="Arial"/>
          <w:color w:val="000000" w:themeColor="text1"/>
          <w:sz w:val="22"/>
          <w:szCs w:val="22"/>
        </w:rPr>
        <w:t>data safety monitoring board (</w:t>
      </w:r>
      <w:r w:rsidRPr="00B6585E">
        <w:rPr>
          <w:rFonts w:ascii="Arial" w:hAnsi="Arial" w:cs="Arial"/>
          <w:color w:val="000000" w:themeColor="text1"/>
          <w:sz w:val="22"/>
          <w:szCs w:val="22"/>
        </w:rPr>
        <w:t>DSMB</w:t>
      </w:r>
      <w:r w:rsidR="007F44D3"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will provide oversight of patients’ safety throughout the trial by reviewing unblinded aggregated data. </w:t>
      </w:r>
    </w:p>
    <w:p w14:paraId="08B1C469" w14:textId="77777777" w:rsidR="00931A60" w:rsidRPr="00B6585E" w:rsidRDefault="00931A60">
      <w:pPr>
        <w:spacing w:after="120"/>
        <w:ind w:right="-7"/>
        <w:jc w:val="both"/>
        <w:rPr>
          <w:rFonts w:ascii="Arial" w:hAnsi="Arial" w:cs="Arial"/>
          <w:color w:val="000000" w:themeColor="text1"/>
          <w:sz w:val="22"/>
          <w:szCs w:val="22"/>
        </w:rPr>
      </w:pPr>
    </w:p>
    <w:p w14:paraId="26C8B263" w14:textId="77777777" w:rsidR="00931A60" w:rsidRPr="00B6585E" w:rsidRDefault="00A221DB">
      <w:pPr>
        <w:pStyle w:val="Heading2"/>
        <w:rPr>
          <w:color w:val="000000" w:themeColor="text1"/>
        </w:rPr>
      </w:pPr>
      <w:bookmarkStart w:id="255" w:name="_Toc9107215"/>
      <w:bookmarkStart w:id="256" w:name="_Toc23231348"/>
      <w:bookmarkStart w:id="257" w:name="_Toc96924999"/>
      <w:r w:rsidRPr="00B6585E">
        <w:rPr>
          <w:color w:val="000000" w:themeColor="text1"/>
        </w:rPr>
        <w:t>Pregnancy</w:t>
      </w:r>
      <w:bookmarkEnd w:id="255"/>
      <w:bookmarkEnd w:id="256"/>
      <w:bookmarkEnd w:id="257"/>
    </w:p>
    <w:p w14:paraId="7C7039F2"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Female subjects in premenopausal period must have documented negative pregnancy test at date consenting. </w:t>
      </w:r>
    </w:p>
    <w:p w14:paraId="786C007E" w14:textId="77777777" w:rsidR="00931A60" w:rsidRPr="00B6585E" w:rsidRDefault="00A221DB">
      <w:pPr>
        <w:pStyle w:val="Heading2"/>
        <w:rPr>
          <w:color w:val="000000" w:themeColor="text1"/>
        </w:rPr>
      </w:pPr>
      <w:bookmarkStart w:id="258" w:name="_Toc9107216"/>
      <w:bookmarkStart w:id="259" w:name="_Toc485823824"/>
      <w:bookmarkStart w:id="260" w:name="_Toc23231349"/>
      <w:bookmarkStart w:id="261" w:name="_Toc96925000"/>
      <w:r w:rsidRPr="00B6585E">
        <w:rPr>
          <w:color w:val="000000" w:themeColor="text1"/>
        </w:rPr>
        <w:t>Data and Safety Monitoring Board</w:t>
      </w:r>
      <w:bookmarkEnd w:id="258"/>
      <w:bookmarkEnd w:id="259"/>
      <w:bookmarkEnd w:id="260"/>
      <w:bookmarkEnd w:id="261"/>
    </w:p>
    <w:p w14:paraId="625BE8DE" w14:textId="71D9751B"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following experienced researches will compromise the Data and Safety Monitoring Board (DSMB): Andrea Kurz</w:t>
      </w:r>
      <w:r w:rsidR="008D7187" w:rsidRPr="00B6585E">
        <w:rPr>
          <w:rFonts w:ascii="Arial" w:hAnsi="Arial" w:cs="Arial"/>
          <w:color w:val="000000" w:themeColor="text1"/>
          <w:sz w:val="22"/>
          <w:szCs w:val="22"/>
        </w:rPr>
        <w:t>, MD (Department of Outcomes Research and General Anesthesiology, Anesthesiology Institute, Cleveland Clinic)</w:t>
      </w:r>
      <w:r w:rsidRPr="00B6585E">
        <w:rPr>
          <w:rFonts w:ascii="Arial" w:hAnsi="Arial" w:cs="Arial"/>
          <w:color w:val="000000" w:themeColor="text1"/>
          <w:sz w:val="22"/>
          <w:szCs w:val="22"/>
        </w:rPr>
        <w:t>; Gerd Silberhumer</w:t>
      </w:r>
      <w:r w:rsidR="008D7187" w:rsidRPr="00B6585E">
        <w:rPr>
          <w:rFonts w:ascii="Arial" w:hAnsi="Arial" w:cs="Arial"/>
          <w:color w:val="000000" w:themeColor="text1"/>
          <w:sz w:val="22"/>
          <w:szCs w:val="22"/>
        </w:rPr>
        <w:t>, MD (Department for Surgery, Medical University of Vienna, Medical University of Vienna)</w:t>
      </w:r>
      <w:r w:rsidRPr="00B6585E">
        <w:rPr>
          <w:rFonts w:ascii="Arial" w:hAnsi="Arial" w:cs="Arial"/>
          <w:color w:val="000000" w:themeColor="text1"/>
          <w:sz w:val="22"/>
          <w:szCs w:val="22"/>
        </w:rPr>
        <w:t>; Eva Base, MD</w:t>
      </w:r>
      <w:r w:rsidR="008D7187" w:rsidRPr="00B6585E">
        <w:rPr>
          <w:rFonts w:ascii="Arial" w:hAnsi="Arial" w:cs="Arial"/>
          <w:color w:val="000000" w:themeColor="text1"/>
          <w:sz w:val="22"/>
          <w:szCs w:val="22"/>
        </w:rPr>
        <w:t xml:space="preserve"> (Department of Anaesthesia, Intensive Care Medicine and Pain Medicine, Medical University of Vienna)</w:t>
      </w:r>
      <w:r w:rsidRPr="00B6585E">
        <w:rPr>
          <w:rFonts w:ascii="Arial" w:hAnsi="Arial" w:cs="Arial"/>
          <w:color w:val="000000" w:themeColor="text1"/>
          <w:sz w:val="22"/>
          <w:szCs w:val="22"/>
        </w:rPr>
        <w:t>; Michael Wolzt, M</w:t>
      </w:r>
      <w:r w:rsidR="008D7187" w:rsidRPr="00B6585E">
        <w:rPr>
          <w:rFonts w:ascii="Arial" w:hAnsi="Arial" w:cs="Arial"/>
          <w:color w:val="000000" w:themeColor="text1"/>
          <w:sz w:val="22"/>
          <w:szCs w:val="22"/>
        </w:rPr>
        <w:t>D (Department of Clinical Pharmacology, Medical University of Vienna)</w:t>
      </w:r>
    </w:p>
    <w:p w14:paraId="296CD633" w14:textId="1412BD6E" w:rsidR="00136B48"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DSMB will evaluate adverse events (AEs, SAEs, SUSARs, ADR) from</w:t>
      </w:r>
      <w:r w:rsidR="007B7D93" w:rsidRPr="00B6585E">
        <w:rPr>
          <w:rFonts w:ascii="Arial" w:hAnsi="Arial" w:cs="Arial"/>
          <w:color w:val="000000" w:themeColor="text1"/>
          <w:sz w:val="22"/>
          <w:szCs w:val="22"/>
        </w:rPr>
        <w:t xml:space="preserve"> </w:t>
      </w:r>
      <w:r w:rsidR="008626F0" w:rsidRPr="00B6585E">
        <w:rPr>
          <w:rFonts w:ascii="Arial" w:hAnsi="Arial" w:cs="Arial"/>
          <w:color w:val="000000" w:themeColor="text1"/>
          <w:sz w:val="22"/>
          <w:szCs w:val="22"/>
        </w:rPr>
        <w:t xml:space="preserve">76 </w:t>
      </w:r>
      <w:r w:rsidRPr="00B6585E">
        <w:rPr>
          <w:rFonts w:ascii="Arial" w:hAnsi="Arial" w:cs="Arial"/>
          <w:color w:val="000000" w:themeColor="text1"/>
          <w:sz w:val="22"/>
          <w:szCs w:val="22"/>
        </w:rPr>
        <w:t>patients</w:t>
      </w:r>
      <w:r w:rsidR="008626F0" w:rsidRPr="00B6585E">
        <w:rPr>
          <w:rFonts w:ascii="Arial" w:hAnsi="Arial" w:cs="Arial"/>
          <w:color w:val="000000" w:themeColor="text1"/>
          <w:sz w:val="22"/>
          <w:szCs w:val="22"/>
        </w:rPr>
        <w:t xml:space="preserve"> (38 per group)</w:t>
      </w:r>
      <w:r w:rsidRPr="00B6585E">
        <w:rPr>
          <w:rFonts w:ascii="Arial" w:hAnsi="Arial" w:cs="Arial"/>
          <w:color w:val="000000" w:themeColor="text1"/>
          <w:sz w:val="22"/>
          <w:szCs w:val="22"/>
        </w:rPr>
        <w:t xml:space="preserve"> </w:t>
      </w:r>
      <w:r w:rsidR="000245D6" w:rsidRPr="00B6585E">
        <w:rPr>
          <w:rFonts w:ascii="Arial" w:hAnsi="Arial" w:cs="Arial"/>
          <w:color w:val="000000" w:themeColor="text1"/>
          <w:sz w:val="22"/>
          <w:szCs w:val="22"/>
        </w:rPr>
        <w:t xml:space="preserve">after all data </w:t>
      </w:r>
      <w:r w:rsidR="008D7187" w:rsidRPr="00B6585E">
        <w:rPr>
          <w:rFonts w:ascii="Arial" w:hAnsi="Arial" w:cs="Arial"/>
          <w:color w:val="000000" w:themeColor="text1"/>
          <w:sz w:val="22"/>
          <w:szCs w:val="22"/>
        </w:rPr>
        <w:t>are</w:t>
      </w:r>
      <w:r w:rsidR="000245D6" w:rsidRPr="00B6585E">
        <w:rPr>
          <w:rFonts w:ascii="Arial" w:hAnsi="Arial" w:cs="Arial"/>
          <w:color w:val="000000" w:themeColor="text1"/>
          <w:sz w:val="22"/>
          <w:szCs w:val="22"/>
        </w:rPr>
        <w:t xml:space="preserve"> available</w:t>
      </w:r>
      <w:r w:rsidRPr="00B6585E">
        <w:rPr>
          <w:rFonts w:ascii="Arial" w:hAnsi="Arial" w:cs="Arial"/>
          <w:color w:val="000000" w:themeColor="text1"/>
          <w:sz w:val="22"/>
          <w:szCs w:val="22"/>
        </w:rPr>
        <w:t xml:space="preserve">. It will be the responsibility of this committee to alert the local ethics committee </w:t>
      </w:r>
      <w:r w:rsidRPr="00B6585E">
        <w:rPr>
          <w:rFonts w:ascii="Arial" w:hAnsi="Arial" w:cs="Arial"/>
          <w:i/>
          <w:color w:val="000000" w:themeColor="text1"/>
          <w:sz w:val="22"/>
          <w:szCs w:val="22"/>
        </w:rPr>
        <w:t>via</w:t>
      </w:r>
      <w:r w:rsidRPr="00B6585E">
        <w:rPr>
          <w:rFonts w:ascii="Arial" w:hAnsi="Arial" w:cs="Arial"/>
          <w:color w:val="000000" w:themeColor="text1"/>
          <w:sz w:val="22"/>
          <w:szCs w:val="22"/>
        </w:rPr>
        <w:t xml:space="preserve"> letter to any harmful effects in one of the study groups. This committee, along with the local ethics committee will have the exclusive authority to stop the study either for futility, harm or clear benefit. Any morbidity potentially related to the study protocol will be reported to the ethics committee. </w:t>
      </w:r>
    </w:p>
    <w:p w14:paraId="04850CEA" w14:textId="6B9B7620" w:rsidR="00136B48" w:rsidRPr="00B6585E" w:rsidRDefault="00136B48" w:rsidP="00136B48">
      <w:pPr>
        <w:pStyle w:val="Heading2"/>
        <w:rPr>
          <w:color w:val="000000" w:themeColor="text1"/>
        </w:rPr>
      </w:pPr>
      <w:bookmarkStart w:id="262" w:name="_Toc96925001"/>
      <w:r w:rsidRPr="00B6585E">
        <w:rPr>
          <w:color w:val="000000" w:themeColor="text1"/>
        </w:rPr>
        <w:t>Emergency Unblinding</w:t>
      </w:r>
      <w:r w:rsidR="00581A28" w:rsidRPr="00B6585E">
        <w:rPr>
          <w:color w:val="000000" w:themeColor="text1"/>
        </w:rPr>
        <w:t xml:space="preserve"> and Termination of the Study Drug</w:t>
      </w:r>
      <w:bookmarkEnd w:id="262"/>
    </w:p>
    <w:p w14:paraId="5295A678" w14:textId="239877E5" w:rsidR="007F1AEE" w:rsidRPr="00B6585E" w:rsidRDefault="00136B48" w:rsidP="00844D70">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Emergency situations may require unblinding of treatment. As the treating physician (investigator) is responsible for the medical care provided to the trial participant, the decision to break </w:t>
      </w:r>
      <w:r w:rsidR="00844D70" w:rsidRPr="00B6585E">
        <w:rPr>
          <w:rFonts w:ascii="Arial" w:hAnsi="Arial" w:cs="Arial"/>
          <w:color w:val="000000" w:themeColor="text1"/>
          <w:sz w:val="22"/>
          <w:szCs w:val="22"/>
        </w:rPr>
        <w:t>to unblind the participant</w:t>
      </w:r>
      <w:r w:rsidRPr="00B6585E">
        <w:rPr>
          <w:rFonts w:ascii="Arial" w:hAnsi="Arial" w:cs="Arial"/>
          <w:color w:val="000000" w:themeColor="text1"/>
          <w:sz w:val="22"/>
          <w:szCs w:val="22"/>
        </w:rPr>
        <w:t xml:space="preserve"> in emergency situations will lie solely with the investigator. </w:t>
      </w:r>
      <w:r w:rsidR="00844D70" w:rsidRPr="00B6585E">
        <w:rPr>
          <w:rFonts w:ascii="Arial" w:hAnsi="Arial" w:cs="Arial"/>
          <w:color w:val="000000" w:themeColor="text1"/>
          <w:sz w:val="22"/>
          <w:szCs w:val="22"/>
        </w:rPr>
        <w:t xml:space="preserve">The investigator may contact the DSMB to seek advice about unblinding. This should allow to reduce unblinding. </w:t>
      </w:r>
      <w:r w:rsidR="00E37CB6" w:rsidRPr="00B6585E">
        <w:rPr>
          <w:rFonts w:ascii="Arial" w:hAnsi="Arial" w:cs="Arial"/>
          <w:color w:val="000000" w:themeColor="text1"/>
          <w:sz w:val="22"/>
          <w:szCs w:val="22"/>
        </w:rPr>
        <w:t xml:space="preserve">If the </w:t>
      </w:r>
      <w:r w:rsidR="00844D70" w:rsidRPr="00B6585E">
        <w:rPr>
          <w:rFonts w:ascii="Arial" w:hAnsi="Arial" w:cs="Arial"/>
          <w:color w:val="000000" w:themeColor="text1"/>
          <w:sz w:val="22"/>
          <w:szCs w:val="22"/>
        </w:rPr>
        <w:t>primary</w:t>
      </w:r>
      <w:r w:rsidR="00E37CB6" w:rsidRPr="00B6585E">
        <w:rPr>
          <w:rFonts w:ascii="Arial" w:hAnsi="Arial" w:cs="Arial"/>
          <w:color w:val="000000" w:themeColor="text1"/>
          <w:sz w:val="22"/>
          <w:szCs w:val="22"/>
        </w:rPr>
        <w:t xml:space="preserve"> investigator believes emergency unblinding is essential for the patient´s management then it can be undertaken.</w:t>
      </w:r>
      <w:r w:rsidR="009662D7" w:rsidRPr="00B6585E">
        <w:rPr>
          <w:rFonts w:ascii="Arial" w:hAnsi="Arial" w:cs="Arial"/>
          <w:color w:val="000000" w:themeColor="text1"/>
          <w:sz w:val="22"/>
          <w:szCs w:val="22"/>
        </w:rPr>
        <w:t xml:space="preserve"> Only, if the primary investigator is not available a co-investigator will be contacted for emergency unblinding.</w:t>
      </w:r>
    </w:p>
    <w:p w14:paraId="68EF97F2" w14:textId="25824644" w:rsidR="003C7423" w:rsidRPr="00B6585E" w:rsidRDefault="003C7423" w:rsidP="00844D70">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In the case of unblinding, the study drug will be discontinued. Blood samples will be continued according to the study protocol for safety reasons. Patients will not be dropped out because of intention to treat. </w:t>
      </w:r>
    </w:p>
    <w:p w14:paraId="36AE62C6" w14:textId="149C9A7C" w:rsidR="003A4140" w:rsidRPr="00B6585E" w:rsidRDefault="003A4140" w:rsidP="003A4140">
      <w:pPr>
        <w:pStyle w:val="Heading2"/>
        <w:rPr>
          <w:color w:val="000000" w:themeColor="text1"/>
        </w:rPr>
      </w:pPr>
      <w:bookmarkStart w:id="263" w:name="_Toc96925002"/>
      <w:r w:rsidRPr="00B6585E">
        <w:rPr>
          <w:color w:val="000000" w:themeColor="text1"/>
        </w:rPr>
        <w:t>Termination of the study</w:t>
      </w:r>
      <w:bookmarkEnd w:id="263"/>
    </w:p>
    <w:p w14:paraId="628351C9" w14:textId="79394F50" w:rsidR="00B67A29" w:rsidRPr="00B6585E" w:rsidRDefault="004862CC">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In the case of a </w:t>
      </w:r>
      <w:r w:rsidR="003A4140" w:rsidRPr="00B6585E">
        <w:rPr>
          <w:rFonts w:ascii="Arial" w:hAnsi="Arial" w:cs="Arial"/>
          <w:color w:val="000000" w:themeColor="text1"/>
          <w:sz w:val="22"/>
          <w:szCs w:val="22"/>
        </w:rPr>
        <w:t>preterminal</w:t>
      </w:r>
      <w:r w:rsidRPr="00B6585E">
        <w:rPr>
          <w:rFonts w:ascii="Arial" w:hAnsi="Arial" w:cs="Arial"/>
          <w:color w:val="000000" w:themeColor="text1"/>
          <w:sz w:val="22"/>
          <w:szCs w:val="22"/>
        </w:rPr>
        <w:t xml:space="preserve"> termination of the study because of significant incidence of adverse events evaluated by the DSMB the sponsor will notify the competent authorities the end of the study including an appropriate justification. If the study will be terminated because of safety reasons the European Medicines Agency (EMA) will be notified as well. </w:t>
      </w:r>
    </w:p>
    <w:p w14:paraId="02A579FB" w14:textId="77777777" w:rsidR="00931A60" w:rsidRPr="00B6585E" w:rsidRDefault="00A221DB">
      <w:pPr>
        <w:pStyle w:val="Heading2"/>
        <w:rPr>
          <w:color w:val="000000" w:themeColor="text1"/>
        </w:rPr>
      </w:pPr>
      <w:bookmarkStart w:id="264" w:name="_Toc9107217"/>
      <w:bookmarkStart w:id="265" w:name="_Toc23231350"/>
      <w:bookmarkStart w:id="266" w:name="_Toc96925003"/>
      <w:r w:rsidRPr="00B6585E">
        <w:rPr>
          <w:color w:val="000000" w:themeColor="text1"/>
        </w:rPr>
        <w:t>Adjudication of Trial Outcomes</w:t>
      </w:r>
      <w:bookmarkEnd w:id="264"/>
      <w:bookmarkEnd w:id="265"/>
      <w:bookmarkEnd w:id="266"/>
    </w:p>
    <w:p w14:paraId="4BC93B6D" w14:textId="61A9BEE1" w:rsidR="002E4A5B"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Outcome adjudicators (a committee of clinicians with expertise in perioperative outcomes) who are blinded to treatment allocation will adjudicate the following outcomes: MINS, myocardial infarction, death. We will use the decisions of the outcome adjudicator for all statistical analysis of these events. Barbara Kabon, MD</w:t>
      </w:r>
      <w:r w:rsidR="009A2DFC" w:rsidRPr="00B6585E">
        <w:rPr>
          <w:rFonts w:ascii="Arial" w:hAnsi="Arial" w:cs="Arial"/>
          <w:color w:val="000000" w:themeColor="text1"/>
          <w:sz w:val="22"/>
          <w:szCs w:val="22"/>
        </w:rPr>
        <w:t xml:space="preserve"> (Medical University of Vienna)</w:t>
      </w:r>
      <w:r w:rsidRPr="00B6585E">
        <w:rPr>
          <w:rFonts w:ascii="Arial" w:hAnsi="Arial" w:cs="Arial"/>
          <w:color w:val="000000" w:themeColor="text1"/>
          <w:sz w:val="22"/>
          <w:szCs w:val="22"/>
        </w:rPr>
        <w:t xml:space="preserve"> and Giovanna Lurati, MD</w:t>
      </w:r>
      <w:r w:rsidR="009A2DFC" w:rsidRPr="00B6585E">
        <w:rPr>
          <w:rFonts w:ascii="Arial" w:hAnsi="Arial" w:cs="Arial"/>
          <w:color w:val="000000" w:themeColor="text1"/>
          <w:sz w:val="22"/>
          <w:szCs w:val="22"/>
        </w:rPr>
        <w:t xml:space="preserve"> </w:t>
      </w:r>
      <w:r w:rsidR="005615C5" w:rsidRPr="00B6585E">
        <w:rPr>
          <w:rFonts w:ascii="Arial" w:hAnsi="Arial" w:cs="Arial"/>
          <w:color w:val="000000" w:themeColor="text1"/>
          <w:sz w:val="22"/>
          <w:szCs w:val="22"/>
        </w:rPr>
        <w:t>(University Düsseldorf, Germany)</w:t>
      </w:r>
      <w:r w:rsidRPr="00B6585E">
        <w:rPr>
          <w:rFonts w:ascii="Arial" w:hAnsi="Arial" w:cs="Arial"/>
          <w:color w:val="000000" w:themeColor="text1"/>
          <w:sz w:val="22"/>
          <w:szCs w:val="22"/>
        </w:rPr>
        <w:t xml:space="preserve"> will chair the Adjudication Committee.  </w:t>
      </w:r>
    </w:p>
    <w:p w14:paraId="65D8A8E9" w14:textId="6A90C2FF" w:rsidR="002E4A5B" w:rsidRPr="00B6585E" w:rsidRDefault="002E4A5B" w:rsidP="002E4A5B">
      <w:pPr>
        <w:pStyle w:val="Heading2"/>
        <w:rPr>
          <w:color w:val="000000" w:themeColor="text1"/>
        </w:rPr>
      </w:pPr>
      <w:bookmarkStart w:id="267" w:name="_Toc96925004"/>
      <w:r w:rsidRPr="00B6585E">
        <w:rPr>
          <w:color w:val="000000" w:themeColor="text1"/>
        </w:rPr>
        <w:t>Data Monitoring</w:t>
      </w:r>
      <w:bookmarkEnd w:id="267"/>
    </w:p>
    <w:p w14:paraId="2E99DC72" w14:textId="58FBDC9C" w:rsidR="000E27EC" w:rsidRPr="00B6585E" w:rsidRDefault="002E4A5B" w:rsidP="00B67A29">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designated monitor </w:t>
      </w:r>
      <w:r w:rsidR="00A81FDD" w:rsidRPr="00B6585E">
        <w:rPr>
          <w:rFonts w:ascii="Arial" w:hAnsi="Arial" w:cs="Arial"/>
          <w:color w:val="000000" w:themeColor="text1"/>
          <w:sz w:val="22"/>
          <w:szCs w:val="22"/>
        </w:rPr>
        <w:t xml:space="preserve">(Thomas Hamp, MD) </w:t>
      </w:r>
      <w:r w:rsidRPr="00B6585E">
        <w:rPr>
          <w:rFonts w:ascii="Arial" w:hAnsi="Arial" w:cs="Arial"/>
          <w:color w:val="000000" w:themeColor="text1"/>
          <w:sz w:val="22"/>
          <w:szCs w:val="22"/>
        </w:rPr>
        <w:t>will contact and visit the Investigator on a regularly</w:t>
      </w:r>
      <w:r w:rsidR="00A81FDD"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basis </w:t>
      </w:r>
      <w:r w:rsidR="00A81FDD" w:rsidRPr="00B6585E">
        <w:rPr>
          <w:rFonts w:ascii="Arial" w:hAnsi="Arial" w:cs="Arial"/>
          <w:color w:val="000000" w:themeColor="text1"/>
          <w:sz w:val="22"/>
          <w:szCs w:val="22"/>
        </w:rPr>
        <w:t xml:space="preserve">(begin, during and at the end of the trial) </w:t>
      </w:r>
      <w:r w:rsidRPr="00B6585E">
        <w:rPr>
          <w:rFonts w:ascii="Arial" w:hAnsi="Arial" w:cs="Arial"/>
          <w:color w:val="000000" w:themeColor="text1"/>
          <w:sz w:val="22"/>
          <w:szCs w:val="22"/>
        </w:rPr>
        <w:t xml:space="preserve">and will be allowed to have direct access to all source documents which are needed to verify all CRF and eCRF entries and other protocol-related </w:t>
      </w:r>
      <w:r w:rsidRPr="00B6585E">
        <w:rPr>
          <w:rFonts w:ascii="Arial" w:hAnsi="Arial" w:cs="Arial"/>
          <w:color w:val="000000" w:themeColor="text1"/>
          <w:sz w:val="22"/>
          <w:szCs w:val="22"/>
        </w:rPr>
        <w:lastRenderedPageBreak/>
        <w:t xml:space="preserve">documents provided that subject confidentiality is maintained in agreement with legal regulations. It will be the monitor´s responsibility to inspect the CRF´s and eCRF´s at regular intervals according to the monitoring plan throughout the study, to verify the adherence to the protocol and the completeness, consistency and accuracy of the that being entered on them. </w:t>
      </w:r>
      <w:r w:rsidR="000E27EC" w:rsidRPr="00B6585E">
        <w:rPr>
          <w:rFonts w:ascii="Arial" w:hAnsi="Arial" w:cs="Arial"/>
          <w:color w:val="000000" w:themeColor="text1"/>
          <w:sz w:val="22"/>
          <w:szCs w:val="22"/>
        </w:rPr>
        <w:t xml:space="preserve">Further monitoring during the trials will be conducted after completing the data of every consecutive 10 participants. </w:t>
      </w:r>
    </w:p>
    <w:p w14:paraId="4B815C38" w14:textId="77777777" w:rsidR="004A2226" w:rsidRPr="00B6585E" w:rsidRDefault="004A2226" w:rsidP="004A2226">
      <w:pPr>
        <w:pStyle w:val="Heading2"/>
        <w:rPr>
          <w:color w:val="000000" w:themeColor="text1"/>
        </w:rPr>
      </w:pPr>
      <w:bookmarkStart w:id="268" w:name="_Toc96925005"/>
      <w:r w:rsidRPr="00B6585E">
        <w:rPr>
          <w:color w:val="000000" w:themeColor="text1"/>
        </w:rPr>
        <w:t>Direct access to source data/documents</w:t>
      </w:r>
      <w:bookmarkEnd w:id="268"/>
    </w:p>
    <w:p w14:paraId="514B296F" w14:textId="751B5997" w:rsidR="004A2226" w:rsidRPr="00B6585E" w:rsidRDefault="00091B2B" w:rsidP="00205401">
      <w:pPr>
        <w:jc w:val="both"/>
        <w:rPr>
          <w:rFonts w:ascii="Arial" w:hAnsi="Arial" w:cs="Arial"/>
          <w:color w:val="000000" w:themeColor="text1"/>
          <w:sz w:val="22"/>
          <w:szCs w:val="22"/>
        </w:rPr>
      </w:pPr>
      <w:r w:rsidRPr="00B6585E">
        <w:rPr>
          <w:rFonts w:ascii="Arial" w:hAnsi="Arial" w:cs="Arial"/>
          <w:color w:val="000000" w:themeColor="text1"/>
          <w:sz w:val="22"/>
          <w:szCs w:val="22"/>
        </w:rPr>
        <w:t>According to the section 6 of the ICG-GCP guidelines w</w:t>
      </w:r>
      <w:r w:rsidR="004A2226" w:rsidRPr="00B6585E">
        <w:rPr>
          <w:rFonts w:ascii="Arial" w:hAnsi="Arial" w:cs="Arial"/>
          <w:color w:val="000000" w:themeColor="text1"/>
          <w:sz w:val="22"/>
          <w:szCs w:val="22"/>
        </w:rPr>
        <w:t xml:space="preserve">e will provide and permit trial-related monitoring, audits, IRB review, regulatory inspections, direct access to source data/documents according to local authorities and </w:t>
      </w:r>
      <w:r w:rsidR="00646A72" w:rsidRPr="00B6585E">
        <w:rPr>
          <w:rFonts w:ascii="Arial" w:hAnsi="Arial" w:cs="Arial"/>
          <w:color w:val="000000" w:themeColor="text1"/>
          <w:sz w:val="22"/>
          <w:szCs w:val="22"/>
        </w:rPr>
        <w:t xml:space="preserve">the </w:t>
      </w:r>
      <w:r w:rsidR="004A2226" w:rsidRPr="00B6585E">
        <w:rPr>
          <w:rFonts w:ascii="Arial" w:hAnsi="Arial" w:cs="Arial"/>
          <w:color w:val="000000" w:themeColor="text1"/>
          <w:sz w:val="22"/>
          <w:szCs w:val="22"/>
        </w:rPr>
        <w:t xml:space="preserve">patient agreement. </w:t>
      </w:r>
    </w:p>
    <w:p w14:paraId="5F27BCEE" w14:textId="77777777" w:rsidR="002E4A5B" w:rsidRPr="00B6585E" w:rsidRDefault="002E4A5B">
      <w:pPr>
        <w:spacing w:after="120"/>
        <w:ind w:right="-7"/>
        <w:jc w:val="both"/>
        <w:rPr>
          <w:rFonts w:ascii="Arial" w:hAnsi="Arial" w:cs="Arial"/>
          <w:color w:val="000000" w:themeColor="text1"/>
          <w:sz w:val="22"/>
          <w:szCs w:val="22"/>
        </w:rPr>
      </w:pPr>
    </w:p>
    <w:p w14:paraId="76A2D7B1" w14:textId="77777777" w:rsidR="00931A60" w:rsidRPr="00B6585E" w:rsidRDefault="00A221DB">
      <w:pPr>
        <w:pStyle w:val="Heading2"/>
        <w:rPr>
          <w:color w:val="000000" w:themeColor="text1"/>
        </w:rPr>
      </w:pPr>
      <w:bookmarkStart w:id="269" w:name="_Toc9107218"/>
      <w:bookmarkStart w:id="270" w:name="_Toc23231351"/>
      <w:bookmarkStart w:id="271" w:name="_Toc96925006"/>
      <w:r w:rsidRPr="00B6585E">
        <w:rPr>
          <w:color w:val="000000" w:themeColor="text1"/>
        </w:rPr>
        <w:t>Other Management at the discretion of the attending physician</w:t>
      </w:r>
      <w:bookmarkEnd w:id="269"/>
      <w:bookmarkEnd w:id="270"/>
      <w:bookmarkEnd w:id="271"/>
    </w:p>
    <w:p w14:paraId="60398EFF" w14:textId="26A49EA9"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All aspects of the patient´s management are at the discretion of the attending physician whose judgment can overrule the study procedures at any time. </w:t>
      </w:r>
    </w:p>
    <w:p w14:paraId="14677C4F" w14:textId="61189E0A" w:rsidR="00A11069" w:rsidRPr="00B6585E" w:rsidRDefault="00A11069">
      <w:pPr>
        <w:spacing w:after="120"/>
        <w:ind w:right="-7"/>
        <w:jc w:val="both"/>
        <w:rPr>
          <w:rFonts w:ascii="Arial" w:hAnsi="Arial" w:cs="Arial"/>
          <w:color w:val="000000" w:themeColor="text1"/>
          <w:sz w:val="22"/>
          <w:szCs w:val="22"/>
        </w:rPr>
      </w:pPr>
    </w:p>
    <w:p w14:paraId="0873E072" w14:textId="77777777" w:rsidR="00A11069" w:rsidRPr="00B6585E" w:rsidRDefault="00A11069">
      <w:pPr>
        <w:spacing w:after="120"/>
        <w:ind w:right="-7"/>
        <w:jc w:val="both"/>
        <w:rPr>
          <w:rFonts w:ascii="Arial" w:hAnsi="Arial" w:cs="Arial"/>
          <w:color w:val="000000" w:themeColor="text1"/>
          <w:sz w:val="22"/>
          <w:szCs w:val="22"/>
        </w:rPr>
      </w:pPr>
    </w:p>
    <w:p w14:paraId="0D9F6D2B" w14:textId="0B338D00" w:rsidR="00931A60" w:rsidRPr="00B6585E" w:rsidRDefault="00931A60">
      <w:pPr>
        <w:tabs>
          <w:tab w:val="left" w:pos="5040"/>
        </w:tabs>
        <w:spacing w:after="120"/>
        <w:ind w:right="-7"/>
        <w:rPr>
          <w:rFonts w:ascii="Arial" w:hAnsi="Arial" w:cs="Arial"/>
          <w:color w:val="000000" w:themeColor="text1"/>
          <w:sz w:val="22"/>
          <w:szCs w:val="22"/>
        </w:rPr>
      </w:pPr>
    </w:p>
    <w:p w14:paraId="382BC90A" w14:textId="77777777" w:rsidR="00931A60" w:rsidRPr="00B6585E" w:rsidRDefault="00A221DB" w:rsidP="00304D11">
      <w:pPr>
        <w:pStyle w:val="Heading1"/>
      </w:pPr>
      <w:bookmarkStart w:id="272" w:name="_Toc9107219"/>
      <w:bookmarkStart w:id="273" w:name="_Toc23231352"/>
      <w:bookmarkStart w:id="274" w:name="_Toc96925007"/>
      <w:r w:rsidRPr="00B6585E">
        <w:lastRenderedPageBreak/>
        <w:t>Ethical and Legal Aspects</w:t>
      </w:r>
      <w:bookmarkEnd w:id="272"/>
      <w:bookmarkEnd w:id="273"/>
      <w:bookmarkEnd w:id="274"/>
    </w:p>
    <w:p w14:paraId="02CC43E0" w14:textId="77777777" w:rsidR="00931A60" w:rsidRPr="00B6585E" w:rsidRDefault="00A221DB">
      <w:pPr>
        <w:pStyle w:val="Heading2"/>
        <w:rPr>
          <w:color w:val="000000" w:themeColor="text1"/>
        </w:rPr>
      </w:pPr>
      <w:bookmarkStart w:id="275" w:name="_Toc9107220"/>
      <w:bookmarkStart w:id="276" w:name="_Toc23231353"/>
      <w:bookmarkStart w:id="277" w:name="_Toc96925008"/>
      <w:r w:rsidRPr="00B6585E">
        <w:rPr>
          <w:color w:val="000000" w:themeColor="text1"/>
        </w:rPr>
        <w:t>Informed consent subjects</w:t>
      </w:r>
      <w:bookmarkEnd w:id="275"/>
      <w:bookmarkEnd w:id="276"/>
      <w:bookmarkEnd w:id="277"/>
    </w:p>
    <w:p w14:paraId="7154A789" w14:textId="67F055CE"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Following comprehensive instructions regarding the nature, significance, impact and risks of this clinical trial, the patient must give written consent to participat</w:t>
      </w:r>
      <w:r w:rsidR="00643DDA" w:rsidRPr="00B6585E">
        <w:rPr>
          <w:rFonts w:ascii="Arial" w:hAnsi="Arial" w:cs="Arial"/>
          <w:color w:val="000000" w:themeColor="text1"/>
          <w:sz w:val="22"/>
          <w:szCs w:val="22"/>
        </w:rPr>
        <w:t>e</w:t>
      </w:r>
      <w:r w:rsidRPr="00B6585E">
        <w:rPr>
          <w:rFonts w:ascii="Arial" w:hAnsi="Arial" w:cs="Arial"/>
          <w:color w:val="000000" w:themeColor="text1"/>
          <w:sz w:val="22"/>
          <w:szCs w:val="22"/>
        </w:rPr>
        <w:t xml:space="preserve"> in the study. </w:t>
      </w:r>
    </w:p>
    <w:p w14:paraId="57AC37B2"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During the instruction, the trial participants are to be made aware of the fact that they can withdraw their consent – without giving reasons – at any time without their further medical care being influenced in any way. </w:t>
      </w:r>
    </w:p>
    <w:p w14:paraId="04E17B10" w14:textId="3F7EBF66"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In addition to the comprehensive instructions given to the trial participants by the Investigator, the trial participants also receive a written patient information sheet in comprehensible language, explaining the nature and purpose of the study and its progress. </w:t>
      </w:r>
    </w:p>
    <w:p w14:paraId="7C81709C" w14:textId="2EBF51B6" w:rsidR="00B07BB9" w:rsidRPr="00B6585E" w:rsidRDefault="00B07BB9">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 study investigator will obtain informed consent from all patients. </w:t>
      </w:r>
    </w:p>
    <w:p w14:paraId="593ACEA8" w14:textId="77777777" w:rsidR="00931A60" w:rsidRPr="00B6585E" w:rsidRDefault="00A221DB">
      <w:pPr>
        <w:pStyle w:val="Heading2"/>
        <w:rPr>
          <w:color w:val="000000" w:themeColor="text1"/>
        </w:rPr>
      </w:pPr>
      <w:bookmarkStart w:id="278" w:name="_Toc9107221"/>
      <w:bookmarkStart w:id="279" w:name="_Toc23231354"/>
      <w:bookmarkStart w:id="280" w:name="_Toc96925009"/>
      <w:r w:rsidRPr="00B6585E">
        <w:rPr>
          <w:color w:val="000000" w:themeColor="text1"/>
        </w:rPr>
        <w:t>Ethical and good clinical practice (GCP)</w:t>
      </w:r>
      <w:bookmarkEnd w:id="278"/>
      <w:bookmarkEnd w:id="279"/>
      <w:bookmarkEnd w:id="280"/>
    </w:p>
    <w:p w14:paraId="4016E590"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Investigator will ensure that this study is conducted in full conformance with the principles of the “Declaration of Helsinki” (as amended at the 64</w:t>
      </w:r>
      <w:r w:rsidRPr="00B6585E">
        <w:rPr>
          <w:rFonts w:ascii="Arial" w:hAnsi="Arial" w:cs="Arial"/>
          <w:color w:val="000000" w:themeColor="text1"/>
          <w:sz w:val="22"/>
          <w:szCs w:val="22"/>
          <w:vertAlign w:val="superscript"/>
        </w:rPr>
        <w:t>th</w:t>
      </w:r>
      <w:r w:rsidRPr="00B6585E">
        <w:rPr>
          <w:rFonts w:ascii="Arial" w:hAnsi="Arial" w:cs="Arial"/>
          <w:color w:val="000000" w:themeColor="text1"/>
          <w:sz w:val="22"/>
          <w:szCs w:val="22"/>
        </w:rPr>
        <w:t xml:space="preserve"> WMA General Assembly, Fortaleza, Brazil, 2013) and with the laws and regulations of the country in which the clinical research is conducted.</w:t>
      </w:r>
    </w:p>
    <w:p w14:paraId="497199AE"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Investigator of the clinical trial shall guarantee that only appropriately trained personnel will be involved in the study. All studies must follow the ICH GCP Guidelines and the regulatory requirements. This trial follows the EU Directive embedded in the Austrian drug act. </w:t>
      </w:r>
    </w:p>
    <w:p w14:paraId="26219648" w14:textId="77777777" w:rsidR="00931A60" w:rsidRPr="00B6585E" w:rsidRDefault="00A221DB">
      <w:pPr>
        <w:pStyle w:val="Heading2"/>
        <w:rPr>
          <w:color w:val="000000" w:themeColor="text1"/>
        </w:rPr>
      </w:pPr>
      <w:bookmarkStart w:id="281" w:name="_Toc9107222"/>
      <w:bookmarkStart w:id="282" w:name="_Toc486512233"/>
      <w:bookmarkStart w:id="283" w:name="_Toc434226786"/>
      <w:bookmarkStart w:id="284" w:name="_Toc23231355"/>
      <w:bookmarkStart w:id="285" w:name="_Toc96925010"/>
      <w:r w:rsidRPr="00B6585E">
        <w:rPr>
          <w:color w:val="000000" w:themeColor="text1"/>
        </w:rPr>
        <w:t>Acknowledgement / approval of the study</w:t>
      </w:r>
      <w:bookmarkEnd w:id="281"/>
      <w:bookmarkEnd w:id="282"/>
      <w:bookmarkEnd w:id="283"/>
      <w:bookmarkEnd w:id="284"/>
      <w:bookmarkEnd w:id="285"/>
    </w:p>
    <w:p w14:paraId="718F1B79"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Investigator will submit this protocol and any related document provided to the subject (such as subject information used to obtain informed consent) to an Ethics Committee (EC) or Institutional Review Board (IRB). Approval from the ethics committee must be obtained before starting the study. </w:t>
      </w:r>
    </w:p>
    <w:p w14:paraId="1A1DF090" w14:textId="77777777" w:rsidR="00931A60" w:rsidRPr="00B6585E" w:rsidRDefault="00A221DB">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clinical trial will be performed in full compliance with the legal regulations according to the Drug Law (AMG - Arzneimittelgesetz) of the Republic of Austria.</w:t>
      </w:r>
    </w:p>
    <w:p w14:paraId="3AC8BBD0" w14:textId="1DFDC605" w:rsidR="00931A60" w:rsidRPr="00B6585E" w:rsidRDefault="00A221DB" w:rsidP="00173E81">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An application must also be submitted to the Austrian Competent Authorities (Bundesamt für Sicherheit im Gesundheitswesen (BASG) represented by the Agency for Health and Food Safety (AGES Medizin Marktaufsicht) and registered to the European Clinical Trial Database (EudraCT) using the required forms. The timelines for (silent) approval set by national law must be followed before starting the study.</w:t>
      </w:r>
    </w:p>
    <w:p w14:paraId="792D117A" w14:textId="559A16AC" w:rsidR="0046414F" w:rsidRPr="00B6585E" w:rsidRDefault="0046414F">
      <w:pPr>
        <w:pStyle w:val="Heading2"/>
        <w:rPr>
          <w:color w:val="000000" w:themeColor="text1"/>
        </w:rPr>
      </w:pPr>
      <w:bookmarkStart w:id="286" w:name="_Toc96925011"/>
      <w:r w:rsidRPr="00B6585E">
        <w:rPr>
          <w:color w:val="000000" w:themeColor="text1"/>
        </w:rPr>
        <w:t xml:space="preserve">Data </w:t>
      </w:r>
      <w:r w:rsidR="004D552B" w:rsidRPr="00B6585E">
        <w:rPr>
          <w:color w:val="000000" w:themeColor="text1"/>
        </w:rPr>
        <w:t>M</w:t>
      </w:r>
      <w:r w:rsidRPr="00B6585E">
        <w:rPr>
          <w:color w:val="000000" w:themeColor="text1"/>
        </w:rPr>
        <w:t xml:space="preserve">anagement and </w:t>
      </w:r>
      <w:r w:rsidR="00241753" w:rsidRPr="00B6585E">
        <w:rPr>
          <w:color w:val="000000" w:themeColor="text1"/>
        </w:rPr>
        <w:t>Safety</w:t>
      </w:r>
      <w:bookmarkEnd w:id="286"/>
    </w:p>
    <w:p w14:paraId="4948B714" w14:textId="07856039" w:rsidR="0046414F" w:rsidRPr="00B6585E" w:rsidRDefault="0046414F" w:rsidP="00252574">
      <w:pPr>
        <w:tabs>
          <w:tab w:val="left" w:pos="5040"/>
        </w:tabs>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All hard-copy forms, such as CRFs, source data and informed consents will be stored in locked rooms within a secured area and is only accessible by investigators involved in the trial. </w:t>
      </w:r>
    </w:p>
    <w:p w14:paraId="75D9AA95" w14:textId="02DF60CC" w:rsidR="00252574" w:rsidRPr="00B6585E" w:rsidRDefault="00252574" w:rsidP="00252574">
      <w:pPr>
        <w:tabs>
          <w:tab w:val="left" w:pos="5040"/>
        </w:tabs>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For electronic data management we will </w:t>
      </w:r>
      <w:r w:rsidR="00C167F4" w:rsidRPr="00B6585E">
        <w:rPr>
          <w:rFonts w:ascii="Arial" w:hAnsi="Arial" w:cs="Arial"/>
          <w:color w:val="000000" w:themeColor="text1"/>
          <w:sz w:val="22"/>
          <w:szCs w:val="22"/>
        </w:rPr>
        <w:t xml:space="preserve">use </w:t>
      </w:r>
      <w:r w:rsidRPr="00B6585E">
        <w:rPr>
          <w:rFonts w:ascii="Arial" w:hAnsi="Arial" w:cs="Arial"/>
          <w:color w:val="000000" w:themeColor="text1"/>
          <w:sz w:val="22"/>
          <w:szCs w:val="22"/>
        </w:rPr>
        <w:t>the</w:t>
      </w:r>
      <w:r w:rsidR="0046414F"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CLINCASE software</w:t>
      </w:r>
      <w:r w:rsidR="0046414F" w:rsidRPr="00B6585E">
        <w:rPr>
          <w:rFonts w:ascii="Arial" w:hAnsi="Arial" w:cs="Arial"/>
          <w:color w:val="000000" w:themeColor="text1"/>
          <w:sz w:val="22"/>
          <w:szCs w:val="22"/>
        </w:rPr>
        <w:t xml:space="preserve"> (Quadratek, Berlin, Germany).</w:t>
      </w:r>
      <w:r w:rsidRPr="00B6585E">
        <w:rPr>
          <w:rFonts w:ascii="Arial" w:hAnsi="Arial" w:cs="Arial"/>
          <w:color w:val="000000" w:themeColor="text1"/>
          <w:sz w:val="22"/>
          <w:szCs w:val="22"/>
        </w:rPr>
        <w:t xml:space="preserve"> Data storage and back up will be provided by IT Systems &amp; Communications (ITSC) – IT4Science (Medical University of Vienna). Access to data is strictly controlled and will only be provided to the Sponsor (Medical University of Vienna), the study investigators, ethic commission (E</w:t>
      </w:r>
      <w:r w:rsidR="00C167F4" w:rsidRPr="00B6585E">
        <w:rPr>
          <w:rFonts w:ascii="Arial" w:hAnsi="Arial" w:cs="Arial"/>
          <w:color w:val="000000" w:themeColor="text1"/>
          <w:sz w:val="22"/>
          <w:szCs w:val="22"/>
        </w:rPr>
        <w:t>t</w:t>
      </w:r>
      <w:r w:rsidRPr="00B6585E">
        <w:rPr>
          <w:rFonts w:ascii="Arial" w:hAnsi="Arial" w:cs="Arial"/>
          <w:color w:val="000000" w:themeColor="text1"/>
          <w:sz w:val="22"/>
          <w:szCs w:val="22"/>
        </w:rPr>
        <w:t xml:space="preserve">hic commission of the Medical University of Vienna) and if requested the Austrian Competent Authorities (Bundesamt für Sicherheit im Gesundheitswesen (BASG). Orion pharma will have no access to the data at any time. </w:t>
      </w:r>
    </w:p>
    <w:p w14:paraId="74392BD8" w14:textId="0A8530D5" w:rsidR="00CF797E" w:rsidRPr="00B6585E" w:rsidRDefault="00252574" w:rsidP="00252574">
      <w:pPr>
        <w:tabs>
          <w:tab w:val="left" w:pos="5040"/>
        </w:tabs>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All entries and changes in the CLINCASE software will be tracked.</w:t>
      </w:r>
    </w:p>
    <w:p w14:paraId="456FEAFE" w14:textId="30C27358" w:rsidR="006310C9" w:rsidRPr="00B6585E" w:rsidRDefault="006310C9" w:rsidP="00252574">
      <w:pPr>
        <w:tabs>
          <w:tab w:val="left" w:pos="5040"/>
        </w:tabs>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Data will be </w:t>
      </w:r>
      <w:r w:rsidR="00522B3C" w:rsidRPr="00B6585E">
        <w:rPr>
          <w:rFonts w:ascii="Arial" w:hAnsi="Arial" w:cs="Arial"/>
          <w:color w:val="000000" w:themeColor="text1"/>
          <w:sz w:val="22"/>
          <w:szCs w:val="22"/>
        </w:rPr>
        <w:t>stored</w:t>
      </w:r>
      <w:r w:rsidRPr="00B6585E">
        <w:rPr>
          <w:rFonts w:ascii="Arial" w:hAnsi="Arial" w:cs="Arial"/>
          <w:color w:val="000000" w:themeColor="text1"/>
          <w:sz w:val="22"/>
          <w:szCs w:val="22"/>
        </w:rPr>
        <w:t xml:space="preserve"> after publishin</w:t>
      </w:r>
      <w:r w:rsidR="00522B3C" w:rsidRPr="00B6585E">
        <w:rPr>
          <w:rFonts w:ascii="Arial" w:hAnsi="Arial" w:cs="Arial"/>
          <w:color w:val="000000" w:themeColor="text1"/>
          <w:sz w:val="22"/>
          <w:szCs w:val="22"/>
        </w:rPr>
        <w:t>g</w:t>
      </w:r>
      <w:r w:rsidRPr="00B6585E">
        <w:rPr>
          <w:rFonts w:ascii="Arial" w:hAnsi="Arial" w:cs="Arial"/>
          <w:color w:val="000000" w:themeColor="text1"/>
          <w:sz w:val="22"/>
          <w:szCs w:val="22"/>
        </w:rPr>
        <w:t xml:space="preserve"> of the trial and all</w:t>
      </w:r>
      <w:r w:rsidR="00522B3C" w:rsidRPr="00B6585E">
        <w:rPr>
          <w:rFonts w:ascii="Arial" w:hAnsi="Arial" w:cs="Arial"/>
          <w:color w:val="000000" w:themeColor="text1"/>
          <w:sz w:val="22"/>
          <w:szCs w:val="22"/>
        </w:rPr>
        <w:t xml:space="preserve"> of the</w:t>
      </w:r>
      <w:r w:rsidRPr="00B6585E">
        <w:rPr>
          <w:rFonts w:ascii="Arial" w:hAnsi="Arial" w:cs="Arial"/>
          <w:color w:val="000000" w:themeColor="text1"/>
          <w:sz w:val="22"/>
          <w:szCs w:val="22"/>
        </w:rPr>
        <w:t xml:space="preserve"> substudies by Iron Mountain Austrian Archivierungs GmbH </w:t>
      </w:r>
      <w:r w:rsidR="00522B3C" w:rsidRPr="00B6585E">
        <w:rPr>
          <w:rFonts w:ascii="Arial" w:hAnsi="Arial" w:cs="Arial"/>
          <w:color w:val="000000" w:themeColor="text1"/>
          <w:sz w:val="22"/>
          <w:szCs w:val="22"/>
        </w:rPr>
        <w:t>(</w:t>
      </w:r>
      <w:r w:rsidRPr="00B6585E">
        <w:rPr>
          <w:rFonts w:ascii="Arial" w:hAnsi="Arial" w:cs="Arial"/>
          <w:color w:val="000000" w:themeColor="text1"/>
          <w:sz w:val="22"/>
          <w:szCs w:val="22"/>
        </w:rPr>
        <w:t>Gewerbeparkstraße 3, 2282 Markgrafneusiedl</w:t>
      </w:r>
      <w:r w:rsidR="00522B3C" w:rsidRPr="00B6585E">
        <w:rPr>
          <w:rFonts w:ascii="Arial" w:hAnsi="Arial" w:cs="Arial"/>
          <w:color w:val="000000" w:themeColor="text1"/>
          <w:sz w:val="22"/>
          <w:szCs w:val="22"/>
        </w:rPr>
        <w:t>)</w:t>
      </w:r>
    </w:p>
    <w:p w14:paraId="48724891" w14:textId="77777777" w:rsidR="006310C9" w:rsidRPr="00B6585E" w:rsidRDefault="006310C9" w:rsidP="00252574">
      <w:pPr>
        <w:tabs>
          <w:tab w:val="left" w:pos="5040"/>
        </w:tabs>
        <w:spacing w:after="120"/>
        <w:ind w:right="-7"/>
        <w:jc w:val="both"/>
        <w:rPr>
          <w:rFonts w:ascii="Arial" w:hAnsi="Arial" w:cs="Arial"/>
          <w:color w:val="000000" w:themeColor="text1"/>
          <w:sz w:val="22"/>
          <w:szCs w:val="22"/>
        </w:rPr>
      </w:pPr>
    </w:p>
    <w:p w14:paraId="72A2E233" w14:textId="4D85F7E6" w:rsidR="00241753" w:rsidRPr="00B6585E" w:rsidRDefault="00241753">
      <w:pPr>
        <w:pStyle w:val="Heading2"/>
        <w:rPr>
          <w:color w:val="000000" w:themeColor="text1"/>
        </w:rPr>
      </w:pPr>
      <w:bookmarkStart w:id="287" w:name="_Toc96925012"/>
      <w:r w:rsidRPr="00B6585E">
        <w:rPr>
          <w:color w:val="000000" w:themeColor="text1"/>
        </w:rPr>
        <w:lastRenderedPageBreak/>
        <w:t xml:space="preserve">Quality </w:t>
      </w:r>
      <w:r w:rsidR="007D1DE4" w:rsidRPr="00B6585E">
        <w:rPr>
          <w:color w:val="000000" w:themeColor="text1"/>
        </w:rPr>
        <w:t>a</w:t>
      </w:r>
      <w:r w:rsidRPr="00B6585E">
        <w:rPr>
          <w:color w:val="000000" w:themeColor="text1"/>
        </w:rPr>
        <w:t>ssurance</w:t>
      </w:r>
      <w:bookmarkEnd w:id="287"/>
    </w:p>
    <w:p w14:paraId="5E60F855" w14:textId="6C98DDFF" w:rsidR="00CF797E" w:rsidRPr="00B6585E" w:rsidRDefault="00CF797E" w:rsidP="00CF797E">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To provide sufficient data quality all research personnel will undergo a training session prior to </w:t>
      </w:r>
      <w:r w:rsidR="00C167F4" w:rsidRPr="00B6585E">
        <w:rPr>
          <w:rFonts w:ascii="Arial" w:hAnsi="Arial" w:cs="Arial"/>
          <w:color w:val="000000" w:themeColor="text1"/>
          <w:sz w:val="22"/>
          <w:szCs w:val="22"/>
        </w:rPr>
        <w:t xml:space="preserve">the </w:t>
      </w:r>
      <w:r w:rsidRPr="00B6585E">
        <w:rPr>
          <w:rFonts w:ascii="Arial" w:hAnsi="Arial" w:cs="Arial"/>
          <w:color w:val="000000" w:themeColor="text1"/>
          <w:sz w:val="22"/>
          <w:szCs w:val="22"/>
        </w:rPr>
        <w:t>trial initiation to ensure consistency in trial procedures including data collection and reporting. A detailed trial Manual of Operations will be available that will outline each step of the protocol.</w:t>
      </w:r>
    </w:p>
    <w:p w14:paraId="78EB930E" w14:textId="007580BE" w:rsidR="007D1DE4" w:rsidRPr="00B6585E" w:rsidRDefault="007D1DE4" w:rsidP="00CF797E">
      <w:pPr>
        <w:jc w:val="both"/>
        <w:rPr>
          <w:rFonts w:ascii="Arial" w:hAnsi="Arial" w:cs="Arial"/>
          <w:color w:val="000000" w:themeColor="text1"/>
          <w:sz w:val="22"/>
          <w:szCs w:val="22"/>
        </w:rPr>
      </w:pPr>
    </w:p>
    <w:p w14:paraId="58BE0EA0" w14:textId="6FBDDA55" w:rsidR="007D1DE4" w:rsidRPr="00B6585E" w:rsidRDefault="007D1DE4">
      <w:pPr>
        <w:pStyle w:val="Heading2"/>
        <w:rPr>
          <w:color w:val="000000" w:themeColor="text1"/>
        </w:rPr>
      </w:pPr>
      <w:bookmarkStart w:id="288" w:name="_Toc96925013"/>
      <w:r w:rsidRPr="00B6585E">
        <w:rPr>
          <w:color w:val="000000" w:themeColor="text1"/>
        </w:rPr>
        <w:t>Dissemination policy</w:t>
      </w:r>
      <w:bookmarkEnd w:id="288"/>
    </w:p>
    <w:p w14:paraId="36D8A7DB" w14:textId="3F89775F" w:rsidR="007D1DE4" w:rsidRPr="00B6585E" w:rsidRDefault="007D1DE4" w:rsidP="00CF797E">
      <w:pPr>
        <w:jc w:val="both"/>
        <w:rPr>
          <w:rFonts w:ascii="Arial" w:hAnsi="Arial" w:cs="Arial"/>
          <w:color w:val="000000" w:themeColor="text1"/>
          <w:sz w:val="22"/>
          <w:szCs w:val="22"/>
        </w:rPr>
      </w:pPr>
      <w:r w:rsidRPr="00B6585E">
        <w:rPr>
          <w:rFonts w:ascii="Arial" w:hAnsi="Arial" w:cs="Arial"/>
          <w:color w:val="000000" w:themeColor="text1"/>
          <w:sz w:val="22"/>
          <w:szCs w:val="22"/>
        </w:rPr>
        <w:t>Results of th</w:t>
      </w:r>
      <w:r w:rsidR="00C167F4" w:rsidRPr="00B6585E">
        <w:rPr>
          <w:rFonts w:ascii="Arial" w:hAnsi="Arial" w:cs="Arial"/>
          <w:color w:val="000000" w:themeColor="text1"/>
          <w:sz w:val="22"/>
          <w:szCs w:val="22"/>
        </w:rPr>
        <w:t>is</w:t>
      </w:r>
      <w:r w:rsidRPr="00B6585E">
        <w:rPr>
          <w:rFonts w:ascii="Arial" w:hAnsi="Arial" w:cs="Arial"/>
          <w:color w:val="000000" w:themeColor="text1"/>
          <w:sz w:val="22"/>
          <w:szCs w:val="22"/>
        </w:rPr>
        <w:t xml:space="preserve"> study are planned to be published in a peer review journal. The manuscript for publication will be the authors</w:t>
      </w:r>
      <w:r w:rsidR="00C167F4"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own work and professional writers are not intended to be involved. </w:t>
      </w:r>
    </w:p>
    <w:p w14:paraId="5BC0E39E" w14:textId="29E5ECD0" w:rsidR="007D1DE4" w:rsidRPr="00B6585E" w:rsidRDefault="007D1DE4" w:rsidP="00CF797E">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We further intend to publish the study protocol in a peer review journal. </w:t>
      </w:r>
    </w:p>
    <w:p w14:paraId="7AA9EFA2" w14:textId="31F54FBB" w:rsidR="00365F3E" w:rsidRPr="00B6585E" w:rsidRDefault="00365F3E" w:rsidP="007F1AEE">
      <w:pPr>
        <w:spacing w:after="120"/>
        <w:ind w:right="-7"/>
        <w:jc w:val="both"/>
        <w:rPr>
          <w:rFonts w:ascii="Arial" w:hAnsi="Arial" w:cs="Arial"/>
          <w:color w:val="000000" w:themeColor="text1"/>
          <w:sz w:val="22"/>
          <w:szCs w:val="22"/>
        </w:rPr>
      </w:pPr>
    </w:p>
    <w:p w14:paraId="0CFE50FA" w14:textId="61DFE980" w:rsidR="00522B3C" w:rsidRPr="00B6585E" w:rsidRDefault="00522B3C" w:rsidP="00522B3C">
      <w:pPr>
        <w:pStyle w:val="Heading2"/>
        <w:rPr>
          <w:color w:val="000000" w:themeColor="text1"/>
        </w:rPr>
      </w:pPr>
      <w:bookmarkStart w:id="289" w:name="_Toc96925014"/>
      <w:r w:rsidRPr="00B6585E">
        <w:rPr>
          <w:color w:val="000000" w:themeColor="text1"/>
        </w:rPr>
        <w:t>Insurance</w:t>
      </w:r>
      <w:bookmarkEnd w:id="289"/>
    </w:p>
    <w:p w14:paraId="5C38DB56" w14:textId="4A2DDB6E" w:rsidR="00522B3C" w:rsidRPr="00B6585E" w:rsidRDefault="00B81EC9" w:rsidP="007F1AEE">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For this trial the sponsor (Medical University of Vienna) will provide an insurance corporation with Zürich Ver</w:t>
      </w:r>
      <w:r w:rsidR="001B4CC4" w:rsidRPr="00B6585E">
        <w:rPr>
          <w:rFonts w:ascii="Arial" w:hAnsi="Arial" w:cs="Arial"/>
          <w:color w:val="000000" w:themeColor="text1"/>
          <w:sz w:val="22"/>
          <w:szCs w:val="22"/>
        </w:rPr>
        <w:t>s</w:t>
      </w:r>
      <w:r w:rsidRPr="00B6585E">
        <w:rPr>
          <w:rFonts w:ascii="Arial" w:hAnsi="Arial" w:cs="Arial"/>
          <w:color w:val="000000" w:themeColor="text1"/>
          <w:sz w:val="22"/>
          <w:szCs w:val="22"/>
        </w:rPr>
        <w:t>icherung</w:t>
      </w:r>
      <w:r w:rsidR="001B4CC4" w:rsidRPr="00B6585E">
        <w:rPr>
          <w:rFonts w:ascii="Arial" w:hAnsi="Arial" w:cs="Arial"/>
          <w:color w:val="000000" w:themeColor="text1"/>
          <w:sz w:val="22"/>
          <w:szCs w:val="22"/>
        </w:rPr>
        <w:t xml:space="preserve"> A</w:t>
      </w:r>
      <w:r w:rsidRPr="00B6585E">
        <w:rPr>
          <w:rFonts w:ascii="Arial" w:hAnsi="Arial" w:cs="Arial"/>
          <w:color w:val="000000" w:themeColor="text1"/>
          <w:sz w:val="22"/>
          <w:szCs w:val="22"/>
        </w:rPr>
        <w:t xml:space="preserve">ktiengesellschaft (Schwarzenbergplatz 15; 1010 Wien). </w:t>
      </w:r>
    </w:p>
    <w:p w14:paraId="27104EA7" w14:textId="3185C50B" w:rsidR="00B81EC9" w:rsidRPr="00B6585E" w:rsidRDefault="00B81EC9" w:rsidP="007F1AEE">
      <w:pPr>
        <w:spacing w:after="120"/>
        <w:ind w:right="-7"/>
        <w:jc w:val="both"/>
        <w:rPr>
          <w:rFonts w:ascii="Arial" w:hAnsi="Arial" w:cs="Arial"/>
          <w:color w:val="000000" w:themeColor="text1"/>
          <w:sz w:val="22"/>
          <w:szCs w:val="22"/>
        </w:rPr>
      </w:pPr>
    </w:p>
    <w:p w14:paraId="73E4F6AF" w14:textId="33EDD19C" w:rsidR="00B81EC9" w:rsidRPr="00B6585E" w:rsidRDefault="00B81EC9" w:rsidP="00B81EC9">
      <w:pPr>
        <w:pStyle w:val="Heading2"/>
        <w:rPr>
          <w:color w:val="000000" w:themeColor="text1"/>
        </w:rPr>
      </w:pPr>
      <w:bookmarkStart w:id="290" w:name="_Toc96925015"/>
      <w:r w:rsidRPr="00B6585E">
        <w:rPr>
          <w:color w:val="000000" w:themeColor="text1"/>
        </w:rPr>
        <w:t>Financing</w:t>
      </w:r>
      <w:bookmarkEnd w:id="290"/>
    </w:p>
    <w:p w14:paraId="377657A5" w14:textId="27721D49" w:rsidR="00365F3E" w:rsidRPr="00B6585E" w:rsidRDefault="00365F3E" w:rsidP="007F1AEE">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The study drug, including</w:t>
      </w:r>
      <w:r w:rsidR="00522B3C" w:rsidRPr="00B6585E">
        <w:rPr>
          <w:rFonts w:ascii="Arial" w:hAnsi="Arial" w:cs="Arial"/>
          <w:color w:val="000000" w:themeColor="text1"/>
          <w:sz w:val="22"/>
          <w:szCs w:val="22"/>
        </w:rPr>
        <w:t xml:space="preserve"> preparation and labeling of</w:t>
      </w:r>
      <w:r w:rsidRPr="00B6585E">
        <w:rPr>
          <w:rFonts w:ascii="Arial" w:hAnsi="Arial" w:cs="Arial"/>
          <w:color w:val="000000" w:themeColor="text1"/>
          <w:sz w:val="22"/>
          <w:szCs w:val="22"/>
        </w:rPr>
        <w:t xml:space="preserve"> levosimendan and placebo, will be </w:t>
      </w:r>
      <w:r w:rsidR="00B67A29" w:rsidRPr="00B6585E">
        <w:rPr>
          <w:rFonts w:ascii="Arial" w:hAnsi="Arial" w:cs="Arial"/>
          <w:color w:val="000000" w:themeColor="text1"/>
          <w:sz w:val="22"/>
          <w:szCs w:val="22"/>
        </w:rPr>
        <w:t>provided</w:t>
      </w:r>
      <w:r w:rsidRPr="00B6585E">
        <w:rPr>
          <w:rFonts w:ascii="Arial" w:hAnsi="Arial" w:cs="Arial"/>
          <w:color w:val="000000" w:themeColor="text1"/>
          <w:sz w:val="22"/>
          <w:szCs w:val="22"/>
        </w:rPr>
        <w:t xml:space="preserve"> by Orion Pharma (Orion Corporation, Espoo, Finland). Orion Pharma not involved in the protocol development and is whether involved in data analysis nor in manuscript publishing process</w:t>
      </w:r>
      <w:r w:rsidR="00522B3C" w:rsidRPr="00B6585E">
        <w:rPr>
          <w:rFonts w:ascii="Arial" w:hAnsi="Arial" w:cs="Arial"/>
          <w:color w:val="000000" w:themeColor="text1"/>
          <w:sz w:val="22"/>
          <w:szCs w:val="22"/>
        </w:rPr>
        <w:t xml:space="preserve"> of the main trial and of the substudies at any timepoint. </w:t>
      </w:r>
    </w:p>
    <w:p w14:paraId="53D331DF" w14:textId="682D1C90" w:rsidR="00365F3E" w:rsidRPr="00B6585E" w:rsidRDefault="00365F3E" w:rsidP="007F1AEE">
      <w:pPr>
        <w:spacing w:after="120"/>
        <w:ind w:right="-7"/>
        <w:jc w:val="both"/>
        <w:rPr>
          <w:rFonts w:ascii="Arial" w:hAnsi="Arial" w:cs="Arial"/>
          <w:color w:val="000000" w:themeColor="text1"/>
          <w:sz w:val="22"/>
          <w:szCs w:val="22"/>
        </w:rPr>
      </w:pPr>
    </w:p>
    <w:p w14:paraId="6066C8BB" w14:textId="77777777" w:rsidR="00B81EC9" w:rsidRPr="00B6585E" w:rsidRDefault="00B81EC9" w:rsidP="00B81EC9">
      <w:pPr>
        <w:pStyle w:val="Heading2"/>
        <w:rPr>
          <w:color w:val="000000" w:themeColor="text1"/>
        </w:rPr>
      </w:pPr>
      <w:bookmarkStart w:id="291" w:name="_Toc472863444"/>
      <w:bookmarkStart w:id="292" w:name="_Toc96925016"/>
      <w:bookmarkStart w:id="293" w:name="_Toc9107223"/>
      <w:bookmarkStart w:id="294" w:name="_Toc23231356"/>
      <w:bookmarkEnd w:id="291"/>
      <w:r w:rsidRPr="00B6585E">
        <w:rPr>
          <w:color w:val="000000" w:themeColor="text1"/>
        </w:rPr>
        <w:t>Substudies</w:t>
      </w:r>
      <w:bookmarkEnd w:id="292"/>
    </w:p>
    <w:p w14:paraId="622F85F9" w14:textId="770E56A6" w:rsidR="00B81EC9" w:rsidRPr="00B6585E" w:rsidRDefault="00B81EC9" w:rsidP="00B81EC9">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All substudies will not be part of the main protocol and the analysis and reporting of these substudies will be separate from the main study. </w:t>
      </w:r>
    </w:p>
    <w:p w14:paraId="6F5A4FF8" w14:textId="46A9A3BF" w:rsidR="008521A8" w:rsidRPr="00B6585E" w:rsidRDefault="008521A8" w:rsidP="00B81EC9">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trial protocol will be published in a peer-reviewed journal. </w:t>
      </w:r>
    </w:p>
    <w:p w14:paraId="74FBC221" w14:textId="26AF2076" w:rsidR="008521A8" w:rsidRPr="00B6585E" w:rsidRDefault="008521A8" w:rsidP="00B81EC9">
      <w:pPr>
        <w:spacing w:after="120"/>
        <w:ind w:right="-7"/>
        <w:jc w:val="both"/>
        <w:rPr>
          <w:rFonts w:ascii="Arial" w:hAnsi="Arial" w:cs="Arial"/>
          <w:color w:val="000000" w:themeColor="text1"/>
          <w:sz w:val="22"/>
          <w:szCs w:val="22"/>
        </w:rPr>
      </w:pPr>
      <w:r w:rsidRPr="00B6585E">
        <w:rPr>
          <w:rFonts w:ascii="Arial" w:hAnsi="Arial" w:cs="Arial"/>
          <w:color w:val="000000" w:themeColor="text1"/>
          <w:sz w:val="22"/>
          <w:szCs w:val="22"/>
        </w:rPr>
        <w:t xml:space="preserve">All substudies will be published separately from the main trial in a peer-reviewed journal. </w:t>
      </w:r>
    </w:p>
    <w:p w14:paraId="5EB3456B" w14:textId="77777777" w:rsidR="00931A60" w:rsidRPr="00B6585E" w:rsidRDefault="00A221DB" w:rsidP="00304D11">
      <w:pPr>
        <w:pStyle w:val="Heading1"/>
      </w:pPr>
      <w:bookmarkStart w:id="295" w:name="_Toc96925017"/>
      <w:r w:rsidRPr="00B6585E">
        <w:lastRenderedPageBreak/>
        <w:t>References</w:t>
      </w:r>
      <w:bookmarkEnd w:id="293"/>
      <w:bookmarkEnd w:id="294"/>
      <w:bookmarkEnd w:id="295"/>
    </w:p>
    <w:p w14:paraId="2CEDDB5B" w14:textId="578C7342" w:rsidR="00D02927" w:rsidRPr="00B6585E" w:rsidRDefault="00A221DB"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color w:val="000000" w:themeColor="text1"/>
        </w:rPr>
        <w:fldChar w:fldCharType="begin" w:fldLock="1"/>
      </w:r>
      <w:r w:rsidRPr="00B6585E">
        <w:rPr>
          <w:color w:val="000000" w:themeColor="text1"/>
          <w:lang w:val="de-AT"/>
        </w:rPr>
        <w:instrText>ADDIN Mendeley Bibliography CSL_BIBLIOGRAPHY</w:instrText>
      </w:r>
      <w:r w:rsidRPr="00B6585E">
        <w:rPr>
          <w:color w:val="000000" w:themeColor="text1"/>
        </w:rPr>
        <w:fldChar w:fldCharType="separate"/>
      </w:r>
      <w:bookmarkStart w:id="296" w:name="__Fieldmark__2541_2706913586"/>
      <w:bookmarkStart w:id="297" w:name="__Fieldmark__1611_3246776249"/>
      <w:r w:rsidR="00D02927" w:rsidRPr="00B6585E">
        <w:rPr>
          <w:rFonts w:ascii="Arial" w:hAnsi="Arial" w:cs="Arial"/>
          <w:noProof/>
          <w:color w:val="000000" w:themeColor="text1"/>
          <w:sz w:val="22"/>
          <w:lang w:val="de-AT"/>
        </w:rPr>
        <w:t xml:space="preserve">1. </w:t>
      </w:r>
      <w:r w:rsidR="00D02927" w:rsidRPr="00B6585E">
        <w:rPr>
          <w:rFonts w:ascii="Arial" w:hAnsi="Arial" w:cs="Arial"/>
          <w:noProof/>
          <w:color w:val="000000" w:themeColor="text1"/>
          <w:sz w:val="22"/>
          <w:lang w:val="de-AT"/>
        </w:rPr>
        <w:tab/>
        <w:t xml:space="preserve">Weiser TG, Regenbogen SE, Thompson KD, et al. </w:t>
      </w:r>
      <w:r w:rsidR="00D02927" w:rsidRPr="00B6585E">
        <w:rPr>
          <w:rFonts w:ascii="Arial" w:hAnsi="Arial" w:cs="Arial"/>
          <w:noProof/>
          <w:color w:val="000000" w:themeColor="text1"/>
          <w:sz w:val="22"/>
        </w:rPr>
        <w:t xml:space="preserve">An estimation of the global volume of surgery: a modelling strategy based on available data. </w:t>
      </w:r>
      <w:r w:rsidR="00D02927" w:rsidRPr="00B6585E">
        <w:rPr>
          <w:rFonts w:ascii="Arial" w:hAnsi="Arial" w:cs="Arial"/>
          <w:i/>
          <w:iCs/>
          <w:noProof/>
          <w:color w:val="000000" w:themeColor="text1"/>
          <w:sz w:val="22"/>
        </w:rPr>
        <w:t>Lancet</w:t>
      </w:r>
      <w:r w:rsidR="00D02927" w:rsidRPr="00B6585E">
        <w:rPr>
          <w:rFonts w:ascii="Arial" w:hAnsi="Arial" w:cs="Arial"/>
          <w:noProof/>
          <w:color w:val="000000" w:themeColor="text1"/>
          <w:sz w:val="22"/>
        </w:rPr>
        <w:t xml:space="preserve"> 2008; </w:t>
      </w:r>
      <w:r w:rsidR="00D02927" w:rsidRPr="00B6585E">
        <w:rPr>
          <w:rFonts w:ascii="Arial" w:hAnsi="Arial" w:cs="Arial"/>
          <w:b/>
          <w:bCs/>
          <w:noProof/>
          <w:color w:val="000000" w:themeColor="text1"/>
          <w:sz w:val="22"/>
        </w:rPr>
        <w:t>372</w:t>
      </w:r>
      <w:r w:rsidR="00D02927" w:rsidRPr="00B6585E">
        <w:rPr>
          <w:rFonts w:ascii="Arial" w:hAnsi="Arial" w:cs="Arial"/>
          <w:noProof/>
          <w:color w:val="000000" w:themeColor="text1"/>
          <w:sz w:val="22"/>
        </w:rPr>
        <w:t xml:space="preserve">: 139–44 </w:t>
      </w:r>
    </w:p>
    <w:p w14:paraId="3C0500CF"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 </w:t>
      </w:r>
      <w:r w:rsidRPr="00B6585E">
        <w:rPr>
          <w:rFonts w:ascii="Arial" w:hAnsi="Arial" w:cs="Arial"/>
          <w:noProof/>
          <w:color w:val="000000" w:themeColor="text1"/>
          <w:sz w:val="22"/>
        </w:rPr>
        <w:tab/>
        <w:t xml:space="preserve">Devereaux PJ, Sessler DI. Cardiac Complications in Patients Undergoing Major Noncardiac Surgery. </w:t>
      </w:r>
      <w:r w:rsidRPr="00B6585E">
        <w:rPr>
          <w:rFonts w:ascii="Arial" w:hAnsi="Arial" w:cs="Arial"/>
          <w:i/>
          <w:iCs/>
          <w:noProof/>
          <w:color w:val="000000" w:themeColor="text1"/>
          <w:sz w:val="22"/>
        </w:rPr>
        <w:t>N Engl J Med</w:t>
      </w:r>
      <w:r w:rsidRPr="00B6585E">
        <w:rPr>
          <w:rFonts w:ascii="Arial" w:hAnsi="Arial" w:cs="Arial"/>
          <w:noProof/>
          <w:color w:val="000000" w:themeColor="text1"/>
          <w:sz w:val="22"/>
        </w:rPr>
        <w:t xml:space="preserve"> [Internet] 2015; </w:t>
      </w:r>
      <w:r w:rsidRPr="00B6585E">
        <w:rPr>
          <w:rFonts w:ascii="Arial" w:hAnsi="Arial" w:cs="Arial"/>
          <w:b/>
          <w:bCs/>
          <w:noProof/>
          <w:color w:val="000000" w:themeColor="text1"/>
          <w:sz w:val="22"/>
        </w:rPr>
        <w:t>373</w:t>
      </w:r>
      <w:r w:rsidRPr="00B6585E">
        <w:rPr>
          <w:rFonts w:ascii="Arial" w:hAnsi="Arial" w:cs="Arial"/>
          <w:noProof/>
          <w:color w:val="000000" w:themeColor="text1"/>
          <w:sz w:val="22"/>
        </w:rPr>
        <w:t>: 2258–69 Available from: http://www.nejm.org/doi/10.1056/NEJMra1502824</w:t>
      </w:r>
    </w:p>
    <w:p w14:paraId="26FCDB5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 </w:t>
      </w:r>
      <w:r w:rsidRPr="00B6585E">
        <w:rPr>
          <w:rFonts w:ascii="Arial" w:hAnsi="Arial" w:cs="Arial"/>
          <w:noProof/>
          <w:color w:val="000000" w:themeColor="text1"/>
          <w:sz w:val="22"/>
        </w:rPr>
        <w:tab/>
        <w:t xml:space="preserve">Smilowitz NR, Gupta N, Ramakrishna H, Guo Y, Berger JS, Bangalore S. Perioperative Major Adverse Cardiovascular and Cerebrovascular Events Associated With Noncardiac Surgery. </w:t>
      </w:r>
      <w:r w:rsidRPr="00B6585E">
        <w:rPr>
          <w:rFonts w:ascii="Arial" w:hAnsi="Arial" w:cs="Arial"/>
          <w:i/>
          <w:iCs/>
          <w:noProof/>
          <w:color w:val="000000" w:themeColor="text1"/>
          <w:sz w:val="22"/>
        </w:rPr>
        <w:t>JAMA Cardiol</w:t>
      </w:r>
      <w:r w:rsidRPr="00B6585E">
        <w:rPr>
          <w:rFonts w:ascii="Arial" w:hAnsi="Arial" w:cs="Arial"/>
          <w:noProof/>
          <w:color w:val="000000" w:themeColor="text1"/>
          <w:sz w:val="22"/>
        </w:rPr>
        <w:t xml:space="preserve"> [Internet] 2017; </w:t>
      </w:r>
      <w:r w:rsidRPr="00B6585E">
        <w:rPr>
          <w:rFonts w:ascii="Arial" w:hAnsi="Arial" w:cs="Arial"/>
          <w:b/>
          <w:bCs/>
          <w:noProof/>
          <w:color w:val="000000" w:themeColor="text1"/>
          <w:sz w:val="22"/>
        </w:rPr>
        <w:t>2</w:t>
      </w:r>
      <w:r w:rsidRPr="00B6585E">
        <w:rPr>
          <w:rFonts w:ascii="Arial" w:hAnsi="Arial" w:cs="Arial"/>
          <w:noProof/>
          <w:color w:val="000000" w:themeColor="text1"/>
          <w:sz w:val="22"/>
        </w:rPr>
        <w:t>: 181–7 Available from: http://cardiology.jamanetwork.com/article.aspx?doi=10.1001/jamacardio.2016.4792</w:t>
      </w:r>
    </w:p>
    <w:p w14:paraId="4D787AA4"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 </w:t>
      </w:r>
      <w:r w:rsidRPr="00B6585E">
        <w:rPr>
          <w:rFonts w:ascii="Arial" w:hAnsi="Arial" w:cs="Arial"/>
          <w:noProof/>
          <w:color w:val="000000" w:themeColor="text1"/>
          <w:sz w:val="22"/>
        </w:rPr>
        <w:tab/>
        <w:t xml:space="preserve">Devereaux PJ, Chan MT V, Alonso-Coello P, et al. Association between postoperative troponin levels and 30-day mortality among patients undergoing noncardiac surgery. </w:t>
      </w:r>
      <w:r w:rsidRPr="00B6585E">
        <w:rPr>
          <w:rFonts w:ascii="Arial" w:hAnsi="Arial" w:cs="Arial"/>
          <w:i/>
          <w:iCs/>
          <w:noProof/>
          <w:color w:val="000000" w:themeColor="text1"/>
          <w:sz w:val="22"/>
        </w:rPr>
        <w:t>JAMA</w:t>
      </w:r>
      <w:r w:rsidRPr="00B6585E">
        <w:rPr>
          <w:rFonts w:ascii="Arial" w:hAnsi="Arial" w:cs="Arial"/>
          <w:noProof/>
          <w:color w:val="000000" w:themeColor="text1"/>
          <w:sz w:val="22"/>
        </w:rPr>
        <w:t xml:space="preserve"> [Internet] 2012; </w:t>
      </w:r>
      <w:r w:rsidRPr="00B6585E">
        <w:rPr>
          <w:rFonts w:ascii="Arial" w:hAnsi="Arial" w:cs="Arial"/>
          <w:b/>
          <w:bCs/>
          <w:noProof/>
          <w:color w:val="000000" w:themeColor="text1"/>
          <w:sz w:val="22"/>
        </w:rPr>
        <w:t>307</w:t>
      </w:r>
      <w:r w:rsidRPr="00B6585E">
        <w:rPr>
          <w:rFonts w:ascii="Arial" w:hAnsi="Arial" w:cs="Arial"/>
          <w:noProof/>
          <w:color w:val="000000" w:themeColor="text1"/>
          <w:sz w:val="22"/>
        </w:rPr>
        <w:t>: 2295–304 Available from: http://www.ncbi.nlm.nih.gov/pubmed/22706835</w:t>
      </w:r>
    </w:p>
    <w:p w14:paraId="2205C916"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5. </w:t>
      </w:r>
      <w:r w:rsidRPr="00B6585E">
        <w:rPr>
          <w:rFonts w:ascii="Arial" w:hAnsi="Arial" w:cs="Arial"/>
          <w:noProof/>
          <w:color w:val="000000" w:themeColor="text1"/>
          <w:sz w:val="22"/>
        </w:rPr>
        <w:tab/>
        <w:t xml:space="preserve">D.I. S, N.M. Z, G. M, et al. Period-dependent Associations between Hypotension during and for Four Days after Noncardiac Surgery and a Composite of Myocardial Infarction and Death: A Substudy of the POISE-2 Trial. </w:t>
      </w:r>
      <w:r w:rsidRPr="00B6585E">
        <w:rPr>
          <w:rFonts w:ascii="Arial" w:hAnsi="Arial" w:cs="Arial"/>
          <w:i/>
          <w:iCs/>
          <w:noProof/>
          <w:color w:val="000000" w:themeColor="text1"/>
          <w:sz w:val="22"/>
        </w:rPr>
        <w:t>Anesthesiology</w:t>
      </w:r>
      <w:r w:rsidRPr="00B6585E">
        <w:rPr>
          <w:rFonts w:ascii="Arial" w:hAnsi="Arial" w:cs="Arial"/>
          <w:noProof/>
          <w:color w:val="000000" w:themeColor="text1"/>
          <w:sz w:val="22"/>
        </w:rPr>
        <w:t xml:space="preserve"> 2018; </w:t>
      </w:r>
      <w:r w:rsidRPr="00B6585E">
        <w:rPr>
          <w:rFonts w:ascii="Arial" w:hAnsi="Arial" w:cs="Arial"/>
          <w:b/>
          <w:bCs/>
          <w:noProof/>
          <w:color w:val="000000" w:themeColor="text1"/>
          <w:sz w:val="22"/>
        </w:rPr>
        <w:t>128</w:t>
      </w:r>
      <w:r w:rsidRPr="00B6585E">
        <w:rPr>
          <w:rFonts w:ascii="Arial" w:hAnsi="Arial" w:cs="Arial"/>
          <w:noProof/>
          <w:color w:val="000000" w:themeColor="text1"/>
          <w:sz w:val="22"/>
        </w:rPr>
        <w:t xml:space="preserve">: 317–27 </w:t>
      </w:r>
    </w:p>
    <w:p w14:paraId="53000CDC"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6. </w:t>
      </w:r>
      <w:r w:rsidRPr="00B6585E">
        <w:rPr>
          <w:rFonts w:ascii="Arial" w:hAnsi="Arial" w:cs="Arial"/>
          <w:noProof/>
          <w:color w:val="000000" w:themeColor="text1"/>
          <w:sz w:val="22"/>
        </w:rPr>
        <w:tab/>
        <w:t xml:space="preserve">Abbott TEF, Pearse RM, Archbold RA, et al. A Prospective International Multicentre Cohort Study of Intraoperative Heart Rate and Systolic Blood Pressure and Myocardial Injury After Noncardiac Surgery: Results of the VISION Study. </w:t>
      </w:r>
      <w:r w:rsidRPr="00B6585E">
        <w:rPr>
          <w:rFonts w:ascii="Arial" w:hAnsi="Arial" w:cs="Arial"/>
          <w:i/>
          <w:iCs/>
          <w:noProof/>
          <w:color w:val="000000" w:themeColor="text1"/>
          <w:sz w:val="22"/>
        </w:rPr>
        <w:t>Anesth Analg</w:t>
      </w:r>
      <w:r w:rsidRPr="00B6585E">
        <w:rPr>
          <w:rFonts w:ascii="Arial" w:hAnsi="Arial" w:cs="Arial"/>
          <w:noProof/>
          <w:color w:val="000000" w:themeColor="text1"/>
          <w:sz w:val="22"/>
        </w:rPr>
        <w:t xml:space="preserve"> 2018; </w:t>
      </w:r>
      <w:r w:rsidRPr="00B6585E">
        <w:rPr>
          <w:rFonts w:ascii="Arial" w:hAnsi="Arial" w:cs="Arial"/>
          <w:b/>
          <w:bCs/>
          <w:noProof/>
          <w:color w:val="000000" w:themeColor="text1"/>
          <w:sz w:val="22"/>
        </w:rPr>
        <w:t>126</w:t>
      </w:r>
      <w:r w:rsidRPr="00B6585E">
        <w:rPr>
          <w:rFonts w:ascii="Arial" w:hAnsi="Arial" w:cs="Arial"/>
          <w:noProof/>
          <w:color w:val="000000" w:themeColor="text1"/>
          <w:sz w:val="22"/>
        </w:rPr>
        <w:t xml:space="preserve">: 1936–45 </w:t>
      </w:r>
    </w:p>
    <w:p w14:paraId="43FA32C8"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7. </w:t>
      </w:r>
      <w:r w:rsidRPr="00B6585E">
        <w:rPr>
          <w:rFonts w:ascii="Arial" w:hAnsi="Arial" w:cs="Arial"/>
          <w:noProof/>
          <w:color w:val="000000" w:themeColor="text1"/>
          <w:sz w:val="22"/>
        </w:rPr>
        <w:tab/>
        <w:t xml:space="preserve">Rodseth RN, Biccard BM, Chu R, et al. Postoperative B-type natriuretic peptide for prediction of major cardiac events in patients undergoing noncardiac surgery: systematic review and individual patient meta-analysis. </w:t>
      </w:r>
      <w:r w:rsidRPr="00B6585E">
        <w:rPr>
          <w:rFonts w:ascii="Arial" w:hAnsi="Arial" w:cs="Arial"/>
          <w:i/>
          <w:iCs/>
          <w:noProof/>
          <w:color w:val="000000" w:themeColor="text1"/>
          <w:sz w:val="22"/>
        </w:rPr>
        <w:t>Anesthesiology</w:t>
      </w:r>
      <w:r w:rsidRPr="00B6585E">
        <w:rPr>
          <w:rFonts w:ascii="Arial" w:hAnsi="Arial" w:cs="Arial"/>
          <w:noProof/>
          <w:color w:val="000000" w:themeColor="text1"/>
          <w:sz w:val="22"/>
        </w:rPr>
        <w:t xml:space="preserve"> [Internet] 2013; </w:t>
      </w:r>
      <w:r w:rsidRPr="00B6585E">
        <w:rPr>
          <w:rFonts w:ascii="Arial" w:hAnsi="Arial" w:cs="Arial"/>
          <w:b/>
          <w:bCs/>
          <w:noProof/>
          <w:color w:val="000000" w:themeColor="text1"/>
          <w:sz w:val="22"/>
        </w:rPr>
        <w:t>119</w:t>
      </w:r>
      <w:r w:rsidRPr="00B6585E">
        <w:rPr>
          <w:rFonts w:ascii="Arial" w:hAnsi="Arial" w:cs="Arial"/>
          <w:noProof/>
          <w:color w:val="000000" w:themeColor="text1"/>
          <w:sz w:val="22"/>
        </w:rPr>
        <w:t>: 270–83 Available from: http://www.ncbi.nlm.nih.gov/pubmed/23528538</w:t>
      </w:r>
    </w:p>
    <w:p w14:paraId="707AFAD8"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lang w:val="de-AT"/>
        </w:rPr>
        <w:t xml:space="preserve">8. </w:t>
      </w:r>
      <w:r w:rsidRPr="00B6585E">
        <w:rPr>
          <w:rFonts w:ascii="Arial" w:hAnsi="Arial" w:cs="Arial"/>
          <w:noProof/>
          <w:color w:val="000000" w:themeColor="text1"/>
          <w:sz w:val="22"/>
          <w:lang w:val="de-AT"/>
        </w:rPr>
        <w:tab/>
        <w:t xml:space="preserve">Kopec M, Duma A, Helwani MA, et al. </w:t>
      </w:r>
      <w:r w:rsidRPr="00B6585E">
        <w:rPr>
          <w:rFonts w:ascii="Arial" w:hAnsi="Arial" w:cs="Arial"/>
          <w:noProof/>
          <w:color w:val="000000" w:themeColor="text1"/>
          <w:sz w:val="22"/>
        </w:rPr>
        <w:t xml:space="preserve">Improving prediction of postoperative myocardial infarction with high-sensitivity cardiac troponin T and NT-proBNP. </w:t>
      </w:r>
      <w:r w:rsidRPr="00B6585E">
        <w:rPr>
          <w:rFonts w:ascii="Arial" w:hAnsi="Arial" w:cs="Arial"/>
          <w:i/>
          <w:iCs/>
          <w:noProof/>
          <w:color w:val="000000" w:themeColor="text1"/>
          <w:sz w:val="22"/>
        </w:rPr>
        <w:t>Anesth Analg</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124</w:t>
      </w:r>
      <w:r w:rsidRPr="00B6585E">
        <w:rPr>
          <w:rFonts w:ascii="Arial" w:hAnsi="Arial" w:cs="Arial"/>
          <w:noProof/>
          <w:color w:val="000000" w:themeColor="text1"/>
          <w:sz w:val="22"/>
        </w:rPr>
        <w:t xml:space="preserve">: 398–405 </w:t>
      </w:r>
    </w:p>
    <w:p w14:paraId="38F628A8"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9. </w:t>
      </w:r>
      <w:r w:rsidRPr="00B6585E">
        <w:rPr>
          <w:rFonts w:ascii="Arial" w:hAnsi="Arial" w:cs="Arial"/>
          <w:noProof/>
          <w:color w:val="000000" w:themeColor="text1"/>
          <w:sz w:val="22"/>
        </w:rPr>
        <w:tab/>
        <w:t xml:space="preserve">Zois NE, Bartels ED, Hunter I, Kousholt BS, Olsen LH, Goetze JP. Natriuretic peptides in cardiometabolic regulation and disease. </w:t>
      </w:r>
      <w:r w:rsidRPr="00B6585E">
        <w:rPr>
          <w:rFonts w:ascii="Arial" w:hAnsi="Arial" w:cs="Arial"/>
          <w:i/>
          <w:iCs/>
          <w:noProof/>
          <w:color w:val="000000" w:themeColor="text1"/>
          <w:sz w:val="22"/>
        </w:rPr>
        <w:t>Nat Rev Cardiol</w:t>
      </w:r>
      <w:r w:rsidRPr="00B6585E">
        <w:rPr>
          <w:rFonts w:ascii="Arial" w:hAnsi="Arial" w:cs="Arial"/>
          <w:noProof/>
          <w:color w:val="000000" w:themeColor="text1"/>
          <w:sz w:val="22"/>
        </w:rPr>
        <w:t xml:space="preserve"> [Internet] Nature Publishing Group; 2014; </w:t>
      </w:r>
      <w:r w:rsidRPr="00B6585E">
        <w:rPr>
          <w:rFonts w:ascii="Arial" w:hAnsi="Arial" w:cs="Arial"/>
          <w:b/>
          <w:bCs/>
          <w:noProof/>
          <w:color w:val="000000" w:themeColor="text1"/>
          <w:sz w:val="22"/>
        </w:rPr>
        <w:t>11</w:t>
      </w:r>
      <w:r w:rsidRPr="00B6585E">
        <w:rPr>
          <w:rFonts w:ascii="Arial" w:hAnsi="Arial" w:cs="Arial"/>
          <w:noProof/>
          <w:color w:val="000000" w:themeColor="text1"/>
          <w:sz w:val="22"/>
        </w:rPr>
        <w:t>: 403–12 Available from: http://dx.doi.org/10.1038/nrcardio.2014.64</w:t>
      </w:r>
    </w:p>
    <w:p w14:paraId="568275F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10. </w:t>
      </w:r>
      <w:r w:rsidRPr="00B6585E">
        <w:rPr>
          <w:rFonts w:ascii="Arial" w:hAnsi="Arial" w:cs="Arial"/>
          <w:noProof/>
          <w:color w:val="000000" w:themeColor="text1"/>
          <w:sz w:val="22"/>
        </w:rPr>
        <w:tab/>
        <w:t xml:space="preserve">Abassi Z, Karram T, Ellaham S, Winaver J, Hoffman A. Implications of the natriuretic peptide system in the pathogenesis of heart failure: Diagnostic and therapeutic importance. </w:t>
      </w:r>
      <w:r w:rsidRPr="00B6585E">
        <w:rPr>
          <w:rFonts w:ascii="Arial" w:hAnsi="Arial" w:cs="Arial"/>
          <w:i/>
          <w:iCs/>
          <w:noProof/>
          <w:color w:val="000000" w:themeColor="text1"/>
          <w:sz w:val="22"/>
        </w:rPr>
        <w:t>Pharmacol Ther</w:t>
      </w:r>
      <w:r w:rsidRPr="00B6585E">
        <w:rPr>
          <w:rFonts w:ascii="Arial" w:hAnsi="Arial" w:cs="Arial"/>
          <w:noProof/>
          <w:color w:val="000000" w:themeColor="text1"/>
          <w:sz w:val="22"/>
        </w:rPr>
        <w:t xml:space="preserve"> 2004; </w:t>
      </w:r>
      <w:r w:rsidRPr="00B6585E">
        <w:rPr>
          <w:rFonts w:ascii="Arial" w:hAnsi="Arial" w:cs="Arial"/>
          <w:b/>
          <w:bCs/>
          <w:noProof/>
          <w:color w:val="000000" w:themeColor="text1"/>
          <w:sz w:val="22"/>
        </w:rPr>
        <w:t>102</w:t>
      </w:r>
      <w:r w:rsidRPr="00B6585E">
        <w:rPr>
          <w:rFonts w:ascii="Arial" w:hAnsi="Arial" w:cs="Arial"/>
          <w:noProof/>
          <w:color w:val="000000" w:themeColor="text1"/>
          <w:sz w:val="22"/>
        </w:rPr>
        <w:t xml:space="preserve">: 223–41 </w:t>
      </w:r>
    </w:p>
    <w:p w14:paraId="65F57D9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11. </w:t>
      </w:r>
      <w:r w:rsidRPr="00B6585E">
        <w:rPr>
          <w:rFonts w:ascii="Arial" w:hAnsi="Arial" w:cs="Arial"/>
          <w:noProof/>
          <w:color w:val="000000" w:themeColor="text1"/>
          <w:sz w:val="22"/>
        </w:rPr>
        <w:tab/>
        <w:t xml:space="preserve">Rodseth RN, Biccard BM, Le Manach Y, et al. The prognostic value of pre-operative and post-operative B-type natriuretic peptides in patients undergoing noncardiac surgery: B-type natriuretic peptide and N-terminal fragment of pro-B-type natriuretic peptide: A systematic review and individual patien. </w:t>
      </w:r>
      <w:r w:rsidRPr="00B6585E">
        <w:rPr>
          <w:rFonts w:ascii="Arial" w:hAnsi="Arial" w:cs="Arial"/>
          <w:i/>
          <w:iCs/>
          <w:noProof/>
          <w:color w:val="000000" w:themeColor="text1"/>
          <w:sz w:val="22"/>
        </w:rPr>
        <w:t>J Am Coll Cardiol</w:t>
      </w:r>
      <w:r w:rsidRPr="00B6585E">
        <w:rPr>
          <w:rFonts w:ascii="Arial" w:hAnsi="Arial" w:cs="Arial"/>
          <w:noProof/>
          <w:color w:val="000000" w:themeColor="text1"/>
          <w:sz w:val="22"/>
        </w:rPr>
        <w:t xml:space="preserve"> 2014; </w:t>
      </w:r>
      <w:r w:rsidRPr="00B6585E">
        <w:rPr>
          <w:rFonts w:ascii="Arial" w:hAnsi="Arial" w:cs="Arial"/>
          <w:b/>
          <w:bCs/>
          <w:noProof/>
          <w:color w:val="000000" w:themeColor="text1"/>
          <w:sz w:val="22"/>
        </w:rPr>
        <w:t>63</w:t>
      </w:r>
      <w:r w:rsidRPr="00B6585E">
        <w:rPr>
          <w:rFonts w:ascii="Arial" w:hAnsi="Arial" w:cs="Arial"/>
          <w:noProof/>
          <w:color w:val="000000" w:themeColor="text1"/>
          <w:sz w:val="22"/>
        </w:rPr>
        <w:t xml:space="preserve">: 170–80 </w:t>
      </w:r>
    </w:p>
    <w:p w14:paraId="15E10944"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12. </w:t>
      </w:r>
      <w:r w:rsidRPr="00B6585E">
        <w:rPr>
          <w:rFonts w:ascii="Arial" w:hAnsi="Arial" w:cs="Arial"/>
          <w:noProof/>
          <w:color w:val="000000" w:themeColor="text1"/>
          <w:sz w:val="22"/>
        </w:rPr>
        <w:tab/>
        <w:t xml:space="preserve">Duceppe E, Parlow J, MacDonald P, et al. Canadian Cardiovascular Society Guidelines on Perioperative Cardiac Risk Assessment and Management for Patients Who Undergo Noncardiac Surgery. </w:t>
      </w:r>
      <w:r w:rsidRPr="00B6585E">
        <w:rPr>
          <w:rFonts w:ascii="Arial" w:hAnsi="Arial" w:cs="Arial"/>
          <w:i/>
          <w:iCs/>
          <w:noProof/>
          <w:color w:val="000000" w:themeColor="text1"/>
          <w:sz w:val="22"/>
        </w:rPr>
        <w:t>Can J Cardiol</w:t>
      </w:r>
      <w:r w:rsidRPr="00B6585E">
        <w:rPr>
          <w:rFonts w:ascii="Arial" w:hAnsi="Arial" w:cs="Arial"/>
          <w:noProof/>
          <w:color w:val="000000" w:themeColor="text1"/>
          <w:sz w:val="22"/>
        </w:rPr>
        <w:t xml:space="preserve"> [Internet] Canadian Cardiovascular Society; 2017; </w:t>
      </w:r>
      <w:r w:rsidRPr="00B6585E">
        <w:rPr>
          <w:rFonts w:ascii="Arial" w:hAnsi="Arial" w:cs="Arial"/>
          <w:b/>
          <w:bCs/>
          <w:noProof/>
          <w:color w:val="000000" w:themeColor="text1"/>
          <w:sz w:val="22"/>
        </w:rPr>
        <w:t>33</w:t>
      </w:r>
      <w:r w:rsidRPr="00B6585E">
        <w:rPr>
          <w:rFonts w:ascii="Arial" w:hAnsi="Arial" w:cs="Arial"/>
          <w:noProof/>
          <w:color w:val="000000" w:themeColor="text1"/>
          <w:sz w:val="22"/>
        </w:rPr>
        <w:t>: 17–32 Available from: http://dx.doi.org/10.1016/j.cjca.2016.09.008</w:t>
      </w:r>
    </w:p>
    <w:p w14:paraId="752D3AA2"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13. </w:t>
      </w:r>
      <w:r w:rsidRPr="00B6585E">
        <w:rPr>
          <w:rFonts w:ascii="Arial" w:hAnsi="Arial" w:cs="Arial"/>
          <w:noProof/>
          <w:color w:val="000000" w:themeColor="text1"/>
          <w:sz w:val="22"/>
        </w:rPr>
        <w:tab/>
        <w:t xml:space="preserve">Devereaux PJ, Biccard BM, Sigamani A, et al. Association of postoperative high-sensitivity troponin levels with myocardial injury and 30-day mortality among patients undergoing noncardiac surgery. </w:t>
      </w:r>
      <w:r w:rsidRPr="00B6585E">
        <w:rPr>
          <w:rFonts w:ascii="Arial" w:hAnsi="Arial" w:cs="Arial"/>
          <w:i/>
          <w:iCs/>
          <w:noProof/>
          <w:color w:val="000000" w:themeColor="text1"/>
          <w:sz w:val="22"/>
        </w:rPr>
        <w:t>JAMA - J Am Med Assoc</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317</w:t>
      </w:r>
      <w:r w:rsidRPr="00B6585E">
        <w:rPr>
          <w:rFonts w:ascii="Arial" w:hAnsi="Arial" w:cs="Arial"/>
          <w:noProof/>
          <w:color w:val="000000" w:themeColor="text1"/>
          <w:sz w:val="22"/>
        </w:rPr>
        <w:t xml:space="preserve">: 1642–51 </w:t>
      </w:r>
    </w:p>
    <w:p w14:paraId="632F5D3F"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14. </w:t>
      </w:r>
      <w:r w:rsidRPr="00B6585E">
        <w:rPr>
          <w:rFonts w:ascii="Arial" w:hAnsi="Arial" w:cs="Arial"/>
          <w:noProof/>
          <w:color w:val="000000" w:themeColor="text1"/>
          <w:sz w:val="22"/>
        </w:rPr>
        <w:tab/>
        <w:t xml:space="preserve">Tritapepe L, De Santis V, Vitale D, et al. Levosimendan pre-treatment improves outcomes in patients undergoing coronary artery bypass graft surgery. </w:t>
      </w:r>
      <w:r w:rsidRPr="00B6585E">
        <w:rPr>
          <w:rFonts w:ascii="Arial" w:hAnsi="Arial" w:cs="Arial"/>
          <w:i/>
          <w:iCs/>
          <w:noProof/>
          <w:color w:val="000000" w:themeColor="text1"/>
          <w:sz w:val="22"/>
        </w:rPr>
        <w:t>Br J Anaesth</w:t>
      </w:r>
      <w:r w:rsidRPr="00B6585E">
        <w:rPr>
          <w:rFonts w:ascii="Arial" w:hAnsi="Arial" w:cs="Arial"/>
          <w:noProof/>
          <w:color w:val="000000" w:themeColor="text1"/>
          <w:sz w:val="22"/>
        </w:rPr>
        <w:t xml:space="preserve"> [Internet] British Journal of Anaesthesia; 2009; </w:t>
      </w:r>
      <w:r w:rsidRPr="00B6585E">
        <w:rPr>
          <w:rFonts w:ascii="Arial" w:hAnsi="Arial" w:cs="Arial"/>
          <w:b/>
          <w:bCs/>
          <w:noProof/>
          <w:color w:val="000000" w:themeColor="text1"/>
          <w:sz w:val="22"/>
        </w:rPr>
        <w:t>102</w:t>
      </w:r>
      <w:r w:rsidRPr="00B6585E">
        <w:rPr>
          <w:rFonts w:ascii="Arial" w:hAnsi="Arial" w:cs="Arial"/>
          <w:noProof/>
          <w:color w:val="000000" w:themeColor="text1"/>
          <w:sz w:val="22"/>
        </w:rPr>
        <w:t>: 198–204 Available from: http://dx.doi.org/10.1093/bja/aen367</w:t>
      </w:r>
    </w:p>
    <w:p w14:paraId="2B193898"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15. </w:t>
      </w:r>
      <w:r w:rsidRPr="00B6585E">
        <w:rPr>
          <w:rFonts w:ascii="Arial" w:hAnsi="Arial" w:cs="Arial"/>
          <w:noProof/>
          <w:color w:val="000000" w:themeColor="text1"/>
          <w:sz w:val="22"/>
        </w:rPr>
        <w:tab/>
        <w:t xml:space="preserve">Levin R, Degrange M, Del Mazo C, Tanus E, Porcile R. Preoperative levosimendan </w:t>
      </w:r>
      <w:r w:rsidRPr="00B6585E">
        <w:rPr>
          <w:rFonts w:ascii="Arial" w:hAnsi="Arial" w:cs="Arial"/>
          <w:noProof/>
          <w:color w:val="000000" w:themeColor="text1"/>
          <w:sz w:val="22"/>
        </w:rPr>
        <w:lastRenderedPageBreak/>
        <w:t xml:space="preserve">decreases mortality and the development of low cardiac output in high-risk patients with severe left ventricular dysfunction undergoing coronary artery bypass grafting with cardiopulmonary bypass. </w:t>
      </w:r>
      <w:r w:rsidRPr="00B6585E">
        <w:rPr>
          <w:rFonts w:ascii="Arial" w:hAnsi="Arial" w:cs="Arial"/>
          <w:i/>
          <w:iCs/>
          <w:noProof/>
          <w:color w:val="000000" w:themeColor="text1"/>
          <w:sz w:val="22"/>
        </w:rPr>
        <w:t>Exp Clin Cardiol</w:t>
      </w:r>
      <w:r w:rsidRPr="00B6585E">
        <w:rPr>
          <w:rFonts w:ascii="Arial" w:hAnsi="Arial" w:cs="Arial"/>
          <w:noProof/>
          <w:color w:val="000000" w:themeColor="text1"/>
          <w:sz w:val="22"/>
        </w:rPr>
        <w:t xml:space="preserve"> 2012; </w:t>
      </w:r>
      <w:r w:rsidRPr="00B6585E">
        <w:rPr>
          <w:rFonts w:ascii="Arial" w:hAnsi="Arial" w:cs="Arial"/>
          <w:b/>
          <w:bCs/>
          <w:noProof/>
          <w:color w:val="000000" w:themeColor="text1"/>
          <w:sz w:val="22"/>
        </w:rPr>
        <w:t>17</w:t>
      </w:r>
      <w:r w:rsidRPr="00B6585E">
        <w:rPr>
          <w:rFonts w:ascii="Arial" w:hAnsi="Arial" w:cs="Arial"/>
          <w:noProof/>
          <w:color w:val="000000" w:themeColor="text1"/>
          <w:sz w:val="22"/>
        </w:rPr>
        <w:t xml:space="preserve">: 125–30 </w:t>
      </w:r>
    </w:p>
    <w:p w14:paraId="019CD89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16. </w:t>
      </w:r>
      <w:r w:rsidRPr="00B6585E">
        <w:rPr>
          <w:rFonts w:ascii="Arial" w:hAnsi="Arial" w:cs="Arial"/>
          <w:noProof/>
          <w:color w:val="000000" w:themeColor="text1"/>
          <w:sz w:val="22"/>
        </w:rPr>
        <w:tab/>
        <w:t xml:space="preserve">Eris C, Yavuz S, Toktas F, et al. Preoperative usages of levosimendan in patients undergoing coronary artery bypass grafting. </w:t>
      </w:r>
      <w:r w:rsidRPr="00B6585E">
        <w:rPr>
          <w:rFonts w:ascii="Arial" w:hAnsi="Arial" w:cs="Arial"/>
          <w:i/>
          <w:iCs/>
          <w:noProof/>
          <w:color w:val="000000" w:themeColor="text1"/>
          <w:sz w:val="22"/>
        </w:rPr>
        <w:t>Int J Clin Exp Med</w:t>
      </w:r>
      <w:r w:rsidRPr="00B6585E">
        <w:rPr>
          <w:rFonts w:ascii="Arial" w:hAnsi="Arial" w:cs="Arial"/>
          <w:noProof/>
          <w:color w:val="000000" w:themeColor="text1"/>
          <w:sz w:val="22"/>
        </w:rPr>
        <w:t xml:space="preserve"> 2014; </w:t>
      </w:r>
      <w:r w:rsidRPr="00B6585E">
        <w:rPr>
          <w:rFonts w:ascii="Arial" w:hAnsi="Arial" w:cs="Arial"/>
          <w:b/>
          <w:bCs/>
          <w:noProof/>
          <w:color w:val="000000" w:themeColor="text1"/>
          <w:sz w:val="22"/>
        </w:rPr>
        <w:t>7</w:t>
      </w:r>
      <w:r w:rsidRPr="00B6585E">
        <w:rPr>
          <w:rFonts w:ascii="Arial" w:hAnsi="Arial" w:cs="Arial"/>
          <w:noProof/>
          <w:color w:val="000000" w:themeColor="text1"/>
          <w:sz w:val="22"/>
        </w:rPr>
        <w:t xml:space="preserve">: 219–29 </w:t>
      </w:r>
    </w:p>
    <w:p w14:paraId="792EDE1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17. </w:t>
      </w:r>
      <w:r w:rsidRPr="00B6585E">
        <w:rPr>
          <w:rFonts w:ascii="Arial" w:hAnsi="Arial" w:cs="Arial"/>
          <w:noProof/>
          <w:color w:val="000000" w:themeColor="text1"/>
          <w:sz w:val="22"/>
        </w:rPr>
        <w:tab/>
        <w:t xml:space="preserve">Mehta RH, Leimberger JD, van Diepen S, et al. Levosimendan in Patients with Left Ventricular Dysfunction Undergoing Cardiac Surgery. </w:t>
      </w:r>
      <w:r w:rsidRPr="00B6585E">
        <w:rPr>
          <w:rFonts w:ascii="Arial" w:hAnsi="Arial" w:cs="Arial"/>
          <w:i/>
          <w:iCs/>
          <w:noProof/>
          <w:color w:val="000000" w:themeColor="text1"/>
          <w:sz w:val="22"/>
        </w:rPr>
        <w:t>N Engl J Med</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376</w:t>
      </w:r>
      <w:r w:rsidRPr="00B6585E">
        <w:rPr>
          <w:rFonts w:ascii="Arial" w:hAnsi="Arial" w:cs="Arial"/>
          <w:noProof/>
          <w:color w:val="000000" w:themeColor="text1"/>
          <w:sz w:val="22"/>
        </w:rPr>
        <w:t xml:space="preserve">: 2032–42 </w:t>
      </w:r>
    </w:p>
    <w:p w14:paraId="160C1200"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18. </w:t>
      </w:r>
      <w:r w:rsidRPr="00B6585E">
        <w:rPr>
          <w:rFonts w:ascii="Arial" w:hAnsi="Arial" w:cs="Arial"/>
          <w:noProof/>
          <w:color w:val="000000" w:themeColor="text1"/>
          <w:sz w:val="22"/>
        </w:rPr>
        <w:tab/>
        <w:t xml:space="preserve">Cholley B, Caruba T, Grosjean S, et al. Effect of Levosimendan on Low Cardiac Output Syndrome in Patients With Low Ejection Fraction Undergoing Coronary Artery Bypass Grafting With Cardiopulmonary Bypass. </w:t>
      </w:r>
      <w:r w:rsidRPr="00B6585E">
        <w:rPr>
          <w:rFonts w:ascii="Arial" w:hAnsi="Arial" w:cs="Arial"/>
          <w:i/>
          <w:iCs/>
          <w:noProof/>
          <w:color w:val="000000" w:themeColor="text1"/>
          <w:sz w:val="22"/>
        </w:rPr>
        <w:t>Jama</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318</w:t>
      </w:r>
      <w:r w:rsidRPr="00B6585E">
        <w:rPr>
          <w:rFonts w:ascii="Arial" w:hAnsi="Arial" w:cs="Arial"/>
          <w:noProof/>
          <w:color w:val="000000" w:themeColor="text1"/>
          <w:sz w:val="22"/>
        </w:rPr>
        <w:t xml:space="preserve">: 548 </w:t>
      </w:r>
    </w:p>
    <w:p w14:paraId="681B34A2"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19. </w:t>
      </w:r>
      <w:r w:rsidRPr="00B6585E">
        <w:rPr>
          <w:rFonts w:ascii="Arial" w:hAnsi="Arial" w:cs="Arial"/>
          <w:noProof/>
          <w:color w:val="000000" w:themeColor="text1"/>
          <w:sz w:val="22"/>
        </w:rPr>
        <w:tab/>
        <w:t xml:space="preserve">Putzu A, Clivio S, Belletti A, Cassina T. Perioperative levosimendan in cardiac surgery: A systematic review with meta-analysis and trial sequential analysis. </w:t>
      </w:r>
      <w:r w:rsidRPr="00B6585E">
        <w:rPr>
          <w:rFonts w:ascii="Arial" w:hAnsi="Arial" w:cs="Arial"/>
          <w:i/>
          <w:iCs/>
          <w:noProof/>
          <w:color w:val="000000" w:themeColor="text1"/>
          <w:sz w:val="22"/>
        </w:rPr>
        <w:t>Int J Cardiol</w:t>
      </w:r>
      <w:r w:rsidRPr="00B6585E">
        <w:rPr>
          <w:rFonts w:ascii="Arial" w:hAnsi="Arial" w:cs="Arial"/>
          <w:noProof/>
          <w:color w:val="000000" w:themeColor="text1"/>
          <w:sz w:val="22"/>
        </w:rPr>
        <w:t xml:space="preserve"> [Internet] Elsevier B.V.; 2018; </w:t>
      </w:r>
      <w:r w:rsidRPr="00B6585E">
        <w:rPr>
          <w:rFonts w:ascii="Arial" w:hAnsi="Arial" w:cs="Arial"/>
          <w:b/>
          <w:bCs/>
          <w:noProof/>
          <w:color w:val="000000" w:themeColor="text1"/>
          <w:sz w:val="22"/>
        </w:rPr>
        <w:t>251</w:t>
      </w:r>
      <w:r w:rsidRPr="00B6585E">
        <w:rPr>
          <w:rFonts w:ascii="Arial" w:hAnsi="Arial" w:cs="Arial"/>
          <w:noProof/>
          <w:color w:val="000000" w:themeColor="text1"/>
          <w:sz w:val="22"/>
        </w:rPr>
        <w:t>: 22–31 Available from: https://doi.org/10.1016/j.ijcard.2017.10.077</w:t>
      </w:r>
    </w:p>
    <w:p w14:paraId="76BF1240"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20. </w:t>
      </w:r>
      <w:r w:rsidRPr="00B6585E">
        <w:rPr>
          <w:rFonts w:ascii="Arial" w:hAnsi="Arial" w:cs="Arial"/>
          <w:noProof/>
          <w:color w:val="000000" w:themeColor="text1"/>
          <w:sz w:val="22"/>
        </w:rPr>
        <w:tab/>
        <w:t xml:space="preserve">Iwanaga Y, Nishi I, Furuichi S, et al. B-type natriuretic peptide strongly reflects diastolic wall stress in patients with chronic heart failure: Comparison between systolic and diastolic heart failure. </w:t>
      </w:r>
      <w:r w:rsidRPr="00B6585E">
        <w:rPr>
          <w:rFonts w:ascii="Arial" w:hAnsi="Arial" w:cs="Arial"/>
          <w:i/>
          <w:iCs/>
          <w:noProof/>
          <w:color w:val="000000" w:themeColor="text1"/>
          <w:sz w:val="22"/>
        </w:rPr>
        <w:t>J Am Coll Cardiol</w:t>
      </w:r>
      <w:r w:rsidRPr="00B6585E">
        <w:rPr>
          <w:rFonts w:ascii="Arial" w:hAnsi="Arial" w:cs="Arial"/>
          <w:noProof/>
          <w:color w:val="000000" w:themeColor="text1"/>
          <w:sz w:val="22"/>
        </w:rPr>
        <w:t xml:space="preserve"> [Internet] Elsevier Masson SAS; 2006; </w:t>
      </w:r>
      <w:r w:rsidRPr="00B6585E">
        <w:rPr>
          <w:rFonts w:ascii="Arial" w:hAnsi="Arial" w:cs="Arial"/>
          <w:b/>
          <w:bCs/>
          <w:noProof/>
          <w:color w:val="000000" w:themeColor="text1"/>
          <w:sz w:val="22"/>
        </w:rPr>
        <w:t>47</w:t>
      </w:r>
      <w:r w:rsidRPr="00B6585E">
        <w:rPr>
          <w:rFonts w:ascii="Arial" w:hAnsi="Arial" w:cs="Arial"/>
          <w:noProof/>
          <w:color w:val="000000" w:themeColor="text1"/>
          <w:sz w:val="22"/>
        </w:rPr>
        <w:t>: 742–8 Available from: http://dx.doi.org/10.1016/j.jacc.2005.11.030</w:t>
      </w:r>
    </w:p>
    <w:p w14:paraId="1B2C1491"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21. </w:t>
      </w:r>
      <w:r w:rsidRPr="00B6585E">
        <w:rPr>
          <w:rFonts w:ascii="Arial" w:hAnsi="Arial" w:cs="Arial"/>
          <w:noProof/>
          <w:color w:val="000000" w:themeColor="text1"/>
          <w:sz w:val="22"/>
        </w:rPr>
        <w:tab/>
        <w:t xml:space="preserve">Egom EE. BNP and Heart Failure: Preclinical and Clinical Trial Data. </w:t>
      </w:r>
      <w:r w:rsidRPr="00B6585E">
        <w:rPr>
          <w:rFonts w:ascii="Arial" w:hAnsi="Arial" w:cs="Arial"/>
          <w:i/>
          <w:iCs/>
          <w:noProof/>
          <w:color w:val="000000" w:themeColor="text1"/>
          <w:sz w:val="22"/>
        </w:rPr>
        <w:t>J Cardiovasc Transl Res</w:t>
      </w:r>
      <w:r w:rsidRPr="00B6585E">
        <w:rPr>
          <w:rFonts w:ascii="Arial" w:hAnsi="Arial" w:cs="Arial"/>
          <w:noProof/>
          <w:color w:val="000000" w:themeColor="text1"/>
          <w:sz w:val="22"/>
        </w:rPr>
        <w:t xml:space="preserve"> 2015; </w:t>
      </w:r>
      <w:r w:rsidRPr="00B6585E">
        <w:rPr>
          <w:rFonts w:ascii="Arial" w:hAnsi="Arial" w:cs="Arial"/>
          <w:b/>
          <w:bCs/>
          <w:noProof/>
          <w:color w:val="000000" w:themeColor="text1"/>
          <w:sz w:val="22"/>
        </w:rPr>
        <w:t>8</w:t>
      </w:r>
      <w:r w:rsidRPr="00B6585E">
        <w:rPr>
          <w:rFonts w:ascii="Arial" w:hAnsi="Arial" w:cs="Arial"/>
          <w:noProof/>
          <w:color w:val="000000" w:themeColor="text1"/>
          <w:sz w:val="22"/>
        </w:rPr>
        <w:t xml:space="preserve">: 149–57 </w:t>
      </w:r>
    </w:p>
    <w:p w14:paraId="051DC723"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22. </w:t>
      </w:r>
      <w:r w:rsidRPr="00B6585E">
        <w:rPr>
          <w:rFonts w:ascii="Arial" w:hAnsi="Arial" w:cs="Arial"/>
          <w:noProof/>
          <w:color w:val="000000" w:themeColor="text1"/>
          <w:sz w:val="22"/>
        </w:rPr>
        <w:tab/>
        <w:t xml:space="preserve">Van Veldhuisen DJ, Linssen GCM, Jaarsma T, et al. B-type natriuretic peptide and prognosis in heart failure patients with preserved and reduced ejection fraction. </w:t>
      </w:r>
      <w:r w:rsidRPr="00B6585E">
        <w:rPr>
          <w:rFonts w:ascii="Arial" w:hAnsi="Arial" w:cs="Arial"/>
          <w:i/>
          <w:iCs/>
          <w:noProof/>
          <w:color w:val="000000" w:themeColor="text1"/>
          <w:sz w:val="22"/>
        </w:rPr>
        <w:t>J Am Coll Cardiol</w:t>
      </w:r>
      <w:r w:rsidRPr="00B6585E">
        <w:rPr>
          <w:rFonts w:ascii="Arial" w:hAnsi="Arial" w:cs="Arial"/>
          <w:noProof/>
          <w:color w:val="000000" w:themeColor="text1"/>
          <w:sz w:val="22"/>
        </w:rPr>
        <w:t xml:space="preserve"> Elsevier Inc.; 2013; </w:t>
      </w:r>
      <w:r w:rsidRPr="00B6585E">
        <w:rPr>
          <w:rFonts w:ascii="Arial" w:hAnsi="Arial" w:cs="Arial"/>
          <w:b/>
          <w:bCs/>
          <w:noProof/>
          <w:color w:val="000000" w:themeColor="text1"/>
          <w:sz w:val="22"/>
        </w:rPr>
        <w:t>61</w:t>
      </w:r>
      <w:r w:rsidRPr="00B6585E">
        <w:rPr>
          <w:rFonts w:ascii="Arial" w:hAnsi="Arial" w:cs="Arial"/>
          <w:noProof/>
          <w:color w:val="000000" w:themeColor="text1"/>
          <w:sz w:val="22"/>
        </w:rPr>
        <w:t xml:space="preserve">: 1498–506 </w:t>
      </w:r>
    </w:p>
    <w:p w14:paraId="626D2FA0"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23. </w:t>
      </w:r>
      <w:r w:rsidRPr="00B6585E">
        <w:rPr>
          <w:rFonts w:ascii="Arial" w:hAnsi="Arial" w:cs="Arial"/>
          <w:noProof/>
          <w:color w:val="000000" w:themeColor="text1"/>
          <w:sz w:val="22"/>
        </w:rPr>
        <w:tab/>
        <w:t xml:space="preserve">Mak GS, DeMaria A, Clopton P, Maisel AS. Utility of B-natriuretic peptide in the evaluation of left ventricular diastolic function: Comparison with tissue Doppler imaging recordings. </w:t>
      </w:r>
      <w:r w:rsidRPr="00B6585E">
        <w:rPr>
          <w:rFonts w:ascii="Arial" w:hAnsi="Arial" w:cs="Arial"/>
          <w:i/>
          <w:iCs/>
          <w:noProof/>
          <w:color w:val="000000" w:themeColor="text1"/>
          <w:sz w:val="22"/>
        </w:rPr>
        <w:t>Am Heart J</w:t>
      </w:r>
      <w:r w:rsidRPr="00B6585E">
        <w:rPr>
          <w:rFonts w:ascii="Arial" w:hAnsi="Arial" w:cs="Arial"/>
          <w:noProof/>
          <w:color w:val="000000" w:themeColor="text1"/>
          <w:sz w:val="22"/>
        </w:rPr>
        <w:t xml:space="preserve"> 2004; </w:t>
      </w:r>
      <w:r w:rsidRPr="00B6585E">
        <w:rPr>
          <w:rFonts w:ascii="Arial" w:hAnsi="Arial" w:cs="Arial"/>
          <w:b/>
          <w:bCs/>
          <w:noProof/>
          <w:color w:val="000000" w:themeColor="text1"/>
          <w:sz w:val="22"/>
        </w:rPr>
        <w:t>148</w:t>
      </w:r>
      <w:r w:rsidRPr="00B6585E">
        <w:rPr>
          <w:rFonts w:ascii="Arial" w:hAnsi="Arial" w:cs="Arial"/>
          <w:noProof/>
          <w:color w:val="000000" w:themeColor="text1"/>
          <w:sz w:val="22"/>
        </w:rPr>
        <w:t xml:space="preserve">: 895–902 </w:t>
      </w:r>
    </w:p>
    <w:p w14:paraId="11C909E2"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24. </w:t>
      </w:r>
      <w:r w:rsidRPr="00B6585E">
        <w:rPr>
          <w:rFonts w:ascii="Arial" w:hAnsi="Arial" w:cs="Arial"/>
          <w:noProof/>
          <w:color w:val="000000" w:themeColor="text1"/>
          <w:sz w:val="22"/>
        </w:rPr>
        <w:tab/>
        <w:t xml:space="preserve">Mahadavan G, Nguyen TH, Horowitz JD. Brain natriuretic peptide: a biomarker for all cardiac disease? </w:t>
      </w:r>
      <w:r w:rsidRPr="00B6585E">
        <w:rPr>
          <w:rFonts w:ascii="Arial" w:hAnsi="Arial" w:cs="Arial"/>
          <w:i/>
          <w:iCs/>
          <w:noProof/>
          <w:color w:val="000000" w:themeColor="text1"/>
          <w:sz w:val="22"/>
        </w:rPr>
        <w:t>Curr Opin Cardiol</w:t>
      </w:r>
      <w:r w:rsidRPr="00B6585E">
        <w:rPr>
          <w:rFonts w:ascii="Arial" w:hAnsi="Arial" w:cs="Arial"/>
          <w:noProof/>
          <w:color w:val="000000" w:themeColor="text1"/>
          <w:sz w:val="22"/>
        </w:rPr>
        <w:t xml:space="preserve"> [Internet] 2014; </w:t>
      </w:r>
      <w:r w:rsidRPr="00B6585E">
        <w:rPr>
          <w:rFonts w:ascii="Arial" w:hAnsi="Arial" w:cs="Arial"/>
          <w:b/>
          <w:bCs/>
          <w:noProof/>
          <w:color w:val="000000" w:themeColor="text1"/>
          <w:sz w:val="22"/>
        </w:rPr>
        <w:t>29</w:t>
      </w:r>
      <w:r w:rsidRPr="00B6585E">
        <w:rPr>
          <w:rFonts w:ascii="Arial" w:hAnsi="Arial" w:cs="Arial"/>
          <w:noProof/>
          <w:color w:val="000000" w:themeColor="text1"/>
          <w:sz w:val="22"/>
        </w:rPr>
        <w:t>: 160–6 Available from: http://content.wkhealth.com/linkback/openurl?sid=WKPTLP:landingpage&amp;an=00001573-201403000-00008</w:t>
      </w:r>
    </w:p>
    <w:p w14:paraId="688CE722"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25. </w:t>
      </w:r>
      <w:r w:rsidRPr="00B6585E">
        <w:rPr>
          <w:rFonts w:ascii="Arial" w:hAnsi="Arial" w:cs="Arial"/>
          <w:noProof/>
          <w:color w:val="000000" w:themeColor="text1"/>
          <w:sz w:val="22"/>
        </w:rPr>
        <w:tab/>
        <w:t xml:space="preserve">Mebazaa A, Nieminen M, Packer M, et al. Levosimendan vs Dobutamine for Patients. </w:t>
      </w:r>
      <w:r w:rsidRPr="00B6585E">
        <w:rPr>
          <w:rFonts w:ascii="Arial" w:hAnsi="Arial" w:cs="Arial"/>
          <w:i/>
          <w:iCs/>
          <w:noProof/>
          <w:color w:val="000000" w:themeColor="text1"/>
          <w:sz w:val="22"/>
        </w:rPr>
        <w:t>JAMA</w:t>
      </w:r>
      <w:r w:rsidRPr="00B6585E">
        <w:rPr>
          <w:rFonts w:ascii="Arial" w:hAnsi="Arial" w:cs="Arial"/>
          <w:noProof/>
          <w:color w:val="000000" w:themeColor="text1"/>
          <w:sz w:val="22"/>
        </w:rPr>
        <w:t xml:space="preserve"> 2007; </w:t>
      </w:r>
      <w:r w:rsidRPr="00B6585E">
        <w:rPr>
          <w:rFonts w:ascii="Arial" w:hAnsi="Arial" w:cs="Arial"/>
          <w:b/>
          <w:bCs/>
          <w:noProof/>
          <w:color w:val="000000" w:themeColor="text1"/>
          <w:sz w:val="22"/>
        </w:rPr>
        <w:t>297</w:t>
      </w:r>
      <w:r w:rsidRPr="00B6585E">
        <w:rPr>
          <w:rFonts w:ascii="Arial" w:hAnsi="Arial" w:cs="Arial"/>
          <w:noProof/>
          <w:color w:val="000000" w:themeColor="text1"/>
          <w:sz w:val="22"/>
        </w:rPr>
        <w:t xml:space="preserve">: 1883–91 </w:t>
      </w:r>
    </w:p>
    <w:p w14:paraId="008C00DC"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26. </w:t>
      </w:r>
      <w:r w:rsidRPr="00B6585E">
        <w:rPr>
          <w:rFonts w:ascii="Arial" w:hAnsi="Arial" w:cs="Arial"/>
          <w:noProof/>
          <w:color w:val="000000" w:themeColor="text1"/>
          <w:sz w:val="22"/>
        </w:rPr>
        <w:tab/>
        <w:t xml:space="preserve">Devereaux PJ, Szczeklik W. Myocardial injury after non-cardiac surgery: diagnosis and management. </w:t>
      </w:r>
      <w:r w:rsidRPr="00B6585E">
        <w:rPr>
          <w:rFonts w:ascii="Arial" w:hAnsi="Arial" w:cs="Arial"/>
          <w:i/>
          <w:iCs/>
          <w:noProof/>
          <w:color w:val="000000" w:themeColor="text1"/>
          <w:sz w:val="22"/>
        </w:rPr>
        <w:t>Eur Heart J</w:t>
      </w:r>
      <w:r w:rsidRPr="00B6585E">
        <w:rPr>
          <w:rFonts w:ascii="Arial" w:hAnsi="Arial" w:cs="Arial"/>
          <w:noProof/>
          <w:color w:val="000000" w:themeColor="text1"/>
          <w:sz w:val="22"/>
        </w:rPr>
        <w:t xml:space="preserve"> 2019; </w:t>
      </w:r>
      <w:r w:rsidRPr="00B6585E">
        <w:rPr>
          <w:rFonts w:ascii="Arial" w:hAnsi="Arial" w:cs="Arial"/>
          <w:b/>
          <w:bCs/>
          <w:noProof/>
          <w:color w:val="000000" w:themeColor="text1"/>
          <w:sz w:val="22"/>
        </w:rPr>
        <w:t>0</w:t>
      </w:r>
      <w:r w:rsidRPr="00B6585E">
        <w:rPr>
          <w:rFonts w:ascii="Arial" w:hAnsi="Arial" w:cs="Arial"/>
          <w:noProof/>
          <w:color w:val="000000" w:themeColor="text1"/>
          <w:sz w:val="22"/>
        </w:rPr>
        <w:t xml:space="preserve">: 1–9 </w:t>
      </w:r>
    </w:p>
    <w:p w14:paraId="1609B4EB"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27. </w:t>
      </w:r>
      <w:r w:rsidRPr="00B6585E">
        <w:rPr>
          <w:rFonts w:ascii="Arial" w:hAnsi="Arial" w:cs="Arial"/>
          <w:noProof/>
          <w:color w:val="000000" w:themeColor="text1"/>
          <w:sz w:val="22"/>
        </w:rPr>
        <w:tab/>
        <w:t xml:space="preserve">Thygesen K, Alpert JS, Jaffe A, et al. Universal definition of myocardial infarction (2018). </w:t>
      </w:r>
      <w:r w:rsidRPr="00B6585E">
        <w:rPr>
          <w:rFonts w:ascii="Arial" w:hAnsi="Arial" w:cs="Arial"/>
          <w:i/>
          <w:iCs/>
          <w:noProof/>
          <w:color w:val="000000" w:themeColor="text1"/>
          <w:sz w:val="22"/>
        </w:rPr>
        <w:t>Circulation</w:t>
      </w:r>
      <w:r w:rsidRPr="00B6585E">
        <w:rPr>
          <w:rFonts w:ascii="Arial" w:hAnsi="Arial" w:cs="Arial"/>
          <w:noProof/>
          <w:color w:val="000000" w:themeColor="text1"/>
          <w:sz w:val="22"/>
        </w:rPr>
        <w:t xml:space="preserve"> 2019; 237–69 </w:t>
      </w:r>
    </w:p>
    <w:p w14:paraId="0D6E494F"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28. </w:t>
      </w:r>
      <w:r w:rsidRPr="00B6585E">
        <w:rPr>
          <w:rFonts w:ascii="Arial" w:hAnsi="Arial" w:cs="Arial"/>
          <w:noProof/>
          <w:color w:val="000000" w:themeColor="text1"/>
          <w:sz w:val="22"/>
        </w:rPr>
        <w:tab/>
        <w:t xml:space="preserve">Südfeld S, Brechnitz S, Wagner JY, et al. Post-induction hypotension and early intraoperative hypotension associated with general anaesthesia. </w:t>
      </w:r>
      <w:r w:rsidRPr="00B6585E">
        <w:rPr>
          <w:rFonts w:ascii="Arial" w:hAnsi="Arial" w:cs="Arial"/>
          <w:i/>
          <w:iCs/>
          <w:noProof/>
          <w:color w:val="000000" w:themeColor="text1"/>
          <w:sz w:val="22"/>
        </w:rPr>
        <w:t>Br J Anaesth</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119</w:t>
      </w:r>
      <w:r w:rsidRPr="00B6585E">
        <w:rPr>
          <w:rFonts w:ascii="Arial" w:hAnsi="Arial" w:cs="Arial"/>
          <w:noProof/>
          <w:color w:val="000000" w:themeColor="text1"/>
          <w:sz w:val="22"/>
        </w:rPr>
        <w:t xml:space="preserve">: 57–64 </w:t>
      </w:r>
    </w:p>
    <w:p w14:paraId="5AFF0193"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29. </w:t>
      </w:r>
      <w:r w:rsidRPr="00B6585E">
        <w:rPr>
          <w:rFonts w:ascii="Arial" w:hAnsi="Arial" w:cs="Arial"/>
          <w:noProof/>
          <w:color w:val="000000" w:themeColor="text1"/>
          <w:sz w:val="22"/>
        </w:rPr>
        <w:tab/>
      </w:r>
      <w:r w:rsidRPr="00E86DD8">
        <w:rPr>
          <w:rFonts w:ascii="Arial" w:hAnsi="Arial" w:cs="Arial"/>
          <w:noProof/>
          <w:color w:val="000000" w:themeColor="text1"/>
          <w:sz w:val="22"/>
        </w:rPr>
        <w:t xml:space="preserve">Salmasi V, Maheshwari K, Yang D, et al. </w:t>
      </w:r>
      <w:r w:rsidRPr="00B6585E">
        <w:rPr>
          <w:rFonts w:ascii="Arial" w:hAnsi="Arial" w:cs="Arial"/>
          <w:noProof/>
          <w:color w:val="000000" w:themeColor="text1"/>
          <w:sz w:val="22"/>
        </w:rPr>
        <w:t xml:space="preserve">Thresholds , and Acute Kidney and Myocardial Injury after Noncardiac Surgery A Retrospective Cohort Analysis. </w:t>
      </w:r>
      <w:r w:rsidRPr="00B6585E">
        <w:rPr>
          <w:rFonts w:ascii="Arial" w:hAnsi="Arial" w:cs="Arial"/>
          <w:i/>
          <w:iCs/>
          <w:noProof/>
          <w:color w:val="000000" w:themeColor="text1"/>
          <w:sz w:val="22"/>
        </w:rPr>
        <w:t>Anesthesiology</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126</w:t>
      </w:r>
      <w:r w:rsidRPr="00B6585E">
        <w:rPr>
          <w:rFonts w:ascii="Arial" w:hAnsi="Arial" w:cs="Arial"/>
          <w:noProof/>
          <w:color w:val="000000" w:themeColor="text1"/>
          <w:sz w:val="22"/>
        </w:rPr>
        <w:t xml:space="preserve">: 47–65 </w:t>
      </w:r>
    </w:p>
    <w:p w14:paraId="03EC4A7F"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30. </w:t>
      </w:r>
      <w:r w:rsidRPr="00B6585E">
        <w:rPr>
          <w:rFonts w:ascii="Arial" w:hAnsi="Arial" w:cs="Arial"/>
          <w:noProof/>
          <w:color w:val="000000" w:themeColor="text1"/>
          <w:sz w:val="22"/>
        </w:rPr>
        <w:tab/>
        <w:t xml:space="preserve">Feldheiser A, Pavlova V, Bonomo T, et al. Balanced crystalloid compared with balanced colloid solution using a goal-directed haemodynamic algorithm. </w:t>
      </w:r>
      <w:r w:rsidRPr="00B6585E">
        <w:rPr>
          <w:rFonts w:ascii="Arial" w:hAnsi="Arial" w:cs="Arial"/>
          <w:i/>
          <w:iCs/>
          <w:noProof/>
          <w:color w:val="000000" w:themeColor="text1"/>
          <w:sz w:val="22"/>
        </w:rPr>
        <w:t>Br J Anaesth</w:t>
      </w:r>
      <w:r w:rsidRPr="00B6585E">
        <w:rPr>
          <w:rFonts w:ascii="Arial" w:hAnsi="Arial" w:cs="Arial"/>
          <w:noProof/>
          <w:color w:val="000000" w:themeColor="text1"/>
          <w:sz w:val="22"/>
        </w:rPr>
        <w:t xml:space="preserve"> [Internet] The Author(s); 2012; </w:t>
      </w:r>
      <w:r w:rsidRPr="00B6585E">
        <w:rPr>
          <w:rFonts w:ascii="Arial" w:hAnsi="Arial" w:cs="Arial"/>
          <w:b/>
          <w:bCs/>
          <w:noProof/>
          <w:color w:val="000000" w:themeColor="text1"/>
          <w:sz w:val="22"/>
        </w:rPr>
        <w:t>110</w:t>
      </w:r>
      <w:r w:rsidRPr="00B6585E">
        <w:rPr>
          <w:rFonts w:ascii="Arial" w:hAnsi="Arial" w:cs="Arial"/>
          <w:noProof/>
          <w:color w:val="000000" w:themeColor="text1"/>
          <w:sz w:val="22"/>
        </w:rPr>
        <w:t>: 231–40 Available from: http://dx.doi.org/10.1093/bja/aes377</w:t>
      </w:r>
    </w:p>
    <w:p w14:paraId="1AF29D17"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31. </w:t>
      </w:r>
      <w:r w:rsidRPr="00B6585E">
        <w:rPr>
          <w:rFonts w:ascii="Arial" w:hAnsi="Arial" w:cs="Arial"/>
          <w:noProof/>
          <w:color w:val="000000" w:themeColor="text1"/>
          <w:sz w:val="22"/>
        </w:rPr>
        <w:tab/>
        <w:t xml:space="preserve">Roshanov P, Rochwerg B, Patel A, et al. Withholding versus Continuing Angiotensin-converting Enzyme Inhibitors or Angiotensin II Receptor Blockers before Noncardiac Surgery An Analysis of the Vascular events In noncardiac Surgery patIents cOhort evaluatioN Prospective Cohort. </w:t>
      </w:r>
      <w:r w:rsidRPr="00B6585E">
        <w:rPr>
          <w:rFonts w:ascii="Arial" w:hAnsi="Arial" w:cs="Arial"/>
          <w:i/>
          <w:iCs/>
          <w:noProof/>
          <w:color w:val="000000" w:themeColor="text1"/>
          <w:sz w:val="22"/>
        </w:rPr>
        <w:t>Anesthesiology</w:t>
      </w:r>
      <w:r w:rsidRPr="00B6585E">
        <w:rPr>
          <w:rFonts w:ascii="Arial" w:hAnsi="Arial" w:cs="Arial"/>
          <w:noProof/>
          <w:color w:val="000000" w:themeColor="text1"/>
          <w:sz w:val="22"/>
        </w:rPr>
        <w:t xml:space="preserve"> 2017; 16–27 </w:t>
      </w:r>
    </w:p>
    <w:p w14:paraId="6881429C"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lastRenderedPageBreak/>
        <w:t xml:space="preserve">32. </w:t>
      </w:r>
      <w:r w:rsidRPr="00B6585E">
        <w:rPr>
          <w:rFonts w:ascii="Arial" w:hAnsi="Arial" w:cs="Arial"/>
          <w:noProof/>
          <w:color w:val="000000" w:themeColor="text1"/>
          <w:sz w:val="22"/>
        </w:rPr>
        <w:tab/>
        <w:t xml:space="preserve">C. J, B.W. T. Group Sequential Methods with Applications to Clinical Trials. New York; 1999. </w:t>
      </w:r>
    </w:p>
    <w:p w14:paraId="41E550E9"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33. </w:t>
      </w:r>
      <w:r w:rsidRPr="00B6585E">
        <w:rPr>
          <w:rFonts w:ascii="Arial" w:hAnsi="Arial" w:cs="Arial"/>
          <w:noProof/>
          <w:color w:val="000000" w:themeColor="text1"/>
          <w:sz w:val="22"/>
        </w:rPr>
        <w:tab/>
        <w:t xml:space="preserve">Khanna AK, Maheshwari K, Mao G, et al. Association between Mean Arterial Pressure and Acute Kidney Injury and a Composite of Myocardial Injury and Mortality in Postoperative Critically Ill Patients: A Retrospective Cohort Analysis. </w:t>
      </w:r>
      <w:r w:rsidRPr="00B6585E">
        <w:rPr>
          <w:rFonts w:ascii="Arial" w:hAnsi="Arial" w:cs="Arial"/>
          <w:i/>
          <w:iCs/>
          <w:noProof/>
          <w:color w:val="000000" w:themeColor="text1"/>
          <w:sz w:val="22"/>
        </w:rPr>
        <w:t>Crit Care Med</w:t>
      </w:r>
      <w:r w:rsidRPr="00B6585E">
        <w:rPr>
          <w:rFonts w:ascii="Arial" w:hAnsi="Arial" w:cs="Arial"/>
          <w:noProof/>
          <w:color w:val="000000" w:themeColor="text1"/>
          <w:sz w:val="22"/>
        </w:rPr>
        <w:t xml:space="preserve"> 2019; </w:t>
      </w:r>
      <w:r w:rsidRPr="00B6585E">
        <w:rPr>
          <w:rFonts w:ascii="Arial" w:hAnsi="Arial" w:cs="Arial"/>
          <w:b/>
          <w:bCs/>
          <w:noProof/>
          <w:color w:val="000000" w:themeColor="text1"/>
          <w:sz w:val="22"/>
        </w:rPr>
        <w:t>47</w:t>
      </w:r>
      <w:r w:rsidRPr="00B6585E">
        <w:rPr>
          <w:rFonts w:ascii="Arial" w:hAnsi="Arial" w:cs="Arial"/>
          <w:noProof/>
          <w:color w:val="000000" w:themeColor="text1"/>
          <w:sz w:val="22"/>
        </w:rPr>
        <w:t xml:space="preserve">: 910–7 </w:t>
      </w:r>
    </w:p>
    <w:p w14:paraId="155DC640"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34. </w:t>
      </w:r>
      <w:r w:rsidRPr="00B6585E">
        <w:rPr>
          <w:rFonts w:ascii="Arial" w:hAnsi="Arial" w:cs="Arial"/>
          <w:noProof/>
          <w:color w:val="000000" w:themeColor="text1"/>
          <w:sz w:val="22"/>
        </w:rPr>
        <w:tab/>
        <w:t xml:space="preserve">Devereaux PJ, Biccard BM, Sigamani A, et al. Association of postoperative high-sensitivity troponin levels with myocardial injury and 30-day mortality among patients undergoing noncardiac surgery. </w:t>
      </w:r>
      <w:r w:rsidRPr="00B6585E">
        <w:rPr>
          <w:rFonts w:ascii="Arial" w:hAnsi="Arial" w:cs="Arial"/>
          <w:i/>
          <w:iCs/>
          <w:noProof/>
          <w:color w:val="000000" w:themeColor="text1"/>
          <w:sz w:val="22"/>
        </w:rPr>
        <w:t>JAMA - J Am Med Assoc</w:t>
      </w:r>
      <w:r w:rsidRPr="00B6585E">
        <w:rPr>
          <w:rFonts w:ascii="Arial" w:hAnsi="Arial" w:cs="Arial"/>
          <w:noProof/>
          <w:color w:val="000000" w:themeColor="text1"/>
          <w:sz w:val="22"/>
        </w:rPr>
        <w:t xml:space="preserve"> 2017; </w:t>
      </w:r>
      <w:r w:rsidRPr="00B6585E">
        <w:rPr>
          <w:rFonts w:ascii="Arial" w:hAnsi="Arial" w:cs="Arial"/>
          <w:b/>
          <w:bCs/>
          <w:noProof/>
          <w:color w:val="000000" w:themeColor="text1"/>
          <w:sz w:val="22"/>
        </w:rPr>
        <w:t>317</w:t>
      </w:r>
      <w:r w:rsidRPr="00B6585E">
        <w:rPr>
          <w:rFonts w:ascii="Arial" w:hAnsi="Arial" w:cs="Arial"/>
          <w:noProof/>
          <w:color w:val="000000" w:themeColor="text1"/>
          <w:sz w:val="22"/>
        </w:rPr>
        <w:t xml:space="preserve">: 1642–51 </w:t>
      </w:r>
    </w:p>
    <w:p w14:paraId="498B434A"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35. </w:t>
      </w:r>
      <w:r w:rsidRPr="00B6585E">
        <w:rPr>
          <w:rFonts w:ascii="Arial" w:hAnsi="Arial" w:cs="Arial"/>
          <w:noProof/>
          <w:color w:val="000000" w:themeColor="text1"/>
          <w:sz w:val="22"/>
        </w:rPr>
        <w:tab/>
        <w:t xml:space="preserve">Maheshwari K, Turan A, Mao G, et al. The association of hypotension during non-cardiac surgery, before and after skin incision, with postoperative acute kidney injury: a retrospective cohort analysis. </w:t>
      </w:r>
      <w:r w:rsidRPr="00B6585E">
        <w:rPr>
          <w:rFonts w:ascii="Arial" w:hAnsi="Arial" w:cs="Arial"/>
          <w:i/>
          <w:iCs/>
          <w:noProof/>
          <w:color w:val="000000" w:themeColor="text1"/>
          <w:sz w:val="22"/>
        </w:rPr>
        <w:t>Anaesthesia</w:t>
      </w:r>
      <w:r w:rsidRPr="00B6585E">
        <w:rPr>
          <w:rFonts w:ascii="Arial" w:hAnsi="Arial" w:cs="Arial"/>
          <w:noProof/>
          <w:color w:val="000000" w:themeColor="text1"/>
          <w:sz w:val="22"/>
        </w:rPr>
        <w:t xml:space="preserve"> 2018; </w:t>
      </w:r>
      <w:r w:rsidRPr="00B6585E">
        <w:rPr>
          <w:rFonts w:ascii="Arial" w:hAnsi="Arial" w:cs="Arial"/>
          <w:b/>
          <w:bCs/>
          <w:noProof/>
          <w:color w:val="000000" w:themeColor="text1"/>
          <w:sz w:val="22"/>
        </w:rPr>
        <w:t>73</w:t>
      </w:r>
      <w:r w:rsidRPr="00B6585E">
        <w:rPr>
          <w:rFonts w:ascii="Arial" w:hAnsi="Arial" w:cs="Arial"/>
          <w:noProof/>
          <w:color w:val="000000" w:themeColor="text1"/>
          <w:sz w:val="22"/>
        </w:rPr>
        <w:t xml:space="preserve">: 1223–8 </w:t>
      </w:r>
    </w:p>
    <w:p w14:paraId="7EA15701"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36. </w:t>
      </w:r>
      <w:r w:rsidRPr="00B6585E">
        <w:rPr>
          <w:rFonts w:ascii="Arial" w:hAnsi="Arial" w:cs="Arial"/>
          <w:noProof/>
          <w:color w:val="000000" w:themeColor="text1"/>
          <w:sz w:val="22"/>
        </w:rPr>
        <w:tab/>
        <w:t xml:space="preserve">Nieminen MS, Akkila J, Hasenfuss G, et al. Hemodynamic and neurohumoral effects of continuous infusion of levosimendan in patients with congestive heart failure. </w:t>
      </w:r>
      <w:r w:rsidRPr="00B6585E">
        <w:rPr>
          <w:rFonts w:ascii="Arial" w:hAnsi="Arial" w:cs="Arial"/>
          <w:i/>
          <w:iCs/>
          <w:noProof/>
          <w:color w:val="000000" w:themeColor="text1"/>
          <w:sz w:val="22"/>
        </w:rPr>
        <w:t>J Am Coll Cardiol</w:t>
      </w:r>
      <w:r w:rsidRPr="00B6585E">
        <w:rPr>
          <w:rFonts w:ascii="Arial" w:hAnsi="Arial" w:cs="Arial"/>
          <w:noProof/>
          <w:color w:val="000000" w:themeColor="text1"/>
          <w:sz w:val="22"/>
        </w:rPr>
        <w:t xml:space="preserve"> [Internet] Elsevier Masson SAS; 2000; </w:t>
      </w:r>
      <w:r w:rsidRPr="00B6585E">
        <w:rPr>
          <w:rFonts w:ascii="Arial" w:hAnsi="Arial" w:cs="Arial"/>
          <w:b/>
          <w:bCs/>
          <w:noProof/>
          <w:color w:val="000000" w:themeColor="text1"/>
          <w:sz w:val="22"/>
        </w:rPr>
        <w:t>36</w:t>
      </w:r>
      <w:r w:rsidRPr="00B6585E">
        <w:rPr>
          <w:rFonts w:ascii="Arial" w:hAnsi="Arial" w:cs="Arial"/>
          <w:noProof/>
          <w:color w:val="000000" w:themeColor="text1"/>
          <w:sz w:val="22"/>
        </w:rPr>
        <w:t>: 1903–12 Available from: http://dx.doi.org/10.1016/S0735-1097(00)00961-X</w:t>
      </w:r>
    </w:p>
    <w:p w14:paraId="0E93BB80"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37. </w:t>
      </w:r>
      <w:r w:rsidRPr="00B6585E">
        <w:rPr>
          <w:rFonts w:ascii="Arial" w:hAnsi="Arial" w:cs="Arial"/>
          <w:noProof/>
          <w:color w:val="000000" w:themeColor="text1"/>
          <w:sz w:val="22"/>
        </w:rPr>
        <w:tab/>
        <w:t xml:space="preserve">Thygesen K, Alpert JS, Jaffe AS, et al. Fourth universal definition of myocardial infarction (2018). </w:t>
      </w:r>
      <w:r w:rsidRPr="00B6585E">
        <w:rPr>
          <w:rFonts w:ascii="Arial" w:hAnsi="Arial" w:cs="Arial"/>
          <w:i/>
          <w:iCs/>
          <w:noProof/>
          <w:color w:val="000000" w:themeColor="text1"/>
          <w:sz w:val="22"/>
        </w:rPr>
        <w:t>Eur Heart J</w:t>
      </w:r>
      <w:r w:rsidRPr="00B6585E">
        <w:rPr>
          <w:rFonts w:ascii="Arial" w:hAnsi="Arial" w:cs="Arial"/>
          <w:noProof/>
          <w:color w:val="000000" w:themeColor="text1"/>
          <w:sz w:val="22"/>
        </w:rPr>
        <w:t xml:space="preserve"> 2019; </w:t>
      </w:r>
      <w:r w:rsidRPr="00B6585E">
        <w:rPr>
          <w:rFonts w:ascii="Arial" w:hAnsi="Arial" w:cs="Arial"/>
          <w:b/>
          <w:bCs/>
          <w:noProof/>
          <w:color w:val="000000" w:themeColor="text1"/>
          <w:sz w:val="22"/>
        </w:rPr>
        <w:t>40</w:t>
      </w:r>
      <w:r w:rsidRPr="00B6585E">
        <w:rPr>
          <w:rFonts w:ascii="Arial" w:hAnsi="Arial" w:cs="Arial"/>
          <w:noProof/>
          <w:color w:val="000000" w:themeColor="text1"/>
          <w:sz w:val="22"/>
        </w:rPr>
        <w:t xml:space="preserve">: 237–69 </w:t>
      </w:r>
    </w:p>
    <w:p w14:paraId="548CD3F9"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38. </w:t>
      </w:r>
      <w:r w:rsidRPr="00B6585E">
        <w:rPr>
          <w:rFonts w:ascii="Arial" w:hAnsi="Arial" w:cs="Arial"/>
          <w:noProof/>
          <w:color w:val="000000" w:themeColor="text1"/>
          <w:sz w:val="22"/>
        </w:rPr>
        <w:tab/>
        <w:t xml:space="preserve">Kirchhof P, Benussi S, Zamorano JL, et al. 2016 ESC guidelines for the management of atrial fibrillation developed in collaboration with EACTS. </w:t>
      </w:r>
      <w:r w:rsidRPr="00B6585E">
        <w:rPr>
          <w:rFonts w:ascii="Arial" w:hAnsi="Arial" w:cs="Arial"/>
          <w:i/>
          <w:iCs/>
          <w:noProof/>
          <w:color w:val="000000" w:themeColor="text1"/>
          <w:sz w:val="22"/>
        </w:rPr>
        <w:t>Eur Heart J</w:t>
      </w:r>
      <w:r w:rsidRPr="00B6585E">
        <w:rPr>
          <w:rFonts w:ascii="Arial" w:hAnsi="Arial" w:cs="Arial"/>
          <w:noProof/>
          <w:color w:val="000000" w:themeColor="text1"/>
          <w:sz w:val="22"/>
        </w:rPr>
        <w:t xml:space="preserve"> 2016; </w:t>
      </w:r>
      <w:r w:rsidRPr="00B6585E">
        <w:rPr>
          <w:rFonts w:ascii="Arial" w:hAnsi="Arial" w:cs="Arial"/>
          <w:b/>
          <w:bCs/>
          <w:noProof/>
          <w:color w:val="000000" w:themeColor="text1"/>
          <w:sz w:val="22"/>
        </w:rPr>
        <w:t>37</w:t>
      </w:r>
      <w:r w:rsidRPr="00B6585E">
        <w:rPr>
          <w:rFonts w:ascii="Arial" w:hAnsi="Arial" w:cs="Arial"/>
          <w:noProof/>
          <w:color w:val="000000" w:themeColor="text1"/>
          <w:sz w:val="22"/>
        </w:rPr>
        <w:t xml:space="preserve">: 2893–962 </w:t>
      </w:r>
    </w:p>
    <w:p w14:paraId="39ACD352"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39. </w:t>
      </w:r>
      <w:r w:rsidRPr="00B6585E">
        <w:rPr>
          <w:rFonts w:ascii="Arial" w:hAnsi="Arial" w:cs="Arial"/>
          <w:noProof/>
          <w:color w:val="000000" w:themeColor="text1"/>
          <w:sz w:val="22"/>
        </w:rPr>
        <w:tab/>
        <w:t xml:space="preserve">Hou GC, Gan H, Sun XL, Li J. Use of body composition measurements to guide the assessment of dry weight in anuric dialysis patients: improvements in blood pressure control. </w:t>
      </w:r>
      <w:r w:rsidRPr="00B6585E">
        <w:rPr>
          <w:rFonts w:ascii="Arial" w:hAnsi="Arial" w:cs="Arial"/>
          <w:i/>
          <w:iCs/>
          <w:noProof/>
          <w:color w:val="000000" w:themeColor="text1"/>
          <w:sz w:val="22"/>
        </w:rPr>
        <w:t>Biochem Biophys Reports</w:t>
      </w:r>
      <w:r w:rsidRPr="00B6585E">
        <w:rPr>
          <w:rFonts w:ascii="Arial" w:hAnsi="Arial" w:cs="Arial"/>
          <w:noProof/>
          <w:color w:val="000000" w:themeColor="text1"/>
          <w:sz w:val="22"/>
        </w:rPr>
        <w:t xml:space="preserve"> [Internet] Elsevier B.V.; 2019; </w:t>
      </w:r>
      <w:r w:rsidRPr="00B6585E">
        <w:rPr>
          <w:rFonts w:ascii="Arial" w:hAnsi="Arial" w:cs="Arial"/>
          <w:b/>
          <w:bCs/>
          <w:noProof/>
          <w:color w:val="000000" w:themeColor="text1"/>
          <w:sz w:val="22"/>
        </w:rPr>
        <w:t>17</w:t>
      </w:r>
      <w:r w:rsidRPr="00B6585E">
        <w:rPr>
          <w:rFonts w:ascii="Arial" w:hAnsi="Arial" w:cs="Arial"/>
          <w:noProof/>
          <w:color w:val="000000" w:themeColor="text1"/>
          <w:sz w:val="22"/>
        </w:rPr>
        <w:t>: 191–6 Available from: https://doi.org/10.1016/j.bbrep.2019.01.005</w:t>
      </w:r>
    </w:p>
    <w:p w14:paraId="3633BECA"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lang w:val="de-AT"/>
        </w:rPr>
        <w:t xml:space="preserve">40. </w:t>
      </w:r>
      <w:r w:rsidRPr="00B6585E">
        <w:rPr>
          <w:rFonts w:ascii="Arial" w:hAnsi="Arial" w:cs="Arial"/>
          <w:noProof/>
          <w:color w:val="000000" w:themeColor="text1"/>
          <w:sz w:val="22"/>
          <w:lang w:val="de-AT"/>
        </w:rPr>
        <w:tab/>
        <w:t xml:space="preserve">Zarbock A, Koyner JL, Hoste EAJ, Kellum JA. </w:t>
      </w:r>
      <w:r w:rsidRPr="00B6585E">
        <w:rPr>
          <w:rFonts w:ascii="Arial" w:hAnsi="Arial" w:cs="Arial"/>
          <w:noProof/>
          <w:color w:val="000000" w:themeColor="text1"/>
          <w:sz w:val="22"/>
        </w:rPr>
        <w:t xml:space="preserve">Update on perioperative acute kidney injury. </w:t>
      </w:r>
      <w:r w:rsidRPr="00B6585E">
        <w:rPr>
          <w:rFonts w:ascii="Arial" w:hAnsi="Arial" w:cs="Arial"/>
          <w:i/>
          <w:iCs/>
          <w:noProof/>
          <w:color w:val="000000" w:themeColor="text1"/>
          <w:sz w:val="22"/>
        </w:rPr>
        <w:t>Anesth Analg</w:t>
      </w:r>
      <w:r w:rsidRPr="00B6585E">
        <w:rPr>
          <w:rFonts w:ascii="Arial" w:hAnsi="Arial" w:cs="Arial"/>
          <w:noProof/>
          <w:color w:val="000000" w:themeColor="text1"/>
          <w:sz w:val="22"/>
        </w:rPr>
        <w:t xml:space="preserve"> 2018; </w:t>
      </w:r>
      <w:r w:rsidRPr="00B6585E">
        <w:rPr>
          <w:rFonts w:ascii="Arial" w:hAnsi="Arial" w:cs="Arial"/>
          <w:b/>
          <w:bCs/>
          <w:noProof/>
          <w:color w:val="000000" w:themeColor="text1"/>
          <w:sz w:val="22"/>
        </w:rPr>
        <w:t>127</w:t>
      </w:r>
      <w:r w:rsidRPr="00B6585E">
        <w:rPr>
          <w:rFonts w:ascii="Arial" w:hAnsi="Arial" w:cs="Arial"/>
          <w:noProof/>
          <w:color w:val="000000" w:themeColor="text1"/>
          <w:sz w:val="22"/>
        </w:rPr>
        <w:t xml:space="preserve">: 1236–45 </w:t>
      </w:r>
    </w:p>
    <w:p w14:paraId="7A2B2897"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41. </w:t>
      </w:r>
      <w:r w:rsidRPr="00B6585E">
        <w:rPr>
          <w:rFonts w:ascii="Arial" w:hAnsi="Arial" w:cs="Arial"/>
          <w:noProof/>
          <w:color w:val="000000" w:themeColor="text1"/>
          <w:sz w:val="22"/>
        </w:rPr>
        <w:tab/>
        <w:t xml:space="preserve">Hoste EAJ, Bagshaw SM, Cely CM, et al. Epidemiology of acute kidney injury in critically ill patients : the multinational AKI-EPI study Hospital mortality. </w:t>
      </w:r>
      <w:r w:rsidRPr="00B6585E">
        <w:rPr>
          <w:rFonts w:ascii="Arial" w:hAnsi="Arial" w:cs="Arial"/>
          <w:i/>
          <w:iCs/>
          <w:noProof/>
          <w:color w:val="000000" w:themeColor="text1"/>
          <w:sz w:val="22"/>
        </w:rPr>
        <w:t>Intensive Care Med</w:t>
      </w:r>
      <w:r w:rsidRPr="00B6585E">
        <w:rPr>
          <w:rFonts w:ascii="Arial" w:hAnsi="Arial" w:cs="Arial"/>
          <w:noProof/>
          <w:color w:val="000000" w:themeColor="text1"/>
          <w:sz w:val="22"/>
        </w:rPr>
        <w:t xml:space="preserve"> 2015; </w:t>
      </w:r>
      <w:r w:rsidRPr="00B6585E">
        <w:rPr>
          <w:rFonts w:ascii="Arial" w:hAnsi="Arial" w:cs="Arial"/>
          <w:b/>
          <w:bCs/>
          <w:noProof/>
          <w:color w:val="000000" w:themeColor="text1"/>
          <w:sz w:val="22"/>
        </w:rPr>
        <w:t>41</w:t>
      </w:r>
      <w:r w:rsidRPr="00B6585E">
        <w:rPr>
          <w:rFonts w:ascii="Arial" w:hAnsi="Arial" w:cs="Arial"/>
          <w:noProof/>
          <w:color w:val="000000" w:themeColor="text1"/>
          <w:sz w:val="22"/>
        </w:rPr>
        <w:t xml:space="preserve">: 1411–23 </w:t>
      </w:r>
    </w:p>
    <w:p w14:paraId="64C1278F"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42. </w:t>
      </w:r>
      <w:r w:rsidRPr="00B6585E">
        <w:rPr>
          <w:rFonts w:ascii="Arial" w:hAnsi="Arial" w:cs="Arial"/>
          <w:noProof/>
          <w:color w:val="000000" w:themeColor="text1"/>
          <w:sz w:val="22"/>
        </w:rPr>
        <w:tab/>
        <w:t xml:space="preserve">Lannemyr L, Ricksten SE, Rundqvist B, et al. Differential effects of levosimendan and dobutamine on glomerular filtration rate in patients with heart failure and renal impairment: A randomized double-blind controlled trial. </w:t>
      </w:r>
      <w:r w:rsidRPr="00B6585E">
        <w:rPr>
          <w:rFonts w:ascii="Arial" w:hAnsi="Arial" w:cs="Arial"/>
          <w:i/>
          <w:iCs/>
          <w:noProof/>
          <w:color w:val="000000" w:themeColor="text1"/>
          <w:sz w:val="22"/>
        </w:rPr>
        <w:t>J Am Heart Assoc</w:t>
      </w:r>
      <w:r w:rsidRPr="00B6585E">
        <w:rPr>
          <w:rFonts w:ascii="Arial" w:hAnsi="Arial" w:cs="Arial"/>
          <w:noProof/>
          <w:color w:val="000000" w:themeColor="text1"/>
          <w:sz w:val="22"/>
        </w:rPr>
        <w:t xml:space="preserve"> 2018; </w:t>
      </w:r>
      <w:r w:rsidRPr="00B6585E">
        <w:rPr>
          <w:rFonts w:ascii="Arial" w:hAnsi="Arial" w:cs="Arial"/>
          <w:b/>
          <w:bCs/>
          <w:noProof/>
          <w:color w:val="000000" w:themeColor="text1"/>
          <w:sz w:val="22"/>
        </w:rPr>
        <w:t>7</w:t>
      </w:r>
      <w:r w:rsidRPr="00B6585E">
        <w:rPr>
          <w:rFonts w:ascii="Arial" w:hAnsi="Arial" w:cs="Arial"/>
          <w:noProof/>
          <w:color w:val="000000" w:themeColor="text1"/>
          <w:sz w:val="22"/>
        </w:rPr>
        <w:t xml:space="preserve">: 1–9 </w:t>
      </w:r>
    </w:p>
    <w:p w14:paraId="611778C8"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43. </w:t>
      </w:r>
      <w:r w:rsidRPr="00B6585E">
        <w:rPr>
          <w:rFonts w:ascii="Arial" w:hAnsi="Arial" w:cs="Arial"/>
          <w:noProof/>
          <w:color w:val="000000" w:themeColor="text1"/>
          <w:sz w:val="22"/>
        </w:rPr>
        <w:tab/>
        <w:t xml:space="preserve">Devereaux PJ, Yang H, Yusuf S, et al. Effects of extended-release metoprolol succinate in patients undergoing non-cardiac surgery (POISE trial): A randomised controlled trial. </w:t>
      </w:r>
      <w:r w:rsidRPr="00B6585E">
        <w:rPr>
          <w:rFonts w:ascii="Arial" w:hAnsi="Arial" w:cs="Arial"/>
          <w:i/>
          <w:iCs/>
          <w:noProof/>
          <w:color w:val="000000" w:themeColor="text1"/>
          <w:sz w:val="22"/>
        </w:rPr>
        <w:t>Lancet</w:t>
      </w:r>
      <w:r w:rsidRPr="00B6585E">
        <w:rPr>
          <w:rFonts w:ascii="Arial" w:hAnsi="Arial" w:cs="Arial"/>
          <w:noProof/>
          <w:color w:val="000000" w:themeColor="text1"/>
          <w:sz w:val="22"/>
        </w:rPr>
        <w:t xml:space="preserve"> 2008; </w:t>
      </w:r>
      <w:r w:rsidRPr="00B6585E">
        <w:rPr>
          <w:rFonts w:ascii="Arial" w:hAnsi="Arial" w:cs="Arial"/>
          <w:b/>
          <w:bCs/>
          <w:noProof/>
          <w:color w:val="000000" w:themeColor="text1"/>
          <w:sz w:val="22"/>
        </w:rPr>
        <w:t>371</w:t>
      </w:r>
      <w:r w:rsidRPr="00B6585E">
        <w:rPr>
          <w:rFonts w:ascii="Arial" w:hAnsi="Arial" w:cs="Arial"/>
          <w:noProof/>
          <w:color w:val="000000" w:themeColor="text1"/>
          <w:sz w:val="22"/>
        </w:rPr>
        <w:t xml:space="preserve">: 1839–47 </w:t>
      </w:r>
    </w:p>
    <w:p w14:paraId="5C8176B5"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44. </w:t>
      </w:r>
      <w:r w:rsidRPr="00B6585E">
        <w:rPr>
          <w:rFonts w:ascii="Arial" w:hAnsi="Arial" w:cs="Arial"/>
          <w:noProof/>
          <w:color w:val="000000" w:themeColor="text1"/>
          <w:sz w:val="22"/>
        </w:rPr>
        <w:tab/>
        <w:t xml:space="preserve">Mackey WC, Fleisher LA, Haider S, et al. Perioperative myocardial ischemic injury in high-risk vascular surgery patients: Incidence and clinical significance in a prospective clinical trial. </w:t>
      </w:r>
      <w:r w:rsidRPr="00B6585E">
        <w:rPr>
          <w:rFonts w:ascii="Arial" w:hAnsi="Arial" w:cs="Arial"/>
          <w:i/>
          <w:iCs/>
          <w:noProof/>
          <w:color w:val="000000" w:themeColor="text1"/>
          <w:sz w:val="22"/>
        </w:rPr>
        <w:t>J Vasc Surg</w:t>
      </w:r>
      <w:r w:rsidRPr="00B6585E">
        <w:rPr>
          <w:rFonts w:ascii="Arial" w:hAnsi="Arial" w:cs="Arial"/>
          <w:noProof/>
          <w:color w:val="000000" w:themeColor="text1"/>
          <w:sz w:val="22"/>
        </w:rPr>
        <w:t xml:space="preserve"> 2006; </w:t>
      </w:r>
      <w:r w:rsidRPr="00B6585E">
        <w:rPr>
          <w:rFonts w:ascii="Arial" w:hAnsi="Arial" w:cs="Arial"/>
          <w:b/>
          <w:bCs/>
          <w:noProof/>
          <w:color w:val="000000" w:themeColor="text1"/>
          <w:sz w:val="22"/>
        </w:rPr>
        <w:t>43</w:t>
      </w:r>
      <w:r w:rsidRPr="00B6585E">
        <w:rPr>
          <w:rFonts w:ascii="Arial" w:hAnsi="Arial" w:cs="Arial"/>
          <w:noProof/>
          <w:color w:val="000000" w:themeColor="text1"/>
          <w:sz w:val="22"/>
        </w:rPr>
        <w:t xml:space="preserve">: 533–8 </w:t>
      </w:r>
    </w:p>
    <w:p w14:paraId="6DB3E6BA"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lang w:val="de-AT"/>
        </w:rPr>
      </w:pPr>
      <w:r w:rsidRPr="00B6585E">
        <w:rPr>
          <w:rFonts w:ascii="Arial" w:hAnsi="Arial" w:cs="Arial"/>
          <w:noProof/>
          <w:color w:val="000000" w:themeColor="text1"/>
          <w:sz w:val="22"/>
        </w:rPr>
        <w:t xml:space="preserve">45. </w:t>
      </w:r>
      <w:r w:rsidRPr="00B6585E">
        <w:rPr>
          <w:rFonts w:ascii="Arial" w:hAnsi="Arial" w:cs="Arial"/>
          <w:noProof/>
          <w:color w:val="000000" w:themeColor="text1"/>
          <w:sz w:val="22"/>
        </w:rPr>
        <w:tab/>
        <w:t xml:space="preserve">Santonocito C, De Loecker I, Donadello K, et al. C-reactive protein kinetics after major surgery. </w:t>
      </w:r>
      <w:r w:rsidRPr="00B6585E">
        <w:rPr>
          <w:rFonts w:ascii="Arial" w:hAnsi="Arial" w:cs="Arial"/>
          <w:i/>
          <w:iCs/>
          <w:noProof/>
          <w:color w:val="000000" w:themeColor="text1"/>
          <w:sz w:val="22"/>
          <w:lang w:val="de-AT"/>
        </w:rPr>
        <w:t>Anesth Analg</w:t>
      </w:r>
      <w:r w:rsidRPr="00B6585E">
        <w:rPr>
          <w:rFonts w:ascii="Arial" w:hAnsi="Arial" w:cs="Arial"/>
          <w:noProof/>
          <w:color w:val="000000" w:themeColor="text1"/>
          <w:sz w:val="22"/>
          <w:lang w:val="de-AT"/>
        </w:rPr>
        <w:t xml:space="preserve"> 2014; </w:t>
      </w:r>
      <w:r w:rsidRPr="00B6585E">
        <w:rPr>
          <w:rFonts w:ascii="Arial" w:hAnsi="Arial" w:cs="Arial"/>
          <w:b/>
          <w:bCs/>
          <w:noProof/>
          <w:color w:val="000000" w:themeColor="text1"/>
          <w:sz w:val="22"/>
          <w:lang w:val="de-AT"/>
        </w:rPr>
        <w:t>119</w:t>
      </w:r>
      <w:r w:rsidRPr="00B6585E">
        <w:rPr>
          <w:rFonts w:ascii="Arial" w:hAnsi="Arial" w:cs="Arial"/>
          <w:noProof/>
          <w:color w:val="000000" w:themeColor="text1"/>
          <w:sz w:val="22"/>
          <w:lang w:val="de-AT"/>
        </w:rPr>
        <w:t xml:space="preserve">: 624–9 </w:t>
      </w:r>
    </w:p>
    <w:p w14:paraId="29A759C5"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lang w:val="de-AT"/>
        </w:rPr>
        <w:t xml:space="preserve">46. </w:t>
      </w:r>
      <w:r w:rsidRPr="00B6585E">
        <w:rPr>
          <w:rFonts w:ascii="Arial" w:hAnsi="Arial" w:cs="Arial"/>
          <w:noProof/>
          <w:color w:val="000000" w:themeColor="text1"/>
          <w:sz w:val="22"/>
          <w:lang w:val="de-AT"/>
        </w:rPr>
        <w:tab/>
        <w:t xml:space="preserve">Rettig TCD, Verwijmeren L, Dijkstra IM, Boerma D, Van De Garde EMW, Noordzij PG. </w:t>
      </w:r>
      <w:r w:rsidRPr="00B6585E">
        <w:rPr>
          <w:rFonts w:ascii="Arial" w:hAnsi="Arial" w:cs="Arial"/>
          <w:noProof/>
          <w:color w:val="000000" w:themeColor="text1"/>
          <w:sz w:val="22"/>
        </w:rPr>
        <w:t xml:space="preserve">Postoperative interleukin-6 level and early detection of complications after elective major abdominal surgery. </w:t>
      </w:r>
      <w:r w:rsidRPr="00B6585E">
        <w:rPr>
          <w:rFonts w:ascii="Arial" w:hAnsi="Arial" w:cs="Arial"/>
          <w:i/>
          <w:iCs/>
          <w:noProof/>
          <w:color w:val="000000" w:themeColor="text1"/>
          <w:sz w:val="22"/>
        </w:rPr>
        <w:t>Ann Surg</w:t>
      </w:r>
      <w:r w:rsidRPr="00B6585E">
        <w:rPr>
          <w:rFonts w:ascii="Arial" w:hAnsi="Arial" w:cs="Arial"/>
          <w:noProof/>
          <w:color w:val="000000" w:themeColor="text1"/>
          <w:sz w:val="22"/>
        </w:rPr>
        <w:t xml:space="preserve"> 2016; </w:t>
      </w:r>
      <w:r w:rsidRPr="00B6585E">
        <w:rPr>
          <w:rFonts w:ascii="Arial" w:hAnsi="Arial" w:cs="Arial"/>
          <w:b/>
          <w:bCs/>
          <w:noProof/>
          <w:color w:val="000000" w:themeColor="text1"/>
          <w:sz w:val="22"/>
        </w:rPr>
        <w:t>263</w:t>
      </w:r>
      <w:r w:rsidRPr="00B6585E">
        <w:rPr>
          <w:rFonts w:ascii="Arial" w:hAnsi="Arial" w:cs="Arial"/>
          <w:noProof/>
          <w:color w:val="000000" w:themeColor="text1"/>
          <w:sz w:val="22"/>
        </w:rPr>
        <w:t xml:space="preserve">: 1207–12 </w:t>
      </w:r>
    </w:p>
    <w:p w14:paraId="142B9922"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47. </w:t>
      </w:r>
      <w:r w:rsidRPr="00B6585E">
        <w:rPr>
          <w:rFonts w:ascii="Arial" w:hAnsi="Arial" w:cs="Arial"/>
          <w:noProof/>
          <w:color w:val="000000" w:themeColor="text1"/>
          <w:sz w:val="22"/>
        </w:rPr>
        <w:tab/>
        <w:t xml:space="preserve">Kaptoge S, Seshasai SRK, Gao P, et al. Inflammatory cytokines and risk of coronary heart disease: New prospective study and updated meta-analysis. </w:t>
      </w:r>
      <w:r w:rsidRPr="00B6585E">
        <w:rPr>
          <w:rFonts w:ascii="Arial" w:hAnsi="Arial" w:cs="Arial"/>
          <w:i/>
          <w:iCs/>
          <w:noProof/>
          <w:color w:val="000000" w:themeColor="text1"/>
          <w:sz w:val="22"/>
        </w:rPr>
        <w:t>Eur Heart J</w:t>
      </w:r>
      <w:r w:rsidRPr="00B6585E">
        <w:rPr>
          <w:rFonts w:ascii="Arial" w:hAnsi="Arial" w:cs="Arial"/>
          <w:noProof/>
          <w:color w:val="000000" w:themeColor="text1"/>
          <w:sz w:val="22"/>
        </w:rPr>
        <w:t xml:space="preserve"> 2014; </w:t>
      </w:r>
      <w:r w:rsidRPr="00B6585E">
        <w:rPr>
          <w:rFonts w:ascii="Arial" w:hAnsi="Arial" w:cs="Arial"/>
          <w:b/>
          <w:bCs/>
          <w:noProof/>
          <w:color w:val="000000" w:themeColor="text1"/>
          <w:sz w:val="22"/>
        </w:rPr>
        <w:t>35</w:t>
      </w:r>
      <w:r w:rsidRPr="00B6585E">
        <w:rPr>
          <w:rFonts w:ascii="Arial" w:hAnsi="Arial" w:cs="Arial"/>
          <w:noProof/>
          <w:color w:val="000000" w:themeColor="text1"/>
          <w:sz w:val="22"/>
        </w:rPr>
        <w:t xml:space="preserve">: 578–89 </w:t>
      </w:r>
    </w:p>
    <w:p w14:paraId="679E7A87"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48. </w:t>
      </w:r>
      <w:r w:rsidRPr="00B6585E">
        <w:rPr>
          <w:rFonts w:ascii="Arial" w:hAnsi="Arial" w:cs="Arial"/>
          <w:noProof/>
          <w:color w:val="000000" w:themeColor="text1"/>
          <w:sz w:val="22"/>
        </w:rPr>
        <w:tab/>
        <w:t xml:space="preserve">Kaptoge S, Di Angelantonio E, Lowe G, et al. C-reactive protein concentration and risk of coronary heart disease, stroke, and mortality: An individual participant meta-analysis. </w:t>
      </w:r>
      <w:r w:rsidRPr="00B6585E">
        <w:rPr>
          <w:rFonts w:ascii="Arial" w:hAnsi="Arial" w:cs="Arial"/>
          <w:i/>
          <w:iCs/>
          <w:noProof/>
          <w:color w:val="000000" w:themeColor="text1"/>
          <w:sz w:val="22"/>
        </w:rPr>
        <w:t>Lancet</w:t>
      </w:r>
      <w:r w:rsidRPr="00B6585E">
        <w:rPr>
          <w:rFonts w:ascii="Arial" w:hAnsi="Arial" w:cs="Arial"/>
          <w:noProof/>
          <w:color w:val="000000" w:themeColor="text1"/>
          <w:sz w:val="22"/>
        </w:rPr>
        <w:t xml:space="preserve"> 2010; </w:t>
      </w:r>
      <w:r w:rsidRPr="00B6585E">
        <w:rPr>
          <w:rFonts w:ascii="Arial" w:hAnsi="Arial" w:cs="Arial"/>
          <w:b/>
          <w:bCs/>
          <w:noProof/>
          <w:color w:val="000000" w:themeColor="text1"/>
          <w:sz w:val="22"/>
        </w:rPr>
        <w:t>375</w:t>
      </w:r>
      <w:r w:rsidRPr="00B6585E">
        <w:rPr>
          <w:rFonts w:ascii="Arial" w:hAnsi="Arial" w:cs="Arial"/>
          <w:noProof/>
          <w:color w:val="000000" w:themeColor="text1"/>
          <w:sz w:val="22"/>
        </w:rPr>
        <w:t xml:space="preserve">: 132–40 </w:t>
      </w:r>
    </w:p>
    <w:p w14:paraId="45CF6A54"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49. </w:t>
      </w:r>
      <w:r w:rsidRPr="00B6585E">
        <w:rPr>
          <w:rFonts w:ascii="Arial" w:hAnsi="Arial" w:cs="Arial"/>
          <w:noProof/>
          <w:color w:val="000000" w:themeColor="text1"/>
          <w:sz w:val="22"/>
        </w:rPr>
        <w:tab/>
        <w:t xml:space="preserve">Ridker PM, Lüscher TF. Anti-inflammatory therapies for cardiovascular disease. </w:t>
      </w:r>
      <w:r w:rsidRPr="00B6585E">
        <w:rPr>
          <w:rFonts w:ascii="Arial" w:hAnsi="Arial" w:cs="Arial"/>
          <w:i/>
          <w:iCs/>
          <w:noProof/>
          <w:color w:val="000000" w:themeColor="text1"/>
          <w:sz w:val="22"/>
        </w:rPr>
        <w:t>Eur Heart J</w:t>
      </w:r>
      <w:r w:rsidRPr="00B6585E">
        <w:rPr>
          <w:rFonts w:ascii="Arial" w:hAnsi="Arial" w:cs="Arial"/>
          <w:noProof/>
          <w:color w:val="000000" w:themeColor="text1"/>
          <w:sz w:val="22"/>
        </w:rPr>
        <w:t xml:space="preserve"> 2014; </w:t>
      </w:r>
      <w:r w:rsidRPr="00B6585E">
        <w:rPr>
          <w:rFonts w:ascii="Arial" w:hAnsi="Arial" w:cs="Arial"/>
          <w:b/>
          <w:bCs/>
          <w:noProof/>
          <w:color w:val="000000" w:themeColor="text1"/>
          <w:sz w:val="22"/>
        </w:rPr>
        <w:t>35</w:t>
      </w:r>
      <w:r w:rsidRPr="00B6585E">
        <w:rPr>
          <w:rFonts w:ascii="Arial" w:hAnsi="Arial" w:cs="Arial"/>
          <w:noProof/>
          <w:color w:val="000000" w:themeColor="text1"/>
          <w:sz w:val="22"/>
        </w:rPr>
        <w:t xml:space="preserve">: 1782–91 </w:t>
      </w:r>
    </w:p>
    <w:p w14:paraId="412EF7D3"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lastRenderedPageBreak/>
        <w:t xml:space="preserve">50. </w:t>
      </w:r>
      <w:r w:rsidRPr="00B6585E">
        <w:rPr>
          <w:rFonts w:ascii="Arial" w:hAnsi="Arial" w:cs="Arial"/>
          <w:noProof/>
          <w:color w:val="000000" w:themeColor="text1"/>
          <w:sz w:val="22"/>
        </w:rPr>
        <w:tab/>
        <w:t xml:space="preserve">Ridker PM, MacFadyen JG, Everett BM, et al. Relationship of C-reactive protein reduction to cardiovascular event reduction following treatment with canakinumab: a secondary analysis from the CANTOS randomised controlled trial. </w:t>
      </w:r>
      <w:r w:rsidRPr="00B6585E">
        <w:rPr>
          <w:rFonts w:ascii="Arial" w:hAnsi="Arial" w:cs="Arial"/>
          <w:i/>
          <w:iCs/>
          <w:noProof/>
          <w:color w:val="000000" w:themeColor="text1"/>
          <w:sz w:val="22"/>
        </w:rPr>
        <w:t>Lancet</w:t>
      </w:r>
      <w:r w:rsidRPr="00B6585E">
        <w:rPr>
          <w:rFonts w:ascii="Arial" w:hAnsi="Arial" w:cs="Arial"/>
          <w:noProof/>
          <w:color w:val="000000" w:themeColor="text1"/>
          <w:sz w:val="22"/>
        </w:rPr>
        <w:t xml:space="preserve"> 2018; </w:t>
      </w:r>
      <w:r w:rsidRPr="00B6585E">
        <w:rPr>
          <w:rFonts w:ascii="Arial" w:hAnsi="Arial" w:cs="Arial"/>
          <w:b/>
          <w:bCs/>
          <w:noProof/>
          <w:color w:val="000000" w:themeColor="text1"/>
          <w:sz w:val="22"/>
        </w:rPr>
        <w:t>391</w:t>
      </w:r>
      <w:r w:rsidRPr="00B6585E">
        <w:rPr>
          <w:rFonts w:ascii="Arial" w:hAnsi="Arial" w:cs="Arial"/>
          <w:noProof/>
          <w:color w:val="000000" w:themeColor="text1"/>
          <w:sz w:val="22"/>
        </w:rPr>
        <w:t xml:space="preserve">: 319–28 </w:t>
      </w:r>
    </w:p>
    <w:p w14:paraId="41E6354A" w14:textId="77777777" w:rsidR="00D02927" w:rsidRPr="00E86DD8" w:rsidRDefault="00D02927" w:rsidP="00D02927">
      <w:pPr>
        <w:widowControl w:val="0"/>
        <w:autoSpaceDE w:val="0"/>
        <w:autoSpaceDN w:val="0"/>
        <w:adjustRightInd w:val="0"/>
        <w:spacing w:after="120"/>
        <w:ind w:left="640" w:hanging="640"/>
        <w:rPr>
          <w:rFonts w:ascii="Arial" w:hAnsi="Arial" w:cs="Arial"/>
          <w:noProof/>
          <w:color w:val="000000" w:themeColor="text1"/>
          <w:sz w:val="22"/>
          <w:lang w:val="de-AT"/>
        </w:rPr>
      </w:pPr>
      <w:r w:rsidRPr="00B6585E">
        <w:rPr>
          <w:rFonts w:ascii="Arial" w:hAnsi="Arial" w:cs="Arial"/>
          <w:noProof/>
          <w:color w:val="000000" w:themeColor="text1"/>
          <w:sz w:val="22"/>
        </w:rPr>
        <w:t xml:space="preserve">51. </w:t>
      </w:r>
      <w:r w:rsidRPr="00B6585E">
        <w:rPr>
          <w:rFonts w:ascii="Arial" w:hAnsi="Arial" w:cs="Arial"/>
          <w:noProof/>
          <w:color w:val="000000" w:themeColor="text1"/>
          <w:sz w:val="22"/>
        </w:rPr>
        <w:tab/>
        <w:t xml:space="preserve">Ridker PM, Libby P, MacFadyen JG, et al. Modulation of the interleukin-6 signalling pathway and incidence rates of atherosclerotic events and all-cause mortality: Analyses from the Canakinumab Anti-Inflammatory Thrombosis Outcomes Study (CANTOS). </w:t>
      </w:r>
      <w:r w:rsidRPr="00E86DD8">
        <w:rPr>
          <w:rFonts w:ascii="Arial" w:hAnsi="Arial" w:cs="Arial"/>
          <w:i/>
          <w:iCs/>
          <w:noProof/>
          <w:color w:val="000000" w:themeColor="text1"/>
          <w:sz w:val="22"/>
          <w:lang w:val="de-AT"/>
        </w:rPr>
        <w:t>Eur Heart J</w:t>
      </w:r>
      <w:r w:rsidRPr="00E86DD8">
        <w:rPr>
          <w:rFonts w:ascii="Arial" w:hAnsi="Arial" w:cs="Arial"/>
          <w:noProof/>
          <w:color w:val="000000" w:themeColor="text1"/>
          <w:sz w:val="22"/>
          <w:lang w:val="de-AT"/>
        </w:rPr>
        <w:t xml:space="preserve"> 2018; </w:t>
      </w:r>
      <w:r w:rsidRPr="00E86DD8">
        <w:rPr>
          <w:rFonts w:ascii="Arial" w:hAnsi="Arial" w:cs="Arial"/>
          <w:b/>
          <w:bCs/>
          <w:noProof/>
          <w:color w:val="000000" w:themeColor="text1"/>
          <w:sz w:val="22"/>
          <w:lang w:val="de-AT"/>
        </w:rPr>
        <w:t>39</w:t>
      </w:r>
      <w:r w:rsidRPr="00E86DD8">
        <w:rPr>
          <w:rFonts w:ascii="Arial" w:hAnsi="Arial" w:cs="Arial"/>
          <w:noProof/>
          <w:color w:val="000000" w:themeColor="text1"/>
          <w:sz w:val="22"/>
          <w:lang w:val="de-AT"/>
        </w:rPr>
        <w:t xml:space="preserve">: 3499–507 </w:t>
      </w:r>
    </w:p>
    <w:p w14:paraId="37973758"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E86DD8">
        <w:rPr>
          <w:rFonts w:ascii="Arial" w:hAnsi="Arial" w:cs="Arial"/>
          <w:noProof/>
          <w:color w:val="000000" w:themeColor="text1"/>
          <w:sz w:val="22"/>
          <w:lang w:val="de-AT"/>
        </w:rPr>
        <w:t xml:space="preserve">52. </w:t>
      </w:r>
      <w:r w:rsidRPr="00E86DD8">
        <w:rPr>
          <w:rFonts w:ascii="Arial" w:hAnsi="Arial" w:cs="Arial"/>
          <w:noProof/>
          <w:color w:val="000000" w:themeColor="text1"/>
          <w:sz w:val="22"/>
          <w:lang w:val="de-AT"/>
        </w:rPr>
        <w:tab/>
      </w:r>
      <w:r w:rsidRPr="00B6585E">
        <w:rPr>
          <w:rFonts w:ascii="Arial" w:hAnsi="Arial" w:cs="Arial"/>
          <w:noProof/>
          <w:color w:val="000000" w:themeColor="text1"/>
          <w:sz w:val="22"/>
          <w:lang w:val="de-AT"/>
        </w:rPr>
        <w:t xml:space="preserve">Krychtiuk KA, Watzke L, Kaun C, et al. </w:t>
      </w:r>
      <w:r w:rsidRPr="00B6585E">
        <w:rPr>
          <w:rFonts w:ascii="Arial" w:hAnsi="Arial" w:cs="Arial"/>
          <w:noProof/>
          <w:color w:val="000000" w:themeColor="text1"/>
          <w:sz w:val="22"/>
        </w:rPr>
        <w:t xml:space="preserve">Levosimendan exerts anti-inflammatory effects on cardiac myocytes and endothelial cells in vitro. </w:t>
      </w:r>
      <w:r w:rsidRPr="00B6585E">
        <w:rPr>
          <w:rFonts w:ascii="Arial" w:hAnsi="Arial" w:cs="Arial"/>
          <w:i/>
          <w:iCs/>
          <w:noProof/>
          <w:color w:val="000000" w:themeColor="text1"/>
          <w:sz w:val="22"/>
        </w:rPr>
        <w:t>Thromb Haemost</w:t>
      </w:r>
      <w:r w:rsidRPr="00B6585E">
        <w:rPr>
          <w:rFonts w:ascii="Arial" w:hAnsi="Arial" w:cs="Arial"/>
          <w:noProof/>
          <w:color w:val="000000" w:themeColor="text1"/>
          <w:sz w:val="22"/>
        </w:rPr>
        <w:t xml:space="preserve"> 2015; </w:t>
      </w:r>
      <w:r w:rsidRPr="00B6585E">
        <w:rPr>
          <w:rFonts w:ascii="Arial" w:hAnsi="Arial" w:cs="Arial"/>
          <w:b/>
          <w:bCs/>
          <w:noProof/>
          <w:color w:val="000000" w:themeColor="text1"/>
          <w:sz w:val="22"/>
        </w:rPr>
        <w:t>113</w:t>
      </w:r>
      <w:r w:rsidRPr="00B6585E">
        <w:rPr>
          <w:rFonts w:ascii="Arial" w:hAnsi="Arial" w:cs="Arial"/>
          <w:noProof/>
          <w:color w:val="000000" w:themeColor="text1"/>
          <w:sz w:val="22"/>
        </w:rPr>
        <w:t xml:space="preserve">: 350–62 </w:t>
      </w:r>
    </w:p>
    <w:p w14:paraId="3F32EE2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53. </w:t>
      </w:r>
      <w:r w:rsidRPr="00B6585E">
        <w:rPr>
          <w:rFonts w:ascii="Arial" w:hAnsi="Arial" w:cs="Arial"/>
          <w:noProof/>
          <w:color w:val="000000" w:themeColor="text1"/>
          <w:sz w:val="22"/>
        </w:rPr>
        <w:tab/>
        <w:t xml:space="preserve">Rodríguez-González R, Pollesello P, Baluja A, Álvarez J. Effects of Levosimendan on Inflammation and Oxidative Stress Pathways in a Lipopolysaccharide-Stimulated Human Endothelial Cell Model. </w:t>
      </w:r>
      <w:r w:rsidRPr="00B6585E">
        <w:rPr>
          <w:rFonts w:ascii="Arial" w:hAnsi="Arial" w:cs="Arial"/>
          <w:i/>
          <w:iCs/>
          <w:noProof/>
          <w:color w:val="000000" w:themeColor="text1"/>
          <w:sz w:val="22"/>
        </w:rPr>
        <w:t>Biol Res Nurs</w:t>
      </w:r>
      <w:r w:rsidRPr="00B6585E">
        <w:rPr>
          <w:rFonts w:ascii="Arial" w:hAnsi="Arial" w:cs="Arial"/>
          <w:noProof/>
          <w:color w:val="000000" w:themeColor="text1"/>
          <w:sz w:val="22"/>
        </w:rPr>
        <w:t xml:space="preserve"> 2019; </w:t>
      </w:r>
      <w:r w:rsidRPr="00B6585E">
        <w:rPr>
          <w:rFonts w:ascii="Arial" w:hAnsi="Arial" w:cs="Arial"/>
          <w:b/>
          <w:bCs/>
          <w:noProof/>
          <w:color w:val="000000" w:themeColor="text1"/>
          <w:sz w:val="22"/>
        </w:rPr>
        <w:t>21</w:t>
      </w:r>
      <w:r w:rsidRPr="00B6585E">
        <w:rPr>
          <w:rFonts w:ascii="Arial" w:hAnsi="Arial" w:cs="Arial"/>
          <w:noProof/>
          <w:color w:val="000000" w:themeColor="text1"/>
          <w:sz w:val="22"/>
        </w:rPr>
        <w:t xml:space="preserve">: 466–72 </w:t>
      </w:r>
    </w:p>
    <w:p w14:paraId="1FE831EE"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54. </w:t>
      </w:r>
      <w:r w:rsidRPr="00B6585E">
        <w:rPr>
          <w:rFonts w:ascii="Arial" w:hAnsi="Arial" w:cs="Arial"/>
          <w:noProof/>
          <w:color w:val="000000" w:themeColor="text1"/>
          <w:sz w:val="22"/>
        </w:rPr>
        <w:tab/>
        <w:t xml:space="preserve">Kyrzopoulos S, Adamopoulos S, Parissis JT, et al. Levosimendan reduces plasma B-type natriuretic peptide and interleukin 6, and improves central hemodynamics in severe heart failure patients. </w:t>
      </w:r>
      <w:r w:rsidRPr="00B6585E">
        <w:rPr>
          <w:rFonts w:ascii="Arial" w:hAnsi="Arial" w:cs="Arial"/>
          <w:i/>
          <w:iCs/>
          <w:noProof/>
          <w:color w:val="000000" w:themeColor="text1"/>
          <w:sz w:val="22"/>
        </w:rPr>
        <w:t>Int J Cardiol</w:t>
      </w:r>
      <w:r w:rsidRPr="00B6585E">
        <w:rPr>
          <w:rFonts w:ascii="Arial" w:hAnsi="Arial" w:cs="Arial"/>
          <w:noProof/>
          <w:color w:val="000000" w:themeColor="text1"/>
          <w:sz w:val="22"/>
        </w:rPr>
        <w:t xml:space="preserve"> 2005; </w:t>
      </w:r>
      <w:r w:rsidRPr="00B6585E">
        <w:rPr>
          <w:rFonts w:ascii="Arial" w:hAnsi="Arial" w:cs="Arial"/>
          <w:b/>
          <w:bCs/>
          <w:noProof/>
          <w:color w:val="000000" w:themeColor="text1"/>
          <w:sz w:val="22"/>
        </w:rPr>
        <w:t>99</w:t>
      </w:r>
      <w:r w:rsidRPr="00B6585E">
        <w:rPr>
          <w:rFonts w:ascii="Arial" w:hAnsi="Arial" w:cs="Arial"/>
          <w:noProof/>
          <w:color w:val="000000" w:themeColor="text1"/>
          <w:sz w:val="22"/>
        </w:rPr>
        <w:t xml:space="preserve">: 409–13 </w:t>
      </w:r>
    </w:p>
    <w:p w14:paraId="29D03B6C" w14:textId="77777777" w:rsidR="00D02927" w:rsidRPr="00B6585E"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55. </w:t>
      </w:r>
      <w:r w:rsidRPr="00B6585E">
        <w:rPr>
          <w:rFonts w:ascii="Arial" w:hAnsi="Arial" w:cs="Arial"/>
          <w:noProof/>
          <w:color w:val="000000" w:themeColor="text1"/>
          <w:sz w:val="22"/>
        </w:rPr>
        <w:tab/>
        <w:t xml:space="preserve">Trikas A, Antoniades C, Latsios G, et al. Long-term effects of levosimendan infusion on inflammatory processes and sFas in patients with severe heart failure. </w:t>
      </w:r>
      <w:r w:rsidRPr="00B6585E">
        <w:rPr>
          <w:rFonts w:ascii="Arial" w:hAnsi="Arial" w:cs="Arial"/>
          <w:i/>
          <w:iCs/>
          <w:noProof/>
          <w:color w:val="000000" w:themeColor="text1"/>
          <w:sz w:val="22"/>
        </w:rPr>
        <w:t>Eur J Heart Fail</w:t>
      </w:r>
      <w:r w:rsidRPr="00B6585E">
        <w:rPr>
          <w:rFonts w:ascii="Arial" w:hAnsi="Arial" w:cs="Arial"/>
          <w:noProof/>
          <w:color w:val="000000" w:themeColor="text1"/>
          <w:sz w:val="22"/>
        </w:rPr>
        <w:t xml:space="preserve"> 2006; </w:t>
      </w:r>
      <w:r w:rsidRPr="00B6585E">
        <w:rPr>
          <w:rFonts w:ascii="Arial" w:hAnsi="Arial" w:cs="Arial"/>
          <w:b/>
          <w:bCs/>
          <w:noProof/>
          <w:color w:val="000000" w:themeColor="text1"/>
          <w:sz w:val="22"/>
        </w:rPr>
        <w:t>8</w:t>
      </w:r>
      <w:r w:rsidRPr="00B6585E">
        <w:rPr>
          <w:rFonts w:ascii="Arial" w:hAnsi="Arial" w:cs="Arial"/>
          <w:noProof/>
          <w:color w:val="000000" w:themeColor="text1"/>
          <w:sz w:val="22"/>
        </w:rPr>
        <w:t xml:space="preserve">: 804–9 </w:t>
      </w:r>
    </w:p>
    <w:p w14:paraId="34846E69" w14:textId="0A4278B7" w:rsidR="00D02927" w:rsidRDefault="00D02927" w:rsidP="00D02927">
      <w:pPr>
        <w:widowControl w:val="0"/>
        <w:autoSpaceDE w:val="0"/>
        <w:autoSpaceDN w:val="0"/>
        <w:adjustRightInd w:val="0"/>
        <w:spacing w:after="120"/>
        <w:ind w:left="640" w:hanging="640"/>
        <w:rPr>
          <w:rFonts w:ascii="Arial" w:hAnsi="Arial" w:cs="Arial"/>
          <w:noProof/>
          <w:color w:val="000000" w:themeColor="text1"/>
          <w:sz w:val="22"/>
        </w:rPr>
      </w:pPr>
      <w:r w:rsidRPr="00B6585E">
        <w:rPr>
          <w:rFonts w:ascii="Arial" w:hAnsi="Arial" w:cs="Arial"/>
          <w:noProof/>
          <w:color w:val="000000" w:themeColor="text1"/>
          <w:sz w:val="22"/>
        </w:rPr>
        <w:t xml:space="preserve">56. </w:t>
      </w:r>
      <w:r w:rsidRPr="00B6585E">
        <w:rPr>
          <w:rFonts w:ascii="Arial" w:hAnsi="Arial" w:cs="Arial"/>
          <w:noProof/>
          <w:color w:val="000000" w:themeColor="text1"/>
          <w:sz w:val="22"/>
        </w:rPr>
        <w:tab/>
        <w:t xml:space="preserve">Parissis JT, Adamopoulos S, Farmakis D, et al. Effects of serial levosimendan infusions on left ventricular performance and plasma biomarkers of myocardial injury and neurohormonal and immune activation in patients with advanced heart failure. </w:t>
      </w:r>
      <w:r w:rsidRPr="00B6585E">
        <w:rPr>
          <w:rFonts w:ascii="Arial" w:hAnsi="Arial" w:cs="Arial"/>
          <w:i/>
          <w:iCs/>
          <w:noProof/>
          <w:color w:val="000000" w:themeColor="text1"/>
          <w:sz w:val="22"/>
        </w:rPr>
        <w:t>Heart</w:t>
      </w:r>
      <w:r w:rsidRPr="00B6585E">
        <w:rPr>
          <w:rFonts w:ascii="Arial" w:hAnsi="Arial" w:cs="Arial"/>
          <w:noProof/>
          <w:color w:val="000000" w:themeColor="text1"/>
          <w:sz w:val="22"/>
        </w:rPr>
        <w:t xml:space="preserve"> 2006; </w:t>
      </w:r>
      <w:r w:rsidRPr="00B6585E">
        <w:rPr>
          <w:rFonts w:ascii="Arial" w:hAnsi="Arial" w:cs="Arial"/>
          <w:b/>
          <w:bCs/>
          <w:noProof/>
          <w:color w:val="000000" w:themeColor="text1"/>
          <w:sz w:val="22"/>
        </w:rPr>
        <w:t>92</w:t>
      </w:r>
      <w:r w:rsidRPr="00B6585E">
        <w:rPr>
          <w:rFonts w:ascii="Arial" w:hAnsi="Arial" w:cs="Arial"/>
          <w:noProof/>
          <w:color w:val="000000" w:themeColor="text1"/>
          <w:sz w:val="22"/>
        </w:rPr>
        <w:t xml:space="preserve">: 1768–72 </w:t>
      </w:r>
    </w:p>
    <w:p w14:paraId="60B0CCF8" w14:textId="7C47B8EE" w:rsidR="00621488" w:rsidRDefault="00621488">
      <w:pPr>
        <w:rPr>
          <w:rFonts w:ascii="Arial" w:hAnsi="Arial" w:cs="Arial"/>
          <w:noProof/>
          <w:color w:val="000000" w:themeColor="text1"/>
          <w:sz w:val="22"/>
        </w:rPr>
      </w:pPr>
    </w:p>
    <w:p w14:paraId="3BEB1CD1" w14:textId="6FAAB8E3" w:rsidR="00931A60" w:rsidRPr="00B6585E" w:rsidRDefault="00A221DB" w:rsidP="00621488">
      <w:pPr>
        <w:widowControl w:val="0"/>
        <w:autoSpaceDE w:val="0"/>
        <w:autoSpaceDN w:val="0"/>
        <w:adjustRightInd w:val="0"/>
        <w:spacing w:after="120"/>
        <w:rPr>
          <w:color w:val="000000" w:themeColor="text1"/>
        </w:rPr>
      </w:pPr>
      <w:r w:rsidRPr="00B6585E">
        <w:rPr>
          <w:rFonts w:ascii="Arial" w:hAnsi="Arial" w:cs="Arial"/>
          <w:color w:val="000000" w:themeColor="text1"/>
          <w:sz w:val="22"/>
        </w:rPr>
        <w:fldChar w:fldCharType="end"/>
      </w:r>
      <w:bookmarkEnd w:id="296"/>
      <w:bookmarkEnd w:id="297"/>
    </w:p>
    <w:p w14:paraId="71FAFA7C" w14:textId="01DA726E" w:rsidR="00370DD5" w:rsidRPr="00B6585E" w:rsidRDefault="00370DD5" w:rsidP="00370DD5">
      <w:pPr>
        <w:pStyle w:val="Heading1"/>
      </w:pPr>
      <w:bookmarkStart w:id="298" w:name="_Toc96925018"/>
      <w:bookmarkStart w:id="299" w:name="_Toc23231357"/>
      <w:r w:rsidRPr="00B6585E">
        <w:lastRenderedPageBreak/>
        <w:t>APPENDIX</w:t>
      </w:r>
      <w:bookmarkEnd w:id="298"/>
    </w:p>
    <w:p w14:paraId="45BD4568" w14:textId="18DEAE8B" w:rsidR="00931A60" w:rsidRPr="00B6585E" w:rsidRDefault="00370DD5" w:rsidP="00370DD5">
      <w:pPr>
        <w:pStyle w:val="Heading2"/>
        <w:numPr>
          <w:ilvl w:val="0"/>
          <w:numId w:val="0"/>
        </w:numPr>
        <w:ind w:left="964" w:hanging="964"/>
        <w:rPr>
          <w:color w:val="000000" w:themeColor="text1"/>
        </w:rPr>
      </w:pPr>
      <w:bookmarkStart w:id="300" w:name="_Toc96925019"/>
      <w:r w:rsidRPr="00B6585E">
        <w:rPr>
          <w:color w:val="000000" w:themeColor="text1"/>
        </w:rPr>
        <w:t>15.1 Appendix I:</w:t>
      </w:r>
      <w:r w:rsidR="00A221DB" w:rsidRPr="00B6585E">
        <w:rPr>
          <w:color w:val="000000" w:themeColor="text1"/>
        </w:rPr>
        <w:t xml:space="preserve"> Definition of Perioperative Complications</w:t>
      </w:r>
      <w:bookmarkEnd w:id="299"/>
      <w:bookmarkEnd w:id="300"/>
    </w:p>
    <w:p w14:paraId="091C8B90" w14:textId="77777777" w:rsidR="00931A60" w:rsidRPr="00B6585E" w:rsidRDefault="00931A60">
      <w:pPr>
        <w:rPr>
          <w:rFonts w:ascii="Arial" w:hAnsi="Arial" w:cs="Arial"/>
          <w:color w:val="000000" w:themeColor="text1"/>
          <w:sz w:val="22"/>
          <w:szCs w:val="22"/>
        </w:rPr>
      </w:pPr>
    </w:p>
    <w:p w14:paraId="2722D28E" w14:textId="2BEF84F4" w:rsidR="00931A60" w:rsidRPr="00B6585E" w:rsidRDefault="00370DD5" w:rsidP="00370DD5">
      <w:pPr>
        <w:pStyle w:val="Heading3"/>
        <w:numPr>
          <w:ilvl w:val="0"/>
          <w:numId w:val="0"/>
        </w:numPr>
      </w:pPr>
      <w:bookmarkStart w:id="301" w:name="_Toc23231358"/>
      <w:bookmarkStart w:id="302" w:name="_Toc96925020"/>
      <w:r w:rsidRPr="00B6585E">
        <w:t xml:space="preserve">15.1.1 </w:t>
      </w:r>
      <w:r w:rsidR="00A221DB" w:rsidRPr="00B6585E">
        <w:t>Heart failure requiring medical intervention</w:t>
      </w:r>
      <w:bookmarkEnd w:id="301"/>
      <w:bookmarkEnd w:id="302"/>
    </w:p>
    <w:p w14:paraId="7DF450BF"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New onset of acute heart failure requiring medical intervention with one or more of the following drugs: dobutamine, dopamine, epinephrine, milrinone. Furthermore, also treatment with a venous-arterial extracorporeal membrane oxygenation device (ECMO). </w:t>
      </w:r>
    </w:p>
    <w:p w14:paraId="20CAB450" w14:textId="77777777" w:rsidR="00931A60" w:rsidRPr="00B6585E" w:rsidRDefault="00931A60">
      <w:pPr>
        <w:rPr>
          <w:color w:val="000000" w:themeColor="text1"/>
        </w:rPr>
      </w:pPr>
    </w:p>
    <w:p w14:paraId="1B741D88" w14:textId="630F46B6" w:rsidR="00931A60" w:rsidRPr="00B6585E" w:rsidRDefault="00370DD5" w:rsidP="00370DD5">
      <w:pPr>
        <w:pStyle w:val="Heading3"/>
        <w:numPr>
          <w:ilvl w:val="0"/>
          <w:numId w:val="0"/>
        </w:numPr>
      </w:pPr>
      <w:bookmarkStart w:id="303" w:name="_Toc23231359"/>
      <w:bookmarkStart w:id="304" w:name="_Toc96925021"/>
      <w:r w:rsidRPr="00B6585E">
        <w:t xml:space="preserve">15.1.2 </w:t>
      </w:r>
      <w:r w:rsidR="00A221DB" w:rsidRPr="00B6585E">
        <w:t>Myocardial infarction</w:t>
      </w:r>
      <w:bookmarkEnd w:id="303"/>
      <w:bookmarkEnd w:id="304"/>
    </w:p>
    <w:p w14:paraId="509DB449" w14:textId="6BA2B296" w:rsidR="00931A60" w:rsidRPr="00B6585E" w:rsidRDefault="00A221DB">
      <w:pPr>
        <w:spacing w:line="300" w:lineRule="exact"/>
        <w:jc w:val="both"/>
        <w:rPr>
          <w:rFonts w:ascii="Arial" w:hAnsi="Arial" w:cs="Arial"/>
          <w:color w:val="000000" w:themeColor="text1"/>
          <w:sz w:val="22"/>
          <w:szCs w:val="22"/>
        </w:rPr>
      </w:pPr>
      <w:r w:rsidRPr="00B6585E">
        <w:rPr>
          <w:rFonts w:ascii="Arial" w:hAnsi="Arial" w:cs="Arial"/>
          <w:color w:val="000000" w:themeColor="text1"/>
          <w:sz w:val="22"/>
          <w:szCs w:val="22"/>
        </w:rPr>
        <w:t>The fourth universal definition of myocardial infarction 2018</w:t>
      </w:r>
      <w:r w:rsidRPr="00B6585E">
        <w:rPr>
          <w:color w:val="000000" w:themeColor="text1"/>
        </w:rPr>
        <w:fldChar w:fldCharType="begin" w:fldLock="1"/>
      </w:r>
      <w:r w:rsidR="00D02927" w:rsidRPr="00B6585E">
        <w:rPr>
          <w:color w:val="000000" w:themeColor="text1"/>
        </w:rPr>
        <w:instrText>ADDIN CSL_CITATION {"citationItems":[{"id":"ITEM-1","itemData":{"DOI":"10.15829/1560-4071-2019-3-107-138","ISSN":"26187620","abstract":"Cardiac troponin testing is commonly performed in patients with heart failure (HF). Despite being strongly linked to spontaneous (Type I) acute myocardial infarction (MI)-a common cause of acute HF syndromes-it is well recognized that concentrations of circulating troponins above the 99th percentile of a normal population in the context of both acute and chronic HF are highly prevalent, and frequently unrelated to Type I MI. Other mechanism(s) leading to troponin elevation in HF syndromes remain elusive in many cases but prominently includes supply-demand inequity (Type II MI), which may be associated with coronary artery obstruction and endothelial dysfunction, or may occur in the absence of coronary obstruction due to increased oxygen demand related to increased wall tension, anaemia, or other factors provoking subendocardial injury. Non-coronary triggers, such as cellular necrosis, apoptosis, or autophagy in the context of wall stress may explain the troponin release in HF, as can toxic effects of circulating neurohormones, toxins, inflammation, and infiltrative processes, among others. Nonetheless, across a wide spectrum of HF syndromes, when troponin elevation occurs, independent of mechanism, it is strongly predictive of an adverse outcome. Clinicians should be aware of the high frequency of troponin elevation when measuring the marker in patients with HF, should keep in mind the possible causes of this phenomenon, and, independent of a diagnosis of 'acute MI', should recognize the considerable ramifications of troponin elevation in this setting.","author":[{"dropping-particle":"","family":"Thygesen","given":"Kristian","non-dropping-particle":"","parse-names":false,"suffix":""},{"dropping-particle":"","family":"Alpert","given":"Joseph S.","non-dropping-particle":"","parse-names":false,"suffix":""},{"dropping-particle":"","family":"Jaffe","given":"Allan S.","non-dropping-particle":"","parse-names":false,"suffix":""},{"dropping-particle":"","family":"Chaitman","given":"Bernard R.","non-dropping-particle":"","parse-names":false,"suffix":""},{"dropping-particle":"","family":"Bax","given":"Jeroen J.","non-dropping-particle":"","parse-names":false,"suffix":""},{"dropping-particle":"","family":"Morrow","given":"David A.","non-dropping-particle":"","parse-names":false,"suffix":""},{"dropping-particle":"","family":"White","given":"Harvey D.","non-dropping-particle":"","parse-names":false,"suffix":""}],"container-title":"European Heart Journal","id":"ITEM-1","issued":{"date-parts":[["2019"]]},"page":"237-269","title":"Fourth universal definition of myocardial infarction (2018)","type":"article-journal","volume":"40"},"uris":["http://www.mendeley.com/documents/?uuid=2c6c0ebb-bffd-44c9-9167-1093e3af28a9"]}],"mendeley":{"formattedCitation":"&lt;sup&gt;37&lt;/sup&gt;","plainTextFormattedCitation":"37","previouslyFormattedCitation":"&lt;sup&gt;36&lt;/sup&gt;"},"properties":{"noteIndex":0},"schema":"https://github.com/citation-style-language/schema/raw/master/csl-citation.json"}</w:instrText>
      </w:r>
      <w:r w:rsidRPr="00B6585E">
        <w:rPr>
          <w:color w:val="000000" w:themeColor="text1"/>
        </w:rPr>
        <w:fldChar w:fldCharType="separate"/>
      </w:r>
      <w:bookmarkStart w:id="305" w:name="__Fieldmark__3439_2706913586"/>
      <w:r w:rsidR="00D02927" w:rsidRPr="00B6585E">
        <w:rPr>
          <w:rFonts w:ascii="Arial" w:hAnsi="Arial" w:cs="Arial"/>
          <w:noProof/>
          <w:color w:val="000000" w:themeColor="text1"/>
          <w:sz w:val="22"/>
          <w:szCs w:val="22"/>
          <w:vertAlign w:val="superscript"/>
        </w:rPr>
        <w:t>37</w:t>
      </w:r>
      <w:r w:rsidRPr="00B6585E">
        <w:rPr>
          <w:color w:val="000000" w:themeColor="text1"/>
        </w:rPr>
        <w:fldChar w:fldCharType="end"/>
      </w:r>
      <w:bookmarkEnd w:id="305"/>
      <w:r w:rsidRPr="00B6585E">
        <w:rPr>
          <w:rFonts w:ascii="Arial" w:hAnsi="Arial" w:cs="Arial"/>
          <w:color w:val="000000" w:themeColor="text1"/>
          <w:sz w:val="22"/>
          <w:szCs w:val="22"/>
        </w:rPr>
        <w:t xml:space="preserve"> will be used to define MI as follows: </w:t>
      </w:r>
    </w:p>
    <w:p w14:paraId="4D1A321B" w14:textId="77777777" w:rsidR="00931A60" w:rsidRPr="00B6585E" w:rsidRDefault="00931A60">
      <w:pPr>
        <w:spacing w:line="300" w:lineRule="exact"/>
        <w:jc w:val="both"/>
        <w:rPr>
          <w:rFonts w:ascii="Arial" w:hAnsi="Arial" w:cs="Arial"/>
          <w:color w:val="000000" w:themeColor="text1"/>
          <w:sz w:val="22"/>
          <w:szCs w:val="22"/>
        </w:rPr>
      </w:pPr>
    </w:p>
    <w:p w14:paraId="01010AA2"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MI is an acute myocardial injury with clinical evidence of acute myocardial ischemia and with detection of a rise and / or fall of cTnT values with at least one value above the 99</w:t>
      </w:r>
      <w:r w:rsidRPr="00B6585E">
        <w:rPr>
          <w:rFonts w:ascii="Arial" w:hAnsi="Arial" w:cs="Arial"/>
          <w:color w:val="000000" w:themeColor="text1"/>
          <w:sz w:val="22"/>
          <w:szCs w:val="22"/>
          <w:vertAlign w:val="superscript"/>
        </w:rPr>
        <w:t>th</w:t>
      </w:r>
      <w:r w:rsidRPr="00B6585E">
        <w:rPr>
          <w:rFonts w:ascii="Arial" w:hAnsi="Arial" w:cs="Arial"/>
          <w:color w:val="000000" w:themeColor="text1"/>
          <w:sz w:val="22"/>
          <w:szCs w:val="22"/>
        </w:rPr>
        <w:t xml:space="preserve"> percentile upper reference limit (URL) and at least one of the following:</w:t>
      </w:r>
    </w:p>
    <w:p w14:paraId="20018DA5" w14:textId="77777777" w:rsidR="00931A60" w:rsidRPr="00B6585E" w:rsidRDefault="00A221DB">
      <w:pPr>
        <w:numPr>
          <w:ilvl w:val="0"/>
          <w:numId w:val="14"/>
        </w:numPr>
        <w:jc w:val="both"/>
        <w:rPr>
          <w:rFonts w:ascii="Arial" w:hAnsi="Arial" w:cs="Arial"/>
          <w:color w:val="000000" w:themeColor="text1"/>
          <w:sz w:val="22"/>
          <w:szCs w:val="22"/>
        </w:rPr>
      </w:pPr>
      <w:r w:rsidRPr="00B6585E">
        <w:rPr>
          <w:rFonts w:ascii="Arial" w:hAnsi="Arial" w:cs="Arial"/>
          <w:color w:val="000000" w:themeColor="text1"/>
          <w:sz w:val="22"/>
          <w:szCs w:val="22"/>
        </w:rPr>
        <w:t>Symptoms of myocardial ischemia;(new ischemic ECG changes; (new or presumed ECG changes indicative of ischemia (i.e., ST segment elevation [≥ 2 mm in leads V</w:t>
      </w:r>
      <w:r w:rsidRPr="00B6585E">
        <w:rPr>
          <w:rFonts w:ascii="Arial" w:hAnsi="Arial" w:cs="Arial"/>
          <w:color w:val="000000" w:themeColor="text1"/>
          <w:position w:val="-1"/>
          <w:sz w:val="22"/>
          <w:szCs w:val="22"/>
        </w:rPr>
        <w:t>1</w:t>
      </w:r>
      <w:r w:rsidRPr="00B6585E">
        <w:rPr>
          <w:rFonts w:ascii="Arial" w:hAnsi="Arial" w:cs="Arial"/>
          <w:color w:val="000000" w:themeColor="text1"/>
          <w:sz w:val="22"/>
          <w:szCs w:val="22"/>
        </w:rPr>
        <w:t>, V</w:t>
      </w:r>
      <w:r w:rsidRPr="00B6585E">
        <w:rPr>
          <w:rFonts w:ascii="Arial" w:hAnsi="Arial" w:cs="Arial"/>
          <w:color w:val="000000" w:themeColor="text1"/>
          <w:position w:val="-1"/>
          <w:sz w:val="22"/>
          <w:szCs w:val="22"/>
        </w:rPr>
        <w:t>2</w:t>
      </w:r>
      <w:r w:rsidRPr="00B6585E">
        <w:rPr>
          <w:rFonts w:ascii="Arial" w:hAnsi="Arial" w:cs="Arial"/>
          <w:color w:val="000000" w:themeColor="text1"/>
          <w:sz w:val="22"/>
          <w:szCs w:val="22"/>
        </w:rPr>
        <w:t>, or V</w:t>
      </w:r>
      <w:r w:rsidRPr="00B6585E">
        <w:rPr>
          <w:rFonts w:ascii="Arial" w:hAnsi="Arial" w:cs="Arial"/>
          <w:color w:val="000000" w:themeColor="text1"/>
          <w:position w:val="-1"/>
          <w:sz w:val="22"/>
          <w:szCs w:val="22"/>
        </w:rPr>
        <w:t xml:space="preserve">3 </w:t>
      </w:r>
      <w:r w:rsidRPr="00B6585E">
        <w:rPr>
          <w:rFonts w:ascii="Arial" w:hAnsi="Arial" w:cs="Arial"/>
          <w:color w:val="000000" w:themeColor="text1"/>
          <w:sz w:val="22"/>
          <w:szCs w:val="22"/>
        </w:rPr>
        <w:t>OR ≥ 1 mm in the other leads], ST segment depression [≥ 1 mm], or symmetric inversion of T waves ≥ 1 mm) in at least two contiguous leads; new LBBB)</w:t>
      </w:r>
    </w:p>
    <w:p w14:paraId="76A3AD89" w14:textId="77777777" w:rsidR="00931A60" w:rsidRPr="00B6585E" w:rsidRDefault="00A221DB">
      <w:pPr>
        <w:numPr>
          <w:ilvl w:val="0"/>
          <w:numId w:val="14"/>
        </w:numPr>
        <w:jc w:val="both"/>
        <w:rPr>
          <w:rFonts w:ascii="Arial" w:hAnsi="Arial" w:cs="Arial"/>
          <w:color w:val="000000" w:themeColor="text1"/>
          <w:sz w:val="22"/>
          <w:szCs w:val="22"/>
        </w:rPr>
      </w:pPr>
      <w:r w:rsidRPr="00B6585E">
        <w:rPr>
          <w:rFonts w:ascii="Arial" w:hAnsi="Arial" w:cs="Arial"/>
          <w:color w:val="000000" w:themeColor="text1"/>
          <w:sz w:val="22"/>
          <w:szCs w:val="22"/>
        </w:rPr>
        <w:t>Development of pathological Q waves;</w:t>
      </w:r>
    </w:p>
    <w:p w14:paraId="004547C3" w14:textId="6599B4F8" w:rsidR="00931A60" w:rsidRPr="00B6585E" w:rsidRDefault="00A221DB">
      <w:pPr>
        <w:numPr>
          <w:ilvl w:val="0"/>
          <w:numId w:val="14"/>
        </w:num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Imaging evidence of new loss of viable myocardium or new regional wall motion abnormality in pattern consistent with an ischemic </w:t>
      </w:r>
      <w:r w:rsidR="00A5257C" w:rsidRPr="00B6585E">
        <w:rPr>
          <w:rFonts w:ascii="Arial" w:hAnsi="Arial" w:cs="Arial"/>
          <w:color w:val="000000" w:themeColor="text1"/>
          <w:sz w:val="22"/>
          <w:szCs w:val="22"/>
        </w:rPr>
        <w:t>etiology</w:t>
      </w:r>
      <w:r w:rsidRPr="00B6585E">
        <w:rPr>
          <w:rFonts w:ascii="Arial" w:hAnsi="Arial" w:cs="Arial"/>
          <w:color w:val="000000" w:themeColor="text1"/>
          <w:sz w:val="22"/>
          <w:szCs w:val="22"/>
        </w:rPr>
        <w:t xml:space="preserve">. </w:t>
      </w:r>
    </w:p>
    <w:p w14:paraId="7CDEBDC2" w14:textId="77777777" w:rsidR="00931A60" w:rsidRPr="00B6585E" w:rsidRDefault="00A221DB">
      <w:pPr>
        <w:numPr>
          <w:ilvl w:val="0"/>
          <w:numId w:val="14"/>
        </w:numPr>
        <w:jc w:val="both"/>
        <w:rPr>
          <w:rFonts w:ascii="Arial" w:hAnsi="Arial" w:cs="Arial"/>
          <w:color w:val="000000" w:themeColor="text1"/>
          <w:sz w:val="22"/>
          <w:szCs w:val="22"/>
        </w:rPr>
      </w:pPr>
      <w:r w:rsidRPr="00B6585E">
        <w:rPr>
          <w:rFonts w:ascii="Arial" w:hAnsi="Arial" w:cs="Arial"/>
          <w:color w:val="000000" w:themeColor="text1"/>
          <w:sz w:val="22"/>
          <w:szCs w:val="22"/>
        </w:rPr>
        <w:t>Identification of a coronary thrombus by angiography or autopsy</w:t>
      </w:r>
    </w:p>
    <w:p w14:paraId="0822A4FB" w14:textId="77777777" w:rsidR="00931A60" w:rsidRPr="00B6585E" w:rsidRDefault="00931A60">
      <w:pPr>
        <w:rPr>
          <w:color w:val="000000" w:themeColor="text1"/>
        </w:rPr>
      </w:pPr>
    </w:p>
    <w:p w14:paraId="341FE975" w14:textId="2963A0D1" w:rsidR="00931A60" w:rsidRPr="00B6585E" w:rsidRDefault="00370DD5" w:rsidP="00370DD5">
      <w:pPr>
        <w:pStyle w:val="Heading3"/>
        <w:numPr>
          <w:ilvl w:val="0"/>
          <w:numId w:val="0"/>
        </w:numPr>
      </w:pPr>
      <w:bookmarkStart w:id="306" w:name="_Toc23231360"/>
      <w:bookmarkStart w:id="307" w:name="_Toc96925022"/>
      <w:r w:rsidRPr="00B6585E">
        <w:t xml:space="preserve">15.1.3 </w:t>
      </w:r>
      <w:r w:rsidR="00A221DB" w:rsidRPr="00B6585E">
        <w:t>Life threating bleeding</w:t>
      </w:r>
      <w:bookmarkEnd w:id="306"/>
      <w:bookmarkEnd w:id="307"/>
    </w:p>
    <w:p w14:paraId="474BF0CA" w14:textId="14ED5AD1" w:rsidR="00931A60" w:rsidRPr="00B6585E" w:rsidRDefault="00A221DB">
      <w:pPr>
        <w:spacing w:beforeAutospacing="1" w:afterAutospacing="1"/>
        <w:jc w:val="both"/>
        <w:rPr>
          <w:rFonts w:ascii="Arial" w:hAnsi="Arial" w:cs="Arial"/>
          <w:color w:val="000000" w:themeColor="text1"/>
          <w:sz w:val="22"/>
          <w:szCs w:val="22"/>
        </w:rPr>
      </w:pPr>
      <w:r w:rsidRPr="00B6585E">
        <w:rPr>
          <w:rFonts w:ascii="Arial" w:hAnsi="Arial" w:cs="Arial"/>
          <w:color w:val="000000" w:themeColor="text1"/>
          <w:sz w:val="22"/>
          <w:szCs w:val="22"/>
        </w:rPr>
        <w:t>Life-threatening bleeding is bleeding that is fatal,</w:t>
      </w:r>
      <w:r w:rsidR="008414B3"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 xml:space="preserve">or leads to: significant hypotension that requires inotrope therapy, urgent (within 24 hours) surgery (other than superficial vascular repair), or intracranial hemorrhage. </w:t>
      </w:r>
    </w:p>
    <w:p w14:paraId="47615391" w14:textId="0F3C7C6E" w:rsidR="00931A60" w:rsidRPr="00B6585E" w:rsidRDefault="00370DD5" w:rsidP="00370DD5">
      <w:pPr>
        <w:pStyle w:val="Heading3"/>
        <w:numPr>
          <w:ilvl w:val="0"/>
          <w:numId w:val="0"/>
        </w:numPr>
      </w:pPr>
      <w:bookmarkStart w:id="308" w:name="_Toc23231361"/>
      <w:bookmarkStart w:id="309" w:name="_Toc96925023"/>
      <w:r w:rsidRPr="00B6585E">
        <w:t xml:space="preserve">15.1.4 </w:t>
      </w:r>
      <w:r w:rsidR="00A221DB" w:rsidRPr="00B6585E">
        <w:t>New onset of atrial fibrillation</w:t>
      </w:r>
      <w:bookmarkEnd w:id="308"/>
      <w:bookmarkEnd w:id="309"/>
    </w:p>
    <w:p w14:paraId="7BCFC7E0" w14:textId="44A51851"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Artrial Fibrillation will be diagnosed according to the management guidelines for atrial fibrillation published by the European Society for Cardiology (ESC).</w:t>
      </w:r>
      <w:r w:rsidRPr="00B6585E">
        <w:rPr>
          <w:color w:val="000000" w:themeColor="text1"/>
        </w:rPr>
        <w:fldChar w:fldCharType="begin" w:fldLock="1"/>
      </w:r>
      <w:r w:rsidR="00D02927" w:rsidRPr="00B6585E">
        <w:rPr>
          <w:color w:val="000000" w:themeColor="text1"/>
        </w:rPr>
        <w:instrText>ADDIN CSL_CITATION {"citationItems":[{"id":"ITEM-1","itemData":{"DOI":"10.15829/1560-4071-2017-7-7-86","ISBN":"1099-5129","ISSN":"15604071","PMID":"27567465","abstract":"The Task Force for the management of atrial fibrillation of the European Society of Cardiology (ESC) Developed with the special contribution of the European Heart Rhythm Association (EHRA) of the ESC Endorsed by the European Stroke Organisation (ESO) 1 Preamble 102 Introduction 113 Epidemiology and impact for patients 12 3.1 Incidence and prevalence of atrial fibrillation 12 3.2 Morbidity, mortality, and healthcare burden of atrial fibrillation 12 3.3 Impact of evidence-based management on outcomes in atrial fibrillation patients 12 3.4 Gender 134 Pathophysiological and genetic aspects that guide management 14 4.1 Genetic predisposition 14 4.2 Mechanisms leading to atrial fibrillation 14 4.2.1 Remodelling of atrial structure and ion channel function 14 4.2.2 Electrophysiological mechanisms of atrial fibrillation 165 Diagnosis and timely detection of atrial fibrillation 17 5.1 Overt and silent atrial fibrillation 17 5.2 Screening for silent atrial fibrillation 17 5.2.1 Screening for atrial fibrillation by electrocardiogram in the community 17 5.2.2 Prolonged monitoring for paroxysmal atrial fibrillation 17 5.2.3 Patients with pacemakers and implanted devices 17 5.2.4 Detection of atrial fibrillation in stroke survivors 18 5.3 Electrocardiogram detection of atrial flutter 196 Classification of atrial fibrillation 19 6.1 Atrial fibrillation pattern 19 6.2 Atrial fibrillation types reflecting different causes of the arrhythmia 20 6.3 Symptom burden in atrial fibrillation 207 Detection and management of risk factors and concomitant cardiovascular diseases 21 7.1 Heart failure 22 7.1.1 Patients with atrial fibrillation and heart failure with reduced ejection fraction 23 7.1.2 Atrial fibrillation patients with heart failure with preserved ejection fraction 24 7.1.3 Atrial fibrillation patients with heart failure with mid-range ejection fraction 24 7.1.4 Prevention of atrial fibrillation in heart failure 25 7.2 Hypertension 25 7.2.1 Treatment of hypertension to prevent incident atrial fibrillation 25 7.2.2 Blood pressure control in patients …","author":[{"dropping-particle":"","family":"Kirchhof","given":"Paulus","non-dropping-particle":"","parse-names":false,"suffix":""},{"dropping-particle":"","family":"Benussi","given":"Stefano","non-dropping-particle":"","parse-names":false,"suffix":""},{"dropping-particle":"","family":"Zamorano","given":"Jose Luis","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Lancellotti","given":"Patrizio","non-dropping-particle":"","parse-names":false,"suffix":""},{"dropping-particle":"","family":"Lip","given":"Gregory Y.H.","non-dropping-particle":"","parse-names":false,"suffix":""},{"dropping-particle":"","family":"Nihoyannopoulos","given":"Petros","non-dropping-particle":"","parse-names":false,"suffix":""},{"dropping-particle":"","family":"Piepoli","given":"Massimo F.","non-dropping-particle":"","parse-names":false,"suffix":""},{"dropping-particle":"","family":"Ponikowski","given":"Piotr","non-dropping-particle":"","parse-names":false,"suffix":""},{"dropping-particle":"","family":"Roffi","given":"Marco","non-dropping-particle":"","parse-names":false,"suffix":""},{"dropping-particle":"","family":"Torbicki","given":"Adam","non-dropping-particle":"","parse-names":false,"suffix":""},{"dropping-particle":"","family":"Carneiro","given":"António Vaz","non-dropping-particle":"","parse-names":false,"suffix":""},{"dropping-particle":"","family":"Windecker","given":"Stephan","non-dropping-particle":"","parse-names":false,"suffix":""},{"dropping-particle":"","family":"Hayrapetyan","given":"Hamlet G.","non-dropping-particle":"","parse-names":false,"suffix":""},{"dropping-particle":"","family":"Roithinger","given":"Franz Xaver","non-dropping-particle":"","parse-names":false,"suffix":""},{"dropping-particle":"","family":"Aliyev","given":"Farid","non-dropping-particle":"","parse-names":false,"suffix":""},{"dropping-particle":"","family":"Chasnoits","given":"Alexandr","non-dropping-particle":"","parse-names":false,"suffix":""},{"dropping-particle":"","family":"Mairesse","given":"Georges H.","non-dropping-particle":"","parse-names":false,"suffix":""},{"dropping-particle":"","family":"Matičević","given":"Daniela Loncar","non-dropping-particle":"","parse-names":false,"suffix":""},{"dropping-particle":"","family":"Shalganov","given":"Tchavdar","non-dropping-particle":"","parse-names":false,"suffix":""},{"dropping-particle":"","family":"Skorić","given":"Boško","non-dropping-particle":"","parse-names":false,"suffix":""},{"dropping-particle":"","family":"Antoniades","given":"Loizos","non-dropping-particle":"","parse-names":false,"suffix":""},{"dropping-particle":"","family":"Taborsky","given":"Milos","non-dropping-particle":"","parse-names":false,"suffix":""},{"dropping-particle":"","family":"Pehrson","given":"Steen","non-dropping-particle":"","parse-names":false,"suffix":""},{"dropping-particle":"","family":"Khaled","given":"Said","non-dropping-particle":"","parse-names":false,"suffix":""},{"dropping-particle":"","family":"Kampus","given":"Priit","non-dropping-particle":"","parse-names":false,"suffix":""},{"dropping-particle":"","family":"Hedman","given":"Antti","non-dropping-particle":"","parse-names":false,"suffix":""},{"dropping-particle":"","family":"Poposka","given":"Lidija","non-dropping-particle":"","parse-names":false,"suffix":""},{"dropping-particle":"Le","family":"Heuzey","given":"Jean Yves","non-dropping-particle":"","parse-names":false,"suffix":""},{"dropping-particle":"","family":"Estadashvili","given":"Kakhaber","non-dropping-particle":"","parse-names":false,"suffix":""},{"dropping-particle":"","family":"Bänsch","given":"Dietmar","non-dropping-particle":"","parse-names":false,"suffix":""},{"dropping-particle":"","family":"Csanádi","given":"Zoltán","non-dropping-particle":"","parse-names":false,"suffix":""},{"dropping-particle":"","family":"Keane","given":"David","non-dropping-particle":"","parse-names":false,"suffix":""},{"dropping-particle":"","family":"Beinart","given":"Roy","non-dropping-particle":"","parse-names":false,"suffix":""},{"dropping-particle":"","family":"Romeo","given":"Francesco","non-dropping-particle":"","parse-names":false,"suffix":""},{"dropping-particle":"","family":"Koshumbayeva","given":"Kulzida","non-dropping-particle":"","parse-names":false,"suffix":""},{"dropping-particle":"","family":"Bajraktari","given":"Gani","non-dropping-particle":"","parse-names":false,"suffix":""},{"dropping-particle":"","family":"Mirrakhimov","given":"Aibek","non-dropping-particle":"","parse-names":false,"suffix":""},{"dropping-particle":"","family":"Kalejs","given":"Oskars","non-dropping-particle":"","parse-names":false,"suffix":""},{"dropping-particle":"","family":"Nasr","given":"Samer","non-dropping-particle":"","parse-names":false,"suffix":""},{"dropping-particle":"","family":"Marinskis","given":"Germanas","non-dropping-particle":"","parse-names":false,"suffix":""},{"dropping-particle":"","family":"Dimmer","given":"Carlo","non-dropping-particle":"","parse-names":false,"suffix":""},{"dropping-particle":"","family":"Sammut","given":"Mark","non-dropping-particle":"","parse-names":false,"suffix":""},{"dropping-particle":"","family":"Grosu","given":"Aurel","non-dropping-particle":"","parse-names":false,"suffix":""},{"dropping-particle":"","family":"Abdelali","given":"Salima","non-dropping-particle":"","parse-names":false,"suffix":""},{"dropping-particle":"","family":"Hemels","given":"Martin E.W.","non-dropping-particle":"","parse-names":false,"suffix":""},{"dropping-particle":"","family":"Anfinsen","given":"Ole Gunnar","non-dropping-particle":"","parse-names":false,"suffix":""},{"dropping-particle":"","family":"Średniawa","given":"Beata","non-dropping-particle":"","parse-names":false,"suffix":""},{"dropping-particle":"","family":"Adragao","given":"Pedro","non-dropping-particle":"","parse-names":false,"suffix":""},{"dropping-particle":"","family":"Dan","given":"Gheorghe Andrei","non-dropping-particle":"","parse-names":false,"suffix":""},{"dropping-particle":"","family":"Mikhaylov","given":"Evgeny N.","non-dropping-particle":"","parse-names":false,"suffix":""},{"dropping-particle":"","family":"Zavatta","given":"Marco","non-dropping-particle":"","parse-names":false,"suffix":""},{"dropping-particle":"","family":"Potpara","given":"Tatjana","non-dropping-particle":"","parse-names":false,"suffix":""},{"dropping-particle":"","family":"Hlivak","given":"Peter","non-dropping-particle":"","parse-names":false,"suffix":""},{"dropping-particle":"","family":"Zupan","given":"Igor","non-dropping-particle":"","parse-names":false,"suffix":""},{"dropping-particle":"","family":"Arenal","given":"Angel","non-dropping-particle":"","parse-names":false,"suffix":""},{"dropping-particle":"","family":"Braunschweig","given":"Frieder","non-dropping-particle":"","parse-names":false,"suffix":""},{"dropping-particle":"","family":"Shah","given":"Dipen","non-dropping-particle":"","parse-names":false,"suffix":""},{"dropping-particle":"","family":"Ouali","given":"Ag Sana","non-dropping-particle":"","parse-names":false,"suffix":""},{"dropping-particle":"","family":"Demir","given":"Mesut","non-dropping-particle":"","parse-names":false,"suffix":""},{"dropping-particle":"","family":"Sychov","given":"Oleg","non-dropping-particle":"","parse-names":false,"suffix":""},{"dropping-particle":"","family":"Duncan","given":"Ed","non-dropping-particle":"","parse-names":false,"suffix":""}],"container-title":"European Heart Journal","id":"ITEM-1","issue":"7","issued":{"date-parts":[["2016"]]},"page":"2893-2962","title":"2016 ESC guidelines for the management of atrial fibrillation developed in collaboration with EACTS","type":"article-journal","volume":"37"},"uris":["http://www.mendeley.com/documents/?uuid=9d996784-aec9-43b0-bb76-a091a44bf3cc"]}],"mendeley":{"formattedCitation":"&lt;sup&gt;38&lt;/sup&gt;","plainTextFormattedCitation":"38","previouslyFormattedCitation":"&lt;sup&gt;37&lt;/sup&gt;"},"properties":{"noteIndex":0},"schema":"https://github.com/citation-style-language/schema/raw/master/csl-citation.json"}</w:instrText>
      </w:r>
      <w:r w:rsidRPr="00B6585E">
        <w:rPr>
          <w:color w:val="000000" w:themeColor="text1"/>
        </w:rPr>
        <w:fldChar w:fldCharType="separate"/>
      </w:r>
      <w:bookmarkStart w:id="310" w:name="__Fieldmark__3476_2706913586"/>
      <w:r w:rsidR="00D02927" w:rsidRPr="00B6585E">
        <w:rPr>
          <w:rFonts w:ascii="Arial" w:hAnsi="Arial" w:cs="Arial"/>
          <w:noProof/>
          <w:color w:val="000000" w:themeColor="text1"/>
          <w:sz w:val="22"/>
          <w:szCs w:val="22"/>
          <w:vertAlign w:val="superscript"/>
        </w:rPr>
        <w:t>38</w:t>
      </w:r>
      <w:r w:rsidRPr="00B6585E">
        <w:rPr>
          <w:color w:val="000000" w:themeColor="text1"/>
        </w:rPr>
        <w:fldChar w:fldCharType="end"/>
      </w:r>
      <w:bookmarkEnd w:id="310"/>
      <w:r w:rsidRPr="00B6585E">
        <w:rPr>
          <w:rFonts w:ascii="Arial" w:hAnsi="Arial" w:cs="Arial"/>
          <w:color w:val="000000" w:themeColor="text1"/>
          <w:sz w:val="22"/>
          <w:szCs w:val="22"/>
        </w:rPr>
        <w:t xml:space="preserve"> </w:t>
      </w:r>
    </w:p>
    <w:p w14:paraId="6D33D349"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AF requires a rhythm documentation using an ECG showing the typical pattern of AF: Absolutely irregular RR intervals and no discernible, distinct P waves. Duration of the episode should at least be 30 seconds. </w:t>
      </w:r>
    </w:p>
    <w:p w14:paraId="783D7B8C" w14:textId="77777777" w:rsidR="00931A60" w:rsidRPr="00B6585E" w:rsidRDefault="00931A60">
      <w:pPr>
        <w:rPr>
          <w:color w:val="000000" w:themeColor="text1"/>
        </w:rPr>
      </w:pPr>
    </w:p>
    <w:p w14:paraId="69B99694" w14:textId="6F0935D4" w:rsidR="00931A60" w:rsidRPr="00B6585E" w:rsidRDefault="00370DD5" w:rsidP="00370DD5">
      <w:pPr>
        <w:pStyle w:val="Heading3"/>
        <w:numPr>
          <w:ilvl w:val="0"/>
          <w:numId w:val="0"/>
        </w:numPr>
      </w:pPr>
      <w:bookmarkStart w:id="311" w:name="_Toc23231362"/>
      <w:bookmarkStart w:id="312" w:name="_Toc96925024"/>
      <w:r w:rsidRPr="00B6585E">
        <w:t xml:space="preserve">15.1.5 </w:t>
      </w:r>
      <w:r w:rsidR="00A221DB" w:rsidRPr="00B6585E">
        <w:t>Sepsis</w:t>
      </w:r>
      <w:bookmarkEnd w:id="311"/>
      <w:bookmarkEnd w:id="312"/>
    </w:p>
    <w:p w14:paraId="0FD29B30" w14:textId="77777777" w:rsidR="00931A60" w:rsidRPr="00B6585E" w:rsidRDefault="00A221DB">
      <w:pPr>
        <w:jc w:val="both"/>
        <w:rPr>
          <w:rFonts w:ascii="Arial" w:hAnsi="Arial" w:cs="Arial"/>
          <w:i/>
          <w:iCs/>
          <w:color w:val="000000" w:themeColor="text1"/>
          <w:sz w:val="22"/>
          <w:szCs w:val="22"/>
        </w:rPr>
      </w:pPr>
      <w:r w:rsidRPr="00B6585E">
        <w:rPr>
          <w:rFonts w:ascii="Arial" w:hAnsi="Arial" w:cs="Arial"/>
          <w:color w:val="000000" w:themeColor="text1"/>
          <w:sz w:val="22"/>
          <w:szCs w:val="22"/>
        </w:rPr>
        <w:t>Presence of two or more of the following findings: body temperature &lt; 38°C or &gt; 38°C, heart rate &gt; 90 beats per minute respiratory rate &gt; 20 breath per minute, or, PaCO</w:t>
      </w:r>
      <w:r w:rsidRPr="00B6585E">
        <w:rPr>
          <w:rFonts w:ascii="Arial" w:hAnsi="Arial" w:cs="Arial"/>
          <w:color w:val="000000" w:themeColor="text1"/>
          <w:sz w:val="22"/>
          <w:szCs w:val="22"/>
          <w:vertAlign w:val="subscript"/>
        </w:rPr>
        <w:t xml:space="preserve">2 </w:t>
      </w:r>
      <w:r w:rsidRPr="00B6585E">
        <w:rPr>
          <w:rFonts w:ascii="Arial" w:hAnsi="Arial" w:cs="Arial"/>
          <w:color w:val="000000" w:themeColor="text1"/>
          <w:sz w:val="22"/>
          <w:szCs w:val="22"/>
        </w:rPr>
        <w:t>&lt; 32 mmHg; WBC count &lt; 4,000 cells/mm</w:t>
      </w:r>
      <w:r w:rsidRPr="00B6585E">
        <w:rPr>
          <w:rFonts w:ascii="Arial" w:hAnsi="Arial" w:cs="Arial"/>
          <w:color w:val="000000" w:themeColor="text1"/>
          <w:sz w:val="22"/>
          <w:szCs w:val="22"/>
          <w:vertAlign w:val="superscript"/>
        </w:rPr>
        <w:t xml:space="preserve">3 </w:t>
      </w:r>
      <w:r w:rsidRPr="00B6585E">
        <w:rPr>
          <w:rFonts w:ascii="Arial" w:hAnsi="Arial" w:cs="Arial"/>
          <w:color w:val="000000" w:themeColor="text1"/>
          <w:sz w:val="22"/>
          <w:szCs w:val="22"/>
        </w:rPr>
        <w:t>or &gt; 12,000 cells/mm</w:t>
      </w:r>
      <w:r w:rsidRPr="00B6585E">
        <w:rPr>
          <w:rFonts w:ascii="Arial" w:hAnsi="Arial" w:cs="Arial"/>
          <w:color w:val="000000" w:themeColor="text1"/>
          <w:sz w:val="22"/>
          <w:szCs w:val="22"/>
          <w:vertAlign w:val="superscript"/>
        </w:rPr>
        <w:t xml:space="preserve">3 </w:t>
      </w:r>
      <w:r w:rsidRPr="00B6585E">
        <w:rPr>
          <w:rFonts w:ascii="Arial" w:hAnsi="Arial" w:cs="Arial"/>
          <w:color w:val="000000" w:themeColor="text1"/>
          <w:sz w:val="22"/>
          <w:szCs w:val="22"/>
        </w:rPr>
        <w:t xml:space="preserve">or &gt; 10% band forms </w:t>
      </w:r>
      <w:r w:rsidRPr="00B6585E">
        <w:rPr>
          <w:rFonts w:ascii="Arial" w:hAnsi="Arial" w:cs="Arial"/>
          <w:i/>
          <w:iCs/>
          <w:color w:val="000000" w:themeColor="text1"/>
          <w:sz w:val="22"/>
          <w:szCs w:val="22"/>
        </w:rPr>
        <w:t>PLUS</w:t>
      </w:r>
    </w:p>
    <w:p w14:paraId="1D9837BD"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a confirmed infectious process; infection can be suspected or proven (positive culture, stain, or polymerase chain reaction), a clinical syndrome pathognomonic for infection, such as abnormal chest x-rays consistent with pneumonia, petechiae, purpura, or purpura fulminans; OR</w:t>
      </w:r>
    </w:p>
    <w:p w14:paraId="739F0315"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development of organ failure requiring e.g. renal replacement therapy, respiratory failure needing invasive support, refractory hypotension requiring significant vasopressor support, every kind of extracorporeal membrane oxygenation device. </w:t>
      </w:r>
    </w:p>
    <w:p w14:paraId="36462A06" w14:textId="77777777" w:rsidR="00931A60" w:rsidRPr="00B6585E" w:rsidRDefault="00931A60">
      <w:pPr>
        <w:rPr>
          <w:rFonts w:ascii="Arial" w:hAnsi="Arial" w:cs="Arial"/>
          <w:color w:val="000000" w:themeColor="text1"/>
          <w:sz w:val="22"/>
          <w:szCs w:val="22"/>
        </w:rPr>
      </w:pPr>
    </w:p>
    <w:p w14:paraId="3CC70983" w14:textId="77777777" w:rsidR="00931A60" w:rsidRPr="00B6585E" w:rsidRDefault="00931A60">
      <w:pPr>
        <w:rPr>
          <w:color w:val="000000" w:themeColor="text1"/>
          <w:sz w:val="22"/>
          <w:szCs w:val="22"/>
        </w:rPr>
      </w:pPr>
    </w:p>
    <w:p w14:paraId="3AC4BE8E" w14:textId="49B0DC6D" w:rsidR="00931A60" w:rsidRPr="00B6585E" w:rsidRDefault="00370DD5" w:rsidP="00370DD5">
      <w:pPr>
        <w:pStyle w:val="Heading3"/>
        <w:numPr>
          <w:ilvl w:val="0"/>
          <w:numId w:val="0"/>
        </w:numPr>
      </w:pPr>
      <w:bookmarkStart w:id="313" w:name="_Toc23231363"/>
      <w:bookmarkStart w:id="314" w:name="_Toc96925025"/>
      <w:r w:rsidRPr="00B6585E">
        <w:t xml:space="preserve">15.1.6 </w:t>
      </w:r>
      <w:r w:rsidR="00A221DB" w:rsidRPr="00B6585E">
        <w:t>Stroke / TIA</w:t>
      </w:r>
      <w:bookmarkEnd w:id="313"/>
      <w:bookmarkEnd w:id="314"/>
    </w:p>
    <w:p w14:paraId="28CF30DE" w14:textId="77777777" w:rsidR="00931A60" w:rsidRPr="00B6585E" w:rsidRDefault="00A221DB">
      <w:pPr>
        <w:spacing w:beforeAutospacing="1" w:afterAutospacing="1"/>
        <w:jc w:val="both"/>
        <w:rPr>
          <w:rFonts w:ascii="Arial" w:hAnsi="Arial" w:cs="Arial"/>
          <w:color w:val="000000" w:themeColor="text1"/>
          <w:sz w:val="22"/>
          <w:szCs w:val="22"/>
        </w:rPr>
      </w:pPr>
      <w:r w:rsidRPr="00B6585E">
        <w:rPr>
          <w:rFonts w:ascii="Arial" w:hAnsi="Arial" w:cs="Arial"/>
          <w:color w:val="000000" w:themeColor="text1"/>
          <w:sz w:val="22"/>
          <w:szCs w:val="22"/>
        </w:rPr>
        <w:t xml:space="preserve">Stroke is defined as a new focal neurological deficit thought to be vascular in origin with signs or symptoms lasting more than 24 hours or leading to death. Stroke will be sub-classified into hemorrhagic and non-hemorrhagic stroke. Classification are based on the tests ordered by the attending neurologists/physician. CT or MRI will also be used for outcome classification.  </w:t>
      </w:r>
    </w:p>
    <w:p w14:paraId="2F9281FA" w14:textId="0D3BC666" w:rsidR="00931A60" w:rsidRPr="00B6585E" w:rsidRDefault="00370DD5" w:rsidP="00370DD5">
      <w:pPr>
        <w:pStyle w:val="Heading3"/>
        <w:numPr>
          <w:ilvl w:val="0"/>
          <w:numId w:val="0"/>
        </w:numPr>
      </w:pPr>
      <w:bookmarkStart w:id="315" w:name="_Toc23231364"/>
      <w:bookmarkStart w:id="316" w:name="_Toc96925026"/>
      <w:r w:rsidRPr="00B6585E">
        <w:lastRenderedPageBreak/>
        <w:t xml:space="preserve">15.1.7 </w:t>
      </w:r>
      <w:r w:rsidR="00A221DB" w:rsidRPr="00B6585E">
        <w:t>Pulmonary embolism</w:t>
      </w:r>
      <w:bookmarkEnd w:id="315"/>
      <w:bookmarkEnd w:id="316"/>
    </w:p>
    <w:p w14:paraId="229118AE" w14:textId="77777777" w:rsidR="00931A60" w:rsidRPr="00B6585E" w:rsidRDefault="00A221DB">
      <w:pPr>
        <w:spacing w:beforeAutospacing="1" w:afterAutospacing="1"/>
        <w:jc w:val="both"/>
        <w:rPr>
          <w:rFonts w:ascii="Arial" w:hAnsi="Arial" w:cs="Arial"/>
          <w:color w:val="000000" w:themeColor="text1"/>
          <w:sz w:val="22"/>
          <w:szCs w:val="22"/>
        </w:rPr>
      </w:pPr>
      <w:r w:rsidRPr="00B6585E">
        <w:rPr>
          <w:rFonts w:ascii="Arial" w:hAnsi="Arial" w:cs="Arial"/>
          <w:color w:val="000000" w:themeColor="text1"/>
          <w:sz w:val="22"/>
          <w:szCs w:val="22"/>
        </w:rPr>
        <w:t xml:space="preserve">To diagnose symptomatic PE any of the following symptoms are required: </w:t>
      </w:r>
    </w:p>
    <w:p w14:paraId="336CA247" w14:textId="77777777" w:rsidR="00931A60" w:rsidRPr="00B6585E" w:rsidRDefault="00A221DB">
      <w:pPr>
        <w:numPr>
          <w:ilvl w:val="2"/>
          <w:numId w:val="15"/>
        </w:numPr>
        <w:spacing w:beforeAutospacing="1"/>
        <w:jc w:val="both"/>
        <w:rPr>
          <w:rFonts w:ascii="Arial" w:hAnsi="Arial" w:cs="Arial"/>
          <w:color w:val="000000" w:themeColor="text1"/>
          <w:sz w:val="22"/>
          <w:szCs w:val="22"/>
        </w:rPr>
      </w:pPr>
      <w:r w:rsidRPr="00B6585E">
        <w:rPr>
          <w:rFonts w:ascii="Arial" w:hAnsi="Arial" w:cs="Arial"/>
          <w:color w:val="000000" w:themeColor="text1"/>
          <w:sz w:val="22"/>
          <w:szCs w:val="22"/>
        </w:rPr>
        <w:t>High probability ventilation/perfusion lung scan</w:t>
      </w:r>
    </w:p>
    <w:p w14:paraId="699A5A2D" w14:textId="77777777" w:rsidR="00931A60" w:rsidRPr="00B6585E" w:rsidRDefault="00A221DB">
      <w:pPr>
        <w:numPr>
          <w:ilvl w:val="2"/>
          <w:numId w:val="15"/>
        </w:num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Intraluminal filling defect of segmental or larger artery on the spiral CT scan, </w:t>
      </w:r>
    </w:p>
    <w:p w14:paraId="61826F20" w14:textId="77777777" w:rsidR="00931A60" w:rsidRPr="00B6585E" w:rsidRDefault="00A221DB">
      <w:pPr>
        <w:numPr>
          <w:ilvl w:val="2"/>
          <w:numId w:val="15"/>
        </w:numPr>
        <w:jc w:val="both"/>
        <w:rPr>
          <w:rFonts w:ascii="Arial" w:hAnsi="Arial" w:cs="Arial"/>
          <w:color w:val="000000" w:themeColor="text1"/>
          <w:sz w:val="22"/>
          <w:szCs w:val="22"/>
        </w:rPr>
      </w:pPr>
      <w:r w:rsidRPr="00B6585E">
        <w:rPr>
          <w:rFonts w:ascii="Arial" w:hAnsi="Arial" w:cs="Arial"/>
          <w:color w:val="000000" w:themeColor="text1"/>
          <w:sz w:val="22"/>
          <w:szCs w:val="22"/>
        </w:rPr>
        <w:t>Intraluminal filling defect on pulmonary angiography</w:t>
      </w:r>
    </w:p>
    <w:p w14:paraId="63EE055A" w14:textId="77777777" w:rsidR="00931A60" w:rsidRPr="00B6585E" w:rsidRDefault="00A221DB">
      <w:pPr>
        <w:numPr>
          <w:ilvl w:val="2"/>
          <w:numId w:val="15"/>
        </w:numPr>
        <w:spacing w:afterAutospacing="1"/>
        <w:jc w:val="both"/>
        <w:rPr>
          <w:rFonts w:ascii="Arial" w:hAnsi="Arial" w:cs="Arial"/>
          <w:color w:val="000000" w:themeColor="text1"/>
          <w:sz w:val="22"/>
          <w:szCs w:val="22"/>
        </w:rPr>
      </w:pPr>
      <w:r w:rsidRPr="00B6585E">
        <w:rPr>
          <w:rFonts w:ascii="Arial" w:hAnsi="Arial" w:cs="Arial"/>
          <w:color w:val="000000" w:themeColor="text1"/>
          <w:sz w:val="22"/>
          <w:szCs w:val="22"/>
        </w:rPr>
        <w:t xml:space="preserve">Positive test for DVT </w:t>
      </w:r>
    </w:p>
    <w:p w14:paraId="3D5028A9" w14:textId="77777777" w:rsidR="00931A60" w:rsidRPr="00B6585E" w:rsidRDefault="00A221DB">
      <w:pPr>
        <w:spacing w:beforeAutospacing="1" w:afterAutospacing="1"/>
        <w:jc w:val="both"/>
        <w:rPr>
          <w:rFonts w:ascii="Arial" w:hAnsi="Arial" w:cs="Arial"/>
          <w:color w:val="000000" w:themeColor="text1"/>
          <w:sz w:val="22"/>
          <w:szCs w:val="22"/>
        </w:rPr>
      </w:pPr>
      <w:r w:rsidRPr="00B6585E">
        <w:rPr>
          <w:rFonts w:ascii="Arial" w:hAnsi="Arial" w:cs="Arial"/>
          <w:color w:val="000000" w:themeColor="text1"/>
          <w:sz w:val="22"/>
          <w:szCs w:val="22"/>
        </w:rPr>
        <w:t>Diagnosis will be done by the attending physician. Test results will be used for outcome classification.</w:t>
      </w:r>
    </w:p>
    <w:p w14:paraId="4734A280" w14:textId="56BED64B" w:rsidR="00931A60" w:rsidRPr="00B6585E" w:rsidRDefault="00370DD5" w:rsidP="00370DD5">
      <w:pPr>
        <w:pStyle w:val="Heading3"/>
        <w:numPr>
          <w:ilvl w:val="0"/>
          <w:numId w:val="0"/>
        </w:numPr>
      </w:pPr>
      <w:bookmarkStart w:id="317" w:name="_Toc23231365"/>
      <w:bookmarkStart w:id="318" w:name="_Toc96925027"/>
      <w:r w:rsidRPr="00B6585E">
        <w:t xml:space="preserve">15.1.8 </w:t>
      </w:r>
      <w:r w:rsidR="00A221DB" w:rsidRPr="00B6585E">
        <w:t>Unplanned ICU admission</w:t>
      </w:r>
      <w:bookmarkEnd w:id="317"/>
      <w:bookmarkEnd w:id="318"/>
    </w:p>
    <w:p w14:paraId="494AF0CD" w14:textId="77777777" w:rsidR="00931A60" w:rsidRPr="00B6585E" w:rsidRDefault="00931A60">
      <w:pPr>
        <w:rPr>
          <w:rFonts w:ascii="Arial" w:hAnsi="Arial" w:cs="Arial"/>
          <w:color w:val="000000" w:themeColor="text1"/>
          <w:sz w:val="22"/>
          <w:szCs w:val="22"/>
        </w:rPr>
      </w:pPr>
    </w:p>
    <w:p w14:paraId="5B04BC51" w14:textId="77777777" w:rsidR="00931A60" w:rsidRPr="00B6585E" w:rsidRDefault="00A221DB">
      <w:pPr>
        <w:rPr>
          <w:rFonts w:ascii="Arial" w:hAnsi="Arial" w:cs="Arial"/>
          <w:color w:val="000000" w:themeColor="text1"/>
          <w:sz w:val="22"/>
          <w:szCs w:val="22"/>
        </w:rPr>
      </w:pPr>
      <w:r w:rsidRPr="00B6585E">
        <w:rPr>
          <w:rFonts w:ascii="Arial" w:hAnsi="Arial" w:cs="Arial"/>
          <w:color w:val="000000" w:themeColor="text1"/>
          <w:sz w:val="22"/>
          <w:szCs w:val="22"/>
        </w:rPr>
        <w:t xml:space="preserve">Defined as admission on ICU at least 24 hours after surgery due to hemodynamic, respiratory, cardiovascular or septic events. </w:t>
      </w:r>
    </w:p>
    <w:p w14:paraId="5FB95314" w14:textId="77777777" w:rsidR="00931A60" w:rsidRPr="00B6585E" w:rsidRDefault="00931A60">
      <w:pPr>
        <w:rPr>
          <w:color w:val="000000" w:themeColor="text1"/>
        </w:rPr>
      </w:pPr>
    </w:p>
    <w:p w14:paraId="63B5166E" w14:textId="1335DAF7" w:rsidR="00931A60" w:rsidRPr="00B6585E" w:rsidRDefault="00370DD5" w:rsidP="00370DD5">
      <w:pPr>
        <w:pStyle w:val="Heading3"/>
        <w:numPr>
          <w:ilvl w:val="0"/>
          <w:numId w:val="0"/>
        </w:numPr>
      </w:pPr>
      <w:bookmarkStart w:id="319" w:name="_Toc23231366"/>
      <w:bookmarkStart w:id="320" w:name="_Toc96925028"/>
      <w:r w:rsidRPr="00B6585E">
        <w:t xml:space="preserve">15.1.9 </w:t>
      </w:r>
      <w:r w:rsidR="00A221DB" w:rsidRPr="00B6585E">
        <w:t>Death</w:t>
      </w:r>
      <w:bookmarkEnd w:id="319"/>
      <w:bookmarkEnd w:id="320"/>
    </w:p>
    <w:p w14:paraId="352A76F1"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Death is defined as any with vascular cause or cardiac cause, including myocardial infarction, cardiac arrest, stroke, fatal pulmonary embolus, hemorrhage and multi-organ failure. </w:t>
      </w:r>
    </w:p>
    <w:p w14:paraId="3921D47E" w14:textId="77777777" w:rsidR="00931A60" w:rsidRPr="00B6585E" w:rsidRDefault="00931A60">
      <w:pPr>
        <w:rPr>
          <w:color w:val="000000" w:themeColor="text1"/>
        </w:rPr>
      </w:pPr>
    </w:p>
    <w:p w14:paraId="2390CFB5" w14:textId="33F5FC7D" w:rsidR="00931A60" w:rsidRPr="00B6585E" w:rsidRDefault="00931A60" w:rsidP="00816FA9">
      <w:pPr>
        <w:pStyle w:val="Heading3"/>
        <w:numPr>
          <w:ilvl w:val="0"/>
          <w:numId w:val="0"/>
        </w:numPr>
        <w:sectPr w:rsidR="00931A60" w:rsidRPr="00B6585E" w:rsidSect="00D33402">
          <w:headerReference w:type="default" r:id="rId27"/>
          <w:headerReference w:type="first" r:id="rId28"/>
          <w:pgSz w:w="11906" w:h="16838"/>
          <w:pgMar w:top="1418" w:right="1134" w:bottom="1134" w:left="1134" w:header="709" w:footer="709" w:gutter="0"/>
          <w:cols w:space="720"/>
          <w:formProt w:val="0"/>
          <w:titlePg/>
          <w:docGrid w:linePitch="360"/>
        </w:sectPr>
      </w:pPr>
    </w:p>
    <w:p w14:paraId="057D1D29" w14:textId="77777777" w:rsidR="00931A60" w:rsidRPr="00B6585E" w:rsidRDefault="00931A60">
      <w:pPr>
        <w:rPr>
          <w:rFonts w:ascii="Arial" w:hAnsi="Arial" w:cs="Arial"/>
          <w:color w:val="000000" w:themeColor="text1"/>
          <w:sz w:val="22"/>
          <w:szCs w:val="22"/>
        </w:rPr>
      </w:pPr>
    </w:p>
    <w:p w14:paraId="2BD46F89" w14:textId="22CEF1C7" w:rsidR="00931A60" w:rsidRPr="00B6585E" w:rsidRDefault="00370DD5" w:rsidP="00370DD5">
      <w:pPr>
        <w:pStyle w:val="Heading2"/>
        <w:numPr>
          <w:ilvl w:val="0"/>
          <w:numId w:val="0"/>
        </w:numPr>
        <w:ind w:left="964" w:hanging="964"/>
        <w:rPr>
          <w:color w:val="000000" w:themeColor="text1"/>
        </w:rPr>
      </w:pPr>
      <w:bookmarkStart w:id="321" w:name="_Toc23231367"/>
      <w:bookmarkStart w:id="322" w:name="_Toc96925029"/>
      <w:r w:rsidRPr="00B6585E">
        <w:rPr>
          <w:color w:val="000000" w:themeColor="text1"/>
        </w:rPr>
        <w:t xml:space="preserve">15.2 </w:t>
      </w:r>
      <w:r w:rsidR="00A221DB" w:rsidRPr="00B6585E">
        <w:rPr>
          <w:color w:val="000000" w:themeColor="text1"/>
        </w:rPr>
        <w:t xml:space="preserve">Appendix II: </w:t>
      </w:r>
      <w:r w:rsidR="00A11077" w:rsidRPr="00B6585E">
        <w:rPr>
          <w:color w:val="000000" w:themeColor="text1"/>
        </w:rPr>
        <w:t>Sub-study I: Body Composition Monitor</w:t>
      </w:r>
      <w:bookmarkEnd w:id="321"/>
      <w:bookmarkEnd w:id="322"/>
      <w:r w:rsidR="00A11077" w:rsidRPr="00B6585E">
        <w:rPr>
          <w:color w:val="000000" w:themeColor="text1"/>
        </w:rPr>
        <w:t xml:space="preserve"> </w:t>
      </w:r>
    </w:p>
    <w:p w14:paraId="0FC792BF" w14:textId="77777777" w:rsidR="00931A60" w:rsidRPr="00B6585E" w:rsidRDefault="00931A60">
      <w:pPr>
        <w:rPr>
          <w:color w:val="000000" w:themeColor="text1"/>
        </w:rPr>
      </w:pPr>
    </w:p>
    <w:p w14:paraId="765550CC" w14:textId="28B62889" w:rsidR="00931A60" w:rsidRPr="00B6585E" w:rsidRDefault="00370DD5" w:rsidP="00370DD5">
      <w:pPr>
        <w:pStyle w:val="Heading3"/>
        <w:numPr>
          <w:ilvl w:val="0"/>
          <w:numId w:val="0"/>
        </w:numPr>
      </w:pPr>
      <w:bookmarkStart w:id="323" w:name="_Toc23231368"/>
      <w:bookmarkStart w:id="324" w:name="_Toc96925030"/>
      <w:r w:rsidRPr="00B6585E">
        <w:t xml:space="preserve">15.2.1 </w:t>
      </w:r>
      <w:r w:rsidR="00A221DB" w:rsidRPr="00B6585E">
        <w:t>Background</w:t>
      </w:r>
      <w:bookmarkEnd w:id="323"/>
      <w:bookmarkEnd w:id="324"/>
    </w:p>
    <w:p w14:paraId="420990C7" w14:textId="77777777" w:rsidR="00931A60" w:rsidRPr="00B6585E" w:rsidRDefault="00931A60">
      <w:pPr>
        <w:rPr>
          <w:rFonts w:ascii="Arial" w:hAnsi="Arial" w:cs="Arial"/>
          <w:color w:val="000000" w:themeColor="text1"/>
          <w:sz w:val="22"/>
          <w:szCs w:val="22"/>
        </w:rPr>
      </w:pPr>
    </w:p>
    <w:p w14:paraId="04040713"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The Body Composition Monitor (BCM) determines individual fluid status and body composition noninvasively, using bioimpedance spectroscopy. The BCM monitor is able to assess the following clinically relevant parameters:</w:t>
      </w:r>
    </w:p>
    <w:p w14:paraId="29902325" w14:textId="5574F1EC"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 1. Quantification of fluid status: </w:t>
      </w:r>
      <w:r w:rsidRPr="00B6585E">
        <w:rPr>
          <w:rFonts w:ascii="Arial" w:hAnsi="Arial" w:cs="Arial"/>
          <w:color w:val="000000" w:themeColor="text1"/>
          <w:sz w:val="22"/>
          <w:szCs w:val="22"/>
        </w:rPr>
        <w:tab/>
        <w:t>a) overhydration</w:t>
      </w:r>
      <w:r w:rsidR="0066544D" w:rsidRPr="00B6585E">
        <w:rPr>
          <w:rFonts w:ascii="Arial" w:hAnsi="Arial" w:cs="Arial"/>
          <w:color w:val="000000" w:themeColor="text1"/>
          <w:sz w:val="22"/>
          <w:szCs w:val="22"/>
        </w:rPr>
        <w:t xml:space="preserve"> (OH)</w:t>
      </w:r>
    </w:p>
    <w:p w14:paraId="19A1019C" w14:textId="7D8DDFCD" w:rsidR="00931A60" w:rsidRPr="00B6585E" w:rsidRDefault="00A221DB">
      <w:pPr>
        <w:ind w:left="2832" w:firstLine="708"/>
        <w:jc w:val="both"/>
        <w:rPr>
          <w:rFonts w:ascii="Arial" w:hAnsi="Arial" w:cs="Arial"/>
          <w:color w:val="000000" w:themeColor="text1"/>
          <w:sz w:val="22"/>
          <w:szCs w:val="22"/>
        </w:rPr>
      </w:pPr>
      <w:r w:rsidRPr="00B6585E">
        <w:rPr>
          <w:rFonts w:ascii="Arial" w:hAnsi="Arial" w:cs="Arial"/>
          <w:color w:val="000000" w:themeColor="text1"/>
          <w:sz w:val="22"/>
          <w:szCs w:val="22"/>
        </w:rPr>
        <w:t xml:space="preserve">b) total body water and </w:t>
      </w:r>
      <w:r w:rsidR="0066544D" w:rsidRPr="00B6585E">
        <w:rPr>
          <w:rFonts w:ascii="Arial" w:hAnsi="Arial" w:cs="Arial"/>
          <w:color w:val="000000" w:themeColor="text1"/>
          <w:sz w:val="22"/>
          <w:szCs w:val="22"/>
        </w:rPr>
        <w:t>(TBW)</w:t>
      </w:r>
    </w:p>
    <w:p w14:paraId="50C775DE" w14:textId="77777777" w:rsidR="00931A60" w:rsidRPr="00B6585E" w:rsidRDefault="00931A60">
      <w:pPr>
        <w:jc w:val="both"/>
        <w:rPr>
          <w:rFonts w:ascii="Arial" w:hAnsi="Arial" w:cs="Arial"/>
          <w:color w:val="000000" w:themeColor="text1"/>
          <w:sz w:val="22"/>
          <w:szCs w:val="22"/>
        </w:rPr>
      </w:pPr>
    </w:p>
    <w:p w14:paraId="0F01A855" w14:textId="0271C853"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2. Assessment of body composition:</w:t>
      </w:r>
      <w:r w:rsidRPr="00B6585E">
        <w:rPr>
          <w:rFonts w:ascii="Arial" w:hAnsi="Arial" w:cs="Arial"/>
          <w:color w:val="000000" w:themeColor="text1"/>
          <w:sz w:val="22"/>
          <w:szCs w:val="22"/>
        </w:rPr>
        <w:tab/>
        <w:t xml:space="preserve"> a) lean tissue mass</w:t>
      </w:r>
    </w:p>
    <w:p w14:paraId="4DA380D2" w14:textId="621EC69B" w:rsidR="00931A60" w:rsidRPr="00B6585E" w:rsidRDefault="00A221DB">
      <w:pPr>
        <w:ind w:left="2832" w:firstLine="708"/>
        <w:jc w:val="both"/>
        <w:rPr>
          <w:rFonts w:ascii="Arial" w:hAnsi="Arial" w:cs="Arial"/>
          <w:color w:val="000000" w:themeColor="text1"/>
          <w:sz w:val="22"/>
          <w:szCs w:val="22"/>
        </w:rPr>
      </w:pPr>
      <w:r w:rsidRPr="00B6585E">
        <w:rPr>
          <w:rFonts w:ascii="Arial" w:hAnsi="Arial" w:cs="Arial"/>
          <w:color w:val="000000" w:themeColor="text1"/>
          <w:sz w:val="22"/>
          <w:szCs w:val="22"/>
        </w:rPr>
        <w:t xml:space="preserve"> b) adipose tissue mass</w:t>
      </w:r>
    </w:p>
    <w:p w14:paraId="1491DE1F" w14:textId="77777777" w:rsidR="00931A60" w:rsidRPr="00B6585E" w:rsidRDefault="00931A60">
      <w:pPr>
        <w:ind w:left="2832" w:firstLine="708"/>
        <w:jc w:val="both"/>
        <w:rPr>
          <w:rFonts w:ascii="Arial" w:hAnsi="Arial" w:cs="Arial"/>
          <w:color w:val="000000" w:themeColor="text1"/>
          <w:sz w:val="22"/>
          <w:szCs w:val="22"/>
        </w:rPr>
      </w:pPr>
    </w:p>
    <w:p w14:paraId="3B02F8F8" w14:textId="77C31684"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50 frequencies over a range from 5 to 1000 kHz were used to determine the electrical resistance of total body water (TBW) and extracellular water (ECW). While high-frequency current passes through the total body water, low-frequency current </w:t>
      </w:r>
      <w:r w:rsidR="007F6A18" w:rsidRPr="00B6585E">
        <w:rPr>
          <w:rFonts w:ascii="Arial" w:hAnsi="Arial" w:cs="Arial"/>
          <w:color w:val="000000" w:themeColor="text1"/>
          <w:sz w:val="22"/>
          <w:szCs w:val="22"/>
        </w:rPr>
        <w:t>is not able to</w:t>
      </w:r>
      <w:r w:rsidRPr="00B6585E">
        <w:rPr>
          <w:rFonts w:ascii="Arial" w:hAnsi="Arial" w:cs="Arial"/>
          <w:color w:val="000000" w:themeColor="text1"/>
          <w:sz w:val="22"/>
          <w:szCs w:val="22"/>
        </w:rPr>
        <w:t xml:space="preserve"> penetrate cell membranes and thus flows exclusively through the extracellular water. </w:t>
      </w:r>
    </w:p>
    <w:p w14:paraId="7C161449" w14:textId="77777777" w:rsidR="00931A60" w:rsidRPr="00B6585E" w:rsidRDefault="00931A60">
      <w:pPr>
        <w:jc w:val="both"/>
        <w:rPr>
          <w:rFonts w:ascii="Arial" w:hAnsi="Arial" w:cs="Arial"/>
          <w:color w:val="000000" w:themeColor="text1"/>
          <w:sz w:val="22"/>
          <w:szCs w:val="22"/>
        </w:rPr>
      </w:pPr>
    </w:p>
    <w:p w14:paraId="76153EAF" w14:textId="231D1F58"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The BCM Monitor provides accurate measurement of total body water (TBW) which has been validated against gold standard methods. As TBW is equivalent to the urea distribution volume (V), there is no need for time consuming kinetic urea modelling or anthropometric equations which can produce erroneous results in extremes of body composition</w:t>
      </w:r>
      <w:r w:rsidR="001701F6" w:rsidRPr="00B6585E">
        <w:rPr>
          <w:rFonts w:ascii="Arial" w:hAnsi="Arial" w:cs="Arial"/>
          <w:color w:val="000000" w:themeColor="text1"/>
          <w:sz w:val="22"/>
          <w:szCs w:val="22"/>
        </w:rPr>
        <w:t xml:space="preserve">. In patients receiving </w:t>
      </w:r>
    </w:p>
    <w:p w14:paraId="4A382E11" w14:textId="77777777" w:rsidR="001701F6" w:rsidRPr="00B6585E" w:rsidRDefault="001701F6">
      <w:pPr>
        <w:jc w:val="both"/>
        <w:rPr>
          <w:rFonts w:ascii="Arial" w:hAnsi="Arial" w:cs="Arial"/>
          <w:color w:val="000000" w:themeColor="text1"/>
          <w:sz w:val="22"/>
          <w:szCs w:val="22"/>
        </w:rPr>
      </w:pPr>
    </w:p>
    <w:p w14:paraId="2812BDAE" w14:textId="6DAEE6EF"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In clinical practice BCM was successfully implemented for optimization for renal replacement therapy in patient with end-stage renal disease</w:t>
      </w:r>
      <w:r w:rsidR="001701F6" w:rsidRPr="00B6585E">
        <w:rPr>
          <w:rFonts w:ascii="Arial" w:hAnsi="Arial" w:cs="Arial"/>
          <w:color w:val="000000" w:themeColor="text1"/>
          <w:sz w:val="22"/>
          <w:szCs w:val="22"/>
        </w:rPr>
        <w:t>.</w:t>
      </w:r>
      <w:r w:rsidR="001701F6"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{"citationItems":[{"id":"ITEM-1","itemData":{"DOI":"10.1016/j.bbrep.2019.01.005","ISSN":"24055808","abstract":"Purpose: Fluid management using a body composition monitor (BCM) based on bioimpedance spectroscopy has been found to be beneficial for maintenance hemodialysis (MHD) patients. Our purpose was to provide a management procedure for the adjustment of post-dialysis overhydration (OH post ) and to evaluate whether this approach could improve blood pressure. Methods: Post-dialysis fluid status was assessed weekly using the BCM. The reference value of OH post and the flow procedure for post-dialysis target weight (PDTW) adjustment were established via measurements of OH post in 60 normotensive MHD patients. In the interventional study, we adjusted the PDTW of hypertensive patients to the optimal OH post range, with a 0.2–0.5 kg change in PDTW per week. Results: This observational study included 130 anuric MHD patients, of whom 60 were in the pre-dialysis systolic blood pressure (sBP pre ) &lt; 140 mmHg group. On multivariate logistic regression analysis, we found that only OH post was significantly associated with sBP pre ≥ 140 mmHg (odds ratio = 2.293, p = 0.000). Patients in the OH post &lt; −1.8 L group were mainly male and younger, and had higher post-dialysis diastolic blood pressure, ultrafiltration volume, levels of nutrition markers (serum albumin and creatinine), body mass index, and lean tissue index (LTI). On multiple stepwise regression analysis, only the change in LTI was found to be an independent predictor of OH post [R 2 0.208, β = −0.196, 95% CI (−0.296, −0.095), p &lt; 0.001]. The reference value of OH post was found to deviate by − 2.5–0.5 L from that of normotensive patients. At the end of the study, the systolic blood pressure of 38 patients was less than 140 mmHg after PDTW adjustment. The changes in OH post from the initial to last adjustment were significant (t = 5.431, p &lt; 0.001), with a substantial decrease in the sBP pre (t = 11.208, p &lt; 0.001). Conclusions: Assessment of OH post and LTI using a BCM with a patient-specific optimal PDTW adjustment flow can lead to significantly better control of hypertension in anuric MHD patients.","author":[{"dropping-particle":"","family":"Hou","given":"Guo Cun","non-dropping-particle":"","parse-names":false,"suffix":""},{"dropping-particle":"","family":"Gan","given":"Hua","non-dropping-particle":"","parse-names":false,"suffix":""},{"dropping-particle":"","family":"Sun","given":"Xiu Li","non-dropping-particle":"","parse-names":false,"suffix":""},{"dropping-particle":"","family":"Li","given":"Jing","non-dropping-particle":"","parse-names":false,"suffix":""}],"container-title":"Biochemistry and Biophysics Reports","id":"ITEM-1","issue":"November 2018","issued":{"date-parts":[["2019"]]},"page":"191-196","publisher":"Elsevier B.V.","title":"Use of body composition measurements to guide the assessment of dry weight in anuric dialysis patients: improvements in blood pressure control","type":"article-journal","volume":"17"},"uris":["http://www.mendeley.com/documents/?uuid=ecdeeaba-1b70-4c48-a5a7-5d6fc4c343d7"]}],"mendeley":{"formattedCitation":"&lt;sup&gt;39&lt;/sup&gt;","plainTextFormattedCitation":"39","previouslyFormattedCitation":"&lt;sup&gt;38&lt;/sup&gt;"},"properties":{"noteIndex":0},"schema":"https://github.com/citation-style-language/schema/raw/master/csl-citation.json"}</w:instrText>
      </w:r>
      <w:r w:rsidR="001701F6"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39</w:t>
      </w:r>
      <w:r w:rsidR="001701F6" w:rsidRPr="00B6585E">
        <w:rPr>
          <w:rFonts w:ascii="Arial" w:hAnsi="Arial" w:cs="Arial"/>
          <w:color w:val="000000" w:themeColor="text1"/>
          <w:sz w:val="22"/>
          <w:szCs w:val="22"/>
        </w:rPr>
        <w:fldChar w:fldCharType="end"/>
      </w:r>
    </w:p>
    <w:p w14:paraId="72038AA8"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However, there is scarce evidence in patients undergoing noncardiac surgery. </w:t>
      </w:r>
    </w:p>
    <w:p w14:paraId="0CEB560E" w14:textId="77777777" w:rsidR="00931A60" w:rsidRPr="00B6585E" w:rsidRDefault="00931A60">
      <w:pPr>
        <w:jc w:val="both"/>
        <w:rPr>
          <w:rFonts w:ascii="Arial" w:hAnsi="Arial" w:cs="Arial"/>
          <w:color w:val="000000" w:themeColor="text1"/>
          <w:sz w:val="22"/>
          <w:szCs w:val="22"/>
        </w:rPr>
      </w:pPr>
    </w:p>
    <w:p w14:paraId="3B5116DA"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There is no data available regarding the fluid status and body composition during first determined with the BCM technique. Assuming that levosimendan improve postoperative cardiac output and thus might positively affect renal function, we expect a significantly decreased in TBW in patients assigned to the levosimendan group. </w:t>
      </w:r>
    </w:p>
    <w:p w14:paraId="30E672C7" w14:textId="77777777" w:rsidR="00931A60" w:rsidRPr="00B6585E" w:rsidRDefault="00931A60">
      <w:pPr>
        <w:jc w:val="both"/>
        <w:rPr>
          <w:rFonts w:ascii="Arial" w:hAnsi="Arial" w:cs="Arial"/>
          <w:color w:val="000000" w:themeColor="text1"/>
          <w:sz w:val="22"/>
          <w:szCs w:val="22"/>
        </w:rPr>
      </w:pPr>
    </w:p>
    <w:p w14:paraId="13CDFE02"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We will quantify the fluid status and assess body composition during the study period. Therefore, we will measure the fluid status before and within 2 hours after surgery, on postoperative day one, two and three.</w:t>
      </w:r>
    </w:p>
    <w:p w14:paraId="609651AA" w14:textId="77777777" w:rsidR="00931A60" w:rsidRPr="00B6585E" w:rsidRDefault="00931A60">
      <w:pPr>
        <w:jc w:val="both"/>
        <w:rPr>
          <w:rFonts w:ascii="Arial" w:hAnsi="Arial" w:cs="Arial"/>
          <w:color w:val="000000" w:themeColor="text1"/>
          <w:sz w:val="22"/>
          <w:szCs w:val="22"/>
        </w:rPr>
      </w:pPr>
    </w:p>
    <w:p w14:paraId="01C7D6C8" w14:textId="77777777" w:rsidR="00931A60" w:rsidRPr="00B6585E" w:rsidRDefault="00A221DB">
      <w:pPr>
        <w:jc w:val="both"/>
        <w:rPr>
          <w:color w:val="000000" w:themeColor="text1"/>
        </w:rPr>
      </w:pPr>
      <w:r w:rsidRPr="00B6585E">
        <w:rPr>
          <w:color w:val="000000" w:themeColor="text1"/>
        </w:rPr>
        <w:t xml:space="preserve"> </w:t>
      </w:r>
    </w:p>
    <w:p w14:paraId="6A8758F9" w14:textId="764F1831" w:rsidR="00931A60" w:rsidRPr="00B6585E" w:rsidRDefault="00370DD5" w:rsidP="00370DD5">
      <w:pPr>
        <w:pStyle w:val="Heading3"/>
        <w:numPr>
          <w:ilvl w:val="0"/>
          <w:numId w:val="0"/>
        </w:numPr>
      </w:pPr>
      <w:bookmarkStart w:id="325" w:name="_Toc23231369"/>
      <w:bookmarkStart w:id="326" w:name="_Toc96925031"/>
      <w:r w:rsidRPr="00B6585E">
        <w:t xml:space="preserve">15.2.2 </w:t>
      </w:r>
      <w:r w:rsidR="00A221DB" w:rsidRPr="00B6585E">
        <w:t>BCM Measurement</w:t>
      </w:r>
      <w:bookmarkEnd w:id="325"/>
      <w:bookmarkEnd w:id="326"/>
    </w:p>
    <w:p w14:paraId="656D29A4"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For BCM measurement the following steps are required: 1. Electrodes are attached to one hand and one foot with the patient in supine position. 2. Patient cable will be connected. 3. Measurement is initiated, and results will be displaced within 2 minutes. 4. Results will be stored on the PatientCard. 5. Finally data will be transferred via the PatientCard to a study computer for further analysis using the Fluid Management Tool (FMT). </w:t>
      </w:r>
    </w:p>
    <w:p w14:paraId="27E3599D" w14:textId="785C9656"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The following parameters will be evaluated with each measurement: 1) Overhydration, 2) Lean tissue index, 3) Fat tissue index, 4) Total Body Water, 5) Extracellular water (ECW), 6) Intracellular Water (I</w:t>
      </w:r>
      <w:r w:rsidR="000C7315" w:rsidRPr="00B6585E">
        <w:rPr>
          <w:rFonts w:ascii="Arial" w:hAnsi="Arial" w:cs="Arial"/>
          <w:color w:val="000000" w:themeColor="text1"/>
          <w:sz w:val="22"/>
          <w:szCs w:val="22"/>
        </w:rPr>
        <w:t>CW</w:t>
      </w:r>
      <w:r w:rsidRPr="00B6585E">
        <w:rPr>
          <w:rFonts w:ascii="Arial" w:hAnsi="Arial" w:cs="Arial"/>
          <w:color w:val="000000" w:themeColor="text1"/>
          <w:sz w:val="22"/>
          <w:szCs w:val="22"/>
        </w:rPr>
        <w:t>), 7) ECW/ICW, 8) Lean tissue mass, 9) Fat mass, 10) Adipose tissue mass, 11) Body cell mass.</w:t>
      </w:r>
    </w:p>
    <w:p w14:paraId="2E44687A" w14:textId="77777777" w:rsidR="00931A60" w:rsidRPr="00B6585E" w:rsidRDefault="00931A60">
      <w:pPr>
        <w:jc w:val="both"/>
        <w:rPr>
          <w:color w:val="000000" w:themeColor="text1"/>
        </w:rPr>
      </w:pPr>
    </w:p>
    <w:p w14:paraId="1168ED16" w14:textId="43832607" w:rsidR="00931A60" w:rsidRPr="00B6585E" w:rsidRDefault="00370DD5" w:rsidP="00370DD5">
      <w:pPr>
        <w:pStyle w:val="Heading3"/>
        <w:numPr>
          <w:ilvl w:val="0"/>
          <w:numId w:val="0"/>
        </w:numPr>
      </w:pPr>
      <w:bookmarkStart w:id="327" w:name="_Toc23231371"/>
      <w:bookmarkStart w:id="328" w:name="_Toc96925032"/>
      <w:r w:rsidRPr="00B6585E">
        <w:t xml:space="preserve">15.2.3 </w:t>
      </w:r>
      <w:r w:rsidR="00A221DB" w:rsidRPr="00B6585E">
        <w:t xml:space="preserve">Primary </w:t>
      </w:r>
      <w:bookmarkEnd w:id="327"/>
      <w:r w:rsidR="00541B03" w:rsidRPr="00B6585E">
        <w:t>Aim</w:t>
      </w:r>
      <w:bookmarkEnd w:id="328"/>
    </w:p>
    <w:p w14:paraId="015C1387" w14:textId="4051F9DC"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administration of levosimendan decrease the number of patients suffering from postoperative overhydration during the first three postoperative days. A patient is considered as overhydrated, when on at least one measurement the overhydration exceed </w:t>
      </w:r>
      <w:r w:rsidR="007D5FE4" w:rsidRPr="00B6585E">
        <w:rPr>
          <w:rFonts w:ascii="Arial" w:hAnsi="Arial" w:cs="Arial"/>
          <w:color w:val="000000" w:themeColor="text1"/>
          <w:sz w:val="22"/>
          <w:szCs w:val="22"/>
        </w:rPr>
        <w:t>1</w:t>
      </w:r>
      <w:r w:rsidRPr="00B6585E">
        <w:rPr>
          <w:rFonts w:ascii="Arial" w:hAnsi="Arial" w:cs="Arial"/>
          <w:color w:val="000000" w:themeColor="text1"/>
          <w:sz w:val="22"/>
          <w:szCs w:val="22"/>
        </w:rPr>
        <w:t xml:space="preserve">L. </w:t>
      </w:r>
    </w:p>
    <w:p w14:paraId="4465CDCD" w14:textId="1E178479"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lastRenderedPageBreak/>
        <w:t xml:space="preserve">Incidence of overhydration will be evaluated 24-30 hours after start of surgery, on postoperative day 2 and postoperative day 3. Measurements will be performed preoperative and postoperative measurements will be performed 9:00 and 12:00 am on </w:t>
      </w:r>
      <w:r w:rsidR="006C18E5" w:rsidRPr="00B6585E">
        <w:rPr>
          <w:rFonts w:ascii="Arial" w:hAnsi="Arial" w:cs="Arial"/>
          <w:color w:val="000000" w:themeColor="text1"/>
          <w:sz w:val="22"/>
          <w:szCs w:val="22"/>
        </w:rPr>
        <w:t>the first, second and third postoperative day.</w:t>
      </w:r>
    </w:p>
    <w:p w14:paraId="10950E50" w14:textId="77777777" w:rsidR="00931A60" w:rsidRPr="00B6585E" w:rsidRDefault="00931A60">
      <w:pPr>
        <w:jc w:val="both"/>
        <w:rPr>
          <w:color w:val="000000" w:themeColor="text1"/>
        </w:rPr>
      </w:pPr>
    </w:p>
    <w:p w14:paraId="4152D407" w14:textId="1CEFCC66" w:rsidR="00931A60" w:rsidRPr="00B6585E" w:rsidRDefault="00370DD5" w:rsidP="00370DD5">
      <w:pPr>
        <w:pStyle w:val="Heading3"/>
        <w:numPr>
          <w:ilvl w:val="0"/>
          <w:numId w:val="0"/>
        </w:numPr>
      </w:pPr>
      <w:bookmarkStart w:id="329" w:name="_Toc23231372"/>
      <w:bookmarkStart w:id="330" w:name="_Toc96925033"/>
      <w:r w:rsidRPr="00B6585E">
        <w:t xml:space="preserve">15.2.4 </w:t>
      </w:r>
      <w:r w:rsidR="00A221DB" w:rsidRPr="00B6585E">
        <w:t xml:space="preserve">Secondary </w:t>
      </w:r>
      <w:bookmarkEnd w:id="329"/>
      <w:r w:rsidR="00541B03" w:rsidRPr="00B6585E">
        <w:t>Aim</w:t>
      </w:r>
      <w:bookmarkEnd w:id="330"/>
    </w:p>
    <w:p w14:paraId="219CD687"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Comparison of the AUC of the total body water between both study groups. Lean tissue index, fat tissue index, total body water, extracellular water (ECW), intracellular water (IWC), ECW/ICW, lean tissue mass, fat mass, adipose tissue mass, body cell mass; between both study groups.  </w:t>
      </w:r>
    </w:p>
    <w:p w14:paraId="18DEC58C" w14:textId="77777777" w:rsidR="00931A60" w:rsidRPr="00B6585E" w:rsidRDefault="00931A60">
      <w:pPr>
        <w:jc w:val="both"/>
        <w:rPr>
          <w:color w:val="000000" w:themeColor="text1"/>
        </w:rPr>
      </w:pPr>
    </w:p>
    <w:p w14:paraId="354D50CB" w14:textId="12900677" w:rsidR="00931A60" w:rsidRPr="00B6585E" w:rsidRDefault="00370DD5" w:rsidP="00370DD5">
      <w:pPr>
        <w:pStyle w:val="Heading3"/>
        <w:numPr>
          <w:ilvl w:val="0"/>
          <w:numId w:val="0"/>
        </w:numPr>
      </w:pPr>
      <w:bookmarkStart w:id="331" w:name="_Toc23231373"/>
      <w:bookmarkStart w:id="332" w:name="_Toc96925034"/>
      <w:r w:rsidRPr="00B6585E">
        <w:t xml:space="preserve">15.2.5 </w:t>
      </w:r>
      <w:r w:rsidR="00A221DB" w:rsidRPr="00B6585E">
        <w:t>Statistical Analysis</w:t>
      </w:r>
      <w:bookmarkEnd w:id="331"/>
      <w:bookmarkEnd w:id="332"/>
    </w:p>
    <w:p w14:paraId="722159C7" w14:textId="77777777"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primary outcome, the number of overhydrated patients between both study groups, will be analyzed using a chi-square test. </w:t>
      </w:r>
    </w:p>
    <w:p w14:paraId="047E25ED" w14:textId="788F25EC" w:rsidR="00931A60" w:rsidRPr="00B6585E" w:rsidRDefault="00A221DB">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secondary outcome, AUC of TBW between both study groups, will be analyzed using a student´s t-test or a Mann-Whitney-U test depending on the distribution of the data. </w:t>
      </w:r>
    </w:p>
    <w:p w14:paraId="26AEC5B9" w14:textId="19E40EC5" w:rsidR="00667A99" w:rsidRPr="00B6585E" w:rsidRDefault="00667A99">
      <w:pPr>
        <w:jc w:val="both"/>
        <w:rPr>
          <w:rFonts w:ascii="Arial" w:hAnsi="Arial" w:cs="Arial"/>
          <w:color w:val="000000" w:themeColor="text1"/>
          <w:sz w:val="22"/>
          <w:szCs w:val="22"/>
        </w:rPr>
      </w:pPr>
    </w:p>
    <w:p w14:paraId="31065640" w14:textId="77777777" w:rsidR="00667A99" w:rsidRPr="00B6585E" w:rsidRDefault="00667A99">
      <w:pPr>
        <w:jc w:val="both"/>
        <w:rPr>
          <w:color w:val="000000" w:themeColor="text1"/>
        </w:rPr>
        <w:sectPr w:rsidR="00667A99" w:rsidRPr="00B6585E" w:rsidSect="00D33402">
          <w:headerReference w:type="first" r:id="rId29"/>
          <w:pgSz w:w="11906" w:h="16838"/>
          <w:pgMar w:top="1418" w:right="1134" w:bottom="1134" w:left="1134" w:header="709" w:footer="709" w:gutter="0"/>
          <w:cols w:space="720"/>
          <w:formProt w:val="0"/>
          <w:titlePg/>
          <w:docGrid w:linePitch="360"/>
        </w:sectPr>
      </w:pPr>
    </w:p>
    <w:p w14:paraId="34B83C00" w14:textId="4175AC98" w:rsidR="00667A99" w:rsidRPr="00B6585E" w:rsidRDefault="00CC1777" w:rsidP="00CC1777">
      <w:pPr>
        <w:pStyle w:val="Heading2"/>
        <w:numPr>
          <w:ilvl w:val="0"/>
          <w:numId w:val="0"/>
        </w:numPr>
        <w:ind w:left="964" w:hanging="964"/>
        <w:rPr>
          <w:color w:val="000000" w:themeColor="text1"/>
        </w:rPr>
      </w:pPr>
      <w:bookmarkStart w:id="333" w:name="_Toc23231374"/>
      <w:bookmarkStart w:id="334" w:name="_Toc96925035"/>
      <w:r w:rsidRPr="00B6585E">
        <w:rPr>
          <w:color w:val="000000" w:themeColor="text1"/>
        </w:rPr>
        <w:lastRenderedPageBreak/>
        <w:t xml:space="preserve">15.3 </w:t>
      </w:r>
      <w:r w:rsidR="00667A99" w:rsidRPr="00B6585E">
        <w:rPr>
          <w:color w:val="000000" w:themeColor="text1"/>
        </w:rPr>
        <w:t xml:space="preserve">Appendix </w:t>
      </w:r>
      <w:r w:rsidR="00A11077" w:rsidRPr="00B6585E">
        <w:rPr>
          <w:color w:val="000000" w:themeColor="text1"/>
        </w:rPr>
        <w:t>III</w:t>
      </w:r>
      <w:r w:rsidR="00667A99" w:rsidRPr="00B6585E">
        <w:rPr>
          <w:color w:val="000000" w:themeColor="text1"/>
        </w:rPr>
        <w:t>:</w:t>
      </w:r>
      <w:r w:rsidR="00A11077" w:rsidRPr="00B6585E">
        <w:rPr>
          <w:color w:val="000000" w:themeColor="text1"/>
        </w:rPr>
        <w:t xml:space="preserve"> Sub-study II: Renal Function</w:t>
      </w:r>
      <w:bookmarkEnd w:id="333"/>
      <w:bookmarkEnd w:id="334"/>
    </w:p>
    <w:p w14:paraId="09A59620" w14:textId="77777777" w:rsidR="00B85C77" w:rsidRPr="00B6585E" w:rsidRDefault="00B85C77" w:rsidP="00B85C77">
      <w:pPr>
        <w:rPr>
          <w:color w:val="000000" w:themeColor="text1"/>
        </w:rPr>
      </w:pPr>
    </w:p>
    <w:p w14:paraId="15BBD5A2" w14:textId="2C6C2DD0" w:rsidR="00B85C77" w:rsidRPr="00B6585E" w:rsidRDefault="00CC1777" w:rsidP="00CC1777">
      <w:pPr>
        <w:pStyle w:val="Heading3"/>
        <w:numPr>
          <w:ilvl w:val="0"/>
          <w:numId w:val="0"/>
        </w:numPr>
      </w:pPr>
      <w:bookmarkStart w:id="335" w:name="_Toc23231375"/>
      <w:bookmarkStart w:id="336" w:name="_Toc96925036"/>
      <w:r w:rsidRPr="00B6585E">
        <w:t xml:space="preserve">15.3.1 </w:t>
      </w:r>
      <w:r w:rsidR="00B85C77" w:rsidRPr="00B6585E">
        <w:t>Background</w:t>
      </w:r>
      <w:bookmarkEnd w:id="335"/>
      <w:bookmarkEnd w:id="336"/>
    </w:p>
    <w:p w14:paraId="59C92C78" w14:textId="77777777" w:rsidR="00B85C77" w:rsidRPr="00B6585E" w:rsidRDefault="00B85C77" w:rsidP="00B85C77">
      <w:pPr>
        <w:rPr>
          <w:color w:val="000000" w:themeColor="text1"/>
        </w:rPr>
      </w:pPr>
    </w:p>
    <w:p w14:paraId="0DFA02DB" w14:textId="2912F7DD" w:rsidR="00AA0B4C" w:rsidRPr="00B6585E" w:rsidRDefault="000F747C">
      <w:pPr>
        <w:jc w:val="both"/>
        <w:rPr>
          <w:rFonts w:ascii="Arial" w:hAnsi="Arial" w:cs="Arial"/>
          <w:color w:val="000000" w:themeColor="text1"/>
          <w:sz w:val="22"/>
          <w:szCs w:val="22"/>
        </w:rPr>
      </w:pPr>
      <w:r w:rsidRPr="00B6585E">
        <w:rPr>
          <w:rFonts w:ascii="Arial" w:hAnsi="Arial" w:cs="Arial"/>
          <w:color w:val="000000" w:themeColor="text1"/>
          <w:sz w:val="22"/>
          <w:szCs w:val="22"/>
        </w:rPr>
        <w:t>Acute kidney injury (AKI) is a common condition in the perioperative period and is defined as a marked decline of renal function occurring within a few hours or days.</w:t>
      </w:r>
      <w:r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{"citationItems":[{"id":"ITEM-1","itemData":{"DOI":"10.1213/ANE.0000000000003741","ISBN":"0000000000","ISSN":"15267598","abstract":"Acute kidney injury (AKI) in the perioperative period is a common complication and is associated with increased morbidity and mortality. A standard definition and staging system for AKI has been developed, incorporating a reduction of the urine output and/or an increase of serum creatinine. Novel biomarkers may detect kidney damage in the absence of a change in function and can also predict the development of AKI. Several specific considerations for AKI risk are important in surgical patients. The surgery, especially major and emergency procedures in critically ill patients, may cause AKI. In addition, certain comorbidities, such as chronic kidney disease and chronic heart failure, are important risk factors for AKI. Diuretics, contrast agents, and nephrotoxic drugs are commonly used in the perioperative period and may result in a significant amount of in-hospital AKI. Before and during surgery, anesthetists are supposed to optimize the patient, including preventing and treating a hypovolemia and correcting an anemia. Intraoperative episodes of hypotension have to be avoided because even short periods of hypotension are associated with an increased risk of AKI. During the intraoperative period, urine output might be reduced in the absence of kidney injury or the presence of kidney injury with or without fluid responsiveness. Therefore, fluids should be used carefully to avoid hypovolemia and hypervolemia. The Kidney Disease: Improving Global Outcomes guidelines suggest implementing preventive strategies in high-risk patients, which include optimization of hemodynamics, restoration of the circulating volume, institution of functional hemodynamic monitoring, and avoidance of nephrotoxic agents and hyperglycemia. Two recently published studies found that implementing this bundle in high-risk patients reduced the occurrence of AKI in the perioperative period. In addition, the application of remote ischemic preconditioning has been studied to potentially reduce the incidence of perioperative AKI. This review discusses the epidemiology and pathophysiology of surgery-associated AKI, highlights the importance of intraoperative oliguria, and emphasizes potential preventive strategies.","author":[{"dropping-particle":"","family":"Zarbock","given":"Alexander","non-dropping-particle":"","parse-names":false,"suffix":""},{"dropping-particle":"","family":"Koyner","given":"Jay L.","non-dropping-particle":"","parse-names":false,"suffix":""},{"dropping-particle":"","family":"Hoste","given":"Eric A.J.","non-dropping-particle":"","parse-names":false,"suffix":""},{"dropping-particle":"","family":"Kellum","given":"John A.","non-dropping-particle":"","parse-names":false,"suffix":""}],"container-title":"Anesthesia and Analgesia","id":"ITEM-1","issue":"5","issued":{"date-parts":[["2018"]]},"page":"1236-1245","title":"Update on perioperative acute kidney injury","type":"article-journal","volume":"127"},"uris":["http://www.mendeley.com/documents/?uuid=1651b550-67c9-4cd2-998f-e2fdd957fc11"]}],"mendeley":{"formattedCitation":"&lt;sup&gt;40&lt;/sup&gt;","plainTextFormattedCitation":"40","previouslyFormattedCitation":"&lt;sup&gt;39&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40</w:t>
      </w:r>
      <w:r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Even mild changes in kidney function, as assessed by serum creatinine (SCr), urine output, or both seem to be associated with increased short-and long-term adverse outcomes. </w:t>
      </w:r>
      <w:r w:rsidR="00BF671D" w:rsidRPr="00B6585E">
        <w:rPr>
          <w:rFonts w:ascii="Arial" w:hAnsi="Arial" w:cs="Arial"/>
          <w:color w:val="000000" w:themeColor="text1"/>
          <w:sz w:val="22"/>
          <w:szCs w:val="22"/>
        </w:rPr>
        <w:t>A standard definition and staging system for AKI has been developed, incorporating a reduction of the urine output and/or an increase of serum creatinine.</w:t>
      </w:r>
    </w:p>
    <w:p w14:paraId="38725B0A" w14:textId="441B76D0" w:rsidR="00AA0B4C" w:rsidRPr="00B6585E" w:rsidRDefault="00AA0B4C" w:rsidP="00AA0B4C">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Patients who were older, </w:t>
      </w:r>
      <w:r w:rsidR="00BF671D" w:rsidRPr="00B6585E">
        <w:rPr>
          <w:rFonts w:ascii="Arial" w:hAnsi="Arial" w:cs="Arial"/>
          <w:color w:val="000000" w:themeColor="text1"/>
          <w:sz w:val="22"/>
          <w:szCs w:val="22"/>
        </w:rPr>
        <w:t>having a</w:t>
      </w:r>
      <w:r w:rsidRPr="00B6585E">
        <w:rPr>
          <w:rFonts w:ascii="Arial" w:hAnsi="Arial" w:cs="Arial"/>
          <w:color w:val="000000" w:themeColor="text1"/>
          <w:sz w:val="22"/>
          <w:szCs w:val="22"/>
        </w:rPr>
        <w:t xml:space="preserve"> history of heart failure, hypertension, diabetes, </w:t>
      </w:r>
      <w:r w:rsidR="00BF671D" w:rsidRPr="00B6585E">
        <w:rPr>
          <w:rFonts w:ascii="Arial" w:hAnsi="Arial" w:cs="Arial"/>
          <w:color w:val="000000" w:themeColor="text1"/>
          <w:sz w:val="22"/>
          <w:szCs w:val="22"/>
        </w:rPr>
        <w:t>or</w:t>
      </w:r>
      <w:r w:rsidRPr="00B6585E">
        <w:rPr>
          <w:rFonts w:ascii="Arial" w:hAnsi="Arial" w:cs="Arial"/>
          <w:color w:val="000000" w:themeColor="text1"/>
          <w:sz w:val="22"/>
          <w:szCs w:val="22"/>
        </w:rPr>
        <w:t xml:space="preserve"> cirrhosis were more likely to develop AKI.</w:t>
      </w:r>
      <w:r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{"citationItems":[{"id":"ITEM-1","itemData":{"DOI":"10.1007/s00134-015-3934-7","author":[{"dropping-particle":"","family":"Hoste","given":"Eric A J","non-dropping-particle":"","parse-names":false,"suffix":""},{"dropping-particle":"","family":"Bagshaw","given":"Sean M","non-dropping-particle":"","parse-names":false,"suffix":""},{"dropping-particle":"","family":"Cely","given":"Cynthia M","non-dropping-particle":"","parse-names":false,"suffix":""},{"dropping-particle":"","family":"Cruz","given":"Dinna N","non-dropping-particle":"","parse-names":false,"suffix":""},{"dropping-particle":"","family":"Gomersall","given":"Charles D","non-dropping-particle":"","parse-names":false,"suffix":""},{"dropping-particle":"","family":"Honore","given":"Patrick M","non-dropping-particle":"","parse-names":false,"suffix":""},{"dropping-particle":"","family":"Joannes-boyau","given":"Olivier","non-dropping-particle":"","parse-names":false,"suffix":""},{"dropping-particle":"","family":"Korhonen","given":"Anna-maija","non-dropping-particle":"","parse-names":false,"suffix":""},{"dropping-particle":"","family":"Kellum","given":"John A","non-dropping-particle":"","parse-names":false,"suffix":""}],"container-title":"Intensive Care Med","id":"ITEM-1","issued":{"date-parts":[["2015"]]},"page":"1411-1423","title":"Epidemiology of acute kidney injury in critically ill patients : the multinational AKI-EPI study Hospital mortality","type":"article-journal","volume":"41"},"uris":["http://www.mendeley.com/documents/?uuid=81057d44-539a-434e-a75c-40f9b5bdb614"]}],"mendeley":{"formattedCitation":"&lt;sup&gt;41&lt;/sup&gt;","plainTextFormattedCitation":"41","previouslyFormattedCitation":"&lt;sup&gt;40&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41</w:t>
      </w:r>
      <w:r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A maximum AKI severity of KDIGO stage 1 occurred in 331 patients (18.4 %; 95 % CI 16.7–20.2), KDIGO stage 2 in 161 patients (8.9 %; 95 % CI 7.7–10.3), and KDIGO stage 3 in 540 patients (30.0 %; 95 % CI 27.9–32.1). There was a stepwise increase in mortality with</w:t>
      </w:r>
    </w:p>
    <w:p w14:paraId="638FC1B2" w14:textId="5F6520A0" w:rsidR="00371BBC" w:rsidRPr="00B6585E" w:rsidRDefault="00AA0B4C">
      <w:pPr>
        <w:jc w:val="both"/>
        <w:rPr>
          <w:rFonts w:ascii="Arial" w:hAnsi="Arial" w:cs="Arial"/>
          <w:color w:val="000000" w:themeColor="text1"/>
          <w:sz w:val="22"/>
          <w:szCs w:val="22"/>
        </w:rPr>
      </w:pPr>
      <w:r w:rsidRPr="00B6585E">
        <w:rPr>
          <w:rFonts w:ascii="Arial" w:hAnsi="Arial" w:cs="Arial"/>
          <w:color w:val="000000" w:themeColor="text1"/>
          <w:sz w:val="22"/>
          <w:szCs w:val="22"/>
        </w:rPr>
        <w:t>increasing AKI severity [KDIGO stage 1: odds ratio (OR) 2.19; 95 % CI 1.44–3.35, KDIGO stage 2: OR 3.88; 95 %</w:t>
      </w:r>
      <w:r w:rsidR="00C226B4" w:rsidRPr="00B6585E">
        <w:rPr>
          <w:rFonts w:ascii="Arial" w:hAnsi="Arial" w:cs="Arial"/>
          <w:color w:val="000000" w:themeColor="text1"/>
          <w:sz w:val="22"/>
          <w:szCs w:val="22"/>
        </w:rPr>
        <w:t xml:space="preserve"> CI 2.42–6.21, and KDIGO stage 3: OR 7.18; 95 % CI 5.13–10.04]. When adjusted for other variables that may explain mortality, KDIGO stage 2 (OR 2.945; 95 % CI 1.382–6.276; p = 0.005) and KDIGO stage 3 (OR 6.884; 95 % CI 3.876–12.228; p\0.001) were still associated with increased in-hospital mortality.</w:t>
      </w:r>
      <w:r w:rsidR="00C226B4"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{"citationItems":[{"id":"ITEM-1","itemData":{"DOI":"10.1007/s00134-015-3934-7","author":[{"dropping-particle":"","family":"Hoste","given":"Eric A J","non-dropping-particle":"","parse-names":false,"suffix":""},{"dropping-particle":"","family":"Bagshaw","given":"Sean M","non-dropping-particle":"","parse-names":false,"suffix":""},{"dropping-particle":"","family":"Cely","given":"Cynthia M","non-dropping-particle":"","parse-names":false,"suffix":""},{"dropping-particle":"","family":"Cruz","given":"Dinna N","non-dropping-particle":"","parse-names":false,"suffix":""},{"dropping-particle":"","family":"Gomersall","given":"Charles D","non-dropping-particle":"","parse-names":false,"suffix":""},{"dropping-particle":"","family":"Honore","given":"Patrick M","non-dropping-particle":"","parse-names":false,"suffix":""},{"dropping-particle":"","family":"Joannes-boyau","given":"Olivier","non-dropping-particle":"","parse-names":false,"suffix":""},{"dropping-particle":"","family":"Korhonen","given":"Anna-maija","non-dropping-particle":"","parse-names":false,"suffix":""},{"dropping-particle":"","family":"Kellum","given":"John A","non-dropping-particle":"","parse-names":false,"suffix":""}],"container-title":"Intensive Care Med","id":"ITEM-1","issued":{"date-parts":[["2015"]]},"page":"1411-1423","title":"Epidemiology of acute kidney injury in critically ill patients : the multinational AKI-EPI study Hospital mortality","type":"article-journal","volume":"41"},"uris":["http://www.mendeley.com/documents/?uuid=81057d44-539a-434e-a75c-40f9b5bdb614"]}],"mendeley":{"formattedCitation":"&lt;sup&gt;41&lt;/sup&gt;","plainTextFormattedCitation":"41","previouslyFormattedCitation":"&lt;sup&gt;40&lt;/sup&gt;"},"properties":{"noteIndex":0},"schema":"https://github.com/citation-style-language/schema/raw/master/csl-citation.json"}</w:instrText>
      </w:r>
      <w:r w:rsidR="00C226B4"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41</w:t>
      </w:r>
      <w:r w:rsidR="00C226B4" w:rsidRPr="00B6585E">
        <w:rPr>
          <w:rFonts w:ascii="Arial" w:hAnsi="Arial" w:cs="Arial"/>
          <w:color w:val="000000" w:themeColor="text1"/>
          <w:sz w:val="22"/>
          <w:szCs w:val="22"/>
        </w:rPr>
        <w:fldChar w:fldCharType="end"/>
      </w:r>
    </w:p>
    <w:p w14:paraId="36C24E15" w14:textId="77777777" w:rsidR="00681C64" w:rsidRPr="00B6585E" w:rsidRDefault="00681C64">
      <w:pPr>
        <w:jc w:val="both"/>
        <w:rPr>
          <w:color w:val="000000" w:themeColor="text1"/>
          <w:sz w:val="22"/>
          <w:szCs w:val="22"/>
        </w:rPr>
      </w:pPr>
    </w:p>
    <w:p w14:paraId="11B4762A" w14:textId="72104FD9" w:rsidR="00A96672" w:rsidRPr="00B6585E" w:rsidRDefault="00A96672" w:rsidP="00A96672">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A small randomized trial including 32 patients with chronic heart failure and renal impairment, levosimendan increases glomerular filtration rate to a greater extent than dobutamine. There was a 20% increase of GFR </w:t>
      </w:r>
      <w:r w:rsidR="002F5D16" w:rsidRPr="00B6585E">
        <w:rPr>
          <w:rFonts w:ascii="Arial" w:hAnsi="Arial" w:cs="Arial"/>
          <w:color w:val="000000" w:themeColor="text1"/>
          <w:sz w:val="22"/>
          <w:szCs w:val="22"/>
        </w:rPr>
        <w:t xml:space="preserve">in patients </w:t>
      </w:r>
      <w:r w:rsidRPr="00B6585E">
        <w:rPr>
          <w:rFonts w:ascii="Arial" w:hAnsi="Arial" w:cs="Arial"/>
          <w:color w:val="000000" w:themeColor="text1"/>
          <w:sz w:val="22"/>
          <w:szCs w:val="22"/>
        </w:rPr>
        <w:t xml:space="preserve">after a </w:t>
      </w:r>
      <w:r w:rsidR="002F5D16" w:rsidRPr="00B6585E">
        <w:rPr>
          <w:rFonts w:ascii="Arial" w:hAnsi="Arial" w:cs="Arial"/>
          <w:color w:val="000000" w:themeColor="text1"/>
          <w:sz w:val="22"/>
          <w:szCs w:val="22"/>
        </w:rPr>
        <w:t>single</w:t>
      </w:r>
      <w:r w:rsidRPr="00B6585E">
        <w:rPr>
          <w:rFonts w:ascii="Arial" w:hAnsi="Arial" w:cs="Arial"/>
          <w:color w:val="000000" w:themeColor="text1"/>
          <w:sz w:val="22"/>
          <w:szCs w:val="22"/>
        </w:rPr>
        <w:t xml:space="preserve"> infusion of levosimendan.</w:t>
      </w:r>
      <w:r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{"citationItems":[{"id":"ITEM-1","itemData":{"DOI":"10.1161/JAHA.117.008455","ISSN":"20479980","abstract":"Background—The management of the cardiorenal syndrome in advanced heart failure is challenging, and the role of inotropic drugs has not been fully defined. Our aim was to compare the renal effects of levosimendan versus dobutamine in patients with heart failure and renal impairment. Methods and Results—In a randomized double-blind study, we assigned patients with chronic heart failure (left ventricular ejection fraction&lt;40%) and impaired renal function (glomerular filtration rate&lt;80 mL/min per 1.73 m2) to receive either levosimendan (loading dose 12 µg/kg+0.1 µg/kg per minute) or dobutamine (7.5 µg/kg per minute) for 75 minutes. A pulmonary artery catheter was used for measurements of systemic hemodynamics, and a renal vein catheter was used to measure renal plasma flow by the infusion clearance technique for PAH (para-aminohippurate) corrected by renal extraction of PAH. Filtration fraction was measured by renal extraction of chromium ethylenediamine tetraacetic acid. A total of 32 patients completed the study. Following treatment, the levosimendan and dobutamine groups displayed similar increases in renal blood flow (22% and 26%, respectively) with no significant differences between groups. Glomerular filtration rate increased by 22% in the levosimendan group but remained unchanged in the dobutamine group (P=0.012). Filtration fraction was not affected by levosimendan but decreased by 17% with dobutamine (P=0.045). Conclusions-—In patients with chronic heart failure and renal impairment, levosimendan increases glomerular filtration rate to a greater extent than dobutamine and thus may be the preferred inotropic agent for treating patients with the cardiorenal syndrome.","author":[{"dropping-particle":"","family":"Lannemyr","given":"Lukas","non-dropping-particle":"","parse-names":false,"suffix":""},{"dropping-particle":"","family":"Ricksten","given":"Sven Erik","non-dropping-particle":"","parse-names":false,"suffix":""},{"dropping-particle":"","family":"Rundqvist","given":"Bengt","non-dropping-particle":"","parse-names":false,"suffix":""},{"dropping-particle":"","family":"Andersson","given":"Bert","non-dropping-particle":"","parse-names":false,"suffix":""},{"dropping-particle":"","family":"Bartfay","given":"Sven Erik","non-dropping-particle":"","parse-names":false,"suffix":""},{"dropping-particle":"","family":"Ljungman","given":"Charlotta","non-dropping-particle":"","parse-names":false,"suffix":""},{"dropping-particle":"","family":"Dahlberg","given":"Pia","non-dropping-particle":"","parse-names":false,"suffix":""},{"dropping-particle":"","family":"Bergh","given":"Niklas","non-dropping-particle":"","parse-names":false,"suffix":""},{"dropping-particle":"","family":"Hjalmarsson","given":"Clara","non-dropping-particle":"","parse-names":false,"suffix":""},{"dropping-particle":"","family":"Gilljam","given":"Thomas","non-dropping-particle":"","parse-names":false,"suffix":""},{"dropping-particle":"","family":"Bollano","given":"Entela","non-dropping-particle":"","parse-names":false,"suffix":""},{"dropping-particle":"","family":"Karason","given":"Kristjan","non-dropping-particle":"","parse-names":false,"suffix":""}],"container-title":"Journal of the American Heart Association","id":"ITEM-1","issue":"16","issued":{"date-parts":[["2018"]]},"page":"1-9","title":"Differential effects of levosimendan and dobutamine on glomerular filtration rate in patients with heart failure and renal impairment: A randomized double-blind controlled trial","type":"article-journal","volume":"7"},"uris":["http://www.mendeley.com/documents/?uuid=1d713485-f5e3-4135-ba51-4e565f07a2f1"]}],"mendeley":{"formattedCitation":"&lt;sup&gt;42&lt;/sup&gt;","plainTextFormattedCitation":"42","previouslyFormattedCitation":"&lt;sup&gt;41&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42</w:t>
      </w:r>
      <w:r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w:t>
      </w:r>
      <w:r w:rsidR="00445D98" w:rsidRPr="00B6585E">
        <w:rPr>
          <w:rFonts w:ascii="Arial" w:hAnsi="Arial" w:cs="Arial"/>
          <w:color w:val="000000" w:themeColor="text1"/>
          <w:sz w:val="22"/>
          <w:szCs w:val="22"/>
        </w:rPr>
        <w:t>(Figure 1</w:t>
      </w:r>
      <w:r w:rsidR="00D33402" w:rsidRPr="00B6585E">
        <w:rPr>
          <w:rFonts w:ascii="Arial" w:hAnsi="Arial" w:cs="Arial"/>
          <w:color w:val="000000" w:themeColor="text1"/>
          <w:sz w:val="22"/>
          <w:szCs w:val="22"/>
        </w:rPr>
        <w:t>/III</w:t>
      </w:r>
      <w:r w:rsidR="00445D98" w:rsidRPr="00B6585E">
        <w:rPr>
          <w:rFonts w:ascii="Arial" w:hAnsi="Arial" w:cs="Arial"/>
          <w:color w:val="000000" w:themeColor="text1"/>
          <w:sz w:val="22"/>
          <w:szCs w:val="22"/>
        </w:rPr>
        <w:t>)</w:t>
      </w:r>
    </w:p>
    <w:p w14:paraId="1EB25054" w14:textId="4C3C5155" w:rsidR="00445D98" w:rsidRPr="00B6585E" w:rsidRDefault="00445D98" w:rsidP="00A96672">
      <w:pPr>
        <w:jc w:val="both"/>
        <w:rPr>
          <w:rFonts w:ascii="Arial" w:hAnsi="Arial" w:cs="Arial"/>
          <w:color w:val="000000" w:themeColor="text1"/>
          <w:sz w:val="22"/>
          <w:szCs w:val="22"/>
        </w:rPr>
      </w:pPr>
    </w:p>
    <w:p w14:paraId="25C19A7F" w14:textId="4108FAE0" w:rsidR="00445D98" w:rsidRPr="00B6585E" w:rsidRDefault="00445D98" w:rsidP="00A96672">
      <w:pPr>
        <w:jc w:val="both"/>
        <w:rPr>
          <w:rFonts w:ascii="Arial" w:hAnsi="Arial" w:cs="Arial"/>
          <w:color w:val="000000" w:themeColor="text1"/>
          <w:sz w:val="22"/>
          <w:szCs w:val="22"/>
        </w:rPr>
      </w:pPr>
      <w:r w:rsidRPr="00B6585E">
        <w:rPr>
          <w:rFonts w:ascii="Arial" w:hAnsi="Arial" w:cs="Arial"/>
          <w:noProof/>
          <w:color w:val="000000" w:themeColor="text1"/>
          <w:sz w:val="22"/>
          <w:szCs w:val="22"/>
          <w:lang w:val="de-DE" w:eastAsia="de-DE"/>
        </w:rPr>
        <w:drawing>
          <wp:anchor distT="0" distB="0" distL="114300" distR="114300" simplePos="0" relativeHeight="251658240" behindDoc="0" locked="0" layoutInCell="1" allowOverlap="1" wp14:anchorId="6B8C0E3E" wp14:editId="786081A7">
            <wp:simplePos x="0" y="0"/>
            <wp:positionH relativeFrom="column">
              <wp:posOffset>-54343</wp:posOffset>
            </wp:positionH>
            <wp:positionV relativeFrom="paragraph">
              <wp:posOffset>33655</wp:posOffset>
            </wp:positionV>
            <wp:extent cx="3315025" cy="2229852"/>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FR.tif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5025" cy="2229852"/>
                    </a:xfrm>
                    <a:prstGeom prst="rect">
                      <a:avLst/>
                    </a:prstGeom>
                  </pic:spPr>
                </pic:pic>
              </a:graphicData>
            </a:graphic>
            <wp14:sizeRelH relativeFrom="page">
              <wp14:pctWidth>0</wp14:pctWidth>
            </wp14:sizeRelH>
            <wp14:sizeRelV relativeFrom="page">
              <wp14:pctHeight>0</wp14:pctHeight>
            </wp14:sizeRelV>
          </wp:anchor>
        </w:drawing>
      </w:r>
    </w:p>
    <w:p w14:paraId="6CE87D1B" w14:textId="2D3EB0AA" w:rsidR="00A96672" w:rsidRPr="00B6585E" w:rsidRDefault="00A96672" w:rsidP="00A96672">
      <w:pPr>
        <w:jc w:val="both"/>
        <w:rPr>
          <w:rFonts w:ascii="Arial" w:hAnsi="Arial" w:cs="Arial"/>
          <w:color w:val="000000" w:themeColor="text1"/>
          <w:sz w:val="22"/>
          <w:szCs w:val="22"/>
        </w:rPr>
      </w:pPr>
    </w:p>
    <w:p w14:paraId="1CA843D9" w14:textId="79789124" w:rsidR="000F747C" w:rsidRPr="00B6585E" w:rsidRDefault="000F747C" w:rsidP="00A96672">
      <w:pPr>
        <w:autoSpaceDE w:val="0"/>
        <w:autoSpaceDN w:val="0"/>
        <w:adjustRightInd w:val="0"/>
        <w:rPr>
          <w:rFonts w:ascii="Arial" w:hAnsi="Arial" w:cs="Arial"/>
          <w:color w:val="000000" w:themeColor="text1"/>
          <w:sz w:val="22"/>
          <w:szCs w:val="22"/>
        </w:rPr>
      </w:pPr>
    </w:p>
    <w:p w14:paraId="2165034C" w14:textId="0D24754C" w:rsidR="00445D98" w:rsidRPr="00B6585E" w:rsidRDefault="00445D98" w:rsidP="00445D98">
      <w:pPr>
        <w:rPr>
          <w:rFonts w:ascii="Arial" w:hAnsi="Arial" w:cs="Arial"/>
          <w:color w:val="000000" w:themeColor="text1"/>
          <w:sz w:val="22"/>
          <w:szCs w:val="22"/>
        </w:rPr>
      </w:pPr>
    </w:p>
    <w:p w14:paraId="4AB48CD8" w14:textId="0B8C2911" w:rsidR="00445D98" w:rsidRPr="00B6585E" w:rsidRDefault="00445D98" w:rsidP="00445D98">
      <w:pPr>
        <w:rPr>
          <w:rFonts w:ascii="Arial" w:hAnsi="Arial" w:cs="Arial"/>
          <w:color w:val="000000" w:themeColor="text1"/>
          <w:sz w:val="22"/>
          <w:szCs w:val="22"/>
        </w:rPr>
      </w:pPr>
    </w:p>
    <w:p w14:paraId="1B10288D" w14:textId="55F0659D" w:rsidR="00445D98" w:rsidRPr="00B6585E" w:rsidRDefault="00445D98" w:rsidP="00445D98">
      <w:pPr>
        <w:rPr>
          <w:rFonts w:ascii="Arial" w:hAnsi="Arial" w:cs="Arial"/>
          <w:color w:val="000000" w:themeColor="text1"/>
          <w:sz w:val="22"/>
          <w:szCs w:val="22"/>
        </w:rPr>
      </w:pPr>
    </w:p>
    <w:p w14:paraId="02772150" w14:textId="2F45B568" w:rsidR="00445D98" w:rsidRPr="00B6585E" w:rsidRDefault="00445D98" w:rsidP="00445D98">
      <w:pPr>
        <w:rPr>
          <w:rFonts w:ascii="Arial" w:hAnsi="Arial" w:cs="Arial"/>
          <w:color w:val="000000" w:themeColor="text1"/>
          <w:sz w:val="22"/>
          <w:szCs w:val="22"/>
        </w:rPr>
      </w:pPr>
    </w:p>
    <w:p w14:paraId="204D2B3B" w14:textId="4B8035BF" w:rsidR="00445D98" w:rsidRPr="00B6585E" w:rsidRDefault="00445D98" w:rsidP="00445D98">
      <w:pPr>
        <w:rPr>
          <w:rFonts w:ascii="Arial" w:hAnsi="Arial" w:cs="Arial"/>
          <w:color w:val="000000" w:themeColor="text1"/>
          <w:sz w:val="22"/>
          <w:szCs w:val="22"/>
        </w:rPr>
      </w:pPr>
    </w:p>
    <w:p w14:paraId="109ACCE3" w14:textId="1DB2D48B" w:rsidR="00445D98" w:rsidRPr="00B6585E" w:rsidRDefault="00445D98" w:rsidP="00445D98">
      <w:pPr>
        <w:rPr>
          <w:rFonts w:ascii="Arial" w:hAnsi="Arial" w:cs="Arial"/>
          <w:color w:val="000000" w:themeColor="text1"/>
          <w:sz w:val="22"/>
          <w:szCs w:val="22"/>
        </w:rPr>
      </w:pPr>
    </w:p>
    <w:p w14:paraId="7090952F" w14:textId="75B83138" w:rsidR="00445D98" w:rsidRPr="00B6585E" w:rsidRDefault="00445D98" w:rsidP="00445D98">
      <w:pPr>
        <w:rPr>
          <w:rFonts w:ascii="Arial" w:hAnsi="Arial" w:cs="Arial"/>
          <w:color w:val="000000" w:themeColor="text1"/>
          <w:sz w:val="22"/>
          <w:szCs w:val="22"/>
        </w:rPr>
      </w:pPr>
    </w:p>
    <w:p w14:paraId="36452901" w14:textId="1642E85A" w:rsidR="00445D98" w:rsidRPr="00B6585E" w:rsidRDefault="00445D98" w:rsidP="00445D98">
      <w:pPr>
        <w:rPr>
          <w:rFonts w:ascii="Arial" w:hAnsi="Arial" w:cs="Arial"/>
          <w:color w:val="000000" w:themeColor="text1"/>
          <w:sz w:val="22"/>
          <w:szCs w:val="22"/>
        </w:rPr>
      </w:pPr>
    </w:p>
    <w:p w14:paraId="1FD88822" w14:textId="50EB461C" w:rsidR="00445D98" w:rsidRPr="00B6585E" w:rsidRDefault="00445D98" w:rsidP="00445D98">
      <w:pPr>
        <w:rPr>
          <w:rFonts w:ascii="Arial" w:hAnsi="Arial" w:cs="Arial"/>
          <w:color w:val="000000" w:themeColor="text1"/>
          <w:sz w:val="22"/>
          <w:szCs w:val="22"/>
        </w:rPr>
      </w:pPr>
    </w:p>
    <w:p w14:paraId="6CED7E21" w14:textId="6E0CAFA5" w:rsidR="00445D98" w:rsidRPr="00B6585E" w:rsidRDefault="00445D98" w:rsidP="00445D98">
      <w:pPr>
        <w:rPr>
          <w:rFonts w:ascii="Arial" w:hAnsi="Arial" w:cs="Arial"/>
          <w:color w:val="000000" w:themeColor="text1"/>
          <w:sz w:val="22"/>
          <w:szCs w:val="22"/>
        </w:rPr>
      </w:pPr>
    </w:p>
    <w:p w14:paraId="77BB504A" w14:textId="680410C1" w:rsidR="00445D98" w:rsidRPr="00B6585E" w:rsidRDefault="00445D98" w:rsidP="00445D98">
      <w:pPr>
        <w:rPr>
          <w:rFonts w:ascii="Arial" w:hAnsi="Arial" w:cs="Arial"/>
          <w:color w:val="000000" w:themeColor="text1"/>
          <w:sz w:val="22"/>
          <w:szCs w:val="22"/>
        </w:rPr>
      </w:pPr>
    </w:p>
    <w:p w14:paraId="7F03AF46" w14:textId="4B68179A" w:rsidR="00445D98" w:rsidRPr="00B6585E" w:rsidRDefault="00445D98" w:rsidP="00445D98">
      <w:pPr>
        <w:rPr>
          <w:rFonts w:ascii="Arial" w:hAnsi="Arial" w:cs="Arial"/>
          <w:color w:val="000000" w:themeColor="text1"/>
          <w:sz w:val="22"/>
          <w:szCs w:val="22"/>
        </w:rPr>
      </w:pPr>
    </w:p>
    <w:p w14:paraId="1C7341C6" w14:textId="44144F91" w:rsidR="00445D98" w:rsidRPr="00B6585E" w:rsidRDefault="00445D98" w:rsidP="00445D98">
      <w:pPr>
        <w:rPr>
          <w:rFonts w:ascii="Arial" w:hAnsi="Arial" w:cs="Arial"/>
          <w:color w:val="000000" w:themeColor="text1"/>
          <w:sz w:val="22"/>
          <w:szCs w:val="22"/>
        </w:rPr>
      </w:pPr>
      <w:r w:rsidRPr="00B6585E">
        <w:rPr>
          <w:rFonts w:ascii="Arial" w:hAnsi="Arial" w:cs="Arial"/>
          <w:color w:val="000000" w:themeColor="text1"/>
          <w:sz w:val="22"/>
          <w:szCs w:val="22"/>
        </w:rPr>
        <w:t>Figure 1</w:t>
      </w:r>
      <w:r w:rsidR="00D33402" w:rsidRPr="00B6585E">
        <w:rPr>
          <w:rFonts w:ascii="Arial" w:hAnsi="Arial" w:cs="Arial"/>
          <w:color w:val="000000" w:themeColor="text1"/>
          <w:sz w:val="22"/>
          <w:szCs w:val="22"/>
        </w:rPr>
        <w:t>/III</w:t>
      </w:r>
      <w:r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{"citationItems":[{"id":"ITEM-1","itemData":{"DOI":"10.1161/JAHA.117.008455","ISSN":"20479980","abstract":"Background—The management of the cardiorenal syndrome in advanced heart failure is challenging, and the role of inotropic drugs has not been fully defined. Our aim was to compare the renal effects of levosimendan versus dobutamine in patients with heart failure and renal impairment. Methods and Results—In a randomized double-blind study, we assigned patients with chronic heart failure (left ventricular ejection fraction&lt;40%) and impaired renal function (glomerular filtration rate&lt;80 mL/min per 1.73 m2) to receive either levosimendan (loading dose 12 µg/kg+0.1 µg/kg per minute) or dobutamine (7.5 µg/kg per minute) for 75 minutes. A pulmonary artery catheter was used for measurements of systemic hemodynamics, and a renal vein catheter was used to measure renal plasma flow by the infusion clearance technique for PAH (para-aminohippurate) corrected by renal extraction of PAH. Filtration fraction was measured by renal extraction of chromium ethylenediamine tetraacetic acid. A total of 32 patients completed the study. Following treatment, the levosimendan and dobutamine groups displayed similar increases in renal blood flow (22% and 26%, respectively) with no significant differences between groups. Glomerular filtration rate increased by 22% in the levosimendan group but remained unchanged in the dobutamine group (P=0.012). Filtration fraction was not affected by levosimendan but decreased by 17% with dobutamine (P=0.045). Conclusions-—In patients with chronic heart failure and renal impairment, levosimendan increases glomerular filtration rate to a greater extent than dobutamine and thus may be the preferred inotropic agent for treating patients with the cardiorenal syndrome.","author":[{"dropping-particle":"","family":"Lannemyr","given":"Lukas","non-dropping-particle":"","parse-names":false,"suffix":""},{"dropping-particle":"","family":"Ricksten","given":"Sven Erik","non-dropping-particle":"","parse-names":false,"suffix":""},{"dropping-particle":"","family":"Rundqvist","given":"Bengt","non-dropping-particle":"","parse-names":false,"suffix":""},{"dropping-particle":"","family":"Andersson","given":"Bert","non-dropping-particle":"","parse-names":false,"suffix":""},{"dropping-particle":"","family":"Bartfay","given":"Sven Erik","non-dropping-particle":"","parse-names":false,"suffix":""},{"dropping-particle":"","family":"Ljungman","given":"Charlotta","non-dropping-particle":"","parse-names":false,"suffix":""},{"dropping-particle":"","family":"Dahlberg","given":"Pia","non-dropping-particle":"","parse-names":false,"suffix":""},{"dropping-particle":"","family":"Bergh","given":"Niklas","non-dropping-particle":"","parse-names":false,"suffix":""},{"dropping-particle":"","family":"Hjalmarsson","given":"Clara","non-dropping-particle":"","parse-names":false,"suffix":""},{"dropping-particle":"","family":"Gilljam","given":"Thomas","non-dropping-particle":"","parse-names":false,"suffix":""},{"dropping-particle":"","family":"Bollano","given":"Entela","non-dropping-particle":"","parse-names":false,"suffix":""},{"dropping-particle":"","family":"Karason","given":"Kristjan","non-dropping-particle":"","parse-names":false,"suffix":""}],"container-title":"Journal of the American Heart Association","id":"ITEM-1","issue":"16","issued":{"date-parts":[["2018"]]},"page":"1-9","title":"Differential effects of levosimendan and dobutamine on glomerular filtration rate in patients with heart failure and renal impairment: A randomized double-blind controlled trial","type":"article-journal","volume":"7"},"uris":["http://www.mendeley.com/documents/?uuid=1d713485-f5e3-4135-ba51-4e565f07a2f1"]}],"mendeley":{"formattedCitation":"&lt;sup&gt;42&lt;/sup&gt;","plainTextFormattedCitation":"42","previouslyFormattedCitation":"&lt;sup&gt;41&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42</w:t>
      </w:r>
      <w:r w:rsidRPr="00B6585E">
        <w:rPr>
          <w:rFonts w:ascii="Arial" w:hAnsi="Arial" w:cs="Arial"/>
          <w:color w:val="000000" w:themeColor="text1"/>
          <w:sz w:val="22"/>
          <w:szCs w:val="22"/>
        </w:rPr>
        <w:fldChar w:fldCharType="end"/>
      </w:r>
    </w:p>
    <w:p w14:paraId="72277505" w14:textId="17E09240" w:rsidR="00FB388E" w:rsidRPr="00B6585E" w:rsidRDefault="00FB388E" w:rsidP="00445D98">
      <w:pPr>
        <w:rPr>
          <w:rFonts w:ascii="Arial" w:hAnsi="Arial" w:cs="Arial"/>
          <w:color w:val="000000" w:themeColor="text1"/>
          <w:sz w:val="22"/>
          <w:szCs w:val="22"/>
        </w:rPr>
      </w:pPr>
    </w:p>
    <w:p w14:paraId="7F4A56F6" w14:textId="0D365C94" w:rsidR="009D43C9" w:rsidRPr="00B6585E" w:rsidRDefault="00B85C77" w:rsidP="009D43C9">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Because of the lacking evidence regarding the effect of levosimendan on perioperative renal function specifically in patients with increased cardiac risks undergoing noncardiac surgery, we want to evaluate in this sub-study the effect of a preemptive administration of a single-dose levosimendan in these patient population. </w:t>
      </w:r>
    </w:p>
    <w:p w14:paraId="23F78E75" w14:textId="73FBC158" w:rsidR="00B85C77" w:rsidRPr="00B6585E" w:rsidRDefault="00B85C77" w:rsidP="00445D98">
      <w:pPr>
        <w:tabs>
          <w:tab w:val="left" w:pos="952"/>
        </w:tabs>
        <w:rPr>
          <w:rFonts w:ascii="Arial" w:hAnsi="Arial" w:cs="Arial"/>
          <w:color w:val="000000" w:themeColor="text1"/>
          <w:sz w:val="22"/>
          <w:szCs w:val="22"/>
        </w:rPr>
      </w:pPr>
    </w:p>
    <w:p w14:paraId="1C3546A8" w14:textId="77777777" w:rsidR="00541B03" w:rsidRPr="00B6585E" w:rsidRDefault="00541B03" w:rsidP="00445D98">
      <w:pPr>
        <w:tabs>
          <w:tab w:val="left" w:pos="952"/>
        </w:tabs>
        <w:rPr>
          <w:rFonts w:ascii="Arial" w:hAnsi="Arial" w:cs="Arial"/>
          <w:color w:val="000000" w:themeColor="text1"/>
          <w:sz w:val="22"/>
          <w:szCs w:val="22"/>
        </w:rPr>
      </w:pPr>
    </w:p>
    <w:p w14:paraId="26E90E27" w14:textId="313BB285" w:rsidR="009D43C9" w:rsidRPr="00B6585E" w:rsidRDefault="00CC1777" w:rsidP="00CC1777">
      <w:pPr>
        <w:pStyle w:val="Heading3"/>
        <w:numPr>
          <w:ilvl w:val="0"/>
          <w:numId w:val="0"/>
        </w:numPr>
      </w:pPr>
      <w:bookmarkStart w:id="337" w:name="_Toc23231377"/>
      <w:bookmarkStart w:id="338" w:name="_Toc96925037"/>
      <w:r w:rsidRPr="00B6585E">
        <w:t xml:space="preserve">15.3.2 </w:t>
      </w:r>
      <w:r w:rsidR="009D43C9" w:rsidRPr="00B6585E">
        <w:t xml:space="preserve">Primary </w:t>
      </w:r>
      <w:bookmarkEnd w:id="337"/>
      <w:r w:rsidR="00541B03" w:rsidRPr="00B6585E">
        <w:t>Aim</w:t>
      </w:r>
      <w:bookmarkEnd w:id="338"/>
    </w:p>
    <w:p w14:paraId="659A368D" w14:textId="341853DA" w:rsidR="00B85C77" w:rsidRPr="00B6585E" w:rsidRDefault="009D43C9" w:rsidP="009D43C9">
      <w:pPr>
        <w:tabs>
          <w:tab w:val="left" w:pos="952"/>
        </w:tabs>
        <w:jc w:val="both"/>
        <w:rPr>
          <w:rFonts w:ascii="Arial" w:hAnsi="Arial" w:cs="Arial"/>
          <w:color w:val="000000" w:themeColor="text1"/>
          <w:sz w:val="22"/>
          <w:szCs w:val="22"/>
        </w:rPr>
      </w:pPr>
      <w:r w:rsidRPr="00B6585E">
        <w:rPr>
          <w:rFonts w:ascii="Arial" w:hAnsi="Arial" w:cs="Arial"/>
          <w:color w:val="000000" w:themeColor="text1"/>
          <w:sz w:val="22"/>
          <w:szCs w:val="22"/>
        </w:rPr>
        <w:t>The preemptive administration of levosimendan decrease the postoperative number of patients suffering from AKI evaluated during the first three postoperative days. All patients will be classified according to the KDIGO criteria as follows:</w:t>
      </w:r>
    </w:p>
    <w:p w14:paraId="311D3AA4" w14:textId="56CBBDC4" w:rsidR="00B85C77" w:rsidRPr="00B6585E" w:rsidRDefault="00B85C77" w:rsidP="00445D98">
      <w:pPr>
        <w:tabs>
          <w:tab w:val="left" w:pos="952"/>
        </w:tabs>
        <w:rPr>
          <w:rFonts w:ascii="Arial" w:hAnsi="Arial" w:cs="Arial"/>
          <w:color w:val="000000" w:themeColor="text1"/>
          <w:sz w:val="22"/>
          <w:szCs w:val="22"/>
        </w:rPr>
      </w:pPr>
    </w:p>
    <w:p w14:paraId="613BE915" w14:textId="77777777" w:rsidR="001C4791" w:rsidRPr="00B6585E" w:rsidRDefault="001C4791" w:rsidP="00445D98">
      <w:pPr>
        <w:tabs>
          <w:tab w:val="left" w:pos="952"/>
        </w:tabs>
        <w:rPr>
          <w:rFonts w:ascii="Arial" w:hAnsi="Arial" w:cs="Arial"/>
          <w:color w:val="000000" w:themeColor="text1"/>
          <w:sz w:val="22"/>
          <w:szCs w:val="22"/>
        </w:rPr>
      </w:pPr>
    </w:p>
    <w:p w14:paraId="5A39A87E" w14:textId="77777777" w:rsidR="009D43C9" w:rsidRPr="00B6585E" w:rsidRDefault="009D43C9" w:rsidP="009D43C9">
      <w:pPr>
        <w:jc w:val="both"/>
        <w:rPr>
          <w:color w:val="000000" w:themeColor="text1"/>
        </w:rPr>
      </w:pPr>
      <w:r w:rsidRPr="00B6585E">
        <w:rPr>
          <w:noProof/>
          <w:color w:val="000000" w:themeColor="text1"/>
          <w:lang w:val="de-DE" w:eastAsia="de-DE"/>
        </w:rPr>
        <w:lastRenderedPageBreak/>
        <w:drawing>
          <wp:inline distT="0" distB="0" distL="0" distR="0" wp14:anchorId="7101C15D" wp14:editId="6B63F396">
            <wp:extent cx="6120130" cy="1598930"/>
            <wp:effectExtent l="0" t="0" r="1270" b="127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DIGO.tif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1598930"/>
                    </a:xfrm>
                    <a:prstGeom prst="rect">
                      <a:avLst/>
                    </a:prstGeom>
                  </pic:spPr>
                </pic:pic>
              </a:graphicData>
            </a:graphic>
          </wp:inline>
        </w:drawing>
      </w:r>
    </w:p>
    <w:p w14:paraId="7BB86CEC" w14:textId="6D37A626" w:rsidR="009D43C9" w:rsidRPr="00B6585E" w:rsidRDefault="009D43C9" w:rsidP="00445D98">
      <w:pPr>
        <w:tabs>
          <w:tab w:val="left" w:pos="952"/>
        </w:tabs>
        <w:rPr>
          <w:rFonts w:ascii="Arial" w:hAnsi="Arial" w:cs="Arial"/>
          <w:color w:val="000000" w:themeColor="text1"/>
          <w:sz w:val="22"/>
          <w:szCs w:val="22"/>
        </w:rPr>
      </w:pPr>
    </w:p>
    <w:p w14:paraId="0AEDE8EF" w14:textId="13D95A37" w:rsidR="009D43C9" w:rsidRPr="00B6585E" w:rsidRDefault="009D43C9" w:rsidP="00445D98">
      <w:pPr>
        <w:tabs>
          <w:tab w:val="left" w:pos="952"/>
        </w:tabs>
        <w:rPr>
          <w:rFonts w:ascii="Arial" w:hAnsi="Arial" w:cs="Arial"/>
          <w:color w:val="000000" w:themeColor="text1"/>
          <w:sz w:val="22"/>
          <w:szCs w:val="22"/>
        </w:rPr>
      </w:pPr>
      <w:r w:rsidRPr="00B6585E">
        <w:rPr>
          <w:rFonts w:ascii="Arial" w:hAnsi="Arial" w:cs="Arial"/>
          <w:color w:val="000000" w:themeColor="text1"/>
          <w:sz w:val="22"/>
          <w:szCs w:val="22"/>
        </w:rPr>
        <w:t xml:space="preserve">Renal measurements including serum creatinine, </w:t>
      </w:r>
      <w:r w:rsidR="00E462FB" w:rsidRPr="00B6585E">
        <w:rPr>
          <w:rFonts w:ascii="Arial" w:hAnsi="Arial" w:cs="Arial"/>
          <w:color w:val="000000" w:themeColor="text1"/>
          <w:sz w:val="22"/>
          <w:szCs w:val="22"/>
        </w:rPr>
        <w:t>estimated glomerular filtration rate (</w:t>
      </w:r>
      <w:r w:rsidRPr="00B6585E">
        <w:rPr>
          <w:rFonts w:ascii="Arial" w:hAnsi="Arial" w:cs="Arial"/>
          <w:color w:val="000000" w:themeColor="text1"/>
          <w:sz w:val="22"/>
          <w:szCs w:val="22"/>
        </w:rPr>
        <w:t>eGFR</w:t>
      </w:r>
      <w:r w:rsidR="00E462FB" w:rsidRPr="00B6585E">
        <w:rPr>
          <w:rFonts w:ascii="Arial" w:hAnsi="Arial" w:cs="Arial"/>
          <w:color w:val="000000" w:themeColor="text1"/>
          <w:sz w:val="22"/>
          <w:szCs w:val="22"/>
        </w:rPr>
        <w:t>)</w:t>
      </w:r>
      <w:r w:rsidRPr="00B6585E">
        <w:rPr>
          <w:rFonts w:ascii="Arial" w:hAnsi="Arial" w:cs="Arial"/>
          <w:color w:val="000000" w:themeColor="text1"/>
          <w:sz w:val="22"/>
          <w:szCs w:val="22"/>
        </w:rPr>
        <w:t xml:space="preserve"> and urine output (according to the patient chart records) will performed on </w:t>
      </w:r>
      <w:r w:rsidR="006C18E5" w:rsidRPr="00B6585E">
        <w:rPr>
          <w:rFonts w:ascii="Arial" w:hAnsi="Arial" w:cs="Arial"/>
          <w:color w:val="000000" w:themeColor="text1"/>
          <w:sz w:val="22"/>
          <w:szCs w:val="22"/>
        </w:rPr>
        <w:t>the first, second and third postoperative day</w:t>
      </w:r>
      <w:r w:rsidRPr="00B6585E">
        <w:rPr>
          <w:rFonts w:ascii="Arial" w:hAnsi="Arial" w:cs="Arial"/>
          <w:color w:val="000000" w:themeColor="text1"/>
          <w:sz w:val="22"/>
          <w:szCs w:val="22"/>
        </w:rPr>
        <w:t xml:space="preserve">. </w:t>
      </w:r>
    </w:p>
    <w:p w14:paraId="36472910" w14:textId="77777777" w:rsidR="009D43C9" w:rsidRPr="00B6585E" w:rsidRDefault="009D43C9" w:rsidP="00445D98">
      <w:pPr>
        <w:tabs>
          <w:tab w:val="left" w:pos="952"/>
        </w:tabs>
        <w:rPr>
          <w:rFonts w:ascii="Arial" w:hAnsi="Arial" w:cs="Arial"/>
          <w:color w:val="000000" w:themeColor="text1"/>
          <w:sz w:val="22"/>
          <w:szCs w:val="22"/>
        </w:rPr>
      </w:pPr>
    </w:p>
    <w:p w14:paraId="7F7D81FD" w14:textId="0CF0B715" w:rsidR="009D43C9" w:rsidRPr="00B6585E" w:rsidRDefault="009D43C9" w:rsidP="00445D98">
      <w:pPr>
        <w:tabs>
          <w:tab w:val="left" w:pos="952"/>
        </w:tabs>
        <w:rPr>
          <w:rFonts w:ascii="Arial" w:hAnsi="Arial" w:cs="Arial"/>
          <w:color w:val="000000" w:themeColor="text1"/>
          <w:sz w:val="22"/>
          <w:szCs w:val="22"/>
        </w:rPr>
      </w:pPr>
    </w:p>
    <w:p w14:paraId="4DD9672B" w14:textId="6E65A4E2" w:rsidR="005E0496" w:rsidRPr="00B6585E" w:rsidRDefault="00CC1777" w:rsidP="00CC1777">
      <w:pPr>
        <w:pStyle w:val="Heading3"/>
        <w:numPr>
          <w:ilvl w:val="0"/>
          <w:numId w:val="0"/>
        </w:numPr>
      </w:pPr>
      <w:bookmarkStart w:id="339" w:name="_Toc23231378"/>
      <w:bookmarkStart w:id="340" w:name="_Toc96925038"/>
      <w:r w:rsidRPr="00B6585E">
        <w:t xml:space="preserve">15.3.3 </w:t>
      </w:r>
      <w:r w:rsidR="00A40BBE" w:rsidRPr="00B6585E">
        <w:t>Secondary</w:t>
      </w:r>
      <w:r w:rsidR="005E0496" w:rsidRPr="00B6585E">
        <w:t xml:space="preserve"> </w:t>
      </w:r>
      <w:bookmarkEnd w:id="339"/>
      <w:r w:rsidR="00541B03" w:rsidRPr="00B6585E">
        <w:t>Aim</w:t>
      </w:r>
      <w:bookmarkEnd w:id="340"/>
    </w:p>
    <w:p w14:paraId="09AC50F6" w14:textId="5E4D229A" w:rsidR="009D43C9" w:rsidRPr="00B6585E" w:rsidRDefault="009D43C9" w:rsidP="00445D98">
      <w:pPr>
        <w:tabs>
          <w:tab w:val="left" w:pos="952"/>
        </w:tabs>
        <w:rPr>
          <w:rFonts w:ascii="Arial" w:hAnsi="Arial" w:cs="Arial"/>
          <w:color w:val="000000" w:themeColor="text1"/>
          <w:sz w:val="22"/>
          <w:szCs w:val="22"/>
        </w:rPr>
      </w:pPr>
    </w:p>
    <w:p w14:paraId="50355E30" w14:textId="676E6529" w:rsidR="005E0496" w:rsidRPr="00B6585E" w:rsidRDefault="005E0496" w:rsidP="005E0496">
      <w:pPr>
        <w:tabs>
          <w:tab w:val="left" w:pos="952"/>
        </w:tabs>
        <w:jc w:val="both"/>
        <w:rPr>
          <w:rFonts w:ascii="Arial" w:hAnsi="Arial" w:cs="Arial"/>
          <w:color w:val="000000" w:themeColor="text1"/>
          <w:sz w:val="22"/>
          <w:szCs w:val="22"/>
        </w:rPr>
      </w:pPr>
      <w:r w:rsidRPr="00B6585E">
        <w:rPr>
          <w:rFonts w:ascii="Arial" w:hAnsi="Arial" w:cs="Arial"/>
          <w:color w:val="000000" w:themeColor="text1"/>
          <w:sz w:val="22"/>
          <w:szCs w:val="22"/>
        </w:rPr>
        <w:t xml:space="preserve">We will further evaluate the number of patients needing postoperative renal replacement therapy (RRT) during the first three postoperative days. Decision regarding the need of a RRT will be at the discretion of the responsible physician. </w:t>
      </w:r>
    </w:p>
    <w:p w14:paraId="112BB4D5" w14:textId="54C5082C" w:rsidR="00A5257C" w:rsidRPr="00B6585E" w:rsidRDefault="00A5257C" w:rsidP="005E0496">
      <w:pPr>
        <w:tabs>
          <w:tab w:val="left" w:pos="952"/>
        </w:tabs>
        <w:jc w:val="both"/>
        <w:rPr>
          <w:rFonts w:ascii="Arial" w:hAnsi="Arial" w:cs="Arial"/>
          <w:color w:val="000000" w:themeColor="text1"/>
          <w:sz w:val="22"/>
          <w:szCs w:val="22"/>
        </w:rPr>
      </w:pPr>
    </w:p>
    <w:p w14:paraId="70ECA045" w14:textId="1F960A96" w:rsidR="004D552B" w:rsidRPr="00B6585E" w:rsidRDefault="004D552B">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3B3EA3F3" w14:textId="77777777" w:rsidR="00A5257C" w:rsidRPr="00B6585E" w:rsidRDefault="00A5257C" w:rsidP="005E0496">
      <w:pPr>
        <w:tabs>
          <w:tab w:val="left" w:pos="952"/>
        </w:tabs>
        <w:jc w:val="both"/>
        <w:rPr>
          <w:rFonts w:ascii="Arial" w:hAnsi="Arial" w:cs="Arial"/>
          <w:color w:val="000000" w:themeColor="text1"/>
          <w:sz w:val="22"/>
          <w:szCs w:val="22"/>
        </w:rPr>
      </w:pPr>
    </w:p>
    <w:p w14:paraId="6D24684F" w14:textId="4B6FC799" w:rsidR="00D33402" w:rsidRPr="00B6585E" w:rsidRDefault="00CC1777" w:rsidP="00CC1777">
      <w:pPr>
        <w:pStyle w:val="Heading2"/>
        <w:numPr>
          <w:ilvl w:val="0"/>
          <w:numId w:val="0"/>
        </w:numPr>
        <w:ind w:left="964" w:hanging="964"/>
        <w:rPr>
          <w:color w:val="000000" w:themeColor="text1"/>
        </w:rPr>
      </w:pPr>
      <w:bookmarkStart w:id="341" w:name="_Toc96925039"/>
      <w:r w:rsidRPr="00B6585E">
        <w:rPr>
          <w:color w:val="000000" w:themeColor="text1"/>
        </w:rPr>
        <w:t xml:space="preserve">15.4 </w:t>
      </w:r>
      <w:r w:rsidR="00D33402" w:rsidRPr="00B6585E">
        <w:rPr>
          <w:color w:val="000000" w:themeColor="text1"/>
        </w:rPr>
        <w:t>Appendix IV: Sub-study III: Inflammatory Response</w:t>
      </w:r>
      <w:bookmarkEnd w:id="341"/>
    </w:p>
    <w:p w14:paraId="5476358D" w14:textId="55F13E62" w:rsidR="00D33402" w:rsidRPr="00B6585E" w:rsidRDefault="00D33402" w:rsidP="00D33402">
      <w:pPr>
        <w:rPr>
          <w:color w:val="000000" w:themeColor="text1"/>
        </w:rPr>
      </w:pPr>
    </w:p>
    <w:p w14:paraId="1988414B" w14:textId="19C4DE47" w:rsidR="00D33402" w:rsidRPr="00B6585E" w:rsidRDefault="00CC1777" w:rsidP="00CC1777">
      <w:pPr>
        <w:pStyle w:val="Heading3"/>
        <w:numPr>
          <w:ilvl w:val="0"/>
          <w:numId w:val="0"/>
        </w:numPr>
      </w:pPr>
      <w:bookmarkStart w:id="342" w:name="_Toc96925040"/>
      <w:r w:rsidRPr="00B6585E">
        <w:t xml:space="preserve">15.4.1 </w:t>
      </w:r>
      <w:r w:rsidR="00D33402" w:rsidRPr="00B6585E">
        <w:t>Background</w:t>
      </w:r>
      <w:bookmarkEnd w:id="342"/>
    </w:p>
    <w:p w14:paraId="619E36AC" w14:textId="77777777" w:rsidR="00D33402" w:rsidRPr="00B6585E" w:rsidRDefault="00D33402" w:rsidP="00D33402">
      <w:pPr>
        <w:spacing w:line="276" w:lineRule="auto"/>
        <w:jc w:val="both"/>
        <w:rPr>
          <w:color w:val="000000" w:themeColor="text1"/>
        </w:rPr>
      </w:pPr>
    </w:p>
    <w:p w14:paraId="0DA44D50" w14:textId="72FE88E0"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Myocardial ischemic injury is the most common perioperative major vascular complication in patients undergoing noncardiac surgery.</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{"citationItems":[{"id":"ITEM-1","itemData":{"DOI":"10.1016/S0140-6736(08)60601-7","ISBN":"1474-547X (Electronic)","ISSN":"01406736","PMID":"18479744","abstract":"Background: Trials of ? blockers in patients undergoing non-cardiac surgery have reported conflicting results. This randomised controlled trial, done in 190 hospitals in 23 countries, was designed to investigate the effects of perioperative ? blockers. Methods: We randomly assigned 8351 patients with, or at risk of, atherosclerotic disease who were undergoing non-cardiac surgery to receive extended-release metoprolol succinate (n=4174) or placebo (n=4177), by a computerised randomisation phone service. Study treatment was started 2-4 h before surgery and continued for 30 days. Patients, health-care providers, data collectors, and outcome adjudicators were masked to treatment allocation. The primary endpoint was a composite of cardiovascular death, non-fatal myocardial infarction, and non-fatal cardiac arrest. Analyses were by intention to treat. This trial is registered with ClinicalTrials.gov, number NCT00182039. Findings: All 8351 patients were included in analyses; 8331 (99.8%) patients completed the 30-day follow-up. Fewer patients in the metoprolol group than in the placebo group reached the primary endpoint (94 [5.8%] patients in the metoprolol group vs 290 [6.9%] in the placebo group; hazard ratio 0.84, 95% CI 0.70-0.99; p=0.0399). Fewer patients in the metoprolol group than in the placebo group had a myocardial infarction (176 [4.2%] vs 239 [5.7%] patients; 0.73, 0.60-0.89; p=0.0017). However, there were more deaths in the metoprolol group than in the placebo group (129 [3.1%] vs 97 [2.3%] patients; 1.33, 1.03-1.74; p=0.0317). More patients in the metoprolol group than in the placebo group had a stroke (41 [1.0%] vs 19 [0.5%] patients; 2.17, 1.26-3.74; p=0.0053). Interpretation: Our results highlight the risk in assuming a perioperative ?-blocker regimen has benefit without substantial harm, and the importance and need for large randomised trials in the perioperative setting. Patients are unlikely to accept the risks associated with perioperative extended-release metoprolol.","author":[{"dropping-particle":"","family":"Devereaux","given":"P. J.","non-dropping-particle":"","parse-names":false,"suffix":""},{"dropping-particle":"","family":"Yang","given":"Homer","non-dropping-particle":"","parse-names":false,"suffix":""},{"dropping-particle":"","family":"Yusuf","given":"Salim","non-dropping-particle":"","parse-names":false,"suffix":""},{"dropping-particle":"","family":"Guyatt","given":"Gordon","non-dropping-particle":"","parse-names":false,"suffix":""},{"dropping-particle":"","family":"Leslie","given":"Kate","non-dropping-particle":"","parse-names":false,"suffix":""},{"dropping-particle":"","family":"Villar","given":"Juan Carlos","non-dropping-particle":"","parse-names":false,"suffix":""},{"dropping-particle":"","family":"Xavier","given":"Denis","non-dropping-particle":"","parse-names":false,"suffix":""},{"dropping-particle":"","family":"Chrolavicius","given":"Susan","non-dropping-particle":"","parse-names":false,"suffix":""},{"dropping-particle":"","family":"Greenspan","given":"Launi","non-dropping-particle":"","parse-names":false,"suffix":""},{"dropping-particle":"","family":"Pogue","given":"Janice","non-dropping-particle":"","parse-names":false,"suffix":""},{"dropping-particle":"","family":"Pais","given":"Prem","non-dropping-particle":"","parse-names":false,"suffix":""},{"dropping-particle":"","family":"Liu","given":"Lisheng","non-dropping-particle":"","parse-names":false,"suffix":""},{"dropping-particle":"","family":"Xu","given":"Shouchun","non-dropping-particle":"","parse-names":false,"suffix":""},{"dropping-particle":"","family":"M?laga","given":"German","non-dropping-particle":"","parse-names":false,"suffix":""},{"dropping-particle":"","family":"Avezum","given":"Alvaro","non-dropping-particle":"","parse-names":false,"suffix":""},{"dropping-particle":"","family":"Chan","given":"Matthew","non-dropping-particle":"","parse-names":false,"suffix":""},{"dropping-particle":"","family":"Montori","given":"Victor M.","non-dropping-particle":"","parse-names":false,"suffix":""},{"dropping-particle":"","family":"Jacka","given":"Mike","non-dropping-particle":"","parse-names":false,"suffix":""},{"dropping-particle":"","family":"Choi","given":"Peter","non-dropping-particle":"","parse-names":false,"suffix":""},{"dropping-particle":"","family":"Ciapponi","given":"A.","non-dropping-particle":"","parse-names":false,"suffix":""},{"dropping-particle":"","family":"Garcia Dieguez","given":"M.","non-dropping-particle":"","parse-names":false,"suffix":""},{"dropping-particle":"","family":"Leslie","given":"K.","non-dropping-particle":"","parse-names":false,"suffix":""},{"dropping-particle":"","family":"Avezum","given":"A.","non-dropping-particle":"","parse-names":false,"suffix":""},{"dropping-particle":"","family":"Berwanger","given":"O.","non-dropping-particle":"","parse-names":false,"suffix":""},{"dropping-particle":"","family":"Hudson","given":"R. J.","non-dropping-particle":"","parse-names":false,"suffix":""},{"dropping-particle":"","family":"Jacka","given":"M.","non-dropping-particle":"","parse-names":false,"suffix":""},{"dropping-particle":"","family":"Schricker","given":"T.","non-dropping-particle":"","parse-names":false,"suffix":""},{"dropping-particle":"","family":"Warriner","given":"B.","non-dropping-particle":"","parse-names":false,"suffix":""},{"dropping-particle":"","family":"Liu","given":"L.","non-dropping-particle":"","parse-names":false,"suffix":""},{"dropping-particle":"","family":"Xu","given":"S.","non-dropping-particle":"","parse-names":false,"suffix":""},{"dropping-particle":"","family":"Villar","given":"J. C.","non-dropping-particle":"","parse-names":false,"suffix":""},{"dropping-particle":"","family":"Tristan","given":"M.","non-dropping-particle":"","parse-names":false,"suffix":""},{"dropping-particle":"","family":"Baidel","given":"Y.","non-dropping-particle":"","parse-names":false,"suffix":""},{"dropping-particle":"","family":"Salazar","given":"A.","non-dropping-particle":"","parse-names":false,"suffix":""},{"dropping-particle":"","family":"Espinel","given":"M.","non-dropping-particle":"","parse-names":false,"suffix":""},{"dropping-particle":"","family":"Carlos Zevallos","given":"J.","non-dropping-particle":"","parse-names":false,"suffix":""},{"dropping-particle":"","family":"Leino","given":"K.","non-dropping-particle":"","parse-names":false,"suffix":""},{"dropping-particle":"","family":"Keltai","given":"M.","non-dropping-particle":"","parse-names":false,"suffix":""},{"dropping-particle":"","family":"Faller","given":"J.","non-dropping-particle":"","parse-names":false,"suffix":""},{"dropping-particle":"","family":"Pais","given":"P.","non-dropping-particle":"","parse-names":false,"suffix":""},{"dropping-particle":"","family":"Xavier","given":"D.","non-dropping-particle":"","parse-names":false,"suffix":""},{"dropping-particle":"","family":"Islas Andrade","given":"S.","non-dropping-particle":"","parse-names":false,"suffix":""},{"dropping-particle":"","family":"Raeder","given":"J.","non-dropping-particle":"","parse-names":false,"suffix":""},{"dropping-particle":"","family":"M?laga","given":"G.","non-dropping-particle":"","parse-names":false,"suffix":""},{"dropping-particle":"","family":"Alonso-Coello","given":"P.","non-dropping-particle":"","parse-names":false,"suffix":""},{"dropping-particle":"","family":"Urrutia","given":"G.","non-dropping-particle":"","parse-names":false,"suffix":""},{"dropping-particle":"","family":"Gannedahl","given":"P.","non-dropping-particle":"","parse-names":false,"suffix":""},{"dropping-particle":"","family":"Phrommintikul","given":"A.","non-dropping-particle":"","parse-names":false,"suffix":""},{"dropping-particle":"","family":"Fo?x","given":"P.","non-dropping-particle":"","parse-names":false,"suffix":""},{"dropping-particle":"","family":"Giles","given":"J.","non-dropping-particle":"","parse-names":false,"suffix":""},{"dropping-particle":"","family":"Sear","given":"J.","non-dropping-particle":"","parse-names":false,"suffix":""},{"dropping-particle":"","family":"Goldman","given":"L.","non-dropping-particle":"","parse-names":false,"suffix":""},{"dropping-particle":"","family":"Caccavo","given":"R. A.","non-dropping-particle":"","parse-names":false,"suffix":""},{"dropping-particle":"","family":"Ferrari","given":"A.","non-dropping-particle":"","parse-names":false,"suffix":""},{"dropping-particle":"","family":"Nicolosi","given":"L. N.","non-dropping-particle":"","parse-names":false,"suffix":""},{"dropping-particle":"","family":"Sierra","given":"F.","non-dropping-particle":"","parse-names":false,"suffix":""},{"dropping-particle":"","family":"Tesolin","given":"P.","non-dropping-particle":"","parse-names":false,"suffix":""},{"dropping-particle":"","family":"Barratt","given":"S.","non-dropping-particle":"","parse-names":false,"suffix":""},{"dropping-particle":"","family":"Beilby","given":"D.","non-dropping-particle":"","parse-names":false,"suffix":""},{"dropping-particle":"","family":"Bolsin","given":"S.","non-dropping-particle":"","parse-names":false,"suffix":""},{"dropping-particle":"","family":"Boyd","given":"D.","non-dropping-particle":"","parse-names":false,"suffix":""},{"dropping-particle":"","family":"Bugler","given":"S.","non-dropping-particle":"","parse-names":false,"suffix":""},{"dropping-particle":"","family":"Cope","given":"L.","non-dropping-particle":"","parse-names":false,"suffix":""},{"dropping-particle":"","family":"Douglas","given":"J.","non-dropping-particle":"","parse-names":false,"suffix":""},{"dropping-particle":"","family":"Fatovich","given":"S.","non-dropping-particle":"","parse-names":false,"suffix":""},{"dropping-particle":"","family":"Grant","given":"J.","non-dropping-particle":"","parse-names":false,"suffix":""},{"dropping-particle":"","family":"Halliwell","given":"R.","non-dropping-particle":"","parse-names":false,"suffix":""},{"dropping-particle":"","family":"Kerridge","given":"R. K.","non-dropping-particle":"","parse-names":false,"suffix":""},{"dropping-particle":"","family":"Leslie","given":"K.","non-dropping-particle":"","parse-names":false,"suffix":""},{"dropping-particle":"","family":"Love","given":"J.","non-dropping-particle":"","parse-names":false,"suffix":""},{"dropping-particle":"","family":"March","given":"S.","non-dropping-particle":"","parse-names":false,"suffix":""},{"dropping-particle":"","family":"McCulloch","given":"T. J.","non-dropping-particle":"","parse-names":false,"suffix":""},{"dropping-particle":"","family":"Myles","given":"P. S.","non-dropping-particle":"","parse-names":false,"suffix":""},{"dropping-particle":"","family":"Paech","given":"M.","non-dropping-particle":"","parse-names":false,"suffix":""},{"dropping-particle":"","family":"Peyton","given":"P.","non-dropping-particle":"","parse-names":false,"suffix":""},{"dropping-particle":"","family":"Poole","given":"C.","non-dropping-particle":"","parse-names":false,"suffix":""},{"dropping-particle":"","family":"Poustie","given":"S.","non-dropping-particle":"","parse-names":false,"suffix":""},{"dropping-particle":"","family":"Priestly","given":"M.","non-dropping-particle":"","parse-names":false,"suffix":""},{"dropping-particle":"","family":"Reeves","given":"M.","non-dropping-particle":"","parse-names":false,"suffix":""},{"dropping-particle":"","family":"Wallace","given":"S.","non-dropping-particle":"","parse-names":false,"suffix":""},{"dropping-particle":"","family":"Weitkamp","given":"B.","non-dropping-particle":"","parse-names":false,"suffix":""},{"dropping-particle":"","family":"Wolfers","given":"D.","non-dropping-particle":"","parse-names":false,"suffix":""},{"dropping-particle":"","family":"Baptista","given":"M.","non-dropping-particle":"","parse-names":false,"suffix":""},{"dropping-particle":"","family":"Amara Baruzzi","given":"A. C.","non-dropping-particle":"Do","parse-names":false,"suffix":""},{"dropping-particle":"","family":"Blacher","given":"C.","non-dropping-particle":"","parse-names":false,"suffix":""},{"dropping-particle":"","family":"Bodanese","given":"L. C.","non-dropping-particle":"","parse-names":false,"suffix":""},{"dropping-particle":"","family":"Campos De Albuquerque","given":"D.","non-dropping-particle":"","parse-names":false,"suffix":""},{"dropping-particle":"","family":"Esteves","given":"J. P.","non-dropping-particle":"","parse-names":false,"suffix":""},{"dropping-particle":"","family":"Fran?a Neto","given":"O. R.","non-dropping-particle":"","parse-names":false,"suffix":""},{"dropping-particle":"","family":"Guiselli Gallina","given":"L. E.","non-dropping-particle":"","parse-names":false,"suffix":""},{"dropping-particle":"","family":"Izukawa","given":"N. M.","non-dropping-particle":"","parse-names":false,"suffix":""},{"dropping-particle":"","family":"Kallas","given":"F. C.","non-dropping-particle":"","parse-names":false,"suffix":""},{"dropping-particle":"","family":"Kerr Saraiva","given":"J. F.","non-dropping-particle":"","parse-names":false,"suffix":""},{"dropping-particle":"","family":"Marin-Neto","given":"J. A.","non-dropping-particle":"","parse-names":false,"suffix":""},{"dropping-particle":"","family":"Nigro Maia","given":"L.","non-dropping-particle":"","parse-names":false,"suffix":""},{"dropping-particle":"","family":"Penha Rosateli","given":"P. H.","non-dropping-particle":"","parse-names":false,"suffix":""},{"dropping-particle":"","family":"Rabello","given":"R.","non-dropping-particle":"","parse-names":false,"suffix":""},{"dropping-particle":"","family":"Schammass Ducatti","given":"T.","non-dropping-particle":"","parse-names":false,"suffix":""},{"dropping-particle":"","family":"Aggarwala","given":"R.","non-dropping-particle":"","parse-names":false,"suffix":""},{"dropping-particle":"","family":"Argibay-Poliquin","given":"E.","non-dropping-particle":"","parse-names":false,"suffix":""},{"dropping-particle":"","family":"Badner","given":"N.","non-dropping-particle":"","parse-names":false,"suffix":""},{"dropping-particle":"","family":"Baer","given":"C.","non-dropping-particle":"","parse-names":false,"suffix":""},{"dropping-particle":"","family":"Beattie","given":"W. S.","non-dropping-particle":"","parse-names":false,"suffix":""},{"dropping-particle":"","family":"Bednarowski","given":"M.","non-dropping-particle":"","parse-names":false,"suffix":""},{"dropping-particle":"","family":"Bertozzi","given":"H. A.","non-dropping-particle":"","parse-names":false,"suffix":""},{"dropping-particle":"","family":"Boisvenu","given":"G.","non-dropping-particle":"","parse-names":false,"suffix":""},{"dropping-particle":"","family":"Boulton","given":"A.","non-dropping-particle":"","parse-names":false,"suffix":""},{"dropping-particle":"","family":"Brunet","given":"D.","non-dropping-particle":"","parse-names":false,"suffix":""},{"dropping-particle":"","family":"Bryson","given":"G. L.","non-dropping-particle":"","parse-names":false,"suffix":""},{"dropping-particle":"","family":"Burlingham","given":"J.","non-dropping-particle":"","parse-names":false,"suffix":""},{"dropping-particle":"","family":"Campeau","given":"J.","non-dropping-particle":"","parse-names":false,"suffix":""},{"dropping-particle":"","family":"Chauret","given":"D.","non-dropping-particle":"","parse-names":false,"suffix":""},{"dropping-particle":"","family":"Choi","given":"P.","non-dropping-particle":"","parse-names":false,"suffix":""},{"dropping-particle":"","family":"Cook","given":"D.","non-dropping-particle":"","parse-names":false,"suffix":""},{"dropping-particle":"","family":"Cook","given":"D. R.","non-dropping-particle":"","parse-names":false,"suffix":""},{"dropping-particle":"","family":"Cossette","given":"P.","non-dropping-particle":"","parse-names":false,"suffix":""},{"dropping-particle":"","family":"Crossan","given":"M.","non-dropping-particle":"","parse-names":false,"suffix":""},{"dropping-particle":"","family":"Davies","given":"B.","non-dropping-particle":"","parse-names":false,"suffix":""},{"dropping-particle":"","family":"Devereaux","given":"P. J.","non-dropping-particle":"","parse-names":false,"suffix":""},{"dropping-particle":"","family":"DeWolfe","given":"J.","non-dropping-particle":"","parse-names":false,"suffix":""},{"dropping-particle":"","family":"Doig","given":"G.","non-dropping-particle":"","parse-names":false,"suffix":""},{"dropping-particle":"","family":"Duffy","given":"P.","non-dropping-particle":"","parse-names":false,"suffix":""},{"dropping-particle":"","family":"Eng","given":"M. S.","non-dropping-particle":"","parse-names":false,"suffix":""},{"dropping-particle":"","family":"Finlay","given":"S.","non-dropping-particle":"","parse-names":false,"suffix":""},{"dropping-particle":"","family":"Finlayson","given":"A.","non-dropping-particle":"","parse-names":false,"suffix":""},{"dropping-particle":"","family":"Gallacher","given":"J.","non-dropping-particle":"","parse-names":false,"suffix":""},{"dropping-particle":"","family":"Ghali","given":"W.","non-dropping-particle":"","parse-names":false,"suffix":""},{"dropping-particle":"","family":"Gilbert","given":"K.","non-dropping-particle":"","parse-names":false,"suffix":""},{"dropping-particle":"","family":"Hughes","given":"D.","non-dropping-particle":"","parse-names":false,"suffix":""},{"dropping-particle":"","family":"Hunter","given":"L.","non-dropping-particle":"","parse-names":false,"suffix":""},{"dropping-particle":"","family":"Jacka","given":"M. J.","non-dropping-particle":"","parse-names":false,"suffix":""},{"dropping-particle":"","family":"Kamra","given":"C.","non-dropping-particle":"","parse-names":false,"suffix":""},{"dropping-particle":"","family":"Khurana","given":"M.","non-dropping-particle":"","parse-names":false,"suffix":""},{"dropping-particle":"","family":"Kinsella","given":"C.","non-dropping-particle":"","parse-names":false,"suffix":""},{"dropping-particle":"","family":"Lanthier","given":"L.","non-dropping-particle":"","parse-names":false,"suffix":""},{"dropping-particle":"","family":"Lee","given":"T. W.R.","non-dropping-particle":"","parse-names":false,"suffix":""},{"dropping-particle":"","family":"Lovell","given":"M.","non-dropping-particle":"","parse-names":false,"suffix":""},{"dropping-particle":"","family":"MacDonald","given":"C.","non-dropping-particle":"","parse-names":false,"suffix":""},{"dropping-particle":"","family":"MacDonald","given":"P.","non-dropping-particle":"","parse-names":false,"suffix":""},{"dropping-particle":"","family":"Marquis","given":"M.","non-dropping-particle":"","parse-names":false,"suffix":""},{"dropping-particle":"","family":"Marti","given":"J.","non-dropping-particle":"","parse-names":false,"suffix":""},{"dropping-particle":"","family":"Martinek","given":"R.","non-dropping-particle":"","parse-names":false,"suffix":""},{"dropping-particle":"","family":"Merchant","given":"R. N.","non-dropping-particle":"","parse-names":false,"suffix":""},{"dropping-particle":"","family":"Misterski","given":"J.","non-dropping-particle":"","parse-names":false,"suffix":""},{"dropping-particle":"","family":"Mizera","given":"R.","non-dropping-particle":"","parse-names":false,"suffix":""},{"dropping-particle":"","family":"Moor","given":"R.","non-dropping-particle":"","parse-names":false,"suffix":""},{"dropping-particle":"","family":"Morin","given":"J.","non-dropping-particle":"","parse-names":false,"suffix":""},{"dropping-particle":"","family":"O'Reilly","given":"M.","non-dropping-particle":"","parse-names":false,"suffix":""},{"dropping-particle":"","family":"Ostrander","given":"J.","non-dropping-particle":"","parse-names":false,"suffix":""},{"dropping-particle":"","family":"Parlow","given":"J. L.","non-dropping-particle":"","parse-names":false,"suffix":""},{"dropping-particle":"","family":"Paul","given":"J.","non-dropping-particle":"","parse-names":false,"suffix":""},{"dropping-particle":"","family":"Pettit","given":"S.","non-dropping-particle":"","parse-names":false,"suffix":""},{"dropping-particle":"","family":"Pilon","given":"D.","non-dropping-particle":"","parse-names":false,"suffix":""},{"dropping-particle":"","family":"Pruneau","given":"G.","non-dropping-particle":"","parse-names":false,"suffix":""},{"dropping-particle":"","family":"Rammohan","given":"S.","non-dropping-particle":"","parse-names":false,"suffix":""},{"dropping-particle":"","family":"Schricker","given":"T.","non-dropping-particle":"","parse-names":false,"suffix":""},{"dropping-particle":"","family":"Sivakumaran","given":"S.","non-dropping-particle":"","parse-names":false,"suffix":""},{"dropping-particle":"","family":"Sonnema","given":"L.","non-dropping-particle":"","parse-names":false,"suffix":""},{"dropping-particle":"","family":"Stoger","given":"S.","non-dropping-particle":"","parse-names":false,"suffix":""},{"dropping-particle":"","family":"Thompson","given":"C.","non-dropping-particle":"","parse-names":false,"suffix":""},{"dropping-particle":"","family":"Tod","given":"D.","non-dropping-particle":"","parse-names":false,"suffix":""},{"dropping-particle":"","family":"Toner","given":"S.","non-dropping-particle":"","parse-names":false,"suffix":""},{"dropping-particle":"","family":"Turabian","given":"M.","non-dropping-particle":"","parse-names":false,"suffix":""},{"dropping-particle":"","family":"Twist","given":"D.","non-dropping-particle":"","parse-names":false,"suffix":""},{"dropping-particle":"","family":"Urbanowicz","given":"C.","non-dropping-particle":"","parse-names":false,"suffix":""},{"dropping-particle":"","family":"Vlymen","given":"J. M.","non-dropping-particle":"Van","parse-names":false,"suffix":""},{"dropping-particle":"","family":"Warriner","given":"B.","non-dropping-particle":"","parse-names":false,"suffix":""},{"dropping-particle":"","family":"Wijeysundera","given":"D. N.","non-dropping-particle":"","parse-names":false,"suffix":""},{"dropping-particle":"","family":"Wong","given":"D. T.","non-dropping-particle":"","parse-names":false,"suffix":""},{"dropping-particle":"","family":"Yang","given":"H.","non-dropping-particle":"","parse-names":false,"suffix":""},{"dropping-particle":"","family":"Zarnke","given":"K.","non-dropping-particle":"","parse-names":false,"suffix":""},{"dropping-particle":"","family":"Chang","given":"J.","non-dropping-particle":"","parse-names":false,"suffix":""},{"dropping-particle":"","family":"Chen","given":"K. K.","non-dropping-particle":"","parse-names":false,"suffix":""},{"dropping-particle":"","family":"Chen","given":"W.","non-dropping-particle":"","parse-names":false,"suffix":""},{"dropping-particle":"","family":"Chen","given":"W. Z.","non-dropping-particle":"","parse-names":false,"suffix":""},{"dropping-particle":"","family":"Cui","given":"J. Y.","non-dropping-particle":"","parse-names":false,"suffix":""},{"dropping-particle":"","family":"Deng","given":"L. L.","non-dropping-particle":"","parse-names":false,"suffix":""},{"dropping-particle":"","family":"Ge","given":"X. L.","non-dropping-particle":"","parse-names":false,"suffix":""},{"dropping-particle":"","family":"Hu","given":"W. J.","non-dropping-particle":"","parse-names":false,"suffix":""},{"dropping-particle":"","family":"Li","given":"H. Y.","non-dropping-particle":"","parse-names":false,"suffix":""},{"dropping-particle":"","family":"Li","given":"X. S.","non-dropping-particle":"","parse-names":false,"suffix":""},{"dropping-particle":"","family":"Li","given":"Z.","non-dropping-particle":"","parse-names":false,"suffix":""},{"dropping-particle":"","family":"Liu","given":"H. L.","non-dropping-particle":"","parse-names":false,"suffix":""},{"dropping-particle":"","family":"Liu","given":"L. H.","non-dropping-particle":"","parse-names":false,"suffix":""},{"dropping-particle":"","family":"Liu","given":"X.","non-dropping-particle":"","parse-names":false,"suffix":""},{"dropping-particle":"","family":"Liu","given":"X. Y.","non-dropping-particle":"","parse-names":false,"suffix":""},{"dropping-particle":"","family":"Liu","given":"Y. D.","non-dropping-particle":"","parse-names":false,"suffix":""},{"dropping-particle":"","family":"Lv","given":"B. N.","non-dropping-particle":"","parse-names":false,"suffix":""},{"dropping-particle":"","family":"Ren","given":"F. X.","non-dropping-particle":"","parse-names":false,"suffix":""},{"dropping-particle":"","family":"Suo","given":"X. X.","non-dropping-particle":"","parse-names":false,"suffix":""},{"dropping-particle":"","family":"Tang","given":"L.","non-dropping-particle":"","parse-names":false,"suffix":""},{"dropping-particle":"","family":"Wang","given":"H.","non-dropping-particle":"","parse-names":false,"suffix":""},{"dropping-particle":"","family":"Wang","given":"Q. Y.","non-dropping-particle":"","parse-names":false,"suffix":""},{"dropping-particle":"","family":"Wei","given":"G. W.G.","non-dropping-particle":"","parse-names":false,"suffix":""},{"dropping-particle":"","family":"Wu","given":"S. B.","non-dropping-particle":"","parse-names":false,"suffix":""},{"dropping-particle":"","family":"Wu","given":"X. M.","non-dropping-particle":"","parse-names":false,"suffix":""},{"dropping-particle":"","family":"Wu","given":"Z. D.","non-dropping-particle":"","parse-names":false,"suffix":""},{"dropping-particle":"","family":"Xiao","given":"R.","non-dropping-particle":"","parse-names":false,"suffix":""},{"dropping-particle":"","family":"Xu","given":"Y. F.","non-dropping-particle":"","parse-names":false,"suffix":""},{"dropping-particle":"","family":"Xu","given":"X.","non-dropping-particle":"","parse-names":false,"suffix":""},{"dropping-particle":"","family":"Zan","given":"Z. X.","non-dropping-particle":"","parse-names":false,"suffix":""},{"dropping-particle":"","family":"Zhang","given":"L.","non-dropping-particle":"","parse-names":false,"suffix":""},{"dropping-particle":"","family":"Zhang","given":"W. H.","non-dropping-particle":"","parse-names":false,"suffix":""},{"dropping-particle":"","family":"Zhao","given":"S. H.","non-dropping-particle":"","parse-names":false,"suffix":""},{"dropping-particle":"","family":"Zhao","given":"W. D.","non-dropping-particle":"","parse-names":false,"suffix":""},{"dropping-particle":"","family":"Zou","given":"Y. C.","non-dropping-particle":"","parse-names":false,"suffix":""},{"dropping-particle":"","family":"Zuo","given":"M. Z.","non-dropping-particle":"","parse-names":false,"suffix":""},{"dropping-particle":"","family":"Agonh","given":"R.","non-dropping-particle":"","parse-names":false,"suffix":""},{"dropping-particle":"","family":"Alvarez","given":"S.","non-dropping-particle":"","parse-names":false,"suffix":""},{"dropping-particle":"","family":"Arrieta","given":"M.","non-dropping-particle":"","parse-names":false,"suffix":""},{"dropping-particle":"","family":"Barrera","given":"J. G.","non-dropping-particle":"","parse-names":false,"suffix":""},{"dropping-particle":"","family":"C?ceres","given":"L. E.","non-dropping-particle":"","parse-names":false,"suffix":""},{"dropping-particle":"","family":"Ca??n","given":"W.","non-dropping-particle":"","parse-names":false,"suffix":""},{"dropping-particle":"","family":"Castellanos","given":"H.","non-dropping-particle":"","parse-names":false,"suffix":""},{"dropping-particle":"","family":"Chaparro","given":"M. S.","non-dropping-particle":"","parse-names":false,"suffix":""},{"dropping-particle":"","family":"Chaves","given":"A.","non-dropping-particle":"","parse-names":false,"suffix":""},{"dropping-particle":"","family":"Chona","given":"J.","non-dropping-particle":"","parse-names":false,"suffix":""},{"dropping-particle":"","family":"Duarte","given":"E.","non-dropping-particle":"","parse-names":false,"suffix":""},{"dropping-particle":"","family":"Garcia","given":"H. F.","non-dropping-particle":"","parse-names":false,"suffix":""},{"dropping-particle":"","family":"Guevara","given":"C.","non-dropping-particle":"","parse-names":false,"suffix":""},{"dropping-particle":"","family":"Ibarra","given":"P.","non-dropping-particle":"","parse-names":false,"suffix":""},{"dropping-particle":"","family":"Manrique","given":"J.","non-dropping-particle":"","parse-names":false,"suffix":""},{"dropping-particle":"","family":"Martinez","given":"L. X.","non-dropping-particle":"","parse-names":false,"suffix":""},{"dropping-particle":"","family":"Mateus","given":"L.","non-dropping-particle":"","parse-names":false,"suffix":""},{"dropping-particle":"","family":"Parra","given":"S. B.","non-dropping-particle":"","parse-names":false,"suffix":""},{"dropping-particle":"","family":"Pava","given":"L. F.","non-dropping-particle":"","parse-names":false,"suffix":""},{"dropping-particle":"","family":"Peraf?n","given":"P. E.","non-dropping-particle":"","parse-names":false,"suffix":""},{"dropping-particle":"","family":"Plata","given":"R.","non-dropping-particle":"","parse-names":false,"suffix":""},{"dropping-particle":"","family":"Rangel","given":"G. W.","non-dropping-particle":"","parse-names":false,"suffix":""},{"dropping-particle":"","family":"Rojas","given":"M.","non-dropping-particle":"","parse-names":false,"suffix":""},{"dropping-particle":"","family":"Romero","given":"M. F.","non-dropping-particle":"","parse-names":false,"suffix":""},{"dropping-particle":"","family":"Romero","given":"T.","non-dropping-particle":"","parse-names":false,"suffix":""},{"dropping-particle":"","family":"Ruiz","given":"J.","non-dropping-particle":"","parse-names":false,"suffix":""},{"dropping-particle":"","family":"Torres","given":"G. F.","non-dropping-particle":"","parse-names":false,"suffix":""},{"dropping-particle":"","family":"Mellada Herrera","given":"J. A.","non-dropping-particle":"","parse-names":false,"suffix":""},{"dropping-particle":"","family":"Palomino Cabrera","given":"E.","non-dropping-particle":"","parse-names":false,"suffix":""},{"dropping-particle":"","family":"Caballero","given":"H.","non-dropping-particle":"","parse-names":false,"suffix":""},{"dropping-particle":"","family":"Sanchez Velez","given":"M.","non-dropping-particle":"","parse-names":false,"suffix":""},{"dropping-particle":"","family":"Cruz","given":"T.","non-dropping-particle":"","parse-names":false,"suffix":""},{"dropping-particle":"","family":"Rodriguez","given":"V.","non-dropping-particle":"","parse-names":false,"suffix":""},{"dropping-particle":"","family":"Hynynen","given":"M.","non-dropping-particle":"","parse-names":false,"suffix":""},{"dropping-particle":"","family":"Leino","given":"K.","non-dropping-particle":"","parse-names":false,"suffix":""},{"dropping-particle":"","family":"Chan","given":"M. T.V.","non-dropping-particle":"","parse-names":false,"suffix":""},{"dropping-particle":"","family":"Choi","given":"G. Y.S.","non-dropping-particle":"","parse-names":false,"suffix":""},{"dropping-particle":"","family":"Gin","given":"T.","non-dropping-particle":"","parse-names":false,"suffix":""},{"dropping-particle":"","family":"Yu","given":"S. C.","non-dropping-particle":"","parse-names":false,"suffix":""},{"dropping-particle":"","family":"Darvas","given":"K.","non-dropping-particle":"","parse-names":false,"suffix":""},{"dropping-particle":"","family":"Entz","given":"L.","non-dropping-particle":"","parse-names":false,"suffix":""},{"dropping-particle":"","family":"Hajdu","given":"Z.","non-dropping-particle":"","parse-names":false,"suffix":""},{"dropping-particle":"","family":"Keleti","given":"G.","non-dropping-particle":"","parse-names":false,"suffix":""},{"dropping-particle":"","family":"Nagy","given":"A.","non-dropping-particle":"","parse-names":false,"suffix":""},{"dropping-particle":"","family":"Peter","given":"S.","non-dropping-particle":"","parse-names":false,"suffix":""},{"dropping-particle":"","family":"Regoly-Merei","given":"J.","non-dropping-particle":"","parse-names":false,"suffix":""},{"dropping-particle":"","family":"Abraham","given":"V.","non-dropping-particle":"","parse-names":false,"suffix":""},{"dropping-particle":"","family":"Afzal","given":"L.","non-dropping-particle":"","parse-names":false,"suffix":""},{"dropping-particle":"","family":"Agarwal","given":"S.","non-dropping-particle":"","parse-names":false,"suffix":""},{"dropping-particle":"","family":"Babu Panwar","given":"R.","non-dropping-particle":"","parse-names":false,"suffix":""},{"dropping-particle":"","family":"Bharani","given":"A.","non-dropping-particle":"","parse-names":false,"suffix":""},{"dropping-particle":"","family":"Chidambaram","given":"N.","non-dropping-particle":"","parse-names":false,"suffix":""},{"dropping-particle":"","family":"Desai","given":"S.","non-dropping-particle":"","parse-names":false,"suffix":""},{"dropping-particle":"","family":"Girija","given":"K. R.","non-dropping-particle":"","parse-names":false,"suffix":""},{"dropping-particle":"","family":"Gupta","given":"R.","non-dropping-particle":"","parse-names":false,"suffix":""},{"dropping-particle":"","family":"Gurusan Kaur","given":"S.","non-dropping-particle":"","parse-names":false,"suffix":""},{"dropping-particle":"","family":"Haridas","given":"K. K.","non-dropping-particle":"","parse-names":false,"suffix":""},{"dropping-particle":"","family":"Jerry","given":"N.","non-dropping-particle":"","parse-names":false,"suffix":""},{"dropping-particle":"","family":"Kerkar","given":"P.","non-dropping-particle":"","parse-names":false,"suffix":""},{"dropping-particle":"","family":"Kilpadi","given":"K.","non-dropping-particle":"","parse-names":false,"suffix":""},{"dropping-particle":"","family":"Mohanan","given":"P. P.","non-dropping-particle":"","parse-names":false,"suffix":""},{"dropping-particle":"","family":"Naik","given":"S.","non-dropping-particle":"","parse-names":false,"suffix":""},{"dropping-particle":"","family":"Narayana Swamy","given":"A. G.","non-dropping-particle":"","parse-names":false,"suffix":""},{"dropping-particle":"","family":"Parakh","given":"R.","non-dropping-particle":"","parse-names":false,"suffix":""},{"dropping-particle":"","family":"Paul","given":"S. K.","non-dropping-particle":"","parse-names":false,"suffix":""},{"dropping-particle":"","family":"Pinjala","given":"R.","non-dropping-particle":"","parse-names":false,"suffix":""},{"dropping-particle":"","family":"Raja Panwar","given":"V.","non-dropping-particle":"","parse-names":false,"suffix":""},{"dropping-particle":"","family":"Rajendra Kumar","given":"P.","non-dropping-particle":"","parse-names":false,"suffix":""},{"dropping-particle":"","family":"Rama Raju","given":"V. A.","non-dropping-particle":"","parse-names":false,"suffix":""},{"dropping-particle":"","family":"Ramakrishna","given":"P.","non-dropping-particle":"","parse-names":false,"suffix":""},{"dropping-particle":"V.","family":"Ramana","given":"P.","non-dropping-particle":"","parse-names":false,"suffix":""},{"dropping-particle":"","family":"Ramanathan","given":"M.","non-dropping-particle":"","parse-names":false,"suffix":""},{"dropping-particle":"","family":"Ramani Devi","given":"T.","non-dropping-particle":"","parse-names":false,"suffix":""},{"dropping-particle":"","family":"Ramdas","given":"E. K.","non-dropping-particle":"","parse-names":false,"suffix":""},{"dropping-particle":"","family":"Saraf","given":"J. K.","non-dropping-particle":"","parse-names":false,"suffix":""},{"dropping-particle":"","family":"Sigamani","given":"A.","non-dropping-particle":"","parse-names":false,"suffix":""},{"dropping-particle":"","family":"Singh","given":"R.","non-dropping-particle":"","parse-names":false,"suffix":""},{"dropping-particle":"","family":"Srivastava","given":"O. P.","non-dropping-particle":"","parse-names":false,"suffix":""},{"dropping-particle":"","family":"Suresh","given":"K. R.","non-dropping-particle":"","parse-names":false,"suffix":""},{"dropping-particle":"","family":"Swami","given":"A.","non-dropping-particle":"","parse-names":false,"suffix":""},{"dropping-particle":"","family":"Varma","given":"S.","non-dropping-particle":"","parse-names":false,"suffix":""},{"dropping-particle":"","family":"Xavier","given":"F.","non-dropping-particle":"","parse-names":false,"suffix":""},{"dropping-particle":"","family":"Yadav","given":"A.","non-dropping-particle":"","parse-names":false,"suffix":""},{"dropping-particle":"","family":"Bahari Noor","given":"M. Y.","non-dropping-particle":"","parse-names":false,"suffix":""},{"dropping-particle":"","family":"Hassan","given":"J.","non-dropping-particle":"","parse-names":false,"suffix":""},{"dropping-particle":"","family":"Hian","given":"N. S.","non-dropping-particle":"","parse-names":false,"suffix":""},{"dropping-particle":"","family":"Pilus","given":"I.","non-dropping-particle":"","parse-names":false,"suffix":""},{"dropping-particle":"","family":"Wang","given":"C. Y.","non-dropping-particle":"","parse-names":false,"suffix":""},{"dropping-particle":"","family":"Islas-Andrade","given":"S.","non-dropping-particle":"","parse-names":false,"suffix":""},{"dropping-particle":"","family":"Mora Martinez","given":"J. M.","non-dropping-particle":"","parse-names":false,"suffix":""},{"dropping-particle":"","family":"Orta Flores","given":"R.","non-dropping-particle":"","parse-names":false,"suffix":""},{"dropping-particle":"","family":"Tamez Perez","given":"H. E.","non-dropping-particle":"","parse-names":false,"suffix":""},{"dropping-particle":"","family":"Chan","given":"B.","non-dropping-particle":"","parse-names":false,"suffix":""},{"dropping-particle":"","family":"McAllister-Sim","given":"D.","non-dropping-particle":"","parse-names":false,"suffix":""},{"dropping-particle":"","family":"Vinnell","given":"T.","non-dropping-particle":"","parse-names":false,"suffix":""},{"dropping-particle":"","family":"Walker","given":"S.","non-dropping-particle":"","parse-names":false,"suffix":""},{"dropping-particle":"","family":"Young","given":"Y.","non-dropping-particle":"","parse-names":false,"suffix":""},{"dropping-particle":"","family":"Aasb?","given":"V.","non-dropping-particle":"","parse-names":false,"suffix":""},{"dropping-particle":"","family":"Mellin-Olsen","given":"J.","non-dropping-particle":"","parse-names":false,"suffix":""},{"dropping-particle":"","family":"Raeder","given":"J.","non-dropping-particle":"","parse-names":false,"suffix":""},{"dropping-particle":"","family":"Aguirre","given":"R.","non-dropping-particle":"","parse-names":false,"suffix":""},{"dropping-particle":"","family":"Aphang-Lam","given":"M.","non-dropping-particle":"","parse-names":false,"suffix":""},{"dropping-particle":"","family":"Arrunategui","given":"B.","non-dropping-particle":"","parse-names":false,"suffix":""},{"dropping-particle":"","family":"Baca","given":"L.","non-dropping-particle":"","parse-names":false,"suffix":""},{"dropping-particle":"","family":"Botazzi Alvarez","given":"R.","non-dropping-particle":"","parse-names":false,"suffix":""},{"dropping-particle":"","family":"Calmett","given":"D.","non-dropping-particle":"","parse-names":false,"suffix":""},{"dropping-particle":"","family":"Coloma","given":"E.","non-dropping-particle":"","parse-names":false,"suffix":""},{"dropping-particle":"","family":"Malaga","given":"G.","non-dropping-particle":"","parse-names":false,"suffix":""},{"dropping-particle":"","family":"Ponce De Leon","given":"D.","non-dropping-particle":"","parse-names":false,"suffix":""},{"dropping-particle":"","family":"Rojas Pareja","given":"J. G.E.","non-dropping-particle":"","parse-names":false,"suffix":""},{"dropping-particle":"","family":"Sihuayro Ancco","given":"A. M.","non-dropping-particle":"","parse-names":false,"suffix":""},{"dropping-particle":"","family":"Soto Tarazona","given":"A.","non-dropping-particle":"","parse-names":false,"suffix":""},{"dropping-particle":"","family":"Tupayachi","given":"G.","non-dropping-particle":"","parse-names":false,"suffix":""},{"dropping-particle":"","family":"Kelly","given":"R. P.","non-dropping-particle":"","parse-names":false,"suffix":""},{"dropping-particle":"","family":"Alvarez Zurro","given":"C.","non-dropping-particle":"","parse-names":false,"suffix":""},{"dropping-particle":"","family":"Blanc Saizar","given":"G.","non-dropping-particle":"","parse-names":false,"suffix":""},{"dropping-particle":"","family":"Cruz Pardos","given":"P.","non-dropping-particle":"","parse-names":false,"suffix":""},{"dropping-particle":"","family":"Nadal Clanchet","given":"M.","non-dropping-particle":"De","parse-names":false,"suffix":""},{"dropping-particle":"","family":"Fernandez Riveira","given":"C.","non-dropping-particle":"","parse-names":false,"suffix":""},{"dropping-particle":"","family":"Martiez Borja","given":"M.","non-dropping-particle":"","parse-names":false,"suffix":""},{"dropping-particle":"","family":"Mases Fern?ndez","given":"A.","non-dropping-particle":"","parse-names":false,"suffix":""},{"dropping-particle":"","family":"Moral Garcia","given":"V.","non-dropping-particle":"","parse-names":false,"suffix":""},{"dropping-particle":"","family":"Toran Garcia","given":"L.","non-dropping-particle":"","parse-names":false,"suffix":""},{"dropping-particle":"","family":"Unceta-Barrenechea Orue","given":"B.","non-dropping-particle":"","parse-names":false,"suffix":""},{"dropping-particle":"","family":"H?rnquist","given":"R.","non-dropping-particle":"","parse-names":false,"suffix":""},{"dropping-particle":"","family":"Malmstedt","given":"J.","non-dropping-particle":"","parse-names":false,"suffix":""},{"dropping-particle":"","family":"Rosell","given":"J.","non-dropping-particle":"","parse-names":false,"suffix":""},{"dropping-particle":"","family":"Viml?ti","given":"L.","non-dropping-particle":"","parse-names":false,"suffix":""},{"dropping-particle":"","family":"Kuanprasert","given":"S.","non-dropping-particle":"","parse-names":false,"suffix":""},{"dropping-particle":"","family":"Rerkkasem","given":"K.","non-dropping-particle":"","parse-names":false,"suffix":""},{"dropping-particle":"","family":"Fo?x","given":"P.","non-dropping-particle":"","parse-names":false,"suffix":""},{"dropping-particle":"","family":"Giles","given":"J.","non-dropping-particle":"","parse-names":false,"suffix":""},{"dropping-particle":"","family":"Howard-Alpe","given":"G.","non-dropping-particle":"","parse-names":false,"suffix":""},{"dropping-particle":"","family":"Sear","given":"J.","non-dropping-particle":"","parse-names":false,"suffix":""}],"container-title":"The Lancet","id":"ITEM-1","issue":"9627","issued":{"date-parts":[["2008"]]},"page":"1839-1847","title":"Effects of extended-release metoprolol succinate in patients undergoing non-cardiac surgery (POISE trial): A randomised controlled trial","type":"article-journal","volume":"371"},"uris":["http://www.mendeley.com/documents/?uuid=8d1b76f6-496b-4fc3-a35c-1d5a8ad4f94a"]},{"id":"ITEM-2","itemData":{"DOI":"10.1016/j.jvs.2005.11.013","ISSN":"07415214","abstract":"Objective: The purpose of this study was to assess prospectively the incidence, health care resource utilization, and economic burden associated with perioperative myocardial ischemic injury (PMII) in high-risk patients undergoing noncardiac vascular surgery. Methods: Two hundred thirty-six patients consented to participate in a pharmacoeconomic substudy as part of a randomized, multicenter clinical trial. Patients were assessed for myocardial ischemic injury by using clinical, biochemical, and electrocardiographic criteria. PMII was defined as fatal or nonfatal myocardial infarction, new or worsened congestive heart failure, or new arrhythmias. Resource utilization parameters were compared for patients with and without PMII. Patients underwent the following index procedures: open abdominal aortic aneurysm repair (n = 44), bypass for aortoiliac disease (n = 29), bypass for femoropopliteal disease (n = 62), bypass for femorotibial disease (n = 71), extra-anatomic bypass (n = 23), and miscellaneous (n = 7). Patients undergoing carotid endarterectomy or only endovascular interventions were excluded. The incremental cost of PMII was estimated by applying the average costs (adjusted to 2004 US dollars) of the hospital ward ($700.00/d) or intensive care unit ($2500.00/d) to the length of stay differences for patients with and without PMII. Results: The overall mortality was 3.4% (8/236), and 7 of 8 deaths were related to PMII. PMII occurred in 42 (17.8%) of 236 patients: 22 myocardial infarctions, 11 congestive heart failures, and 12 new arrhythmias (3 patients had 2 PMII events). There was no evidence of differences in the incidence of PMII among the various index procedures. PMII was associated with a dramatic increase in resource utilization. The mean length of stay was 16.8 and 10.0 days for patients with and without PMII, respectively (P &lt; .001). Intensive care unit care was required by 35 (83.3%) of 42 patients with and 121 (62.4%) of 194 patients without PMII (P &lt; .009). The mean intensive care unit length of stay was 6.6 and 3.7 days for patients with and without PMII, respectively (P &lt; .009). Ten (23.8%) of 42 patients with and 20 (10.3%) of 194 patients without PMII returned to the emergency department for care after discharge (P &lt; .02). Conclusions: In modern vascular surgery practice, PMII remains common despite the availability of β-blockers and other preventative strategies. PMII is associated with dramatic increases in resource utilization and …","author":[{"dropping-particle":"","family":"Mackey","given":"William C.","non-dropping-particle":"","parse-names":false,"suffix":""},{"dropping-particle":"","family":"Fleisher","given":"Lee A.","non-dropping-particle":"","parse-names":false,"suffix":""},{"dropping-particle":"","family":"Haider","given":"Seema","non-dropping-particle":"","parse-names":false,"suffix":""},{"dropping-particle":"","family":"Sheikh","given":"Saraih","non-dropping-particle":"","parse-names":false,"suffix":""},{"dropping-particle":"","family":"Cappelleri","given":"Joseph C.","non-dropping-particle":"","parse-names":false,"suffix":""},{"dropping-particle":"","family":"Lee","given":"Won Chan","non-dropping-particle":"","parse-names":false,"suffix":""},{"dropping-particle":"","family":"Wang","given":"Qin","non-dropping-particle":"","parse-names":false,"suffix":""},{"dropping-particle":"","family":"Stephens","given":"Jennifer M.","non-dropping-particle":"","parse-names":false,"suffix":""}],"container-title":"Journal of Vascular Surgery","id":"ITEM-2","issue":"3","issued":{"date-parts":[["2006"]]},"page":"533-538","title":"Perioperative myocardial ischemic injury in high-risk vascular surgery patients: Incidence and clinical significance in a prospective clinical trial","type":"article-journal","volume":"43"},"uris":["http://www.mendeley.com/documents/?uuid=9959bc3a-cd70-4056-b3ef-e77bd9cdb3c7"]}],"mendeley":{"formattedCitation":"&lt;sup&gt;43 44&lt;/sup&gt;","plainTextFormattedCitation":"43 44","previouslyFormattedCitation":"&lt;sup&gt;42 43&lt;/sup&gt;"},"properties":{"noteIndex":0},"schema":"https://github.com/citation-style-language/schema/raw/master/csl-citation.json"}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43 44</w:t>
      </w:r>
      <w:r w:rsidR="00770C43" w:rsidRPr="00B6585E">
        <w:rPr>
          <w:rFonts w:ascii="Arial" w:hAnsi="Arial" w:cs="Arial"/>
          <w:color w:val="000000" w:themeColor="text1"/>
          <w:sz w:val="22"/>
          <w:szCs w:val="22"/>
        </w:rPr>
        <w:fldChar w:fldCharType="end"/>
      </w:r>
      <w:r w:rsidR="007766AA"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There is a significant increase of inflammatory parameters after surgery as compared to preoperative baseline values.</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{"citationItems":[{"id":"ITEM-1","itemData":{"DOI":"10.1213/ANE.0000000000000263","ISBN":"0000000000000","ISSN":"15267598","abstract":"BACKGROUND:: Diagnosis of sepsis in the postoperative period is a challenge. Measurements of inflammatory markers, such as C-reactive protein (CRP), have been proposed in medical patients, but the interpretation of these values in surgical patients is more difficult. We evaluated the changes in blood CRP levels and white blood cell count in postoperative patients with and without infection. METHODS:: All patients admitted to our 34-bed Department of Intensive Care after major (elective or emergency) cardiac, neuro-, vascular, thoracic, or abdominal surgery during a 4-month period were prospectively included. Patients were screened daily and characterized as infected or noninfected. CRP levels and white blood cell counts were recorded daily in all patients for up to 7 days after the surgical intervention. RESULTS:: Of the 151 patients enrolled, 115 underwent elective surgery and 36 emergency surgery; cardiac surgery was performed in 49 patients, neurosurgery in 65, abdominal surgery in 25, vascular surgery in 7, and thoracic surgery in 5. In noninfected patients (n = 117), mean CRP values increased from baseline to postoperative day (POD) 3 (P &lt; 0.0001, estimated mean difference [EMD] = 99.7 mg/L [95% confidence interval, 85.6-113.8]) and then decreased until POD 7 but remained higher than the level at baseline (P &lt; 0.0001, EMD = 49.2 mg/L [95% confidence interval, 27.1-71.2]). Postoperative infection occurred in 20 patients (13.2%). In these patients, CRP values were already higher on POD 1 than in noninfected patients (P = 0.0054). CONCLUSIONS:: CRP levels increase in the first week after major surgery but to a much larger extent in infected than in noninfected patients. Persistently high CRP levels after POD 4, especially when &gt;100 mg/L, suggest the presence of a postoperative infection. © 2014 International Anesthesia Research Society.","author":[{"dropping-particle":"","family":"Santonocito","given":"Cristina","non-dropping-particle":"","parse-names":false,"suffix":""},{"dropping-particle":"","family":"Loecker","given":"Isabelle","non-dropping-particle":"De","parse-names":false,"suffix":""},{"dropping-particle":"","family":"Donadello","given":"Katia","non-dropping-particle":"","parse-names":false,"suffix":""},{"dropping-particle":"","family":"Moussa","given":"Mouhamed D.","non-dropping-particle":"","parse-names":false,"suffix":""},{"dropping-particle":"","family":"Markowicz","given":"Samuel","non-dropping-particle":"","parse-names":false,"suffix":""},{"dropping-particle":"","family":"Gullo","given":"Antonino","non-dropping-particle":"","parse-names":false,"suffix":""},{"dropping-particle":"","family":"Vincent","given":"Jean Louis","non-dropping-particle":"","parse-names":false,"suffix":""}],"container-title":"Anesthesia and Analgesia","id":"ITEM-1","issue":"3","issued":{"date-parts":[["2014"]]},"page":"624-629","title":"C-reactive protein kinetics after major surgery","type":"article-journal","volume":"119"},"uris":["http://www.mendeley.com/documents/?uuid=67a9f158-9c89-4bb8-8174-ee994ba26888"]},{"id":"ITEM-2","itemData":{"DOI":"10.1097/SLA.0000000000001342","ISBN":"0000000000","ISSN":"15281140","abstract":"Objective: To assess the association of systemic inflammation and outcome after major abdominal surgery. Background: Major abdominal surgery carries a high postoperative morbidity and mortality rate. Studies suggest that inflammation is associated with unfavorable outcome. Methods: Levels of C-reactive protein (CRP), interleukin-6 (IL-6), and tumor necrosis factor-a and the systemic inflammatory response syndrome (SIRS) were assessed in 137 patients undergoing major abdominal surgery. Blood samples were drawn on days 0, 1, 3, and 7, and SIRS was scored during 48 hours after surgery. Primary outcome was a composite of mortality, pneumonia, sepsis, anastomotic dehiscence, wound infection, noncardiac respiratory failure, atrial fibrillation, congestive heart failure, myocardial infarction, and reoperation within 30 days of surgery. Results: An IL-6 level more than 432 pg/mL on day 1 was associated with an increased risk of complications (adjusted odds ratio: 3.3; 95% confidence interval [CI]: 1.3-8.5) and a longer median length of hospital stay (7 vs 12 days, P &lt; 0.001). As a single test, an IL-6 cut-off level of 432 pg/mL on day 1 yielded a specificity of 70% and a sensitivity of 64% for the prediction of complications (area under the curve: 0.67; 95% CI: 0.56-0.77). Levels of CRP started to discriminate from day 3 onward with a specificity of 87% and a sensitivity of 58% for a cut-off level of 203 mg/L (AUC: 0.73; 95% CI: 0.63-0.83). Conclusions: A high IL-6 level on day 1 is associated with postoperative complications. Levels of IL-6 help distinguish between patients at low and high risk for complications before changes in levels of CRP.","author":[{"dropping-particle":"","family":"Rettig","given":"Thijs C.D.","non-dropping-particle":"","parse-names":false,"suffix":""},{"dropping-particle":"","family":"Verwijmeren","given":"Lisa","non-dropping-particle":"","parse-names":false,"suffix":""},{"dropping-particle":"","family":"Dijkstra","given":"Ineke M.","non-dropping-particle":"","parse-names":false,"suffix":""},{"dropping-particle":"","family":"Boerma","given":"Djamila","non-dropping-particle":"","parse-names":false,"suffix":""},{"dropping-particle":"","family":"Garde","given":"Ewoudt M.W.","non-dropping-particle":"Van De","parse-names":false,"suffix":""},{"dropping-particle":"","family":"Noordzij","given":"Peter G.","non-dropping-particle":"","parse-names":false,"suffix":""}],"container-title":"Annals of Surgery","id":"ITEM-2","issue":"6","issued":{"date-parts":[["2016"]]},"page":"1207-1212","title":"Postoperative interleukin-6 level and early detection of complications after elective major abdominal surgery","type":"article-journal","volume":"263"},"uris":["http://www.mendeley.com/documents/?uuid=637bce30-046f-4bc8-a8bb-2dd5ae0131da"]}],"mendeley":{"formattedCitation":"&lt;sup&gt;45 46&lt;/sup&gt;","plainTextFormattedCitation":"45 46","previouslyFormattedCitation":"&lt;sup&gt;44 45&lt;/sup&gt;"},"properties":{"noteIndex":0},"schema":"https://github.com/citation-style-language/schema/raw/master/csl-citation.json"}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45 46</w:t>
      </w:r>
      <w:r w:rsidR="00770C43" w:rsidRPr="00B6585E">
        <w:rPr>
          <w:rFonts w:ascii="Arial" w:hAnsi="Arial" w:cs="Arial"/>
          <w:color w:val="000000" w:themeColor="text1"/>
          <w:sz w:val="22"/>
          <w:szCs w:val="22"/>
        </w:rPr>
        <w:fldChar w:fldCharType="end"/>
      </w:r>
    </w:p>
    <w:p w14:paraId="7336ADF5" w14:textId="4FA26B80"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Initiation and progress of arteriosclerotic lesions is one of the main causes of cardiovascular events, which might be partially mediated by inflammation.</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{"citationItems":[{"id":"ITEM-1","itemData":{"DOI":"10.1093/eurheartj/eht367","ISSN":"15229645","abstract":"AimsBecause low-grade inflammation may play a role in the pathogenesis of coronary heart disease (CHD), and pro-inflammatory cytokines govern inflammatory cascades, this study aimed to assess the associations of several pro-inflammatory cytokines and CHD risk in a new prospective study, including meta-analysis of prospective studies.Methods and resultsInterleukin-6 (IL-6), IL-18, matrix metalloproteinase-9 (MMP-9), soluble CD40 ligand (sCD40L), and tumour necrosis factor-α (TNF-α) were measured at baseline in a case-cohort study of 1514 participants and 833 incident CHD events within population-based prospective cohorts at the Danish Research Centre for Prevention and Health. Age-and sex-adjusted hazard ratios (HRs) for CHD per 1-SD higher log-transformed baseline levels were: 1.37 (95% CI: 1.21-1.54) for IL-6, 1.26 (1.11-1.44) for IL-18, 1.30 (1.16-1.46) for MMP-9, 1.01 (0.89-1.15) for sCD40L, and 1.13 (1.01-1.27) for TNF-α. Multivariable adjustment for conventional vascular risk factors attenuated the HRs to: 1.26 (1.08-1.46) for IL-6, 1.12 (0.95-1.31) for IL-18, 1.21 (1.05-1.39) for MMP-9, 0.93 (0.78-1.11) for sCD40L, and 1.14 (1.00-1.31) for TNF-α. In meta-analysis of up to 29 population-based prospective studies, adjusted relative risks for non-fatal MI or CHD death per 1-SD higher levels were: 1.25 (1.19-1.32) for IL-6; 1.13 (1.05-1.20) for IL-18; 1.07 (0.97-1.19) for MMP-9; 1.07 (0.95-1.21) for sCD40L; and 1.17 (1.09-1.25) for TNF-α.ConclusionsSeveral different pro-inflammatory cytokines are each associated with CHD risk independent of conventional risk factors and in an approximately log-linear manner. The findings lend support to the inflammation hypothesis in vascular disease, but further studies are needed to assess causality. © 2013 The Author.","author":[{"dropping-particle":"","family":"Kaptoge","given":"Stephen","non-dropping-particle":"","parse-names":false,"suffix":""},{"dropping-particle":"","family":"Seshasai","given":"Sreenivasa Rao Kondapally","non-dropping-particle":"","parse-names":false,"suffix":""},{"dropping-particle":"","family":"Gao","given":"Pei","non-dropping-particle":"","parse-names":false,"suffix":""},{"dropping-particle":"","family":"Freitag","given":"Daniel F.","non-dropping-particle":"","parse-names":false,"suffix":""},{"dropping-particle":"","family":"Butterworth","given":"Adam S.","non-dropping-particle":"","parse-names":false,"suffix":""},{"dropping-particle":"","family":"Borglykke","given":"Anders","non-dropping-particle":"","parse-names":false,"suffix":""},{"dropping-particle":"","family":"Angelantonio","given":"Emanuele","non-dropping-particle":"Di","parse-names":false,"suffix":""},{"dropping-particle":"","family":"Gudnason","given":"Vilmundur","non-dropping-particle":"","parse-names":false,"suffix":""},{"dropping-particle":"","family":"Rumley","given":"Ann","non-dropping-particle":"","parse-names":false,"suffix":""},{"dropping-particle":"","family":"Lowe","given":"Gordon D.O.","non-dropping-particle":"","parse-names":false,"suffix":""},{"dropping-particle":"","family":"Jørgensen","given":"Torben","non-dropping-particle":"","parse-names":false,"suffix":""},{"dropping-particle":"","family":"Danesh","given":"John","non-dropping-particle":"","parse-names":false,"suffix":""}],"container-title":"European Heart Journal","id":"ITEM-1","issue":"9","issued":{"date-parts":[["2014"]]},"page":"578-589","title":"Inflammatory cytokines and risk of coronary heart disease: New prospective study and updated meta-analysis","type":"article-journal","volume":"35"},"uris":["http://www.mendeley.com/documents/?uuid=2f6bcf2d-3495-4fd2-b9e7-552e71edec79"]}],"mendeley":{"formattedCitation":"&lt;sup&gt;47&lt;/sup&gt;","plainTextFormattedCitation":"47","previouslyFormattedCitation":"&lt;sup&gt;46&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47</w:t>
      </w:r>
      <w:r w:rsidR="00770C43" w:rsidRPr="00B6585E">
        <w:rPr>
          <w:rFonts w:ascii="Arial" w:hAnsi="Arial" w:cs="Arial"/>
          <w:color w:val="000000" w:themeColor="text1"/>
          <w:sz w:val="22"/>
          <w:szCs w:val="22"/>
        </w:rPr>
        <w:fldChar w:fldCharType="end"/>
      </w:r>
      <w:r w:rsidR="007766AA"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Increased pro-inflammatory cytokines like C-reactive protein (CRP) and Interleukin-6 (IL-6) are associated with the incidence of coronary heart disease.</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{"citationItems":[{"id":"ITEM-1","itemData":{"DOI":"10.1093/eurheartj/eht367","ISSN":"15229645","abstract":"AimsBecause low-grade inflammation may play a role in the pathogenesis of coronary heart disease (CHD), and pro-inflammatory cytokines govern inflammatory cascades, this study aimed to assess the associations of several pro-inflammatory cytokines and CHD risk in a new prospective study, including meta-analysis of prospective studies.Methods and resultsInterleukin-6 (IL-6), IL-18, matrix metalloproteinase-9 (MMP-9), soluble CD40 ligand (sCD40L), and tumour necrosis factor-α (TNF-α) were measured at baseline in a case-cohort study of 1514 participants and 833 incident CHD events within population-based prospective cohorts at the Danish Research Centre for Prevention and Health. Age-and sex-adjusted hazard ratios (HRs) for CHD per 1-SD higher log-transformed baseline levels were: 1.37 (95% CI: 1.21-1.54) for IL-6, 1.26 (1.11-1.44) for IL-18, 1.30 (1.16-1.46) for MMP-9, 1.01 (0.89-1.15) for sCD40L, and 1.13 (1.01-1.27) for TNF-α. Multivariable adjustment for conventional vascular risk factors attenuated the HRs to: 1.26 (1.08-1.46) for IL-6, 1.12 (0.95-1.31) for IL-18, 1.21 (1.05-1.39) for MMP-9, 0.93 (0.78-1.11) for sCD40L, and 1.14 (1.00-1.31) for TNF-α. In meta-analysis of up to 29 population-based prospective studies, adjusted relative risks for non-fatal MI or CHD death per 1-SD higher levels were: 1.25 (1.19-1.32) for IL-6; 1.13 (1.05-1.20) for IL-18; 1.07 (0.97-1.19) for MMP-9; 1.07 (0.95-1.21) for sCD40L; and 1.17 (1.09-1.25) for TNF-α.ConclusionsSeveral different pro-inflammatory cytokines are each associated with CHD risk independent of conventional risk factors and in an approximately log-linear manner. The findings lend support to the inflammation hypothesis in vascular disease, but further studies are needed to assess causality. © 2013 The Author.","author":[{"dropping-particle":"","family":"Kaptoge","given":"Stephen","non-dropping-particle":"","parse-names":false,"suffix":""},{"dropping-particle":"","family":"Seshasai","given":"Sreenivasa Rao Kondapally","non-dropping-particle":"","parse-names":false,"suffix":""},{"dropping-particle":"","family":"Gao","given":"Pei","non-dropping-particle":"","parse-names":false,"suffix":""},{"dropping-particle":"","family":"Freitag","given":"Daniel F.","non-dropping-particle":"","parse-names":false,"suffix":""},{"dropping-particle":"","family":"Butterworth","given":"Adam S.","non-dropping-particle":"","parse-names":false,"suffix":""},{"dropping-particle":"","family":"Borglykke","given":"Anders","non-dropping-particle":"","parse-names":false,"suffix":""},{"dropping-particle":"","family":"Angelantonio","given":"Emanuele","non-dropping-particle":"Di","parse-names":false,"suffix":""},{"dropping-particle":"","family":"Gudnason","given":"Vilmundur","non-dropping-particle":"","parse-names":false,"suffix":""},{"dropping-particle":"","family":"Rumley","given":"Ann","non-dropping-particle":"","parse-names":false,"suffix":""},{"dropping-particle":"","family":"Lowe","given":"Gordon D.O.","non-dropping-particle":"","parse-names":false,"suffix":""},{"dropping-particle":"","family":"Jørgensen","given":"Torben","non-dropping-particle":"","parse-names":false,"suffix":""},{"dropping-particle":"","family":"Danesh","given":"John","non-dropping-particle":"","parse-names":false,"suffix":""}],"container-title":"European Heart Journal","id":"ITEM-1","issue":"9","issued":{"date-parts":[["2014"]]},"page":"578-589","title":"Inflammatory cytokines and risk of coronary heart disease: New prospective study and updated meta-analysis","type":"article-journal","volume":"35"},"uris":["http://www.mendeley.com/documents/?uuid=2f6bcf2d-3495-4fd2-b9e7-552e71edec79"]},{"id":"ITEM-2","itemData":{"DOI":"10.1016/S0140-6736(09)61717-7","ISSN":"1474547X","abstract":"Background Associations of C-reactive protein (CRP) concentration with risk of major diseases can best be assessed by long-term prospective follow-up of large numbers of people. We assessed the associations of CRP concentration with risk of vascular and non-vascular outcomes under different circumstances. Methods We meta-analysed individual records of 160 309 people without a history of vascular disease (ie, 1·31 million person-years at risk, 27 769 fatal or non-fatal disease outcomes) from 54 long-term prospective studies. Within-study regression analyses were adjusted for within-person variation in risk factor levels. Results Loge CRP concentration was linearly associated with several conventional risk factors and inflammatory markers, and nearly log-linearly with the risk of ischaemic vascular disease and non-vascular mortality. Risk ratios (RRs) for coronary heart disease per 1-SD higher loge CRP concentration (three-fold higher) were 1·63 (95% CI 1·51-1·76) when initially adjusted for age and sex only, and 1·37 (1·27-1·48) when adjusted further for conventional risk factors; 1·44 (1·32-1·57) and 1·27 (1·15-1·40) for ischaemic stroke; 1·71 (1·53-1·91) and 1·55 (1·37-1·76) for vascular mortality; and 1·55 (1·41-1·69) and 1·54 (1·40-1·68) for non-vascular mortality. RRs were largely unchanged after exclusion of smokers or initial follow-up. After further adjustment for fibrinogen, the corresponding RRs were 1·23 (1·07-1·42) for coronary heart disease; 1·32 (1·18-1·49) for ischaemic stroke; 1·34 (1·18-1·52) for vascular mortality; and 1·34 (1·20-1·50) for non-vascular mortality. Interpretation CRP concentration has continuous associations with the risk of coronary heart disease, ischaemic stroke, vascular mortality, and death from several cancers and lung disease that are each of broadly similar size. The relevance of CRP to such a range of disorders is unclear. Associations with ischaemic vascular disease depend considerably on conventional risk factors and other markers of inflammation.","author":[{"dropping-particle":"","family":"Kaptoge","given":"S.","non-dropping-particle":"","parse-names":false,"suffix":""},{"dropping-particle":"","family":"Angelantonio","given":"E.","non-dropping-particle":"Di","parse-names":false,"suffix":""},{"dropping-particle":"","family":"Lowe","given":"G.","non-dropping-particle":"","parse-names":false,"suffix":""},{"dropping-particle":"","family":"Pepys","given":"Mark B.","non-dropping-particle":"","parse-names":false,"suffix":""},{"dropping-particle":"","family":"Thompson","given":"S. G.","non-dropping-particle":"","parse-names":false,"suffix":""},{"dropping-particle":"","family":"Collins","given":"R.","non-dropping-particle":"","parse-names":false,"suffix":""},{"dropping-particle":"","family":"Danesh","given":"J.","non-dropping-particle":"","parse-names":false,"suffix":""},{"dropping-particle":"","family":"Tipping","given":"R. W.","non-dropping-particle":"","parse-names":false,"suffix":""},{"dropping-particle":"","family":"Ford","given":"C. E.","non-dropping-particle":"","parse-names":false,"suffix":""},{"dropping-particle":"","family":"Pressel","given":"S. L.","non-dropping-particle":"","parse-names":false,"suffix":""},{"dropping-particle":"","family":"Walldius","given":"G.","non-dropping-particle":"","parse-names":false,"suffix":""},{"dropping-particle":"","family":"Jungner","given":"I.","non-dropping-particle":"","parse-names":false,"suffix":""},{"dropping-particle":"","family":"Folsom","given":"A. R.","non-dropping-particle":"","parse-names":false,"suffix":""},{"dropping-particle":"","family":"Chambless","given":"L.","non-dropping-particle":"","parse-names":false,"suffix":""},{"dropping-particle":"","family":"Ballantyne","given":"C. M.","non-dropping-particle":"","parse-names":false,"suffix":""},{"dropping-particle":"","family":"Panagiotakos","given":"D.","non-dropping-particle":"","parse-names":false,"suffix":""},{"dropping-particle":"","family":"Pitsavos","given":"C.","non-dropping-particle":"","parse-names":false,"suffix":""},{"dropping-particle":"","family":"Chrysohoou","given":"C.","non-dropping-particle":"","parse-names":false,"suffix":""},{"dropping-particle":"","family":"Stefanadis","given":"C.","non-dropping-particle":"","parse-names":false,"suffix":""},{"dropping-particle":"","family":"Knuiman","given":"M. W.","non-dropping-particle":"","parse-names":false,"suffix":""},{"dropping-particle":"","family":"Goldbourt","given":"U.","non-dropping-particle":"","parse-names":false,"suffix":""},{"dropping-particle":"","family":"Benderly","given":"M.","non-dropping-particle":"","parse-names":false,"suffix":""},{"dropping-particle":"","family":"Tanne","given":"D.","non-dropping-particle":"","parse-names":false,"suffix":""},{"dropping-particle":"","family":"Whincup","given":"P.","non-dropping-particle":"","parse-names":false,"suffix":""},{"dropping-particle":"","family":"Wannamethee","given":"S. G.","non-dropping-particle":"","parse-names":false,"suffix":""},{"dropping-particle":"","family":"Morris","given":"R. W.","non-dropping-particle":"","parse-names":false,"suffix":""},{"dropping-particle":"","family":"Kiechl","given":"S.","non-dropping-particle":"","parse-names":false,"suffix":""},{"dropping-particle":"","family":"Willeit","given":"J.","non-dropping-particle":"","parse-names":false,"suffix":""},{"dropping-particle":"","family":"Mayr","given":"A.","non-dropping-particle":"","parse-names":false,"suffix":""},{"dropping-particle":"","family":"Schett","given":"G.","non-dropping-particle":"","parse-names":false,"suffix":""},{"dropping-particle":"","family":"Wald","given":"N.","non-dropping-particle":"","parse-names":false,"suffix":""},{"dropping-particle":"","family":"Ebrahim","given":"S.","non-dropping-particle":"","parse-names":false,"suffix":""},{"dropping-particle":"","family":"Lawlor","given":"D.","non-dropping-particle":"","parse-names":false,"suffix":""},{"dropping-particle":"","family":"Yarnell","given":"J.","non-dropping-particle":"","parse-names":false,"suffix":""},{"dropping-particle":"","family":"Gallacher","given":"J.","non-dropping-particle":"","parse-names":false,"suffix":""},{"dropping-particle":"","family":"Casiglia","given":"E.","non-dropping-particle":"","parse-names":false,"suffix":""},{"dropping-particle":"","family":"Tikhonoff","given":"V.","non-dropping-particle":"","parse-names":false,"suffix":""},{"dropping-particle":"","family":"Nietert","given":"P. J.","non-dropping-particle":"","parse-names":false,"suffix":""},{"dropping-particle":"","family":"Sutherland","given":"S. E.","non-dropping-particle":"","parse-names":false,"suffix":""},{"dropping-particle":"","family":"Bachman","given":"D. L.","non-dropping-particle":"","parse-names":false,"suffix":""},{"dropping-particle":"","family":"Keil","given":"J. E.","non-dropping-particle":"","parse-names":false,"suffix":""},{"dropping-particle":"","family":"Cushman","given":"M.","non-dropping-particle":"","parse-names":false,"suffix":""},{"dropping-particle":"","family":"Psaty","given":"B. M.","non-dropping-particle":"","parse-names":false,"suffix":""},{"dropping-particle":"","family":"Tracy","given":"R.","non-dropping-particle":"","parse-names":false,"suffix":""},{"dropping-particle":"","family":"Tybjærg-Hansen","given":"A.","non-dropping-particle":"","parse-names":false,"suffix":""},{"dropping-particle":"","family":"Nordestgaard","given":"B. G.","non-dropping-particle":"","parse-names":false,"suffix":""},{"dropping-particle":"","family":"Zacho","given":"J.","non-dropping-particle":"","parse-names":false,"suffix":""},{"dropping-particle":"","family":"Frikke-Schmidt","given":"R.","non-dropping-particle":"","parse-names":false,"suffix":""},{"dropping-particle":"","family":"Giampaoli","given":"S.","non-dropping-particle":"","parse-names":false,"suffix":""},{"dropping-particle":"","family":"Palmieri","given":"L.","non-dropping-particle":"","parse-names":false,"suffix":""},{"dropping-particle":"","family":"Panico","given":"S.","non-dropping-particle":"","parse-names":false,"suffix":""},{"dropping-particle":"","family":"Vanuzzo","given":"D.","non-dropping-particle":"","parse-names":false,"suffix":""},{"dropping-particle":"","family":"Pilotto","given":"L.","non-dropping-particle":"","parse-names":false,"suffix":""},{"dropping-particle":"","family":"La Cámara","given":"A. Gómez","non-dropping-particle":"De","parse-names":false,"suffix":""},{"dropping-particle":"","family":"Gómez Gerique","given":"J. A.","non-dropping-particle":"","parse-names":false,"suffix":""},{"dropping-particle":"","family":"Simons","given":"L.","non-dropping-particle":"","parse-names":false,"suffix":""},{"dropping-particle":"","family":"McCallum","given":"J.","non-dropping-particle":"","parse-names":false,"suffix":""},{"dropping-particle":"","family":"Friedlander","given":"Y.","non-dropping-particle":"","parse-names":false,"suffix":""},{"dropping-particle":"","family":"Fowkes","given":"F. G.R.","non-dropping-particle":"","parse-names":false,"suffix":""},{"dropping-particle":"","family":"Lee","given":"A.","non-dropping-particle":"","parse-names":false,"suffix":""},{"dropping-particle":"","family":"Taylor","given":"J.","non-dropping-particle":"","parse-names":false,"suffix":""},{"dropping-particle":"","family":"Guralnik","given":"J. M.","non-dropping-particle":"","parse-names":false,"suffix":""},{"dropping-particle":"","family":"Phillips","given":"C. L.","non-dropping-particle":"","parse-names":false,"suffix":""},{"dropping-particle":"","family":"Wallace","given":"R. B.","non-dropping-particle":"","parse-names":false,"suffix":""},{"dropping-particle":"","family":"Blazer","given":"D. G.","non-dropping-particle":"","parse-names":false,"suffix":""},{"dropping-particle":"","family":"Khaw","given":"K. T.","non-dropping-particle":"","parse-names":false,"suffix":""},{"dropping-particle":"","family":"Brenner","given":"H.","non-dropping-particle":"","parse-names":false,"suffix":""},{"dropping-particle":"","family":"Raum","given":"E.","non-dropping-particle":"","parse-names":false,"suffix":""},{"dropping-particle":"","family":"Müller","given":"H.","non-dropping-particle":"","parse-names":false,"suffix":""},{"dropping-particle":"","family":"Rothenbacher","given":"D.","non-dropping-particle":"","parse-names":false,"suffix":""},{"dropping-particle":"","family":"Jansson","given":"J. H.","non-dropping-particle":"","parse-names":false,"suffix":""},{"dropping-particle":"","family":"Wennberg","given":"P.","non-dropping-particle":"","parse-names":false,"suffix":""},{"dropping-particle":"","family":"Nissinen","given":"A.","non-dropping-particle":"","parse-names":false,"suffix":""},{"dropping-particle":"","family":"Donfrancesco","given":"C.","non-dropping-particle":"","parse-names":false,"suffix":""},{"dropping-particle":"","family":"Harald","given":"K.","non-dropping-particle":"","parse-names":false,"suffix":""},{"dropping-particle":"","family":"Jousilahti","given":"P.","non-dropping-particle":"","parse-names":false,"suffix":""},{"dropping-particle":"","family":"Vartiainen","given":"E.","non-dropping-particle":"","parse-names":false,"suffix":""},{"dropping-particle":"","family":"Woodward","given":"M.","non-dropping-particle":"","parse-names":false,"suffix":""},{"dropping-particle":"","family":"D’Agostino","given":"R. B.","non-dropping-particle":"","parse-names":false,"suffix":""},{"dropping-particle":"","family":"Wolf","given":"P. A.","non-dropping-particle":"","parse-names":false,"suffix":""},{"dropping-particle":"","family":"Vasan","given":"R. S.","non-dropping-particle":"","parse-names":false,"suffix":""},{"dropping-particle":"","family":"Benjamin","given":"E. J.","non-dropping-particle":"","parse-names":false,"suffix":""},{"dropping-particle":"","family":"Bladbjerg","given":"E. M.","non-dropping-particle":"","parse-names":false,"suffix":""},{"dropping-particle":"","family":"Jørgensen","given":"T.","non-dropping-particle":"","parse-names":false,"suffix":""},{"dropping-particle":"","family":"Salomaa","given":"V.","non-dropping-particle":"","parse-names":false,"suffix":""},{"dropping-particle":"","family":"Jespersen","given":"J.","non-dropping-particle":"","parse-names":false,"suffix":""},{"dropping-particle":"","family":"Dankner","given":"R.","non-dropping-particle":"","parse-names":false,"suffix":""},{"dropping-particle":"","family":"Chetrit","given":"A.","non-dropping-particle":"","parse-names":false,"suffix":""},{"dropping-particle":"","family":"Lubin","given":"F.","non-dropping-particle":"","parse-names":false,"suffix":""},{"dropping-particle":"","family":"Rosengren","given":"A.","non-dropping-particle":"","parse-names":false,"suffix":""},{"dropping-particle":"","family":"Wilhelmsen","given":"L.","non-dropping-particle":"","parse-names":false,"suffix":""},{"dropping-particle":"","family":"Lappas","given":"G.","non-dropping-particle":"","parse-names":false,"suffix":""},{"dropping-particle":"","family":"Eriksson","given":"H.","non-dropping-particle":"","parse-names":false,"suffix":""},{"dropping-particle":"","family":"Björkelund","given":"C.","non-dropping-particle":"","parse-names":false,"suffix":""},{"dropping-particle":"","family":"Lissner","given":"L.","non-dropping-particle":"","parse-names":false,"suffix":""},{"dropping-particle":"","family":"Bengtsson","given":"C.","non-dropping-particle":"","parse-names":false,"suffix":""},{"dropping-particle":"","family":"Cremer","given":"P.","non-dropping-particle":"","parse-names":false,"suffix":""},{"dropping-particle":"","family":"Nagel","given":"D.","non-dropping-particle":"","parse-names":false,"suffix":""},{"dropping-particle":"","family":"Tilvis","given":"R. S.","non-dropping-particle":"","parse-names":false,"suffix":""},{"dropping-particle":"","family":"Strandberg","given":"T. E.","non-dropping-particle":"","parse-names":false,"suffix":""},{"dropping-particle":"","family":"Kiyohara","given":"Y.","non-dropping-particle":"","parse-names":false,"suffix":""},{"dropping-particle":"","family":"Arima","given":"H.","non-dropping-particle":"","parse-names":false,"suffix":""},{"dropping-particle":"","family":"Doi","given":"Y.","non-dropping-particle":"","parse-names":false,"suffix":""},{"dropping-particle":"","family":"Ninomiya","given":"T.","non-dropping-particle":"","parse-names":false,"suffix":""},{"dropping-particle":"","family":"Rodriguez","given":"B.","non-dropping-particle":"","parse-names":false,"suffix":""},{"dropping-particle":"","family":"Dekker","given":"J.","non-dropping-particle":"","parse-names":false,"suffix":""},{"dropping-particle":"","family":"Nijpels","given":"G.","non-dropping-particle":"","parse-names":false,"suffix":""},{"dropping-particle":"","family":"Stehouwer","given":"C. D.A.","non-dropping-particle":"","parse-names":false,"suffix":""},{"dropping-particle":"","family":"Rimm","given":"E.","non-dropping-particle":"","parse-names":false,"suffix":""},{"dropping-particle":"","family":"Pai","given":"J. K.","non-dropping-particle":"","parse-names":false,"suffix":""},{"dropping-particle":"","family":"Sato","given":"S.","non-dropping-particle":"","parse-names":false,"suffix":""},{"dropping-particle":"","family":"Iso","given":"H.","non-dropping-particle":"","parse-names":false,"suffix":""},{"dropping-particle":"","family":"Kitamura","given":"A.","non-dropping-particle":"","parse-names":false,"suffix":""},{"dropping-particle":"","family":"Noda","given":"H.","non-dropping-particle":"","parse-names":false,"suffix":""},{"dropping-particle":"","family":"Salonen","given":"J. T.","non-dropping-particle":"","parse-names":false,"suffix":""},{"dropping-particle":"","family":"Nyyssönen","given":"K.","non-dropping-particle":"","parse-names":false,"suffix":""},{"dropping-particle":"","family":"Tuomainen","given":"T. P.","non-dropping-particle":"","parse-names":false,"suffix":""},{"dropping-particle":"","family":"Laukkanen","given":"J. A.","non-dropping-particle":"","parse-names":false,"suffix":""},{"dropping-particle":"","family":"Deeg","given":"D. J.H.","non-dropping-particle":"","parse-names":false,"suffix":""},{"dropping-particle":"","family":"Bremmer","given":"M. A.","non-dropping-particle":"","parse-names":false,"suffix":""},{"dropping-particle":"","family":"Meade","given":"T. W.","non-dropping-particle":"","parse-names":false,"suffix":""},{"dropping-particle":"","family":"Cooper","given":"J. A.","non-dropping-particle":"","parse-names":false,"suffix":""},{"dropping-particle":"","family":"Hedblad","given":"B.","non-dropping-particle":"","parse-names":false,"suffix":""},{"dropping-particle":"","family":"Berglund","given":"G.","non-dropping-particle":"","parse-names":false,"suffix":""},{"dropping-particle":"","family":"Engström","given":"G.","non-dropping-particle":"","parse-names":false,"suffix":""},{"dropping-particle":"","family":"Verschuren","given":"W. M.M.","non-dropping-particle":"","parse-names":false,"suffix":""},{"dropping-particle":"","family":"Blokstra","given":"A.","non-dropping-particle":"","parse-names":false,"suffix":""},{"dropping-particle":"","family":"Shea","given":"S.","non-dropping-particle":"","parse-names":false,"suffix":""},{"dropping-particle":"","family":"Döring","given":"A.","non-dropping-particle":"","parse-names":false,"suffix":""},{"dropping-particle":"","family":"Koenig","given":"W.","non-dropping-particle":"","parse-names":false,"suffix":""},{"dropping-particle":"","family":"Meisinger","given":"C.","non-dropping-particle":"","parse-names":false,"suffix":""},{"dropping-particle":"","family":"Bueno-De-Mesquita","given":"H. B.","non-dropping-particle":"","parse-names":false,"suffix":""},{"dropping-particle":"","family":"Kuller","given":"L. H.","non-dropping-particle":"","parse-names":false,"suffix":""},{"dropping-particle":"","family":"Grandits","given":"G.","non-dropping-particle":"","parse-names":false,"suffix":""},{"dropping-particle":"","family":"Selmer","given":"R.","non-dropping-particle":"","parse-names":false,"suffix":""},{"dropping-particle":"","family":"Tverdal","given":"A.","non-dropping-particle":"","parse-names":false,"suffix":""},{"dropping-particle":"","family":"Nystad","given":"W.","non-dropping-particle":"","parse-names":false,"suffix":""},{"dropping-particle":"","family":"Gillum","given":"R. F.","non-dropping-particle":"","parse-names":false,"suffix":""},{"dropping-particle":"","family":"Mussolino","given":"M.","non-dropping-particle":"","parse-names":false,"suffix":""},{"dropping-particle":"","family":"Hankinson","given":"S.","non-dropping-particle":"","parse-names":false,"suffix":""},{"dropping-particle":"","family":"Manson","given":"J. E.","non-dropping-particle":"","parse-names":false,"suffix":""},{"dropping-particle":"","family":"Knottenbelt","given":"C.","non-dropping-particle":"","parse-names":false,"suffix":""},{"dropping-particle":"","family":"Bauer","given":"K. A.","non-dropping-particle":"","parse-names":false,"suffix":""},{"dropping-particle":"","family":"Davidson","given":"K.","non-dropping-particle":"","parse-names":false,"suffix":""},{"dropping-particle":"","family":"Kirkland","given":"S.","non-dropping-particle":"","parse-names":false,"suffix":""},{"dropping-particle":"","family":"Shaffer","given":"J.","non-dropping-particle":"","parse-names":false,"suffix":""},{"dropping-particle":"","family":"Korin","given":"M. R.","non-dropping-particle":"","parse-names":false,"suffix":""},{"dropping-particle":"","family":"Naito","given":"Y.","non-dropping-particle":"","parse-names":false,"suffix":""},{"dropping-particle":"","family":"Holme","given":"I.","non-dropping-particle":"","parse-names":false,"suffix":""},{"dropping-particle":"","family":"Nakagawa","given":"H.","non-dropping-particle":"","parse-names":false,"suffix":""},{"dropping-particle":"","family":"Miura","given":"K.","non-dropping-particle":"","parse-names":false,"suffix":""},{"dropping-particle":"","family":"Ducimetiere","given":"P.","non-dropping-particle":"","parse-names":false,"suffix":""},{"dropping-particle":"","family":"Jouven","given":"X.","non-dropping-particle":"","parse-names":false,"suffix":""},{"dropping-particle":"","family":"Luc","given":"G.","non-dropping-particle":"","parse-names":false,"suffix":""},{"dropping-particle":"","family":"Crespo","given":"C. J.","non-dropping-particle":"","parse-names":false,"suffix":""},{"dropping-particle":"","family":"Garcia-Palmieri","given":"M. R.","non-dropping-particle":"","parse-names":false,"suffix":""},{"dropping-particle":"","family":"Amouyel","given":"P.","non-dropping-particle":"","parse-names":false,"suffix":""},{"dropping-particle":"","family":"Arveiler","given":"D.","non-dropping-particle":"","parse-names":false,"suffix":""},{"dropping-particle":"","family":"Evans","given":"A.","non-dropping-particle":"","parse-names":false,"suffix":""},{"dropping-particle":"","family":"Ferrieres","given":"J.","non-dropping-particle":"","parse-names":false,"suffix":""},{"dropping-particle":"","family":"Schulte","given":"H.","non-dropping-particle":"","parse-names":false,"suffix":""},{"dropping-particle":"","family":"Assmann","given":"G.","non-dropping-particle":"","parse-names":false,"suffix":""},{"dropping-particle":"","family":"Packard","given":"C. J.","non-dropping-particle":"","parse-names":false,"suffix":""},{"dropping-particle":"","family":"Sattar","given":"N.","non-dropping-particle":"","parse-names":false,"suffix":""},{"dropping-particle":"","family":"Westendorp","given":"R. G.","non-dropping-particle":"","parse-names":false,"suffix":""},{"dropping-particle":"","family":"Buckley","given":"B. M.","non-dropping-particle":"","parse-names":false,"suffix":""},{"dropping-particle":"","family":"Cantin","given":"B.","non-dropping-particle":"","parse-names":false,"suffix":""},{"dropping-particle":"","family":"Lamarche","given":"B.","non-dropping-particle":"","parse-names":false,"suffix":""},{"dropping-particle":"","family":"Després","given":"J. P.","non-dropping-particle":"","parse-names":false,"suffix":""},{"dropping-particle":"","family":"Dagenais","given":"G. R.","non-dropping-particle":"","parse-names":false,"suffix":""},{"dropping-particle":"","family":"Barrett-Connor","given":"E.","non-dropping-particle":"","parse-names":false,"suffix":""},{"dropping-particle":"","family":"Wingard","given":"D. L.","non-dropping-particle":"","parse-names":false,"suffix":""},{"dropping-particle":"","family":"Bettencourt","given":"R. R.","non-dropping-particle":"","parse-names":false,"suffix":""},{"dropping-particle":"","family":"Gudnason","given":"V.","non-dropping-particle":"","parse-names":false,"suffix":""},{"dropping-particle":"","family":"Aspelund","given":"T.","non-dropping-particle":"","parse-names":false,"suffix":""},{"dropping-particle":"","family":"Sigurdsson","given":"G.","non-dropping-particle":"","parse-names":false,"suffix":""},{"dropping-particle":"","family":"Thorsson","given":"B.","non-dropping-particle":"","parse-names":false,"suffix":""},{"dropping-particle":"","family":"Trevisan","given":"M.","non-dropping-particle":"","parse-names":false,"suffix":""},{"dropping-particle":"","family":"Witteman","given":"J.","non-dropping-particle":"","parse-names":false,"suffix":""},{"dropping-particle":"","family":"Kardys","given":"I.","non-dropping-particle":"","parse-names":false,"suffix":""},{"dropping-particle":"","family":"Breteler","given":"M. M.B.","non-dropping-particle":"","parse-names":false,"suffix":""},{"dropping-particle":"","family":"Hofman","given":"A.","non-dropping-particle":"","parse-names":false,"suffix":""},{"dropping-particle":"","family":"Tunstall-Pedoe","given":"H.","non-dropping-particle":"","parse-names":false,"suffix":""},{"dropping-particle":"","family":"Tavendale","given":"R.","non-dropping-particle":"","parse-names":false,"suffix":""},{"dropping-particle":"V.","family":"Howard","given":"B.","non-dropping-particle":"","parse-names":false,"suffix":""},{"dropping-particle":"","family":"Zhang","given":"Y.","non-dropping-particle":"","parse-names":false,"suffix":""},{"dropping-particle":"","family":"Best","given":"L.","non-dropping-particle":"","parse-names":false,"suffix":""},{"dropping-particle":"","family":"Umans","given":"J.","non-dropping-particle":"","parse-names":false,"suffix":""},{"dropping-particle":"","family":"Ben-Shlomo","given":"Y.","non-dropping-particle":"","parse-names":false,"suffix":""},{"dropping-particle":"","family":"Davey-Smith","given":"G.","non-dropping-particle":"","parse-names":false,"suffix":""},{"dropping-particle":"","family":"Onat","given":"A.","non-dropping-particle":"","parse-names":false,"suffix":""},{"dropping-particle":"","family":"Njølstad","given":"I.","non-dropping-particle":"","parse-names":false,"suffix":""},{"dropping-particle":"","family":"Mathiesen","given":"E. B.","non-dropping-particle":"","parse-names":false,"suffix":""},{"dropping-particle":"","family":"Løchen","given":"M. L.","non-dropping-particle":"","parse-names":false,"suffix":""},{"dropping-particle":"","family":"Wilsgaard","given":"T.","non-dropping-particle":"","parse-names":false,"suffix":""},{"dropping-particle":"","family":"Ingelsson","given":"E.","non-dropping-particle":"","parse-names":false,"suffix":""},{"dropping-particle":"","family":"Basu","given":"S.","non-dropping-particle":"","parse-names":false,"suffix":""},{"dropping-particle":"","family":"Cederholm","given":"T.","non-dropping-particle":"","parse-names":false,"suffix":""},{"dropping-particle":"","family":"Byberg","given":"L.","non-dropping-particle":"","parse-names":false,"suffix":""},{"dropping-particle":"","family":"Gaziano","given":"J. M.","non-dropping-particle":"","parse-names":false,"suffix":""},{"dropping-particle":"","family":"Stampfer","given":"M.","non-dropping-particle":"","parse-names":false,"suffix":""},{"dropping-particle":"","family":"Ridker","given":"P. M.","non-dropping-particle":"","parse-names":false,"suffix":""},{"dropping-particle":"","family":"Ulmer","given":"H.","non-dropping-particle":"","parse-names":false,"suffix":""},{"dropping-particle":"","family":"Diem","given":"G.","non-dropping-particle":"","parse-names":false,"suffix":""},{"dropping-particle":"","family":"Concin","given":"H.","non-dropping-particle":"","parse-names":false,"suffix":""},{"dropping-particle":"","family":"Tosetto","given":"A.","non-dropping-particle":"","parse-names":false,"suffix":""},{"dropping-particle":"","family":"Rodeghiero","given":"F.","non-dropping-particle":"","parse-names":false,"suffix":""},{"dropping-particle":"","family":"Wassertheil-Smoller","given":"S.","non-dropping-particle":"","parse-names":false,"suffix":""},{"dropping-particle":"","family":"Marmot","given":"M.","non-dropping-particle":"","parse-names":false,"suffix":""},{"dropping-particle":"","family":"Clarke","given":"R.","non-dropping-particle":"","parse-names":false,"suffix":""},{"dropping-particle":"","family":"Fletcher","given":"A.","non-dropping-particle":"","parse-names":false,"suffix":""},{"dropping-particle":"","family":"Brunner","given":"E.","non-dropping-particle":"","parse-names":false,"suffix":""},{"dropping-particle":"","family":"Shipley","given":"M.","non-dropping-particle":"","parse-names":false,"suffix":""},{"dropping-particle":"","family":"Buring","given":"J.","non-dropping-particle":"","parse-names":false,"suffix":""},{"dropping-particle":"","family":"Shepherd","given":"J.","non-dropping-particle":"","parse-names":false,"suffix":""},{"dropping-particle":"","family":"Cobbe","given":"S.","non-dropping-particle":"","parse-names":false,"suffix":""},{"dropping-particle":"","family":"Ford","given":"I.","non-dropping-particle":"","parse-names":false,"suffix":""},{"dropping-particle":"","family":"Robertson","given":"M.","non-dropping-particle":"","parse-names":false,"suffix":""},{"dropping-particle":"","family":"He","given":"Y.","non-dropping-particle":"","parse-names":false,"suffix":""},{"dropping-particle":"","family":"Marin Ibañez","given":"A.","non-dropping-particle":"","parse-names":false,"suffix":""},{"dropping-particle":"","family":"Feskens","given":"E. J.M.","non-dropping-particle":"","parse-names":false,"suffix":""},{"dropping-particle":"","family":"Walker","given":"M.","non-dropping-particle":"","parse-names":false,"suffix":""},{"dropping-particle":"","family":"Watson","given":"S.","non-dropping-particle":"","parse-names":false,"suffix":""},{"dropping-particle":"","family":"Erqou","given":"S.","non-dropping-particle":"","parse-names":false,"suffix":""},{"dropping-particle":"","family":"Lewington","given":"S.","non-dropping-particle":"","parse-names":false,"suffix":""},{"dropping-particle":"","family":"Pennells","given":"L.","non-dropping-particle":"","parse-names":false,"suffix":""},{"dropping-particle":"","family":"Perry","given":"P. L.","non-dropping-particle":"","parse-names":false,"suffix":""},{"dropping-particle":"","family":"Ray","given":"K. K.","non-dropping-particle":"","parse-names":false,"suffix":""},{"dropping-particle":"","family":"Sarwar","given":"N.","non-dropping-particle":"","parse-names":false,"suffix":""},{"dropping-particle":"","family":"Alexander","given":"M.","non-dropping-particle":"","parse-names":false,"suffix":""},{"dropping-particle":"","family":"Thompson","given":"A.","non-dropping-particle":"","parse-names":false,"suffix":""},{"dropping-particle":"","family":"White","given":"I. R.","non-dropping-particle":"","parse-names":false,"suffix":""},{"dropping-particle":"","family":"Wood","given":"A. M.","non-dropping-particle":"","parse-names":false,"suffix":""}],"container-title":"The Lancet","id":"ITEM-2","issue":"9709","issued":{"date-parts":[["2010"]]},"page":"132-140","title":"C-reactive protein concentration and risk of coronary heart disease, stroke, and mortality: An individual participant meta-analysis","type":"article-journal","volume":"375"},"uris":["http://www.mendeley.com/documents/?uuid=a6544ce5-82bb-4242-97ab-c0ce72e55c90"]},{"id":"ITEM-3","itemData":{"DOI":"10.1093/eurheartj/ehu203","ISSN":"15229645","abstract":"Atherothrombosis is no longer considered solely a disorder of lipoprotein accumulation in the arterial wall. Rather, the initiation and progression of atherosclerotic lesions is currently understood to have major inflammatory influences that encompass components of both the innate and acquired immune systems. Promising clinical data for 'upstream' biomarkers of inflammation such as interleukin-6 (IL-6) as well as 'downstream' biomarkers such as C-reactive protein, observations regarding cholesterol crystals as an activator of the IL-1β generating inflammasome, and recent Mendelian randomization data for the IL-6 receptor support the hypothesis that inflammatory mediators of atherosclerosis may converge on the central IL-1, tumour necrosis factor (TNF-α), IL-6 signalling pathway. On this basis, emerging anti-inflammatory approaches to vascular protection can be categorized into two broad groups, those that target the central IL-6 inflammatory signalling pathway and those that do not. Large-scale Phase III trials are now underway with agents that lead to marked reductions in IL-6 and C-reactive protein (such as canakinumab and methotrexate) as well as with agents that impact on diverse non-IL-6-dependent pathways (such as varespladib and darapladib). Both approaches have the potential to benefit patients and reduce vascular events. However, care should be taken when interpreting these trials as outcomes for agents that target IL-6 signalling are unlikely to be informative for therapies that target alternative pathways, and vice versa. As the inflammatory system is redundant, compensatory, and crucial for survival, evaluation of risks as well as benefits must drive the development of agents in this class. © 2014 The Author.","author":[{"dropping-particle":"","family":"Ridker","given":"Paul M.","non-dropping-particle":"","parse-names":false,"suffix":""},{"dropping-particle":"","family":"Lüscher","given":"Thomas F.","non-dropping-particle":"","parse-names":false,"suffix":""}],"container-title":"European Heart Journal","id":"ITEM-3","issue":"27","issued":{"date-parts":[["2014"]]},"page":"1782-1791","title":"Anti-inflammatory therapies for cardiovascular disease","type":"article-journal","volume":"35"},"uris":["http://www.mendeley.com/documents/?uuid=ca6d9521-af70-4276-ae50-f19650f32c58"]}],"mendeley":{"formattedCitation":"&lt;sup&gt;47–49&lt;/sup&gt;","plainTextFormattedCitation":"47–49","previouslyFormattedCitation":"&lt;sup&gt;46–48&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47–49</w:t>
      </w:r>
      <w:r w:rsidR="00770C43" w:rsidRPr="00B6585E">
        <w:rPr>
          <w:rFonts w:ascii="Arial" w:hAnsi="Arial" w:cs="Arial"/>
          <w:color w:val="000000" w:themeColor="text1"/>
          <w:sz w:val="22"/>
          <w:szCs w:val="22"/>
        </w:rPr>
        <w:fldChar w:fldCharType="end"/>
      </w:r>
      <w:r w:rsidR="007766AA"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Interestingly, the selective neutralization of Interleukin 1</w:t>
      </w:r>
      <w:r w:rsidRPr="00B6585E">
        <w:rPr>
          <w:rFonts w:ascii="Arial" w:hAnsi="Arial" w:cs="Arial"/>
          <w:color w:val="000000" w:themeColor="text1"/>
          <w:sz w:val="22"/>
          <w:szCs w:val="22"/>
        </w:rPr>
        <w:sym w:font="Symbol" w:char="F062"/>
      </w:r>
      <w:r w:rsidRPr="00B6585E">
        <w:rPr>
          <w:rFonts w:ascii="Arial" w:hAnsi="Arial" w:cs="Arial"/>
          <w:color w:val="000000" w:themeColor="text1"/>
          <w:sz w:val="22"/>
          <w:szCs w:val="22"/>
        </w:rPr>
        <w:t xml:space="preserve"> (IL-1</w:t>
      </w:r>
      <w:r w:rsidRPr="00B6585E">
        <w:rPr>
          <w:rFonts w:ascii="Arial" w:hAnsi="Arial" w:cs="Arial"/>
          <w:color w:val="000000" w:themeColor="text1"/>
          <w:sz w:val="22"/>
          <w:szCs w:val="22"/>
        </w:rPr>
        <w:sym w:font="Symbol" w:char="F062"/>
      </w:r>
      <w:r w:rsidRPr="00B6585E">
        <w:rPr>
          <w:rFonts w:ascii="Arial" w:hAnsi="Arial" w:cs="Arial"/>
          <w:color w:val="000000" w:themeColor="text1"/>
          <w:sz w:val="22"/>
          <w:szCs w:val="22"/>
        </w:rPr>
        <w:t>) with Canakinumab in patients after myocardial infarction significantly reduced the incidence of recurrent cardiovascular events and cardiovascular death.</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{"citationItems":[{"id":"ITEM-1","itemData":{"DOI":"10.1016/S0140-6736(17)32814-3","ISSN":"1474547X","abstract":"Background: Canakinumab, a monoclonal antibody targeting interleukin-1β reduces inflammation and cardiovascular event rates with no effect on lipid concentrations. However, it is uncertain which patient groups benefit the most from treatment and whether reductions in the inflammatory biomarker high-sensitivity C-reactive protein (hsCRP) correlate with clinical benefits for individual patients. Methods: The Canakinumab Anti-Inflammatory Thrombosis Outcomes Study (CANTOS) used computer-generated codes to randomly allocate 10 061 men and women with a history of myocardial infarction to placebo or one of three doses of canakinumab (50 mg, 150 mg, or 300 mg) given subcutaneously once every 3 months. In a prespecified secondary analysis designed to address the relationship of hsCRP reduction to event reduction in CANTOS, we evaluated the effects of canakinumab on rates of major adverse cardiovascular events, cardiovascular mortality, and all-cause mortality according to on-treatment concentrations of hsCRP. We used multivariable modelling to adjust for baseline factors associated with achieved hsCRP and multiple sensitivity analyses to address the magnitude of residual confounding. The median follow-up was 3·7 years. The trial is registered with ClinicalTrials.gov, number NCT01327846. Findings: Baseline clinical characteristics did not define patient groups with greater or lesser cardiovascular benefits when treated with canakinumab. However, trial participants allocated to canakinumab who achieved hsCRP concentrations less than 2 mg/L had a 25% reduction in major adverse cardiovascular events (multivariable adjusted hazard ratio [HR adj ]=0·75, 95% CI 0·66–0·85, p&lt;0·0001), whereas no significant benefit was observed among those with on-treatment hsCRP concentrations of 2 mg/L or above (HR adj =0·90, 0·79–1·02, p=0·11). For those treated with canakinumab who achieved on-treatment hsCRP concentrations less than 2 mg/L, cardiovascular mortality (HR adj =0·69, 95% CI 0·56–0·85, p=0·0004) and all-cause mortality (HR adj =0·69, 0·58–0·81, p&lt;0·0001) were both reduced by 31%, whereas no significant reduction in these endpoints was observed among those treated with canakinumab who achieved hsCRP concentrations of 2 mg/L or above. Similar differential effects were found in analyses of the trial prespecified secondary cardiovascular endpoint (which additionally included hospitalisation for unstable angina requiring unplanned revascularisation) and in sensitivity analys…","author":[{"dropping-particle":"","family":"Ridker","given":"Paul M.","non-dropping-particle":"","parse-names":false,"suffix":""},{"dropping-particle":"","family":"MacFadyen","given":"Jean G.","non-dropping-particle":"","parse-names":false,"suffix":""},{"dropping-particle":"","family":"Everett","given":"Brendan M.","non-dropping-particle":"","parse-names":false,"suffix":""},{"dropping-particle":"","family":"Libby","given":"Peter","non-dropping-particle":"","parse-names":false,"suffix":""},{"dropping-particle":"","family":"Thuren","given":"Tom","non-dropping-particle":"","parse-names":false,"suffix":""},{"dropping-particle":"","family":"Glynn","given":"Robert J.","non-dropping-particle":"","parse-names":false,"suffix":""},{"dropping-particle":"","family":"Kastelein","given":"John","non-dropping-particle":"","parse-names":false,"suffix":""},{"dropping-particle":"","family":"Koenig","given":"Wolfgang","non-dropping-particle":"","parse-names":false,"suffix":""},{"dropping-particle":"","family":"Genest","given":"Jacques","non-dropping-particle":"","parse-names":false,"suffix":""},{"dropping-particle":"","family":"Lorenzatti","given":"Alberto","non-dropping-particle":"","parse-names":false,"suffix":""},{"dropping-particle":"","family":"Varigos","given":"John","non-dropping-particle":"","parse-names":false,"suffix":""},{"dropping-particle":"","family":"Siostrzonek","given":"Peter","non-dropping-particle":"","parse-names":false,"suffix":""},{"dropping-particle":"","family":"Sinnaeve","given":"Peter","non-dropping-particle":"","parse-names":false,"suffix":""},{"dropping-particle":"","family":"Fonseca","given":"Francisco","non-dropping-particle":"","parse-names":false,"suffix":""},{"dropping-particle":"","family":"Nicolau","given":"Jose","non-dropping-particle":"","parse-names":false,"suffix":""},{"dropping-particle":"","family":"Gotcheva","given":"Nina","non-dropping-particle":"","parse-names":false,"suffix":""},{"dropping-particle":"","family":"Yong","given":"Huo","non-dropping-particle":"","parse-names":false,"suffix":""},{"dropping-particle":"","family":"Urina-Triana","given":"Miguel","non-dropping-particle":"","parse-names":false,"suffix":""},{"dropping-particle":"","family":"Milicic","given":"Davor","non-dropping-particle":"","parse-names":false,"suffix":""},{"dropping-particle":"","family":"Cifkova","given":"Renata","non-dropping-particle":"","parse-names":false,"suffix":""},{"dropping-particle":"","family":"Vettus","given":"Riina","non-dropping-particle":"","parse-names":false,"suffix":""},{"dropping-particle":"","family":"Anker","given":"Stephan D.","non-dropping-particle":"","parse-names":false,"suffix":""},{"dropping-particle":"","family":"Manolis","given":"Athanasios J.","non-dropping-particle":"","parse-names":false,"suffix":""},{"dropping-particle":"","family":"Wyss","given":"Fernando","non-dropping-particle":"","parse-names":false,"suffix":""},{"dropping-particle":"","family":"Forster","given":"Tamas","non-dropping-particle":"","parse-names":false,"suffix":""},{"dropping-particle":"","family":"Sigurdsson","given":"Axel","non-dropping-particle":"","parse-names":false,"suffix":""},{"dropping-particle":"","family":"Pais","given":"Prem","non-dropping-particle":"","parse-names":false,"suffix":""},{"dropping-particle":"","family":"Fucili","given":"Alessandro","non-dropping-particle":"","parse-names":false,"suffix":""},{"dropping-particle":"","family":"Ogawa","given":"Hisao","non-dropping-particle":"","parse-names":false,"suffix":""},{"dropping-particle":"","family":"Shimokawa","given":"Hiroaki","non-dropping-particle":"","parse-names":false,"suffix":""},{"dropping-particle":"","family":"Veze","given":"Irina","non-dropping-particle":"","parse-names":false,"suffix":""},{"dropping-particle":"","family":"Petrauskiene","given":"Birute","non-dropping-particle":"","parse-names":false,"suffix":""},{"dropping-particle":"","family":"Salvador","given":"Leon","non-dropping-particle":"","parse-names":false,"suffix":""},{"dropping-particle":"","family":"Cornel","given":"Jan Hein","non-dropping-particle":"","parse-names":false,"suffix":""},{"dropping-particle":"","family":"Klemsdal","given":"Tor Ole","non-dropping-particle":"","parse-names":false,"suffix":""},{"dropping-particle":"","family":"Medina","given":"Felix","non-dropping-particle":"","parse-names":false,"suffix":""},{"dropping-particle":"","family":"Budaj","given":"Andrzej","non-dropping-particle":"","parse-names":false,"suffix":""},{"dropping-particle":"","family":"Vida-Simiti","given":"Luminita","non-dropping-particle":"","parse-names":false,"suffix":""},{"dropping-particle":"","family":"Kobalava","given":"Zhanna","non-dropping-particle":"","parse-names":false,"suffix":""},{"dropping-particle":"","family":"Otasevic","given":"Petar","non-dropping-particle":"","parse-names":false,"suffix":""},{"dropping-particle":"","family":"Pella","given":"Daniel","non-dropping-particle":"","parse-names":false,"suffix":""},{"dropping-particle":"","family":"Lainscak","given":"Mitja","non-dropping-particle":"","parse-names":false,"suffix":""},{"dropping-particle":"","family":"Seung","given":"Ki Bae","non-dropping-particle":"","parse-names":false,"suffix":""},{"dropping-particle":"","family":"Commerford","given":"Patrick","non-dropping-particle":"","parse-names":false,"suffix":""},{"dropping-particle":"","family":"Dellborg","given":"Mikael","non-dropping-particle":"","parse-names":false,"suffix":""},{"dropping-particle":"","family":"Donath","given":"Marc","non-dropping-particle":"","parse-names":false,"suffix":""},{"dropping-particle":"","family":"Hwang","given":"Juey Jen","non-dropping-particle":"","parse-names":false,"suffix":""},{"dropping-particle":"","family":"Kultursay","given":"Hakan","non-dropping-particle":"","parse-names":false,"suffix":""},{"dropping-particle":"","family":"Flather","given":"Marcus","non-dropping-particle":"","parse-names":false,"suffix":""},{"dropping-particle":"","family":"Ballantyne","given":"Christie","non-dropping-particle":"","parse-names":false,"suffix":""},{"dropping-particle":"","family":"Bilazarian","given":"Seth","non-dropping-particle":"","parse-names":false,"suffix":""},{"dropping-particle":"","family":"Chang","given":"William","non-dropping-particle":"","parse-names":false,"suffix":""},{"dropping-particle":"","family":"East","given":"Cara","non-dropping-particle":"","parse-names":false,"suffix":""},{"dropping-particle":"","family":"Forgosh","given":"Les","non-dropping-particle":"","parse-names":false,"suffix":""},{"dropping-particle":"","family":"Harris","given":"Barry","non-dropping-particle":"","parse-names":false,"suffix":""},{"dropping-particle":"","family":"Ligueros","given":"Monica","non-dropping-particle":"","parse-names":false,"suffix":""}],"container-title":"The Lancet","id":"ITEM-1","issue":"10118","issued":{"date-parts":[["2018"]]},"page":"319-328","title":"Relationship of C-reactive protein reduction to cardiovascular event reduction following treatment with canakinumab: a secondary analysis from the CANTOS randomised controlled trial","type":"article-journal","volume":"391"},"uris":["http://www.mendeley.com/documents/?uuid=d4c24d39-1f05-4959-bccf-e9854aea8d2a"]},{"id":"ITEM-2","itemData":{"DOI":"10.1093/eurheartj/ehy310","ISSN":"15229645","abstract":"Aims Canakinumab, a monoclonal antibody targeting interleukin (IL)-1b, reduces rates of recurrent cardiovascular events without lowering lipids. It is uncertain, however, to what extent these beneficial cardiovascular outcomes are mediated through interleukin-6 (IL-6) signalling, an issue with substantial pathophysiologic consequences and therapeutic implications. Methods and results A total of 4833 stable atherosclerosis patients in the Canakinumab Anti-Inflammatory Thrombosis Outcomes Study (CANTOS) had IL-6 levels measured before randomization and after treatment with placebo or one of three doses of canakinumab (50 mg, 150 mg, or 300 mg) given subcutaneously once every 3 months. Participants were followed for up to 5 years (median follow-up 3.7 years). Compared with those allocated to placebo, CANTOS participants receiving canakinumab who achieved on-treatment IL-6 levels below the study median value of 1.65 ng/L experienced a 32% reduction in major adverse cardiovascular events [MACE, multivariable adjusted hazard ratio (HRadj) 0.68, 95% confidence interval (CI) 0.56-0.82; P &lt; 0.0001], a 30% reduction in MACE plus the additional endpoint of hospitalization for unstable angina requiring urgent revascularization (MACE, HRadj 0.70, 95% CI 0.59-0.84; P &lt; 0.0001), a 52% reduction in cardiovascular mortality (HRadj 0.48, 95% CI 0.34-0.68; P &lt; 0.0001), and a 48% reduction in all-cause mortality (HRadj 0.52, 95% CI 0.40-0.68; P &lt; 0.0001) with prolonged treatment. In contrast, those with on-treatment IL-6 levels equal to or above 1.65 ng/L after taking the first dose of canakinumab had no significant benefit for any of these endpoints. These differential findings based on the magnitude of IL-6 response were seen in analyses alternatively based on tertiles of on-treatment IL-6 levels, and in analyses using a statistical inference approach to estimate the effect of treatment among individuals who would achieve a targeted IL-6 level. Conclusion CANTOS provides proof of concept evidence in humans that modulation of the IL-6 signalling pathway, at least with canakinumab, associates with reduced cardiovascular event rates, independent of lipid lowering. Clinical trial registration ClinicalTrials.gov NCT01327846.","author":[{"dropping-particle":"","family":"Ridker","given":"Paul M.","non-dropping-particle":"","parse-names":false,"suffix":""},{"dropping-particle":"","family":"Libby","given":"Peter","non-dropping-particle":"","parse-names":false,"suffix":""},{"dropping-particle":"","family":"MacFadyen","given":"Jean G.","non-dropping-particle":"","parse-names":false,"suffix":""},{"dropping-particle":"","family":"Thuren","given":"Tom","non-dropping-particle":"","parse-names":false,"suffix":""},{"dropping-particle":"","family":"Ballantyne","given":"Christie","non-dropping-particle":"","parse-names":false,"suffix":""},{"dropping-particle":"","family":"Fonseca","given":"Francisco","non-dropping-particle":"","parse-names":false,"suffix":""},{"dropping-particle":"","family":"Koenig","given":"Wolfgang","non-dropping-particle":"","parse-names":false,"suffix":""},{"dropping-particle":"","family":"Shimokawa","given":"Hiroaki","non-dropping-particle":"","parse-names":false,"suffix":""},{"dropping-particle":"","family":"Everett","given":"Brendan M.","non-dropping-particle":"","parse-names":false,"suffix":""},{"dropping-particle":"","family":"Glynn","given":"Robert J.","non-dropping-particle":"","parse-names":false,"suffix":""}],"container-title":"European Heart Journal","id":"ITEM-2","issue":"38","issued":{"date-parts":[["2018"]]},"page":"3499-3507","title":"Modulation of the interleukin-6 signalling pathway and incidence rates of atherosclerotic events and all-cause mortality: Analyses from the Canakinumab Anti-Inflammatory Thrombosis Outcomes Study (CANTOS)","type":"article-journal","volume":"39"},"uris":["http://www.mendeley.com/documents/?uuid=d4532a68-f0d8-453f-8ef4-c5b4099a3833"]}],"mendeley":{"formattedCitation":"&lt;sup&gt;50 51&lt;/sup&gt;","plainTextFormattedCitation":"50 51","previouslyFormattedCitation":"&lt;sup&gt;49 50&lt;/sup&gt;"},"properties":{"noteIndex":0},"schema":"https://github.com/citation-style-language/schema/raw/master/csl-citation.json"}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50 51</w:t>
      </w:r>
      <w:r w:rsidR="00770C43" w:rsidRPr="00B6585E">
        <w:rPr>
          <w:rFonts w:ascii="Arial" w:hAnsi="Arial" w:cs="Arial"/>
          <w:color w:val="000000" w:themeColor="text1"/>
          <w:sz w:val="22"/>
          <w:szCs w:val="22"/>
        </w:rPr>
        <w:fldChar w:fldCharType="end"/>
      </w:r>
      <w:r w:rsidR="007766AA"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This was explained by the decreased inflammatory response in those patients receiving Canakinumab.</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{"citationItems":[{"id":"ITEM-1","itemData":{"DOI":"10.1016/S0140-6736(17)32814-3","ISSN":"1474547X","abstract":"Background: Canakinumab, a monoclonal antibody targeting interleukin-1β reduces inflammation and cardiovascular event rates with no effect on lipid concentrations. However, it is uncertain which patient groups benefit the most from treatment and whether reductions in the inflammatory biomarker high-sensitivity C-reactive protein (hsCRP) correlate with clinical benefits for individual patients. Methods: The Canakinumab Anti-Inflammatory Thrombosis Outcomes Study (CANTOS) used computer-generated codes to randomly allocate 10 061 men and women with a history of myocardial infarction to placebo or one of three doses of canakinumab (50 mg, 150 mg, or 300 mg) given subcutaneously once every 3 months. In a prespecified secondary analysis designed to address the relationship of hsCRP reduction to event reduction in CANTOS, we evaluated the effects of canakinumab on rates of major adverse cardiovascular events, cardiovascular mortality, and all-cause mortality according to on-treatment concentrations of hsCRP. We used multivariable modelling to adjust for baseline factors associated with achieved hsCRP and multiple sensitivity analyses to address the magnitude of residual confounding. The median follow-up was 3·7 years. The trial is registered with ClinicalTrials.gov, number NCT01327846. Findings: Baseline clinical characteristics did not define patient groups with greater or lesser cardiovascular benefits when treated with canakinumab. However, trial participants allocated to canakinumab who achieved hsCRP concentrations less than 2 mg/L had a 25% reduction in major adverse cardiovascular events (multivariable adjusted hazard ratio [HR adj ]=0·75, 95% CI 0·66–0·85, p&lt;0·0001), whereas no significant benefit was observed among those with on-treatment hsCRP concentrations of 2 mg/L or above (HR adj =0·90, 0·79–1·02, p=0·11). For those treated with canakinumab who achieved on-treatment hsCRP concentrations less than 2 mg/L, cardiovascular mortality (HR adj =0·69, 95% CI 0·56–0·85, p=0·0004) and all-cause mortality (HR adj =0·69, 0·58–0·81, p&lt;0·0001) were both reduced by 31%, whereas no significant reduction in these endpoints was observed among those treated with canakinumab who achieved hsCRP concentrations of 2 mg/L or above. Similar differential effects were found in analyses of the trial prespecified secondary cardiovascular endpoint (which additionally included hospitalisation for unstable angina requiring unplanned revascularisation) and in sensitivity analys…","author":[{"dropping-particle":"","family":"Ridker","given":"Paul M.","non-dropping-particle":"","parse-names":false,"suffix":""},{"dropping-particle":"","family":"MacFadyen","given":"Jean G.","non-dropping-particle":"","parse-names":false,"suffix":""},{"dropping-particle":"","family":"Everett","given":"Brendan M.","non-dropping-particle":"","parse-names":false,"suffix":""},{"dropping-particle":"","family":"Libby","given":"Peter","non-dropping-particle":"","parse-names":false,"suffix":""},{"dropping-particle":"","family":"Thuren","given":"Tom","non-dropping-particle":"","parse-names":false,"suffix":""},{"dropping-particle":"","family":"Glynn","given":"Robert J.","non-dropping-particle":"","parse-names":false,"suffix":""},{"dropping-particle":"","family":"Kastelein","given":"John","non-dropping-particle":"","parse-names":false,"suffix":""},{"dropping-particle":"","family":"Koenig","given":"Wolfgang","non-dropping-particle":"","parse-names":false,"suffix":""},{"dropping-particle":"","family":"Genest","given":"Jacques","non-dropping-particle":"","parse-names":false,"suffix":""},{"dropping-particle":"","family":"Lorenzatti","given":"Alberto","non-dropping-particle":"","parse-names":false,"suffix":""},{"dropping-particle":"","family":"Varigos","given":"John","non-dropping-particle":"","parse-names":false,"suffix":""},{"dropping-particle":"","family":"Siostrzonek","given":"Peter","non-dropping-particle":"","parse-names":false,"suffix":""},{"dropping-particle":"","family":"Sinnaeve","given":"Peter","non-dropping-particle":"","parse-names":false,"suffix":""},{"dropping-particle":"","family":"Fonseca","given":"Francisco","non-dropping-particle":"","parse-names":false,"suffix":""},{"dropping-particle":"","family":"Nicolau","given":"Jose","non-dropping-particle":"","parse-names":false,"suffix":""},{"dropping-particle":"","family":"Gotcheva","given":"Nina","non-dropping-particle":"","parse-names":false,"suffix":""},{"dropping-particle":"","family":"Yong","given":"Huo","non-dropping-particle":"","parse-names":false,"suffix":""},{"dropping-particle":"","family":"Urina-Triana","given":"Miguel","non-dropping-particle":"","parse-names":false,"suffix":""},{"dropping-particle":"","family":"Milicic","given":"Davor","non-dropping-particle":"","parse-names":false,"suffix":""},{"dropping-particle":"","family":"Cifkova","given":"Renata","non-dropping-particle":"","parse-names":false,"suffix":""},{"dropping-particle":"","family":"Vettus","given":"Riina","non-dropping-particle":"","parse-names":false,"suffix":""},{"dropping-particle":"","family":"Anker","given":"Stephan D.","non-dropping-particle":"","parse-names":false,"suffix":""},{"dropping-particle":"","family":"Manolis","given":"Athanasios J.","non-dropping-particle":"","parse-names":false,"suffix":""},{"dropping-particle":"","family":"Wyss","given":"Fernando","non-dropping-particle":"","parse-names":false,"suffix":""},{"dropping-particle":"","family":"Forster","given":"Tamas","non-dropping-particle":"","parse-names":false,"suffix":""},{"dropping-particle":"","family":"Sigurdsson","given":"Axel","non-dropping-particle":"","parse-names":false,"suffix":""},{"dropping-particle":"","family":"Pais","given":"Prem","non-dropping-particle":"","parse-names":false,"suffix":""},{"dropping-particle":"","family":"Fucili","given":"Alessandro","non-dropping-particle":"","parse-names":false,"suffix":""},{"dropping-particle":"","family":"Ogawa","given":"Hisao","non-dropping-particle":"","parse-names":false,"suffix":""},{"dropping-particle":"","family":"Shimokawa","given":"Hiroaki","non-dropping-particle":"","parse-names":false,"suffix":""},{"dropping-particle":"","family":"Veze","given":"Irina","non-dropping-particle":"","parse-names":false,"suffix":""},{"dropping-particle":"","family":"Petrauskiene","given":"Birute","non-dropping-particle":"","parse-names":false,"suffix":""},{"dropping-particle":"","family":"Salvador","given":"Leon","non-dropping-particle":"","parse-names":false,"suffix":""},{"dropping-particle":"","family":"Cornel","given":"Jan Hein","non-dropping-particle":"","parse-names":false,"suffix":""},{"dropping-particle":"","family":"Klemsdal","given":"Tor Ole","non-dropping-particle":"","parse-names":false,"suffix":""},{"dropping-particle":"","family":"Medina","given":"Felix","non-dropping-particle":"","parse-names":false,"suffix":""},{"dropping-particle":"","family":"Budaj","given":"Andrzej","non-dropping-particle":"","parse-names":false,"suffix":""},{"dropping-particle":"","family":"Vida-Simiti","given":"Luminita","non-dropping-particle":"","parse-names":false,"suffix":""},{"dropping-particle":"","family":"Kobalava","given":"Zhanna","non-dropping-particle":"","parse-names":false,"suffix":""},{"dropping-particle":"","family":"Otasevic","given":"Petar","non-dropping-particle":"","parse-names":false,"suffix":""},{"dropping-particle":"","family":"Pella","given":"Daniel","non-dropping-particle":"","parse-names":false,"suffix":""},{"dropping-particle":"","family":"Lainscak","given":"Mitja","non-dropping-particle":"","parse-names":false,"suffix":""},{"dropping-particle":"","family":"Seung","given":"Ki Bae","non-dropping-particle":"","parse-names":false,"suffix":""},{"dropping-particle":"","family":"Commerford","given":"Patrick","non-dropping-particle":"","parse-names":false,"suffix":""},{"dropping-particle":"","family":"Dellborg","given":"Mikael","non-dropping-particle":"","parse-names":false,"suffix":""},{"dropping-particle":"","family":"Donath","given":"Marc","non-dropping-particle":"","parse-names":false,"suffix":""},{"dropping-particle":"","family":"Hwang","given":"Juey Jen","non-dropping-particle":"","parse-names":false,"suffix":""},{"dropping-particle":"","family":"Kultursay","given":"Hakan","non-dropping-particle":"","parse-names":false,"suffix":""},{"dropping-particle":"","family":"Flather","given":"Marcus","non-dropping-particle":"","parse-names":false,"suffix":""},{"dropping-particle":"","family":"Ballantyne","given":"Christie","non-dropping-particle":"","parse-names":false,"suffix":""},{"dropping-particle":"","family":"Bilazarian","given":"Seth","non-dropping-particle":"","parse-names":false,"suffix":""},{"dropping-particle":"","family":"Chang","given":"William","non-dropping-particle":"","parse-names":false,"suffix":""},{"dropping-particle":"","family":"East","given":"Cara","non-dropping-particle":"","parse-names":false,"suffix":""},{"dropping-particle":"","family":"Forgosh","given":"Les","non-dropping-particle":"","parse-names":false,"suffix":""},{"dropping-particle":"","family":"Harris","given":"Barry","non-dropping-particle":"","parse-names":false,"suffix":""},{"dropping-particle":"","family":"Ligueros","given":"Monica","non-dropping-particle":"","parse-names":false,"suffix":""}],"container-title":"The Lancet","id":"ITEM-1","issue":"10118","issued":{"date-parts":[["2018"]]},"page":"319-328","title":"Relationship of C-reactive protein reduction to cardiovascular event reduction following treatment with canakinumab: a secondary analysis from the CANTOS randomised controlled trial","type":"article-journal","volume":"391"},"uris":["http://www.mendeley.com/documents/?uuid=d4c24d39-1f05-4959-bccf-e9854aea8d2a"]},{"id":"ITEM-2","itemData":{"DOI":"10.1093/eurheartj/ehy310","ISSN":"15229645","abstract":"Aims Canakinumab, a monoclonal antibody targeting interleukin (IL)-1b, reduces rates of recurrent cardiovascular events without lowering lipids. It is uncertain, however, to what extent these beneficial cardiovascular outcomes are mediated through interleukin-6 (IL-6) signalling, an issue with substantial pathophysiologic consequences and therapeutic implications. Methods and results A total of 4833 stable atherosclerosis patients in the Canakinumab Anti-Inflammatory Thrombosis Outcomes Study (CANTOS) had IL-6 levels measured before randomization and after treatment with placebo or one of three doses of canakinumab (50 mg, 150 mg, or 300 mg) given subcutaneously once every 3 months. Participants were followed for up to 5 years (median follow-up 3.7 years). Compared with those allocated to placebo, CANTOS participants receiving canakinumab who achieved on-treatment IL-6 levels below the study median value of 1.65 ng/L experienced a 32% reduction in major adverse cardiovascular events [MACE, multivariable adjusted hazard ratio (HRadj) 0.68, 95% confidence interval (CI) 0.56-0.82; P &lt; 0.0001], a 30% reduction in MACE plus the additional endpoint of hospitalization for unstable angina requiring urgent revascularization (MACE, HRadj 0.70, 95% CI 0.59-0.84; P &lt; 0.0001), a 52% reduction in cardiovascular mortality (HRadj 0.48, 95% CI 0.34-0.68; P &lt; 0.0001), and a 48% reduction in all-cause mortality (HRadj 0.52, 95% CI 0.40-0.68; P &lt; 0.0001) with prolonged treatment. In contrast, those with on-treatment IL-6 levels equal to or above 1.65 ng/L after taking the first dose of canakinumab had no significant benefit for any of these endpoints. These differential findings based on the magnitude of IL-6 response were seen in analyses alternatively based on tertiles of on-treatment IL-6 levels, and in analyses using a statistical inference approach to estimate the effect of treatment among individuals who would achieve a targeted IL-6 level. Conclusion CANTOS provides proof of concept evidence in humans that modulation of the IL-6 signalling pathway, at least with canakinumab, associates with reduced cardiovascular event rates, independent of lipid lowering. Clinical trial registration ClinicalTrials.gov NCT01327846.","author":[{"dropping-particle":"","family":"Ridker","given":"Paul M.","non-dropping-particle":"","parse-names":false,"suffix":""},{"dropping-particle":"","family":"Libby","given":"Peter","non-dropping-particle":"","parse-names":false,"suffix":""},{"dropping-particle":"","family":"MacFadyen","given":"Jean G.","non-dropping-particle":"","parse-names":false,"suffix":""},{"dropping-particle":"","family":"Thuren","given":"Tom","non-dropping-particle":"","parse-names":false,"suffix":""},{"dropping-particle":"","family":"Ballantyne","given":"Christie","non-dropping-particle":"","parse-names":false,"suffix":""},{"dropping-particle":"","family":"Fonseca","given":"Francisco","non-dropping-particle":"","parse-names":false,"suffix":""},{"dropping-particle":"","family":"Koenig","given":"Wolfgang","non-dropping-particle":"","parse-names":false,"suffix":""},{"dropping-particle":"","family":"Shimokawa","given":"Hiroaki","non-dropping-particle":"","parse-names":false,"suffix":""},{"dropping-particle":"","family":"Everett","given":"Brendan M.","non-dropping-particle":"","parse-names":false,"suffix":""},{"dropping-particle":"","family":"Glynn","given":"Robert J.","non-dropping-particle":"","parse-names":false,"suffix":""}],"container-title":"European Heart Journal","id":"ITEM-2","issue":"38","issued":{"date-parts":[["2018"]]},"page":"3499-3507","title":"Modulation of the interleukin-6 signalling pathway and incidence rates of atherosclerotic events and all-cause mortality: Analyses from the Canakinumab Anti-Inflammatory Thrombosis Outcomes Study (CANTOS)","type":"article-journal","volume":"39"},"uris":["http://www.mendeley.com/documents/?uuid=d4532a68-f0d8-453f-8ef4-c5b4099a3833"]}],"mendeley":{"formattedCitation":"&lt;sup&gt;50 51&lt;/sup&gt;","plainTextFormattedCitation":"50 51","previouslyFormattedCitation":"&lt;sup&gt;49 50&lt;/sup&gt;"},"properties":{"noteIndex":0},"schema":"https://github.com/citation-style-language/schema/raw/master/csl-citation.json"}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50 51</w:t>
      </w:r>
      <w:r w:rsidR="00770C43" w:rsidRPr="00B6585E">
        <w:rPr>
          <w:rFonts w:ascii="Arial" w:hAnsi="Arial" w:cs="Arial"/>
          <w:color w:val="000000" w:themeColor="text1"/>
          <w:sz w:val="22"/>
          <w:szCs w:val="22"/>
        </w:rPr>
        <w:fldChar w:fldCharType="end"/>
      </w:r>
      <w:r w:rsidR="007766AA" w:rsidRPr="00B6585E">
        <w:rPr>
          <w:rFonts w:ascii="Arial" w:hAnsi="Arial" w:cs="Arial"/>
          <w:color w:val="000000" w:themeColor="text1"/>
          <w:sz w:val="22"/>
          <w:szCs w:val="22"/>
        </w:rPr>
        <w:t xml:space="preserve"> </w:t>
      </w:r>
    </w:p>
    <w:p w14:paraId="13BC7D2D" w14:textId="77777777" w:rsidR="00D33402" w:rsidRPr="00B6585E" w:rsidRDefault="00D33402" w:rsidP="00D33402">
      <w:pPr>
        <w:spacing w:line="276" w:lineRule="auto"/>
        <w:jc w:val="both"/>
        <w:rPr>
          <w:color w:val="000000" w:themeColor="text1"/>
        </w:rPr>
      </w:pPr>
    </w:p>
    <w:p w14:paraId="411AF3DA" w14:textId="435C1DEF" w:rsidR="00D33402" w:rsidRPr="00B6585E" w:rsidRDefault="00D33402" w:rsidP="00D33402">
      <w:pPr>
        <w:jc w:val="both"/>
        <w:rPr>
          <w:rFonts w:ascii="Arial" w:hAnsi="Arial" w:cs="Arial"/>
          <w:color w:val="000000" w:themeColor="text1"/>
          <w:sz w:val="22"/>
          <w:szCs w:val="22"/>
          <w:vertAlign w:val="superscript"/>
        </w:rPr>
      </w:pPr>
      <w:r w:rsidRPr="00B6585E">
        <w:rPr>
          <w:rFonts w:ascii="Arial" w:hAnsi="Arial" w:cs="Arial"/>
          <w:color w:val="000000" w:themeColor="text1"/>
          <w:sz w:val="22"/>
          <w:szCs w:val="22"/>
        </w:rPr>
        <w:t>The effect of inflammation on the incidence of cardiovascular events, specifically in patients undergoing noncardiac surgery is still lacking. Postoperative IL-6 concentration was shown to be an independent predictor for postoperative cardiovascular complications in patients with increased cardiac risk factors.</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{"citationItems":[{"id":"ITEM-1","itemData":{"DOI":"10.1097/SLA.0000000000001342","ISBN":"0000000000","ISSN":"15281140","abstract":"Objective: To assess the association of systemic inflammation and outcome after major abdominal surgery. Background: Major abdominal surgery carries a high postoperative morbidity and mortality rate. Studies suggest that inflammation is associated with unfavorable outcome. Methods: Levels of C-reactive protein (CRP), interleukin-6 (IL-6), and tumor necrosis factor-a and the systemic inflammatory response syndrome (SIRS) were assessed in 137 patients undergoing major abdominal surgery. Blood samples were drawn on days 0, 1, 3, and 7, and SIRS was scored during 48 hours after surgery. Primary outcome was a composite of mortality, pneumonia, sepsis, anastomotic dehiscence, wound infection, noncardiac respiratory failure, atrial fibrillation, congestive heart failure, myocardial infarction, and reoperation within 30 days of surgery. Results: An IL-6 level more than 432 pg/mL on day 1 was associated with an increased risk of complications (adjusted odds ratio: 3.3; 95% confidence interval [CI]: 1.3-8.5) and a longer median length of hospital stay (7 vs 12 days, P &lt; 0.001). As a single test, an IL-6 cut-off level of 432 pg/mL on day 1 yielded a specificity of 70% and a sensitivity of 64% for the prediction of complications (area under the curve: 0.67; 95% CI: 0.56-0.77). Levels of CRP started to discriminate from day 3 onward with a specificity of 87% and a sensitivity of 58% for a cut-off level of 203 mg/L (AUC: 0.73; 95% CI: 0.63-0.83). Conclusions: A high IL-6 level on day 1 is associated with postoperative complications. Levels of IL-6 help distinguish between patients at low and high risk for complications before changes in levels of CRP.","author":[{"dropping-particle":"","family":"Rettig","given":"Thijs C.D.","non-dropping-particle":"","parse-names":false,"suffix":""},{"dropping-particle":"","family":"Verwijmeren","given":"Lisa","non-dropping-particle":"","parse-names":false,"suffix":""},{"dropping-particle":"","family":"Dijkstra","given":"Ineke M.","non-dropping-particle":"","parse-names":false,"suffix":""},{"dropping-particle":"","family":"Boerma","given":"Djamila","non-dropping-particle":"","parse-names":false,"suffix":""},{"dropping-particle":"","family":"Garde","given":"Ewoudt M.W.","non-dropping-particle":"Van De","parse-names":false,"suffix":""},{"dropping-particle":"","family":"Noordzij","given":"Peter G.","non-dropping-particle":"","parse-names":false,"suffix":""}],"container-title":"Annals of Surgery","id":"ITEM-1","issue":"6","issued":{"date-parts":[["2016"]]},"page":"1207-1212","title":"Postoperative interleukin-6 level and early detection of complications after elective major abdominal surgery","type":"article-journal","volume":"263"},"uris":["http://www.mendeley.com/documents/?uuid=637bce30-046f-4bc8-a8bb-2dd5ae0131da"]}],"mendeley":{"formattedCitation":"&lt;sup&gt;46&lt;/sup&gt;","plainTextFormattedCitation":"46","previouslyFormattedCitation":"&lt;sup&gt;45&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46</w:t>
      </w:r>
      <w:r w:rsidR="00770C43"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In an experimental setting, Levosimendan significantly decreases IL-1</w:t>
      </w:r>
      <w:r w:rsidRPr="00B6585E">
        <w:rPr>
          <w:rFonts w:ascii="Arial" w:hAnsi="Arial" w:cs="Arial"/>
          <w:color w:val="000000" w:themeColor="text1"/>
          <w:sz w:val="22"/>
          <w:szCs w:val="22"/>
        </w:rPr>
        <w:sym w:font="Symbol" w:char="F062"/>
      </w:r>
      <w:r w:rsidRPr="00B6585E">
        <w:rPr>
          <w:rFonts w:ascii="Arial" w:hAnsi="Arial" w:cs="Arial"/>
          <w:color w:val="000000" w:themeColor="text1"/>
          <w:sz w:val="22"/>
          <w:szCs w:val="22"/>
        </w:rPr>
        <w:t xml:space="preserve"> induced expression of IL-6 in human cardiac myocytes and human endothelial cells.</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{"citationItems":[{"id":"ITEM-1","itemData":{"DOI":"10.1160/TH14-06-0549","ISSN":"03406245","abstract":"Levosimendan is a positive inotropic drug for the treatment of acute decompensated heart failure (HF). Clinical trials showed that levosimendan was particularly effective in HF due to myocardial infarction. Myocardial necrosis induces a strong inflammatory response, involving chemoattractants guiding polymorphonuclear neutrophils (PMN) into the infarcted myocardial tissue. Our aim was to examine whether levosimendan exhibits anti-inflammatory effects on human adult cardiac myocytes (HACM) and human heart microvascular endothelial cells (HHMEC). Cardiac myocytes and endothelial cells were stimulated with interleukin-1β (IL)-1β (200 U/ml) and treated with levosimendan (0.1–10 μM) for 2–48 hours. IL-1β strongly induced expression of IL-6 and IL-8 in HACM and E-selectin and intercellular adhesion molecule-1 (ICAM-1) in HHMEC and human umbilical vein endothelial cells (HUVEC). Treatment with levosimendan strongly attenuated IL-1β-induced expression of IL-6 and IL-8 in HACM as well as E-selectin and ICAM-1 in ECs. Levosimendan treatment further reduced adhesion of PMN to activated endothelial cells under both static and flow conditions by approximately 50 %. Incubation with 5-hydroxydecanoic acid, a selective blocker of mitochondrial ATP-dependent potassium channels, partly abolished the above seen anti-inflammatory effects. Additionally, levosimendan strongly diminished IL-1β-induced reactive oxygen species and nuclear factor-κB (NF-κB) activity through inhibition of S536 phosphorylation. In conclusion, levosimendan exhibits anti-inflammatory effects on cardiac myocytes and endothelial cells in vitro. These findings could explain, at least in part, the beneficial effects of levosimendan after myocardial infarction.","author":[{"dropping-particle":"","family":"Krychtiuk","given":"Konstantin A.","non-dropping-particle":"","parse-names":false,"suffix":""},{"dropping-particle":"","family":"Watzke","given":"Lukas","non-dropping-particle":"","parse-names":false,"suffix":""},{"dropping-particle":"","family":"Kaun","given":"Christoph","non-dropping-particle":"","parse-names":false,"suffix":""},{"dropping-particle":"","family":"Buchberger","given":"Elisabeth","non-dropping-particle":"","parse-names":false,"suffix":""},{"dropping-particle":"","family":"Hofer-Warbinek","given":"Renate","non-dropping-particle":"","parse-names":false,"suffix":""},{"dropping-particle":"","family":"Demyanets","given":"Svitlana","non-dropping-particle":"","parse-names":false,"suffix":""},{"dropping-particle":"","family":"Pisoni","given":"Julia","non-dropping-particle":"","parse-names":false,"suffix":""},{"dropping-particle":"","family":"Kastl","given":"Stefan P.","non-dropping-particle":"","parse-names":false,"suffix":""},{"dropping-particle":"","family":"Rauscher","given":"Sabine","non-dropping-particle":"","parse-names":false,"suffix":""},{"dropping-particle":"","family":"Gröger","given":"Marion","non-dropping-particle":"","parse-names":false,"suffix":""},{"dropping-particle":"","family":"Aliabadi","given":"Arezu","non-dropping-particle":"","parse-names":false,"suffix":""},{"dropping-particle":"","family":"Zuckermann","given":"Andreas","non-dropping-particle":"","parse-names":false,"suffix":""},{"dropping-particle":"","family":"Maurer","given":"Gerald","non-dropping-particle":"","parse-names":false,"suffix":""},{"dropping-particle":"","family":"Martin","given":"Rainer","non-dropping-particle":"de","parse-names":false,"suffix":""},{"dropping-particle":"","family":"Huber","given":"Kurt","non-dropping-particle":"","parse-names":false,"suffix":""},{"dropping-particle":"","family":"Wojta","given":"Johann","non-dropping-particle":"","parse-names":false,"suffix":""},{"dropping-particle":"","family":"Speidl","given":"Walter S.","non-dropping-particle":"","parse-names":false,"suffix":""}],"container-title":"Thrombosis and Haemostasis","id":"ITEM-1","issue":"2","issued":{"date-parts":[["2015"]]},"page":"350-362","title":"Levosimendan exerts anti-inflammatory effects on cardiac myocytes and endothelial cells in vitro","type":"article-journal","volume":"113"},"uris":["http://www.mendeley.com/documents/?uuid=d3ca8156-8857-4531-b0ca-6f6e4a076699"]},{"id":"ITEM-2","itemData":{"DOI":"10.1177/1099800419861694","ISSN":"15524175","abstract":"Levosimendan is a myocardial Ca2+ sensitizer and opener of ATP-dependent potassium channels with inotropic, vasodilating, and cardioprotective properties. It was originally developed for the treatment of acute decompensated heart failure, but its complex mechanism of action means that it could also play a role in organ protection in response to infection. Using an in vitro approach, we explored whether levosimendan administration influenced cell responses to lipopolysaccharide (LPS). Primary human umbilical vein endothelial cells were stimulated with 1 µg/ml LPS from Escherichia coli (E. coli). Cells were treated with levosimendan at 0, 0.1, 1, or 10 µM 3 hr later. Samples were taken 24 hr after treatment to measure cell necrosis, apoptosis, pro-inflammatory mediators (interleukin 6 [IL-6] and toll-like receptor 4 [TLR4]), and oxidative stress (total reactive oxygen species/reactive nitrogen species [ROS/RNS]). Levosimendan at 1 and 10 µM protected against LPS-induced endothelial cell death and reduced TLR4 expression (p &lt;.05). All doses reduced levels of IL-6 and ROS/RNS (p &lt;.05). Findings suggest that levosimendan may exert protective effects against endothelial cell death in this model via attenuation of inflammation and oxidative stress pathways. Future studies might explore the potential beneficial role of levosimendan in modulating molecular mechanisms triggered by infections.","author":[{"dropping-particle":"","family":"Rodríguez-González","given":"Raquel","non-dropping-particle":"","parse-names":false,"suffix":""},{"dropping-particle":"","family":"Pollesello","given":"Piero","non-dropping-particle":"","parse-names":false,"suffix":""},{"dropping-particle":"","family":"Baluja","given":"Aurora","non-dropping-particle":"","parse-names":false,"suffix":""},{"dropping-particle":"","family":"Álvarez","given":"Julián","non-dropping-particle":"","parse-names":false,"suffix":""}],"container-title":"Biological Research for Nursing","id":"ITEM-2","issue":"5","issued":{"date-parts":[["2019"]]},"page":"466-472","title":"Effects of Levosimendan on Inflammation and Oxidative Stress Pathways in a Lipopolysaccharide-Stimulated Human Endothelial Cell Model","type":"article-journal","volume":"21"},"uris":["http://www.mendeley.com/documents/?uuid=681eb313-aa2f-43f9-bffa-fb7f91a6ddf9"]}],"mendeley":{"formattedCitation":"&lt;sup&gt;52 53&lt;/sup&gt;","plainTextFormattedCitation":"52 53","previouslyFormattedCitation":"&lt;sup&gt;51 52&lt;/sup&gt;"},"properties":{"noteIndex":0},"schema":"https://github.com/citation-style-language/schema/raw/master/csl-citation.json"}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52 53</w:t>
      </w:r>
      <w:r w:rsidR="00770C43" w:rsidRPr="00B6585E">
        <w:rPr>
          <w:rFonts w:ascii="Arial" w:hAnsi="Arial" w:cs="Arial"/>
          <w:color w:val="000000" w:themeColor="text1"/>
          <w:sz w:val="22"/>
          <w:szCs w:val="22"/>
        </w:rPr>
        <w:fldChar w:fldCharType="end"/>
      </w:r>
      <w:r w:rsidR="007766AA"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t>Moreover, the administration of Levosimendan significantly reduced serum IL-6 and CRP levels in patients with severe heart failure.</w:t>
      </w:r>
      <w:r w:rsidR="00770C43" w:rsidRPr="00B6585E">
        <w:rPr>
          <w:rFonts w:ascii="Arial" w:hAnsi="Arial" w:cs="Arial"/>
          <w:color w:val="000000" w:themeColor="text1"/>
          <w:sz w:val="22"/>
          <w:szCs w:val="22"/>
        </w:rPr>
        <w:fldChar w:fldCharType="begin" w:fldLock="1"/>
      </w:r>
      <w:r w:rsidR="00D02927" w:rsidRPr="00B6585E">
        <w:rPr>
          <w:rFonts w:ascii="Arial" w:hAnsi="Arial" w:cs="Arial"/>
          <w:color w:val="000000" w:themeColor="text1"/>
          <w:sz w:val="22"/>
          <w:szCs w:val="22"/>
        </w:rPr>
        <w:instrText>ADDIN CSL_CITATION {"citationItems":[{"id":"ITEM-1","itemData":{"DOI":"10.1016/j.ijcard.2004.02.013","ISSN":"01675273","abstract":"Background: Plasma B-type natriuretic peptide (BNP) and interleukin 6 (IL-6) levels have recently been demonstrated as significant neurohormonal markers associated with the progression of chronic heart failure (CHF). Additionally, clinical studies have shown that the calcium sensitizer, levosimendan, beneficially affects the central hemodynamics of CHF patients and improves their long-term prognosis. This study investigates whether levosimendan-induced hemodynamic improvement of CHF patients is related to the respective changes of NT-proBNP and IL-6 levels. Methods: Circulating levels of NT-pro BNP and IL-6 were measured by enzyme-linked immunosorbent assay (ELISA) in 12 patients with decompensated advanced CHF at baseline, immediately after the end of a 24-h levosimendan infusion and 72 h after the initiation of treatment. Hemodynamic parameters of patients (pulmonary wedge and pulmonary artery pressure (PAP), systemic and pulmonary vascular resistance (PVR), stroke volume, and cardiac output and index) were also monitored during the same period. Results: NT-proBNP and IL-6 levels were significantly reduced in severe CHF patients within 72 h after the initiation of levosimendan treatment (p&lt;0.01 and p&lt;0.05, respectively). A significant reduction of pulmonary wedge (p&lt;0.01) and artery pressure values (p&lt;0.05) was also found during the same period. A good correlation between the levosimendan-induced changes in NT-proBNP levels and the respective reduction of pulmonary wedge pressure (r s =0.65, p&lt;0.05) was observed. Conclusions: Our results indicate that changes of NT-pro BNP and IL-6 levels may be useful biochemical markers related with the levosimendan-induced improvement in central hemodynamics and the clinical status of decompensated advanced CHF patients. © 2004 Elsevier Ireland Ltd. All rights reserved.","author":[{"dropping-particle":"","family":"Kyrzopoulos","given":"Stamos","non-dropping-particle":"","parse-names":false,"suffix":""},{"dropping-particle":"","family":"Adamopoulos","given":"Stamatis","non-dropping-particle":"","parse-names":false,"suffix":""},{"dropping-particle":"","family":"Parissis","given":"John T.","non-dropping-particle":"","parse-names":false,"suffix":""},{"dropping-particle":"","family":"Rassias","given":"John","non-dropping-particle":"","parse-names":false,"suffix":""},{"dropping-particle":"","family":"Kostakis","given":"George","non-dropping-particle":"","parse-names":false,"suffix":""},{"dropping-particle":"","family":"Iliodromitis","given":"Efstathios","non-dropping-particle":"","parse-names":false,"suffix":""},{"dropping-particle":"","family":"Degiannis","given":"Dimitrios","non-dropping-particle":"","parse-names":false,"suffix":""},{"dropping-particle":"","family":"Kremastinos","given":"Dimitrios Th","non-dropping-particle":"","parse-names":false,"suffix":""}],"container-title":"International Journal of Cardiology","id":"ITEM-1","issue":"3","issued":{"date-parts":[["2005"]]},"page":"409-413","title":"Levosimendan reduces plasma B-type natriuretic peptide and interleukin 6, and improves central hemodynamics in severe heart failure patients","type":"article-journal","volume":"99"},"uris":["http://www.mendeley.com/documents/?uuid=a8b54ca1-4783-41e6-bc20-5cb542841b90"]},{"id":"ITEM-2","itemData":{"DOI":"10.1016/j.ejheart.2006.03.003","ISSN":"13889842","abstract":"Background: The calcium sensitizer levosimendan improves myocardial contractility in patients with heart failure, although its effects on inflammation and apoptosis are unknown. Aim: To examine the effects of levosimendan on markers of inflammation and apoptosis, over a period of 30 d following a 24 h infusion, in patients with heart failure. Methods: Thirty four patients with severe heart failure were randomised to receive a 24 h infusion of levosimendan or placebo, in a double-blind trial. Haemodynamic evaluation and blood sampling were performed at baseline, 24 h, 30 h, 48 h, 7 d and 30 d after the end of the infusion. Results: Seven patients (1 levosimendan, 6 placebo), were excluded during follow-up. In the remaining 27 patients, levosimendan decreased serum IL-6 and sFAS, 24 h after the infusion (p &lt; 0.01 and p &lt; 0.05 vs baseline), an effect sustained for 7-30 d. Serum TNF-α and sTNF-R1 were decreased between 48 h (p &lt; 0.01 vs baseline for both) and 7 d (p &lt; 0.05 vs baseline for sTNF-R1) after infusion. Serum sTNF-R2 was decreased at 24 h (p &lt; 0.05 vs baseline) and remained lower than baseline for at least 7 d (p &lt; 0.05). Conclusions: These findings indicate that levosimendan decreases the expression of proinflammatory cytokines, TNF-α receptors and sFAS, immediately after infusion, an effect which persists for 7-30 d. © 2006 European Society of Cardiology.","author":[{"dropping-particle":"","family":"Trikas","given":"Athanasios","non-dropping-particle":"","parse-names":false,"suffix":""},{"dropping-particle":"","family":"Antoniades","given":"Charalambos","non-dropping-particle":"","parse-names":false,"suffix":""},{"dropping-particle":"","family":"Latsios","given":"Giorgos","non-dropping-particle":"","parse-names":false,"suffix":""},{"dropping-particle":"","family":"Vasiliadou","given":"Karmen","non-dropping-particle":"","parse-names":false,"suffix":""},{"dropping-particle":"","family":"Karamitros","given":"Ioannis","non-dropping-particle":"","parse-names":false,"suffix":""},{"dropping-particle":"","family":"Tousoulis","given":"Dimitris","non-dropping-particle":"","parse-names":false,"suffix":""},{"dropping-particle":"","family":"Tentolouris","given":"Costantinos","non-dropping-particle":"","parse-names":false,"suffix":""},{"dropping-particle":"","family":"Stefanadis","given":"Christodoulos","non-dropping-particle":"","parse-names":false,"suffix":""}],"container-title":"European Journal of Heart Failure","id":"ITEM-2","issue":"8","issued":{"date-parts":[["2006"]]},"page":"804-809","title":"Long-term effects of levosimendan infusion on inflammatory processes and sFas in patients with severe heart failure","type":"article-journal","volume":"8"},"uris":["http://www.mendeley.com/documents/?uuid=52d36e0c-644e-4e05-962a-5b0f43796367"]},{"id":"ITEM-3","itemData":{"DOI":"10.1136/hrt.2006.079707","ISSN":"13556037","abstract":"Background: Levosimendan is a novel inodilator that improves central haemodynamics and symptoms of patients with decompensated chronic heart failure. The role, however, of repeated levosimendan infusions in the management of these patients has not yet been properly assessed. Purpose: This randomised placebo-controlled trial investigated the effects of serial levosimendan infusions on cardiac geometry and function, and on biomarkers of myocardial injury and neurohormonal and immune activation (troponin T, N-terminal B-type natriuretic pro-peptide (NT-proBNP), C reactive protein (CRP) and interleukin (IL) 6) in patients with advanced heart failure. Methods: 25 patients with decompensated chronic heart failure were randomised (2:1) to receive five serial 24-h infusions (every 3 weeks) of either levosimendan (n = 17) or placebo (n = 8), and were evaluated echocardiographically and biochemically before and after each drug infusion and 30 days after the final infusion. Results: Following treatment, cardiac end-systolic and end-diastolic dimension and volume indices were significantly reduced only in the levosimendan-treated patients (p&lt;0.01). A significant decrease in NT-proBNP (p&lt;0.01), high-sensitivity CRP (p&lt;0.01) and plasma IL6 (p=0.05) was also observed in the levosimendan group, whereas these markers remained unchanged in the placebo group; similar changes were observed after each drug infusion. Although the number of patients with a positive troponin T (≥0.01 ng/ml) was not different between the two groups at baseline, it was significantly higher in the placebo-treated group during the final evaluation (p&lt;0.05). Conclusion: Serial levosimendan treatments improved left ventricular performance and modulated neurohormonal and immune activation beneficially in patients with advanced heart failure, without increasing myocardial injury.","author":[{"dropping-particle":"","family":"Parissis","given":"J. T.","non-dropping-particle":"","parse-names":false,"suffix":""},{"dropping-particle":"","family":"Adamopoulos","given":"S.","non-dropping-particle":"","parse-names":false,"suffix":""},{"dropping-particle":"","family":"Farmakis","given":"D.","non-dropping-particle":"","parse-names":false,"suffix":""},{"dropping-particle":"","family":"Filippatos","given":"G.","non-dropping-particle":"","parse-names":false,"suffix":""},{"dropping-particle":"","family":"Paraskevaidis","given":"I.","non-dropping-particle":"","parse-names":false,"suffix":""},{"dropping-particle":"","family":"Panou","given":"F.","non-dropping-particle":"","parse-names":false,"suffix":""},{"dropping-particle":"","family":"Iliodromitis","given":"E.","non-dropping-particle":"","parse-names":false,"suffix":""},{"dropping-particle":"","family":"Kremastinos","given":"D. Th","non-dropping-particle":"","parse-names":false,"suffix":""}],"container-title":"Heart","id":"ITEM-3","issue":"12","issued":{"date-parts":[["2006"]]},"page":"1768-1772","title":"Effects of serial levosimendan infusions on left ventricular performance and plasma biomarkers of myocardial injury and neurohormonal and immune activation in patients with advanced heart failure","type":"article-journal","volume":"92"},"uris":["http://www.mendeley.com/documents/?uuid=bca5d345-1a1e-4180-8681-33bb5bedcc4d"]}],"mendeley":{"formattedCitation":"&lt;sup&gt;54–56&lt;/sup&gt;","plainTextFormattedCitation":"54–56","previouslyFormattedCitation":"&lt;sup&gt;53–55&lt;/sup&gt;"},"properties":{"noteIndex":0},"schema":"https://github.com/citation-style-language/schema/raw/master/csl-citation.json"}</w:instrText>
      </w:r>
      <w:r w:rsidR="00770C43" w:rsidRPr="00B6585E">
        <w:rPr>
          <w:rFonts w:ascii="Arial" w:hAnsi="Arial" w:cs="Arial"/>
          <w:color w:val="000000" w:themeColor="text1"/>
          <w:sz w:val="22"/>
          <w:szCs w:val="22"/>
        </w:rPr>
        <w:fldChar w:fldCharType="separate"/>
      </w:r>
      <w:r w:rsidR="00D02927" w:rsidRPr="00B6585E">
        <w:rPr>
          <w:rFonts w:ascii="Arial" w:hAnsi="Arial" w:cs="Arial"/>
          <w:noProof/>
          <w:color w:val="000000" w:themeColor="text1"/>
          <w:sz w:val="22"/>
          <w:szCs w:val="22"/>
          <w:vertAlign w:val="superscript"/>
        </w:rPr>
        <w:t>54–56</w:t>
      </w:r>
      <w:r w:rsidR="00770C43" w:rsidRPr="00B6585E">
        <w:rPr>
          <w:rFonts w:ascii="Arial" w:hAnsi="Arial" w:cs="Arial"/>
          <w:color w:val="000000" w:themeColor="text1"/>
          <w:sz w:val="22"/>
          <w:szCs w:val="22"/>
        </w:rPr>
        <w:fldChar w:fldCharType="end"/>
      </w:r>
    </w:p>
    <w:p w14:paraId="5998447E" w14:textId="418883EB" w:rsidR="00D33402" w:rsidRPr="00B6585E" w:rsidRDefault="00D33402" w:rsidP="00D33402">
      <w:pPr>
        <w:jc w:val="both"/>
        <w:rPr>
          <w:rFonts w:ascii="Arial" w:hAnsi="Arial" w:cs="Arial"/>
          <w:color w:val="000000" w:themeColor="text1"/>
          <w:sz w:val="22"/>
          <w:szCs w:val="22"/>
          <w:vertAlign w:val="superscript"/>
        </w:rPr>
      </w:pPr>
    </w:p>
    <w:p w14:paraId="2D39A8A9" w14:textId="5C862D0F" w:rsidR="00D33402" w:rsidRPr="00B6585E" w:rsidRDefault="00D33402" w:rsidP="00D33402">
      <w:pPr>
        <w:jc w:val="both"/>
        <w:rPr>
          <w:rFonts w:ascii="Arial" w:hAnsi="Arial" w:cs="Arial"/>
          <w:b/>
          <w:bCs/>
          <w:color w:val="000000" w:themeColor="text1"/>
          <w:sz w:val="22"/>
          <w:szCs w:val="22"/>
        </w:rPr>
      </w:pPr>
      <w:r w:rsidRPr="00B6585E">
        <w:rPr>
          <w:rFonts w:ascii="Arial" w:hAnsi="Arial" w:cs="Arial"/>
          <w:b/>
          <w:bCs/>
          <w:color w:val="000000" w:themeColor="text1"/>
          <w:sz w:val="22"/>
          <w:szCs w:val="22"/>
        </w:rPr>
        <w:t>Figure 1/IV</w:t>
      </w:r>
    </w:p>
    <w:p w14:paraId="4209B721" w14:textId="77777777" w:rsidR="00D33402" w:rsidRPr="00B6585E" w:rsidRDefault="00D33402" w:rsidP="00D33402">
      <w:pPr>
        <w:spacing w:line="276" w:lineRule="auto"/>
        <w:jc w:val="both"/>
        <w:rPr>
          <w:color w:val="000000" w:themeColor="text1"/>
        </w:rPr>
      </w:pPr>
    </w:p>
    <w:p w14:paraId="09C34B07" w14:textId="77777777" w:rsidR="00D33402" w:rsidRPr="00B6585E" w:rsidRDefault="00D33402" w:rsidP="00D33402">
      <w:pPr>
        <w:keepNext/>
        <w:spacing w:line="276" w:lineRule="auto"/>
        <w:jc w:val="both"/>
        <w:rPr>
          <w:color w:val="000000" w:themeColor="text1"/>
          <w:sz w:val="20"/>
          <w:szCs w:val="20"/>
        </w:rPr>
      </w:pPr>
      <w:r w:rsidRPr="00B6585E">
        <w:rPr>
          <w:noProof/>
          <w:color w:val="000000" w:themeColor="text1"/>
          <w:lang w:val="de-DE" w:eastAsia="de-DE"/>
        </w:rPr>
        <w:drawing>
          <wp:inline distT="0" distB="0" distL="0" distR="0" wp14:anchorId="5D2365AE" wp14:editId="427CD86F">
            <wp:extent cx="4267200" cy="2521442"/>
            <wp:effectExtent l="0" t="0" r="0" b="6350"/>
            <wp:docPr id="15" name="Grafik 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12-29 um 19.49.39.png"/>
                    <pic:cNvPicPr/>
                  </pic:nvPicPr>
                  <pic:blipFill>
                    <a:blip r:embed="rId32">
                      <a:extLst>
                        <a:ext uri="{28A0092B-C50C-407E-A947-70E740481C1C}">
                          <a14:useLocalDpi xmlns:a14="http://schemas.microsoft.com/office/drawing/2010/main" val="0"/>
                        </a:ext>
                      </a:extLst>
                    </a:blip>
                    <a:stretch>
                      <a:fillRect/>
                    </a:stretch>
                  </pic:blipFill>
                  <pic:spPr>
                    <a:xfrm>
                      <a:off x="0" y="0"/>
                      <a:ext cx="4275691" cy="2526459"/>
                    </a:xfrm>
                    <a:prstGeom prst="rect">
                      <a:avLst/>
                    </a:prstGeom>
                  </pic:spPr>
                </pic:pic>
              </a:graphicData>
            </a:graphic>
          </wp:inline>
        </w:drawing>
      </w:r>
    </w:p>
    <w:p w14:paraId="2421FD72" w14:textId="482454AD" w:rsidR="00D33402" w:rsidRPr="00B6585E" w:rsidRDefault="00D33402" w:rsidP="00D33402">
      <w:pPr>
        <w:pStyle w:val="Caption"/>
        <w:spacing w:line="276" w:lineRule="auto"/>
        <w:jc w:val="both"/>
        <w:rPr>
          <w:rFonts w:ascii="Times New Roman" w:hAnsi="Times New Roman" w:cs="Times New Roman"/>
          <w:i w:val="0"/>
          <w:iCs w:val="0"/>
          <w:color w:val="000000" w:themeColor="text1"/>
          <w:sz w:val="20"/>
          <w:szCs w:val="20"/>
          <w:lang w:val="en-US"/>
        </w:rPr>
      </w:pPr>
      <w:r w:rsidRPr="00B6585E">
        <w:rPr>
          <w:rFonts w:ascii="Times New Roman" w:hAnsi="Times New Roman" w:cs="Times New Roman"/>
          <w:i w:val="0"/>
          <w:iCs w:val="0"/>
          <w:color w:val="000000" w:themeColor="text1"/>
          <w:sz w:val="20"/>
          <w:szCs w:val="20"/>
          <w:lang w:val="en-US"/>
        </w:rPr>
        <w:t xml:space="preserve">Figure </w:t>
      </w:r>
      <w:r w:rsidRPr="00B6585E">
        <w:rPr>
          <w:rFonts w:ascii="Times New Roman" w:hAnsi="Times New Roman" w:cs="Times New Roman"/>
          <w:i w:val="0"/>
          <w:iCs w:val="0"/>
          <w:color w:val="000000" w:themeColor="text1"/>
          <w:sz w:val="20"/>
          <w:szCs w:val="20"/>
        </w:rPr>
        <w:fldChar w:fldCharType="begin"/>
      </w:r>
      <w:r w:rsidRPr="00B6585E">
        <w:rPr>
          <w:rFonts w:ascii="Times New Roman" w:hAnsi="Times New Roman" w:cs="Times New Roman"/>
          <w:i w:val="0"/>
          <w:iCs w:val="0"/>
          <w:color w:val="000000" w:themeColor="text1"/>
          <w:sz w:val="20"/>
          <w:szCs w:val="20"/>
          <w:lang w:val="en-US"/>
        </w:rPr>
        <w:instrText xml:space="preserve"> SEQ Figure \* ARABIC </w:instrText>
      </w:r>
      <w:r w:rsidRPr="00B6585E">
        <w:rPr>
          <w:rFonts w:ascii="Times New Roman" w:hAnsi="Times New Roman" w:cs="Times New Roman"/>
          <w:i w:val="0"/>
          <w:iCs w:val="0"/>
          <w:color w:val="000000" w:themeColor="text1"/>
          <w:sz w:val="20"/>
          <w:szCs w:val="20"/>
        </w:rPr>
        <w:fldChar w:fldCharType="separate"/>
      </w:r>
      <w:r w:rsidR="007B7D93" w:rsidRPr="00B6585E">
        <w:rPr>
          <w:rFonts w:ascii="Times New Roman" w:hAnsi="Times New Roman" w:cs="Times New Roman"/>
          <w:i w:val="0"/>
          <w:iCs w:val="0"/>
          <w:noProof/>
          <w:color w:val="000000" w:themeColor="text1"/>
          <w:sz w:val="20"/>
          <w:szCs w:val="20"/>
          <w:lang w:val="en-US"/>
        </w:rPr>
        <w:t>1</w:t>
      </w:r>
      <w:r w:rsidRPr="00B6585E">
        <w:rPr>
          <w:rFonts w:ascii="Times New Roman" w:hAnsi="Times New Roman" w:cs="Times New Roman"/>
          <w:i w:val="0"/>
          <w:iCs w:val="0"/>
          <w:color w:val="000000" w:themeColor="text1"/>
          <w:sz w:val="20"/>
          <w:szCs w:val="20"/>
        </w:rPr>
        <w:fldChar w:fldCharType="end"/>
      </w:r>
      <w:r w:rsidR="00770C43" w:rsidRPr="00B6585E">
        <w:rPr>
          <w:rFonts w:ascii="Times New Roman" w:hAnsi="Times New Roman" w:cs="Times New Roman"/>
          <w:i w:val="0"/>
          <w:iCs w:val="0"/>
          <w:color w:val="000000" w:themeColor="text1"/>
          <w:sz w:val="20"/>
          <w:szCs w:val="20"/>
          <w:lang w:val="en-US"/>
        </w:rPr>
        <w:t>/IV</w:t>
      </w:r>
      <w:r w:rsidRPr="00B6585E">
        <w:rPr>
          <w:rFonts w:ascii="Times New Roman" w:hAnsi="Times New Roman" w:cs="Times New Roman"/>
          <w:i w:val="0"/>
          <w:iCs w:val="0"/>
          <w:color w:val="000000" w:themeColor="text1"/>
          <w:sz w:val="20"/>
          <w:szCs w:val="20"/>
          <w:lang w:val="en-US"/>
        </w:rPr>
        <w:t xml:space="preserve">: Effects of Levosimendan on Interleukin-6 serum levels in patients with severe heart failure. Values expressed as means </w:t>
      </w:r>
      <w:r w:rsidRPr="00B6585E">
        <w:rPr>
          <w:rFonts w:ascii="Times New Roman" w:hAnsi="Times New Roman" w:cs="Times New Roman"/>
          <w:i w:val="0"/>
          <w:iCs w:val="0"/>
          <w:color w:val="000000" w:themeColor="text1"/>
          <w:sz w:val="20"/>
          <w:szCs w:val="20"/>
        </w:rPr>
        <w:sym w:font="Symbol" w:char="F0B1"/>
      </w:r>
      <w:r w:rsidRPr="00B6585E">
        <w:rPr>
          <w:rFonts w:ascii="Times New Roman" w:hAnsi="Times New Roman" w:cs="Times New Roman"/>
          <w:i w:val="0"/>
          <w:iCs w:val="0"/>
          <w:color w:val="000000" w:themeColor="text1"/>
          <w:sz w:val="20"/>
          <w:szCs w:val="20"/>
          <w:lang w:val="en-US"/>
        </w:rPr>
        <w:t>SEM. *p&lt;0.05 and **p&lt;0.01 for Placebo (n=11) vs. Levosimendan (n=16)</w:t>
      </w:r>
      <w:r w:rsidR="008324F7" w:rsidRPr="00B6585E">
        <w:rPr>
          <w:rFonts w:ascii="Times New Roman" w:hAnsi="Times New Roman" w:cs="Times New Roman"/>
          <w:i w:val="0"/>
          <w:iCs w:val="0"/>
          <w:color w:val="000000" w:themeColor="text1"/>
          <w:sz w:val="20"/>
          <w:szCs w:val="20"/>
          <w:lang w:val="en-US"/>
        </w:rPr>
        <w:fldChar w:fldCharType="begin" w:fldLock="1"/>
      </w:r>
      <w:r w:rsidR="00D02927" w:rsidRPr="00B6585E">
        <w:rPr>
          <w:rFonts w:ascii="Times New Roman" w:hAnsi="Times New Roman" w:cs="Times New Roman"/>
          <w:i w:val="0"/>
          <w:iCs w:val="0"/>
          <w:color w:val="000000" w:themeColor="text1"/>
          <w:sz w:val="20"/>
          <w:szCs w:val="20"/>
          <w:lang w:val="en-US"/>
        </w:rPr>
        <w:instrText>ADDIN CSL_CITATION {"citationItems":[{"id":"ITEM-1","itemData":{"DOI":"10.1136/hrt.2006.079707","ISSN":"13556037","abstract":"Background: Levosimendan is a novel inodilator that improves central haemodynamics and symptoms of patients with decompensated chronic heart failure. The role, however, of repeated levosimendan infusions in the management of these patients has not yet been properly assessed. Purpose: This randomised placebo-controlled trial investigated the effects of serial levosimendan infusions on cardiac geometry and function, and on biomarkers of myocardial injury and neurohormonal and immune activation (troponin T, N-terminal B-type natriuretic pro-peptide (NT-proBNP), C reactive protein (CRP) and interleukin (IL) 6) in patients with advanced heart failure. Methods: 25 patients with decompensated chronic heart failure were randomised (2:1) to receive five serial 24-h infusions (every 3 weeks) of either levosimendan (n = 17) or placebo (n = 8), and were evaluated echocardiographically and biochemically before and after each drug infusion and 30 days after the final infusion. Results: Following treatment, cardiac end-systolic and end-diastolic dimension and volume indices were significantly reduced only in the levosimendan-treated patients (p&lt;0.01). A significant decrease in NT-proBNP (p&lt;0.01), high-sensitivity CRP (p&lt;0.01) and plasma IL6 (p=0.05) was also observed in the levosimendan group, whereas these markers remained unchanged in the placebo group; similar changes were observed after each drug infusion. Although the number of patients with a positive troponin T (≥0.01 ng/ml) was not different between the two groups at baseline, it was significantly higher in the placebo-treated group during the final evaluation (p&lt;0.05). Conclusion: Serial levosimendan treatments improved left ventricular performance and modulated neurohormonal and immune activation beneficially in patients with advanced heart failure, without increasing myocardial injury.","author":[{"dropping-particle":"","family":"Parissis","given":"J. T.","non-dropping-particle":"","parse-names":false,"suffix":""},{"dropping-particle":"","family":"Adamopoulos","given":"S.","non-dropping-particle":"","parse-names":false,"suffix":""},{"dropping-particle":"","family":"Farmakis","given":"D.","non-dropping-particle":"","parse-names":false,"suffix":""},{"dropping-particle":"","family":"Filippatos","given":"G.","non-dropping-particle":"","parse-names":false,"suffix":""},{"dropping-particle":"","family":"Paraskevaidis","given":"I.","non-dropping-particle":"","parse-names":false,"suffix":""},{"dropping-particle":"","family":"Panou","given":"F.","non-dropping-particle":"","parse-names":false,"suffix":""},{"dropping-particle":"","family":"Iliodromitis","given":"E.","non-dropping-particle":"","parse-names":false,"suffix":""},{"dropping-particle":"","family":"Kremastinos","given":"D. Th","non-dropping-particle":"","parse-names":false,"suffix":""}],"container-title":"Heart","id":"ITEM-1","issue":"12","issued":{"date-parts":[["2006"]]},"page":"1768-1772","title":"Effects of serial levosimendan infusions on left ventricular performance and plasma biomarkers of myocardial injury and neurohormonal and immune activation in patients with advanced heart failure","type":"article-journal","volume":"92"},"uris":["http://www.mendeley.com/documents/?uuid=bca5d345-1a1e-4180-8681-33bb5bedcc4d"]}],"mendeley":{"formattedCitation":"&lt;sup&gt;56&lt;/sup&gt;","plainTextFormattedCitation":"56","previouslyFormattedCitation":"&lt;sup&gt;55&lt;/sup&gt;"},"properties":{"noteIndex":0},"schema":"https://github.com/citation-style-language/schema/raw/master/csl-citation.json"}</w:instrText>
      </w:r>
      <w:r w:rsidR="008324F7" w:rsidRPr="00B6585E">
        <w:rPr>
          <w:rFonts w:ascii="Times New Roman" w:hAnsi="Times New Roman" w:cs="Times New Roman"/>
          <w:i w:val="0"/>
          <w:iCs w:val="0"/>
          <w:color w:val="000000" w:themeColor="text1"/>
          <w:sz w:val="20"/>
          <w:szCs w:val="20"/>
          <w:lang w:val="en-US"/>
        </w:rPr>
        <w:fldChar w:fldCharType="separate"/>
      </w:r>
      <w:r w:rsidR="00D02927" w:rsidRPr="00B6585E">
        <w:rPr>
          <w:rFonts w:ascii="Times New Roman" w:hAnsi="Times New Roman" w:cs="Times New Roman"/>
          <w:i w:val="0"/>
          <w:iCs w:val="0"/>
          <w:noProof/>
          <w:color w:val="000000" w:themeColor="text1"/>
          <w:sz w:val="20"/>
          <w:szCs w:val="20"/>
          <w:vertAlign w:val="superscript"/>
          <w:lang w:val="en-US"/>
        </w:rPr>
        <w:t>56</w:t>
      </w:r>
      <w:r w:rsidR="008324F7" w:rsidRPr="00B6585E">
        <w:rPr>
          <w:rFonts w:ascii="Times New Roman" w:hAnsi="Times New Roman" w:cs="Times New Roman"/>
          <w:i w:val="0"/>
          <w:iCs w:val="0"/>
          <w:color w:val="000000" w:themeColor="text1"/>
          <w:sz w:val="20"/>
          <w:szCs w:val="20"/>
          <w:lang w:val="en-US"/>
        </w:rPr>
        <w:fldChar w:fldCharType="end"/>
      </w:r>
      <w:r w:rsidR="007766AA" w:rsidRPr="00B6585E">
        <w:rPr>
          <w:rFonts w:ascii="Times New Roman" w:hAnsi="Times New Roman" w:cs="Times New Roman"/>
          <w:i w:val="0"/>
          <w:iCs w:val="0"/>
          <w:color w:val="000000" w:themeColor="text1"/>
          <w:sz w:val="20"/>
          <w:szCs w:val="20"/>
          <w:lang w:val="en-US"/>
        </w:rPr>
        <w:t xml:space="preserve"> </w:t>
      </w:r>
    </w:p>
    <w:p w14:paraId="4704D734" w14:textId="77777777"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The effect of Levosimendan to attenuate the inflammatory response in patients undergoing noncardiac surgery still remains unclear. Therefore, the aim of this sub-study is to evaluate the anti-inflammatory effect of Levosimendan specifically in patients with increased cardiac risk factors undergoing moderate- to high-risk noncardiac surgery. Specifically, we assume a significant lower IL-6 plasma concentration in patients receiving levosimendan.</w:t>
      </w:r>
    </w:p>
    <w:p w14:paraId="41EF8A71" w14:textId="3967BD60" w:rsidR="00D33402" w:rsidRPr="00B6585E" w:rsidRDefault="00D33402" w:rsidP="00D33402">
      <w:pPr>
        <w:spacing w:line="276" w:lineRule="auto"/>
        <w:contextualSpacing/>
        <w:jc w:val="both"/>
        <w:rPr>
          <w:b/>
          <w:bCs/>
          <w:color w:val="000000" w:themeColor="text1"/>
        </w:rPr>
      </w:pPr>
    </w:p>
    <w:p w14:paraId="5BD8DAA0" w14:textId="77777777" w:rsidR="008324F7" w:rsidRPr="00B6585E" w:rsidRDefault="008324F7" w:rsidP="00D33402">
      <w:pPr>
        <w:spacing w:line="276" w:lineRule="auto"/>
        <w:contextualSpacing/>
        <w:jc w:val="both"/>
        <w:rPr>
          <w:b/>
          <w:bCs/>
          <w:color w:val="000000" w:themeColor="text1"/>
        </w:rPr>
      </w:pPr>
    </w:p>
    <w:p w14:paraId="333E3C7E" w14:textId="725C21AD" w:rsidR="00D33402" w:rsidRPr="00B6585E" w:rsidRDefault="00D33402" w:rsidP="00D33402">
      <w:pPr>
        <w:spacing w:line="276" w:lineRule="auto"/>
        <w:jc w:val="both"/>
        <w:rPr>
          <w:b/>
          <w:bCs/>
          <w:color w:val="000000" w:themeColor="text1"/>
        </w:rPr>
      </w:pPr>
    </w:p>
    <w:p w14:paraId="2A566607" w14:textId="07981F92" w:rsidR="00D33402" w:rsidRPr="00B6585E" w:rsidRDefault="00CC1777" w:rsidP="00CC1777">
      <w:pPr>
        <w:pStyle w:val="Heading3"/>
        <w:numPr>
          <w:ilvl w:val="0"/>
          <w:numId w:val="0"/>
        </w:numPr>
      </w:pPr>
      <w:bookmarkStart w:id="343" w:name="_Toc96925041"/>
      <w:r w:rsidRPr="00B6585E">
        <w:lastRenderedPageBreak/>
        <w:t xml:space="preserve">15.4.2 </w:t>
      </w:r>
      <w:r w:rsidR="00541B03" w:rsidRPr="00B6585E">
        <w:t>Aim</w:t>
      </w:r>
      <w:bookmarkEnd w:id="343"/>
      <w:r w:rsidR="00541B03" w:rsidRPr="00B6585E">
        <w:t xml:space="preserve"> </w:t>
      </w:r>
    </w:p>
    <w:p w14:paraId="1AB684D1" w14:textId="77777777" w:rsidR="00D33402" w:rsidRPr="00B6585E" w:rsidRDefault="00D33402" w:rsidP="00D33402">
      <w:pPr>
        <w:spacing w:line="276" w:lineRule="auto"/>
        <w:jc w:val="both"/>
        <w:rPr>
          <w:b/>
          <w:bCs/>
          <w:color w:val="000000" w:themeColor="text1"/>
        </w:rPr>
      </w:pPr>
    </w:p>
    <w:p w14:paraId="67120C48" w14:textId="27356F74" w:rsidR="00D33402" w:rsidRPr="00B6585E" w:rsidRDefault="00D33402" w:rsidP="00D33402">
      <w:pPr>
        <w:tabs>
          <w:tab w:val="right" w:pos="9066"/>
        </w:tabs>
        <w:jc w:val="both"/>
        <w:rPr>
          <w:rFonts w:ascii="Arial" w:hAnsi="Arial" w:cs="Arial"/>
          <w:color w:val="000000" w:themeColor="text1"/>
          <w:sz w:val="22"/>
          <w:szCs w:val="22"/>
        </w:rPr>
      </w:pPr>
      <w:r w:rsidRPr="00B6585E">
        <w:rPr>
          <w:rFonts w:ascii="Arial" w:hAnsi="Arial" w:cs="Arial"/>
          <w:color w:val="000000" w:themeColor="text1"/>
          <w:sz w:val="22"/>
          <w:szCs w:val="22"/>
        </w:rPr>
        <w:t>Our primary outcome is the effect of Levosimendan on the maximum postoperative IL-6 plasma concentration.</w:t>
      </w:r>
    </w:p>
    <w:p w14:paraId="48017C2C" w14:textId="77777777" w:rsidR="00D33402" w:rsidRPr="00B6585E" w:rsidRDefault="00D33402" w:rsidP="00D33402">
      <w:pPr>
        <w:tabs>
          <w:tab w:val="right" w:pos="9066"/>
        </w:tabs>
        <w:jc w:val="both"/>
        <w:rPr>
          <w:rFonts w:ascii="Arial" w:hAnsi="Arial" w:cs="Arial"/>
          <w:color w:val="000000" w:themeColor="text1"/>
          <w:sz w:val="22"/>
          <w:szCs w:val="22"/>
        </w:rPr>
      </w:pPr>
    </w:p>
    <w:p w14:paraId="2CEF65E9" w14:textId="3320A3A7" w:rsidR="00D33402" w:rsidRPr="00B6585E" w:rsidRDefault="00CC1777" w:rsidP="00CC1777">
      <w:pPr>
        <w:pStyle w:val="Heading3"/>
        <w:numPr>
          <w:ilvl w:val="0"/>
          <w:numId w:val="0"/>
        </w:numPr>
      </w:pPr>
      <w:bookmarkStart w:id="344" w:name="_Toc96925042"/>
      <w:r w:rsidRPr="00B6585E">
        <w:t xml:space="preserve">15.4.3 </w:t>
      </w:r>
      <w:r w:rsidR="00D33402" w:rsidRPr="00B6585E">
        <w:t xml:space="preserve">Secondary </w:t>
      </w:r>
      <w:r w:rsidR="00541B03" w:rsidRPr="00B6585E">
        <w:t>Aims</w:t>
      </w:r>
      <w:bookmarkEnd w:id="344"/>
    </w:p>
    <w:p w14:paraId="076385B6" w14:textId="1DA19AFC" w:rsidR="00D33402" w:rsidRPr="00B6585E" w:rsidRDefault="00D33402" w:rsidP="008324F7">
      <w:pPr>
        <w:jc w:val="both"/>
        <w:rPr>
          <w:rFonts w:ascii="Arial" w:hAnsi="Arial" w:cs="Arial"/>
          <w:color w:val="000000" w:themeColor="text1"/>
          <w:sz w:val="22"/>
          <w:szCs w:val="22"/>
        </w:rPr>
      </w:pPr>
    </w:p>
    <w:p w14:paraId="100D5DC7" w14:textId="17C44966" w:rsidR="00D33402" w:rsidRPr="00B6585E" w:rsidRDefault="00D33402" w:rsidP="008324F7">
      <w:pPr>
        <w:pStyle w:val="ListParagraph"/>
        <w:numPr>
          <w:ilvl w:val="0"/>
          <w:numId w:val="15"/>
        </w:numPr>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 xml:space="preserve">We will evaluate the difference in the maximum postoperative CRP plasma concentration between both study groups. </w:t>
      </w:r>
    </w:p>
    <w:p w14:paraId="6BD359C8" w14:textId="77777777" w:rsidR="00D33402" w:rsidRPr="00B6585E" w:rsidRDefault="00D33402" w:rsidP="00D33402">
      <w:pPr>
        <w:pStyle w:val="ListParagraph"/>
        <w:jc w:val="both"/>
        <w:rPr>
          <w:rFonts w:ascii="Arial" w:hAnsi="Arial" w:cs="Arial"/>
          <w:color w:val="000000" w:themeColor="text1"/>
          <w:sz w:val="22"/>
          <w:szCs w:val="22"/>
          <w:lang w:val="en-US"/>
        </w:rPr>
      </w:pPr>
    </w:p>
    <w:p w14:paraId="26283A3B" w14:textId="4432DB60" w:rsidR="00D33402" w:rsidRPr="00B6585E" w:rsidRDefault="00D33402" w:rsidP="008324F7">
      <w:pPr>
        <w:pStyle w:val="ListParagraph"/>
        <w:numPr>
          <w:ilvl w:val="0"/>
          <w:numId w:val="15"/>
        </w:numPr>
        <w:contextualSpacing/>
        <w:jc w:val="both"/>
        <w:rPr>
          <w:rFonts w:ascii="Arial" w:hAnsi="Arial" w:cs="Arial"/>
          <w:color w:val="000000" w:themeColor="text1"/>
          <w:sz w:val="22"/>
          <w:szCs w:val="22"/>
          <w:lang w:val="en-US"/>
        </w:rPr>
      </w:pPr>
      <w:r w:rsidRPr="00B6585E">
        <w:rPr>
          <w:rFonts w:ascii="Arial" w:hAnsi="Arial" w:cs="Arial"/>
          <w:color w:val="000000" w:themeColor="text1"/>
          <w:sz w:val="22"/>
          <w:szCs w:val="22"/>
          <w:lang w:val="en-US"/>
        </w:rPr>
        <w:t>We further evaluate the correlation between inflammation (determined by IL-6 and CRP plasma concentration) and MINS (determined by TnT measurements).</w:t>
      </w:r>
      <w:r w:rsidR="008324F7" w:rsidRPr="00B6585E">
        <w:rPr>
          <w:rFonts w:ascii="Arial" w:hAnsi="Arial" w:cs="Arial"/>
          <w:color w:val="000000" w:themeColor="text1"/>
          <w:sz w:val="22"/>
          <w:szCs w:val="22"/>
          <w:lang w:val="en-US"/>
        </w:rPr>
        <w:fldChar w:fldCharType="begin" w:fldLock="1"/>
      </w:r>
      <w:r w:rsidR="008324F7" w:rsidRPr="00B6585E">
        <w:rPr>
          <w:rFonts w:ascii="Arial" w:hAnsi="Arial" w:cs="Arial"/>
          <w:color w:val="000000" w:themeColor="text1"/>
          <w:sz w:val="22"/>
          <w:szCs w:val="22"/>
          <w:lang w:val="en-US"/>
        </w:rPr>
        <w:instrText>ADDIN CSL_CITATION {"citationItems":[{"id":"ITEM-1","itemData":{"DOI":"10.1001/jama.2017.4360","ISBN":"1538-3598 (Electronic)\r0098-7484 (Linking)","ISSN":"15383598","PMID":"10687691","abstract":"Importance Little is known about the relationship between perioperative high-sensitivity troponin T (hsTnT) measurements and 30-day mortality and myocardial injury after noncardiac surgery (MINS). Objective To determine the association between perioperative hsTnT measurements and 30-day mortality and potential diagnostic criteria for MINS (ie, myocardial injury due to ischemia associated with 30-day mortality). Design, Setting, and Participants Prospective cohort study of patients aged 45 years or older who underwent inpatient noncardiac surgery and had a postoperative hsTnT measurement. Starting in October 2008, participants were recruited at 23 centers in 13 countries; follow-up finished in December 2013. Exposures Patients had hsTnT measurements 6 to 12 hours after surgery and daily for 3 days; 40.4% had a preoperative hsTnT measurement. Main Outcomes and Measures A modified Mazumdar approach (an iterative process) was used to determine if there were hsTnT thresholds associated with risk of death and had an adjusted hazard ratio (HR) of 3.0 or higher and a risk of 30-day mortality of 3% or higher. To determine potential diagnostic criteria for MINS, regression analyses ascertained if postoperative hsTnT elevations required an ischemic feature (eg, ischemic symptom or electrocardiography finding) to be associated with 30-day mortality. Results Among 21 842 participants, the mean age was 63.1 (SD, 10.7) years and 49.1% were female. Death within 30 days after surgery occurred in 266 patients (1.2%; 95% CI, 1.1%-1.4%). Multivariable analysis demonstrated that compared with the reference group (peak hsTnT &lt;5 ng/L), peak postoperative hsTnT levels of 20 to less than 65 ng/L, 65 to less than 1000 ng/L, and 1000 ng/L or higher had 30-day mortality rates of 3.0% (123/4049; 95% CI, 2.6%-3.6%), 9.1% (102/1118; 95% CI, 7.6%-11.0%), and 29.6% (16/54; 95% CI, 19.1%-42.8%), with corresponding adjusted HRs of 23.63 (95% CI, 10.32-54.09), 70.34 (95% CI, 30.60-161.71), and 227.01 (95% CI, 87.35-589.92), respectively. An absolute hsTnT change of 5 ng/L or higher was associated with an increased risk of 30-day mortality (adjusted HR, 4.69; 95% CI, 3.52-6.25). An elevated postoperative hsTnT (ie, 20 to &lt;65 ng/L with an absolute change ≥5 ng/L or hsTnT ≥65 ng/L) without an ischemic feature was associated with 30-day mortality (adjusted HR, 3.20; 95% CI, 2.37-4.32). Among the 3904 patients (17.9%; 95% CI, 17.4%-18.4%) with MINS, 3633 (93.1%; 95% CI, 92.2%-93.8%) did not ex…","author":[{"dropping-particle":"","family":"Devereaux","given":"P. J.","non-dropping-particle":"","parse-names":false,"suffix":""},{"dropping-particle":"","family":"Biccard","given":"Bruce M.","non-dropping-particle":"","parse-names":false,"suffix":""},{"dropping-particle":"","family":"Sigamani","given":"Alben","non-dropping-particle":"","parse-names":false,"suffix":""},{"dropping-particle":"","family":"Xavier","given":"Denis","non-dropping-particle":"","parse-names":false,"suffix":""},{"dropping-particle":"","family":"Chan","given":"Matthew T.V.","non-dropping-particle":"","parse-names":false,"suffix":""},{"dropping-particle":"","family":"Srinathan","given":"Sadeesh K.","non-dropping-particle":"","parse-names":false,"suffix":""},{"dropping-particle":"","family":"Walsh","given":"Michael","non-dropping-particle":"","parse-names":false,"suffix":""},{"dropping-particle":"","family":"Abraham","given":"Valsa","non-dropping-particle":"","parse-names":false,"suffix":""},{"dropping-particle":"","family":"Pearse","given":"Rupert","non-dropping-particle":"","parse-names":false,"suffix":""},{"dropping-particle":"","family":"Wang","given":"C. Y.","non-dropping-particle":"","parse-names":false,"suffix":""},{"dropping-particle":"","family":"Sessler","given":"Daniel I.","non-dropping-particle":"","parse-names":false,"suffix":""},{"dropping-particle":"","family":"Kurz","given":"Andrea","non-dropping-particle":"","parse-names":false,"suffix":""},{"dropping-particle":"","family":"Szczeklik","given":"Wojciech","non-dropping-particle":"","parse-names":false,"suffix":""},{"dropping-particle":"","family":"Berwanger","given":"Otavio","non-dropping-particle":"","parse-names":false,"suffix":""},{"dropping-particle":"","family":"Villar","given":"Juan Carlos","non-dropping-particle":"","parse-names":false,"suffix":""},{"dropping-particle":"","family":"Malaga","given":"German","non-dropping-particle":"","parse-names":false,"suffix":""},{"dropping-particle":"","family":"Garg","given":"Amit X.","non-dropping-particle":"","parse-names":false,"suffix":""},{"dropping-particle":"","family":"Chow","given":"Clara K.","non-dropping-particle":"","parse-names":false,"suffix":""},{"dropping-particle":"","family":"Ackland","given":"Gareth","non-dropping-particle":"","parse-names":false,"suffix":""},{"dropping-particle":"","family":"Patel","given":"Ameen","non-dropping-particle":"","parse-names":false,"suffix":""},{"dropping-particle":"","family":"Borges","given":"Flavia Kessler","non-dropping-particle":"","parse-names":false,"suffix":""},{"dropping-particle":"","family":"Belley-Cote","given":"Emilie P.","non-dropping-particle":"","parse-names":false,"suffix":""},{"dropping-particle":"","family":"Duceppe","given":"Emmanuelle","non-dropping-particle":"","parse-names":false,"suffix":""},{"dropping-particle":"","family":"Spence","given":"Jessica","non-dropping-particle":"","parse-names":false,"suffix":""},{"dropping-particle":"","family":"Tandon","given":"Vikas","non-dropping-particle":"","parse-names":false,"suffix":""},{"dropping-particle":"","family":"Williams","given":"Colin","non-dropping-particle":"","parse-names":false,"suffix":""},{"dropping-particle":"","family":"Sapsford","given":"Robert J.","non-dropping-particle":"","parse-names":false,"suffix":""},{"dropping-particle":"","family":"Polanczyk","given":"Carisi A.","non-dropping-particle":"","parse-names":false,"suffix":""},{"dropping-particle":"","family":"Tiboni","given":"Maria","non-dropping-particle":"","parse-names":false,"suffix":""},{"dropping-particle":"","family":"Alonso-Coello","given":"Pablo","non-dropping-particle":"","parse-names":false,"suffix":""},{"dropping-particle":"","family":"Faruqui","given":"Atiya","non-dropping-particle":"","parse-names":false,"suffix":""},{"dropping-particle":"","family":"Heels-Ansdell","given":"DIane","non-dropping-particle":"","parse-names":false,"suffix":""},{"dropping-particle":"","family":"Lamy","given":"Andre","non-dropping-particle":"","parse-names":false,"suffix":""},{"dropping-particle":"","family":"Whitlock","given":"Richard","non-dropping-particle":"","parse-names":false,"suffix":""},{"dropping-particle":"","family":"LeManach","given":"Yannick","non-dropping-particle":"","parse-names":false,"suffix":""},{"dropping-particle":"","family":"Roshanov","given":"Pavel S.","non-dropping-particle":"","parse-names":false,"suffix":""},{"dropping-particle":"","family":"McGillion","given":"Michael","non-dropping-particle":"","parse-names":false,"suffix":""},{"dropping-particle":"","family":"Kavsak","given":"Peter","non-dropping-particle":"","parse-names":false,"suffix":""},{"dropping-particle":"","family":"McQueen","given":"Matthew J.","non-dropping-particle":"","parse-names":false,"suffix":""},{"dropping-particle":"","family":"Thabane","given":"Lehana","non-dropping-particle":"","parse-names":false,"suffix":""},{"dropping-particle":"","family":"Rodseth","given":"Reitze N.","non-dropping-particle":"","parse-names":false,"suffix":""},{"dropping-particle":"","family":"Buse","given":"Giovanna A.Lurati","non-dropping-particle":"","parse-names":false,"suffix":""},{"dropping-particle":"","family":"Bhandari","given":"Mohit","non-dropping-particle":"","parse-names":false,"suffix":""},{"dropping-particle":"","family":"Garutti","given":"Ignacia","non-dropping-particle":"","parse-names":false,"suffix":""},{"dropping-particle":"","family":"Jacka","given":"Michael J.","non-dropping-particle":"","parse-names":false,"suffix":""},{"dropping-particle":"","family":"Schünemann","given":"Holger J.","non-dropping-particle":"","parse-names":false,"suffix":""},{"dropping-particle":"","family":"Cortes","given":"Olga Luciá","non-dropping-particle":"","parse-names":false,"suffix":""},{"dropping-particle":"","family":"Coriat","given":"Pierre","non-dropping-particle":"","parse-names":false,"suffix":""},{"dropping-particle":"","family":"Dvirnik","given":"Nazari","non-dropping-particle":"","parse-names":false,"suffix":""},{"dropping-particle":"","family":"Botto","given":"Fernando","non-dropping-particle":"","parse-names":false,"suffix":""},{"dropping-particle":"","family":"Pettit","given":"Shirley","non-dropping-particle":"","parse-names":false,"suffix":""},{"dropping-particle":"","family":"Jaffe","given":"Allan S.","non-dropping-particle":"","parse-names":false,"suffix":""},{"dropping-particle":"","family":"Guyatt","given":"Gordon H.","non-dropping-particle":"","parse-names":false,"suffix":""}],"container-title":"JAMA - Journal of the American Medical Association","id":"ITEM-1","issue":"16","issued":{"date-parts":[["2017"]]},"page":"1642-1651","title":"Association of postoperative high-sensitivity troponin levels with myocardial injury and 30-day mortality among patients undergoing noncardiac surgery","type":"article-journal","volume":"317"},"uris":["http://www.mendeley.com/documents/?uuid=8b0cc2f6-4ca4-4a78-b1f4-ab561372aece"]}],"mendeley":{"formattedCitation":"&lt;sup&gt;13&lt;/sup&gt;","plainTextFormattedCitation":"13","previouslyFormattedCitation":"&lt;sup&gt;13&lt;/sup&gt;"},"properties":{"noteIndex":0},"schema":"https://github.com/citation-style-language/schema/raw/master/csl-citation.json"}</w:instrText>
      </w:r>
      <w:r w:rsidR="008324F7" w:rsidRPr="00B6585E">
        <w:rPr>
          <w:rFonts w:ascii="Arial" w:hAnsi="Arial" w:cs="Arial"/>
          <w:color w:val="000000" w:themeColor="text1"/>
          <w:sz w:val="22"/>
          <w:szCs w:val="22"/>
          <w:lang w:val="en-US"/>
        </w:rPr>
        <w:fldChar w:fldCharType="separate"/>
      </w:r>
      <w:r w:rsidR="008324F7" w:rsidRPr="00B6585E">
        <w:rPr>
          <w:rFonts w:ascii="Arial" w:hAnsi="Arial" w:cs="Arial"/>
          <w:noProof/>
          <w:color w:val="000000" w:themeColor="text1"/>
          <w:sz w:val="22"/>
          <w:szCs w:val="22"/>
          <w:vertAlign w:val="superscript"/>
          <w:lang w:val="en-US"/>
        </w:rPr>
        <w:t>13</w:t>
      </w:r>
      <w:r w:rsidR="008324F7" w:rsidRPr="00B6585E">
        <w:rPr>
          <w:rFonts w:ascii="Arial" w:hAnsi="Arial" w:cs="Arial"/>
          <w:color w:val="000000" w:themeColor="text1"/>
          <w:sz w:val="22"/>
          <w:szCs w:val="22"/>
          <w:lang w:val="en-US"/>
        </w:rPr>
        <w:fldChar w:fldCharType="end"/>
      </w:r>
      <w:r w:rsidRPr="00B6585E">
        <w:rPr>
          <w:rFonts w:ascii="Arial" w:hAnsi="Arial" w:cs="Arial"/>
          <w:color w:val="000000" w:themeColor="text1"/>
          <w:sz w:val="22"/>
          <w:szCs w:val="22"/>
          <w:lang w:val="en-US"/>
        </w:rPr>
        <w:t xml:space="preserve"> Patients with an IL-6 plasma concentration &gt; 432 pg/dL were more prone to develop cardiovascular events after surgery as compared to patients with an IL-5 concentration below 432 pg/dL.</w:t>
      </w:r>
      <w:r w:rsidR="008324F7" w:rsidRPr="00B6585E">
        <w:rPr>
          <w:rFonts w:ascii="Arial" w:hAnsi="Arial" w:cs="Arial"/>
          <w:color w:val="000000" w:themeColor="text1"/>
          <w:sz w:val="22"/>
          <w:szCs w:val="22"/>
          <w:lang w:val="en-US"/>
        </w:rPr>
        <w:fldChar w:fldCharType="begin" w:fldLock="1"/>
      </w:r>
      <w:r w:rsidR="00D02927" w:rsidRPr="00B6585E">
        <w:rPr>
          <w:rFonts w:ascii="Arial" w:hAnsi="Arial" w:cs="Arial"/>
          <w:color w:val="000000" w:themeColor="text1"/>
          <w:sz w:val="22"/>
          <w:szCs w:val="22"/>
          <w:lang w:val="en-US"/>
        </w:rPr>
        <w:instrText>ADDIN CSL_CITATION {"citationItems":[{"id":"ITEM-1","itemData":{"DOI":"10.1097/SLA.0000000000001342","ISBN":"0000000000","ISSN":"15281140","abstract":"Objective: To assess the association of systemic inflammation and outcome after major abdominal surgery. Background: Major abdominal surgery carries a high postoperative morbidity and mortality rate. Studies suggest that inflammation is associated with unfavorable outcome. Methods: Levels of C-reactive protein (CRP), interleukin-6 (IL-6), and tumor necrosis factor-a and the systemic inflammatory response syndrome (SIRS) were assessed in 137 patients undergoing major abdominal surgery. Blood samples were drawn on days 0, 1, 3, and 7, and SIRS was scored during 48 hours after surgery. Primary outcome was a composite of mortality, pneumonia, sepsis, anastomotic dehiscence, wound infection, noncardiac respiratory failure, atrial fibrillation, congestive heart failure, myocardial infarction, and reoperation within 30 days of surgery. Results: An IL-6 level more than 432 pg/mL on day 1 was associated with an increased risk of complications (adjusted odds ratio: 3.3; 95% confidence interval [CI]: 1.3-8.5) and a longer median length of hospital stay (7 vs 12 days, P &lt; 0.001). As a single test, an IL-6 cut-off level of 432 pg/mL on day 1 yielded a specificity of 70% and a sensitivity of 64% for the prediction of complications (area under the curve: 0.67; 95% CI: 0.56-0.77). Levels of CRP started to discriminate from day 3 onward with a specificity of 87% and a sensitivity of 58% for a cut-off level of 203 mg/L (AUC: 0.73; 95% CI: 0.63-0.83). Conclusions: A high IL-6 level on day 1 is associated with postoperative complications. Levels of IL-6 help distinguish between patients at low and high risk for complications before changes in levels of CRP.","author":[{"dropping-particle":"","family":"Rettig","given":"Thijs C.D.","non-dropping-particle":"","parse-names":false,"suffix":""},{"dropping-particle":"","family":"Verwijmeren","given":"Lisa","non-dropping-particle":"","parse-names":false,"suffix":""},{"dropping-particle":"","family":"Dijkstra","given":"Ineke M.","non-dropping-particle":"","parse-names":false,"suffix":""},{"dropping-particle":"","family":"Boerma","given":"Djamila","non-dropping-particle":"","parse-names":false,"suffix":""},{"dropping-particle":"","family":"Garde","given":"Ewoudt M.W.","non-dropping-particle":"Van De","parse-names":false,"suffix":""},{"dropping-particle":"","family":"Noordzij","given":"Peter G.","non-dropping-particle":"","parse-names":false,"suffix":""}],"container-title":"Annals of Surgery","id":"ITEM-1","issue":"6","issued":{"date-parts":[["2016"]]},"page":"1207-1212","title":"Postoperative interleukin-6 level and early detection of complications after elective major abdominal surgery","type":"article-journal","volume":"263"},"uris":["http://www.mendeley.com/documents/?uuid=637bce30-046f-4bc8-a8bb-2dd5ae0131da"]}],"mendeley":{"formattedCitation":"&lt;sup&gt;46&lt;/sup&gt;","plainTextFormattedCitation":"46","previouslyFormattedCitation":"&lt;sup&gt;45&lt;/sup&gt;"},"properties":{"noteIndex":0},"schema":"https://github.com/citation-style-language/schema/raw/master/csl-citation.json"}</w:instrText>
      </w:r>
      <w:r w:rsidR="008324F7" w:rsidRPr="00B6585E">
        <w:rPr>
          <w:rFonts w:ascii="Arial" w:hAnsi="Arial" w:cs="Arial"/>
          <w:color w:val="000000" w:themeColor="text1"/>
          <w:sz w:val="22"/>
          <w:szCs w:val="22"/>
          <w:lang w:val="en-US"/>
        </w:rPr>
        <w:fldChar w:fldCharType="separate"/>
      </w:r>
      <w:r w:rsidR="00D02927" w:rsidRPr="00B6585E">
        <w:rPr>
          <w:rFonts w:ascii="Arial" w:hAnsi="Arial" w:cs="Arial"/>
          <w:noProof/>
          <w:color w:val="000000" w:themeColor="text1"/>
          <w:sz w:val="22"/>
          <w:szCs w:val="22"/>
          <w:vertAlign w:val="superscript"/>
          <w:lang w:val="en-US"/>
        </w:rPr>
        <w:t>46</w:t>
      </w:r>
      <w:r w:rsidR="008324F7" w:rsidRPr="00B6585E">
        <w:rPr>
          <w:rFonts w:ascii="Arial" w:hAnsi="Arial" w:cs="Arial"/>
          <w:color w:val="000000" w:themeColor="text1"/>
          <w:sz w:val="22"/>
          <w:szCs w:val="22"/>
          <w:lang w:val="en-US"/>
        </w:rPr>
        <w:fldChar w:fldCharType="end"/>
      </w:r>
      <w:r w:rsidRPr="00B6585E">
        <w:rPr>
          <w:rFonts w:ascii="Arial" w:hAnsi="Arial" w:cs="Arial"/>
          <w:color w:val="000000" w:themeColor="text1"/>
          <w:sz w:val="22"/>
          <w:szCs w:val="22"/>
          <w:lang w:val="en-US"/>
        </w:rPr>
        <w:t xml:space="preserve"> Therefore, we will stratify patients according their maximum postoperative IL-6 concentration into a high-risk (&gt;432 pg/dL) and a low-risk group (&lt;432 pg/dL). </w:t>
      </w:r>
    </w:p>
    <w:p w14:paraId="704EA48D" w14:textId="77777777" w:rsidR="00D33402" w:rsidRPr="00B6585E" w:rsidRDefault="00D33402" w:rsidP="00D33402">
      <w:pPr>
        <w:pStyle w:val="ListParagraph"/>
        <w:rPr>
          <w:rFonts w:ascii="Arial" w:hAnsi="Arial" w:cs="Arial"/>
          <w:color w:val="000000" w:themeColor="text1"/>
          <w:sz w:val="22"/>
          <w:szCs w:val="22"/>
          <w:lang w:val="en-US"/>
        </w:rPr>
      </w:pPr>
    </w:p>
    <w:p w14:paraId="140B9B21" w14:textId="77777777" w:rsidR="00D33402" w:rsidRPr="00B6585E" w:rsidRDefault="00D33402" w:rsidP="00D33402">
      <w:pPr>
        <w:pStyle w:val="ListParagraph"/>
        <w:ind w:left="360"/>
        <w:jc w:val="both"/>
        <w:rPr>
          <w:rFonts w:ascii="Arial" w:hAnsi="Arial" w:cs="Arial"/>
          <w:color w:val="000000" w:themeColor="text1"/>
          <w:sz w:val="22"/>
          <w:szCs w:val="22"/>
          <w:lang w:val="en-US"/>
        </w:rPr>
      </w:pPr>
    </w:p>
    <w:p w14:paraId="1C4AF5AA" w14:textId="77777777"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Maximum postoperative IL-6 is defined as the highest detected concentration within 2 hours after surgery, on the first, second and third postoperative day. </w:t>
      </w:r>
    </w:p>
    <w:p w14:paraId="02BF48D6" w14:textId="77777777"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All laboratory parameters will be determined before anesthesia, within 2 hours after surgery and on the first, second and third postoperative day.</w:t>
      </w:r>
    </w:p>
    <w:p w14:paraId="7F59F78E" w14:textId="77777777" w:rsidR="00D33402" w:rsidRPr="00B6585E" w:rsidRDefault="00D33402" w:rsidP="00D33402">
      <w:pPr>
        <w:ind w:left="360"/>
        <w:jc w:val="both"/>
        <w:rPr>
          <w:rFonts w:ascii="Arial" w:hAnsi="Arial" w:cs="Arial"/>
          <w:color w:val="000000" w:themeColor="text1"/>
          <w:sz w:val="22"/>
          <w:szCs w:val="22"/>
        </w:rPr>
      </w:pPr>
    </w:p>
    <w:p w14:paraId="7C058550" w14:textId="42E33AE0" w:rsidR="00D33402" w:rsidRPr="00B6585E" w:rsidRDefault="00CC1777" w:rsidP="00CC1777">
      <w:pPr>
        <w:pStyle w:val="Heading3"/>
        <w:numPr>
          <w:ilvl w:val="0"/>
          <w:numId w:val="0"/>
        </w:numPr>
      </w:pPr>
      <w:bookmarkStart w:id="345" w:name="_Toc96925043"/>
      <w:r w:rsidRPr="00B6585E">
        <w:t xml:space="preserve">15.4.4 </w:t>
      </w:r>
      <w:r w:rsidR="00D33402" w:rsidRPr="00B6585E">
        <w:t>Statistical Analysis</w:t>
      </w:r>
      <w:bookmarkEnd w:id="345"/>
    </w:p>
    <w:p w14:paraId="3E4F51D5" w14:textId="77777777" w:rsidR="00D33402" w:rsidRPr="00B6585E" w:rsidRDefault="00D33402" w:rsidP="00D33402">
      <w:pPr>
        <w:ind w:left="360"/>
        <w:jc w:val="both"/>
        <w:rPr>
          <w:rFonts w:ascii="Arial" w:hAnsi="Arial" w:cs="Arial"/>
          <w:color w:val="000000" w:themeColor="text1"/>
          <w:sz w:val="22"/>
          <w:szCs w:val="22"/>
        </w:rPr>
      </w:pPr>
    </w:p>
    <w:p w14:paraId="040331D9" w14:textId="77777777"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In order to evaluate our primary outcome, the difference of maximum postoperative IL-6 plasma concentration, we will use a 2-sample two-tailed Mann-Whitney-U test. </w:t>
      </w:r>
    </w:p>
    <w:p w14:paraId="099C00AA" w14:textId="77777777" w:rsidR="00D33402" w:rsidRPr="00B6585E" w:rsidRDefault="00D33402" w:rsidP="00D33402">
      <w:pPr>
        <w:jc w:val="both"/>
        <w:rPr>
          <w:rFonts w:ascii="Arial" w:hAnsi="Arial" w:cs="Arial"/>
          <w:color w:val="000000" w:themeColor="text1"/>
          <w:sz w:val="22"/>
          <w:szCs w:val="22"/>
        </w:rPr>
      </w:pPr>
    </w:p>
    <w:p w14:paraId="22F31F7A" w14:textId="40D24164" w:rsidR="00D33402" w:rsidRPr="00B6585E" w:rsidRDefault="00D33402" w:rsidP="00D33402">
      <w:pPr>
        <w:jc w:val="both"/>
        <w:rPr>
          <w:rFonts w:ascii="Arial" w:hAnsi="Arial" w:cs="Arial"/>
          <w:color w:val="000000" w:themeColor="text1"/>
          <w:sz w:val="22"/>
          <w:szCs w:val="22"/>
        </w:rPr>
      </w:pPr>
      <w:r w:rsidRPr="00B6585E">
        <w:rPr>
          <w:rFonts w:ascii="Arial" w:hAnsi="Arial" w:cs="Arial"/>
          <w:color w:val="000000" w:themeColor="text1"/>
          <w:sz w:val="22"/>
          <w:szCs w:val="22"/>
        </w:rPr>
        <w:t>For our secondary outcome, the effect of Levosimendan on maximum postoperative CRP plasma concentration, a 2-sample two-tailed Mann-Whitney-U test will be performed. The difference of the incidence of MINS between the high-risk and the low-risk group will be analyzed using a Chi-square test.</w:t>
      </w:r>
    </w:p>
    <w:p w14:paraId="5B442BBE" w14:textId="77777777" w:rsidR="00D33402" w:rsidRPr="00B6585E" w:rsidRDefault="00D33402" w:rsidP="005E0496">
      <w:pPr>
        <w:tabs>
          <w:tab w:val="left" w:pos="952"/>
        </w:tabs>
        <w:jc w:val="both"/>
        <w:rPr>
          <w:rFonts w:ascii="Arial" w:hAnsi="Arial" w:cs="Arial"/>
          <w:color w:val="000000" w:themeColor="text1"/>
          <w:sz w:val="22"/>
          <w:szCs w:val="22"/>
        </w:rPr>
      </w:pPr>
    </w:p>
    <w:p w14:paraId="2F369F37" w14:textId="77777777" w:rsidR="00D33402" w:rsidRPr="00B6585E" w:rsidRDefault="00D33402" w:rsidP="005E0496">
      <w:pPr>
        <w:tabs>
          <w:tab w:val="left" w:pos="952"/>
        </w:tabs>
        <w:jc w:val="both"/>
        <w:rPr>
          <w:rFonts w:ascii="Arial" w:hAnsi="Arial" w:cs="Arial"/>
          <w:color w:val="000000" w:themeColor="text1"/>
          <w:sz w:val="22"/>
          <w:szCs w:val="22"/>
        </w:rPr>
      </w:pPr>
    </w:p>
    <w:p w14:paraId="1563AB8E" w14:textId="77777777" w:rsidR="00D33402" w:rsidRPr="00B6585E" w:rsidRDefault="00D33402" w:rsidP="005E0496">
      <w:pPr>
        <w:tabs>
          <w:tab w:val="left" w:pos="952"/>
        </w:tabs>
        <w:jc w:val="both"/>
        <w:rPr>
          <w:rFonts w:ascii="Arial" w:hAnsi="Arial" w:cs="Arial"/>
          <w:color w:val="000000" w:themeColor="text1"/>
          <w:sz w:val="22"/>
          <w:szCs w:val="22"/>
        </w:rPr>
      </w:pPr>
    </w:p>
    <w:p w14:paraId="7A264715" w14:textId="77777777" w:rsidR="00D33402" w:rsidRPr="00B6585E" w:rsidRDefault="00D33402" w:rsidP="005E0496">
      <w:pPr>
        <w:tabs>
          <w:tab w:val="left" w:pos="952"/>
        </w:tabs>
        <w:jc w:val="both"/>
        <w:rPr>
          <w:rFonts w:ascii="Arial" w:hAnsi="Arial" w:cs="Arial"/>
          <w:color w:val="000000" w:themeColor="text1"/>
          <w:sz w:val="22"/>
          <w:szCs w:val="22"/>
        </w:rPr>
      </w:pPr>
    </w:p>
    <w:p w14:paraId="5A20D67C" w14:textId="2BB92DFF" w:rsidR="00D33402" w:rsidRPr="00B6585E" w:rsidRDefault="00D33402" w:rsidP="005E0496">
      <w:pPr>
        <w:tabs>
          <w:tab w:val="left" w:pos="952"/>
        </w:tabs>
        <w:jc w:val="both"/>
        <w:rPr>
          <w:rFonts w:ascii="Arial" w:hAnsi="Arial" w:cs="Arial"/>
          <w:color w:val="000000" w:themeColor="text1"/>
          <w:sz w:val="22"/>
          <w:szCs w:val="22"/>
        </w:rPr>
        <w:sectPr w:rsidR="00D33402" w:rsidRPr="00B6585E" w:rsidSect="00A5257C">
          <w:pgSz w:w="11906" w:h="16838"/>
          <w:pgMar w:top="1418" w:right="1134" w:bottom="1134" w:left="1134" w:header="709" w:footer="709" w:gutter="0"/>
          <w:cols w:space="720"/>
          <w:formProt w:val="0"/>
          <w:titlePg/>
          <w:docGrid w:linePitch="360"/>
        </w:sectPr>
      </w:pPr>
    </w:p>
    <w:p w14:paraId="25D7740D" w14:textId="40CD7BB1" w:rsidR="00A5257C" w:rsidRPr="00B6585E" w:rsidRDefault="00A5257C" w:rsidP="005E0496">
      <w:pPr>
        <w:tabs>
          <w:tab w:val="left" w:pos="952"/>
        </w:tabs>
        <w:jc w:val="both"/>
        <w:rPr>
          <w:rFonts w:ascii="Arial" w:hAnsi="Arial" w:cs="Arial"/>
          <w:color w:val="000000" w:themeColor="text1"/>
          <w:sz w:val="22"/>
          <w:szCs w:val="22"/>
        </w:rPr>
      </w:pPr>
    </w:p>
    <w:tbl>
      <w:tblPr>
        <w:tblStyle w:val="TableGrid"/>
        <w:tblpPr w:leftFromText="180" w:rightFromText="180" w:vertAnchor="page" w:horzAnchor="margin" w:tblpY="2439"/>
        <w:tblW w:w="13605" w:type="dxa"/>
        <w:tblLayout w:type="fixed"/>
        <w:tblLook w:val="04A0" w:firstRow="1" w:lastRow="0" w:firstColumn="1" w:lastColumn="0" w:noHBand="0" w:noVBand="1"/>
      </w:tblPr>
      <w:tblGrid>
        <w:gridCol w:w="993"/>
        <w:gridCol w:w="703"/>
        <w:gridCol w:w="741"/>
        <w:gridCol w:w="1102"/>
        <w:gridCol w:w="851"/>
        <w:gridCol w:w="1134"/>
        <w:gridCol w:w="1134"/>
        <w:gridCol w:w="850"/>
        <w:gridCol w:w="851"/>
        <w:gridCol w:w="992"/>
        <w:gridCol w:w="993"/>
        <w:gridCol w:w="993"/>
        <w:gridCol w:w="1134"/>
        <w:gridCol w:w="1134"/>
      </w:tblGrid>
      <w:tr w:rsidR="00637261" w:rsidRPr="00B6585E" w14:paraId="19FFFB26" w14:textId="422E4724" w:rsidTr="000F6112">
        <w:trPr>
          <w:trHeight w:val="305"/>
        </w:trPr>
        <w:tc>
          <w:tcPr>
            <w:tcW w:w="1696" w:type="dxa"/>
            <w:gridSpan w:val="2"/>
            <w:shd w:val="clear" w:color="auto" w:fill="FFD966" w:themeFill="accent4" w:themeFillTint="99"/>
          </w:tcPr>
          <w:p w14:paraId="6DA4D173" w14:textId="5DDF50CB" w:rsidR="00BC5A44" w:rsidRPr="00B6585E" w:rsidRDefault="00BC5A44" w:rsidP="00A11077">
            <w:pPr>
              <w:rPr>
                <w:rFonts w:ascii="Calibri" w:hAnsi="Calibri"/>
                <w:b/>
                <w:bCs/>
                <w:i/>
                <w:iCs/>
                <w:color w:val="000000" w:themeColor="text1"/>
                <w:sz w:val="20"/>
                <w:szCs w:val="20"/>
              </w:rPr>
            </w:pPr>
            <w:r w:rsidRPr="00B6585E">
              <w:rPr>
                <w:rFonts w:ascii="Calibri" w:hAnsi="Calibri"/>
                <w:b/>
                <w:bCs/>
                <w:i/>
                <w:iCs/>
                <w:color w:val="000000" w:themeColor="text1"/>
                <w:sz w:val="20"/>
                <w:szCs w:val="20"/>
              </w:rPr>
              <w:t>Timepoints</w:t>
            </w:r>
          </w:p>
        </w:tc>
        <w:tc>
          <w:tcPr>
            <w:tcW w:w="1843" w:type="dxa"/>
            <w:gridSpan w:val="2"/>
            <w:shd w:val="clear" w:color="auto" w:fill="FFD966" w:themeFill="accent4" w:themeFillTint="99"/>
          </w:tcPr>
          <w:p w14:paraId="57B50424" w14:textId="2DE8F768" w:rsidR="00BC5A44" w:rsidRPr="00B6585E" w:rsidRDefault="00BC5A44" w:rsidP="00A11077">
            <w:pPr>
              <w:jc w:val="center"/>
              <w:rPr>
                <w:rFonts w:ascii="Calibri" w:hAnsi="Calibri"/>
                <w:b/>
                <w:bCs/>
                <w:i/>
                <w:iCs/>
                <w:color w:val="000000" w:themeColor="text1"/>
                <w:sz w:val="20"/>
                <w:szCs w:val="20"/>
              </w:rPr>
            </w:pPr>
            <w:r w:rsidRPr="00B6585E">
              <w:rPr>
                <w:rFonts w:ascii="Calibri" w:hAnsi="Calibri"/>
                <w:b/>
                <w:bCs/>
                <w:i/>
                <w:iCs/>
                <w:color w:val="000000" w:themeColor="text1"/>
                <w:sz w:val="20"/>
                <w:szCs w:val="20"/>
              </w:rPr>
              <w:t>Enrollment</w:t>
            </w:r>
          </w:p>
        </w:tc>
        <w:tc>
          <w:tcPr>
            <w:tcW w:w="1985" w:type="dxa"/>
            <w:gridSpan w:val="2"/>
            <w:shd w:val="clear" w:color="auto" w:fill="FFD966" w:themeFill="accent4" w:themeFillTint="99"/>
          </w:tcPr>
          <w:p w14:paraId="21C263AE" w14:textId="1C57B7FF" w:rsidR="00BC5A44" w:rsidRPr="00B6585E" w:rsidRDefault="00BC5A44" w:rsidP="00A11077">
            <w:pPr>
              <w:jc w:val="center"/>
              <w:rPr>
                <w:rFonts w:ascii="Calibri" w:hAnsi="Calibri"/>
                <w:b/>
                <w:bCs/>
                <w:i/>
                <w:iCs/>
                <w:color w:val="000000" w:themeColor="text1"/>
                <w:sz w:val="20"/>
                <w:szCs w:val="20"/>
              </w:rPr>
            </w:pPr>
            <w:r w:rsidRPr="00B6585E">
              <w:rPr>
                <w:rFonts w:ascii="Calibri" w:hAnsi="Calibri"/>
                <w:b/>
                <w:bCs/>
                <w:i/>
                <w:iCs/>
                <w:color w:val="000000" w:themeColor="text1"/>
                <w:sz w:val="20"/>
                <w:szCs w:val="20"/>
              </w:rPr>
              <w:t>Intervention</w:t>
            </w:r>
          </w:p>
        </w:tc>
        <w:tc>
          <w:tcPr>
            <w:tcW w:w="1134" w:type="dxa"/>
            <w:shd w:val="clear" w:color="auto" w:fill="FFD966" w:themeFill="accent4" w:themeFillTint="99"/>
          </w:tcPr>
          <w:p w14:paraId="2F90C3A0" w14:textId="77777777" w:rsidR="00BC5A44" w:rsidRPr="00B6585E" w:rsidRDefault="00BC5A44" w:rsidP="00A11077">
            <w:pPr>
              <w:jc w:val="center"/>
              <w:rPr>
                <w:rFonts w:ascii="Calibri" w:hAnsi="Calibri"/>
                <w:b/>
                <w:bCs/>
                <w:i/>
                <w:iCs/>
                <w:color w:val="000000" w:themeColor="text1"/>
                <w:sz w:val="20"/>
                <w:szCs w:val="20"/>
              </w:rPr>
            </w:pPr>
          </w:p>
        </w:tc>
        <w:tc>
          <w:tcPr>
            <w:tcW w:w="4679" w:type="dxa"/>
            <w:gridSpan w:val="5"/>
            <w:shd w:val="clear" w:color="auto" w:fill="FFD966" w:themeFill="accent4" w:themeFillTint="99"/>
          </w:tcPr>
          <w:p w14:paraId="1D49243D" w14:textId="01C4C3C0" w:rsidR="00BC5A44" w:rsidRPr="00B6585E" w:rsidRDefault="00BC5A44" w:rsidP="00A11077">
            <w:pPr>
              <w:jc w:val="center"/>
              <w:rPr>
                <w:rFonts w:ascii="Calibri" w:hAnsi="Calibri"/>
                <w:b/>
                <w:bCs/>
                <w:i/>
                <w:iCs/>
                <w:color w:val="000000" w:themeColor="text1"/>
                <w:sz w:val="20"/>
                <w:szCs w:val="20"/>
              </w:rPr>
            </w:pPr>
            <w:r w:rsidRPr="00B6585E">
              <w:rPr>
                <w:rFonts w:ascii="Calibri" w:hAnsi="Calibri"/>
                <w:b/>
                <w:bCs/>
                <w:i/>
                <w:iCs/>
                <w:color w:val="000000" w:themeColor="text1"/>
                <w:sz w:val="20"/>
                <w:szCs w:val="20"/>
              </w:rPr>
              <w:t>Postoperative Period</w:t>
            </w:r>
          </w:p>
        </w:tc>
        <w:tc>
          <w:tcPr>
            <w:tcW w:w="2268" w:type="dxa"/>
            <w:gridSpan w:val="2"/>
            <w:shd w:val="clear" w:color="auto" w:fill="FFD966" w:themeFill="accent4" w:themeFillTint="99"/>
          </w:tcPr>
          <w:p w14:paraId="046C1469" w14:textId="224AC5F0" w:rsidR="00BC5A44" w:rsidRPr="00B6585E" w:rsidRDefault="00BC5A44" w:rsidP="00A11077">
            <w:pPr>
              <w:jc w:val="center"/>
              <w:rPr>
                <w:rFonts w:ascii="Calibri" w:hAnsi="Calibri"/>
                <w:b/>
                <w:bCs/>
                <w:i/>
                <w:iCs/>
                <w:color w:val="000000" w:themeColor="text1"/>
                <w:sz w:val="20"/>
                <w:szCs w:val="20"/>
              </w:rPr>
            </w:pPr>
            <w:r w:rsidRPr="00B6585E">
              <w:rPr>
                <w:rFonts w:ascii="Calibri" w:hAnsi="Calibri"/>
                <w:b/>
                <w:bCs/>
                <w:i/>
                <w:iCs/>
                <w:color w:val="000000" w:themeColor="text1"/>
                <w:sz w:val="20"/>
                <w:szCs w:val="20"/>
              </w:rPr>
              <w:t>Phone Follow-Up</w:t>
            </w:r>
          </w:p>
        </w:tc>
      </w:tr>
      <w:tr w:rsidR="00637261" w:rsidRPr="00B6585E" w14:paraId="24D27D2D" w14:textId="4157BBF0" w:rsidTr="00BC5A44">
        <w:tc>
          <w:tcPr>
            <w:tcW w:w="1696" w:type="dxa"/>
            <w:gridSpan w:val="2"/>
            <w:tcBorders>
              <w:bottom w:val="single" w:sz="4" w:space="0" w:color="auto"/>
            </w:tcBorders>
            <w:vAlign w:val="center"/>
          </w:tcPr>
          <w:p w14:paraId="0C52A31F" w14:textId="2FA985F1" w:rsidR="00BC5A44" w:rsidRPr="00B6585E" w:rsidRDefault="00BC5A44" w:rsidP="00A11077">
            <w:pPr>
              <w:jc w:val="center"/>
              <w:rPr>
                <w:rFonts w:ascii="Calibri" w:hAnsi="Calibri"/>
                <w:color w:val="000000" w:themeColor="text1"/>
                <w:sz w:val="16"/>
                <w:szCs w:val="16"/>
              </w:rPr>
            </w:pPr>
          </w:p>
        </w:tc>
        <w:tc>
          <w:tcPr>
            <w:tcW w:w="741" w:type="dxa"/>
            <w:tcBorders>
              <w:bottom w:val="single" w:sz="4" w:space="0" w:color="auto"/>
            </w:tcBorders>
            <w:vAlign w:val="center"/>
          </w:tcPr>
          <w:p w14:paraId="59488638" w14:textId="7FFF26D9"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preoperative</w:t>
            </w:r>
          </w:p>
          <w:p w14:paraId="4E5207C1" w14:textId="7B33D6BF"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visit</w:t>
            </w:r>
          </w:p>
        </w:tc>
        <w:tc>
          <w:tcPr>
            <w:tcW w:w="1102" w:type="dxa"/>
            <w:tcBorders>
              <w:bottom w:val="single" w:sz="4" w:space="0" w:color="auto"/>
            </w:tcBorders>
            <w:vAlign w:val="center"/>
          </w:tcPr>
          <w:p w14:paraId="3C006928" w14:textId="2783BC3B"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before</w:t>
            </w:r>
          </w:p>
          <w:p w14:paraId="76CEE88A" w14:textId="353186D8"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anaesthesia</w:t>
            </w:r>
          </w:p>
        </w:tc>
        <w:tc>
          <w:tcPr>
            <w:tcW w:w="851" w:type="dxa"/>
            <w:tcBorders>
              <w:bottom w:val="single" w:sz="4" w:space="0" w:color="auto"/>
            </w:tcBorders>
            <w:vAlign w:val="center"/>
          </w:tcPr>
          <w:p w14:paraId="7ABBDB22" w14:textId="0FA4EDF3"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during surgery</w:t>
            </w:r>
          </w:p>
        </w:tc>
        <w:tc>
          <w:tcPr>
            <w:tcW w:w="1134" w:type="dxa"/>
            <w:tcBorders>
              <w:bottom w:val="single" w:sz="4" w:space="0" w:color="auto"/>
            </w:tcBorders>
            <w:vAlign w:val="center"/>
          </w:tcPr>
          <w:p w14:paraId="69255025" w14:textId="098A790A"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after surgery</w:t>
            </w:r>
          </w:p>
          <w:p w14:paraId="12984E2A" w14:textId="33EAEED1"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within 2 hours</w:t>
            </w:r>
          </w:p>
        </w:tc>
        <w:tc>
          <w:tcPr>
            <w:tcW w:w="1134" w:type="dxa"/>
            <w:tcBorders>
              <w:bottom w:val="single" w:sz="4" w:space="0" w:color="auto"/>
            </w:tcBorders>
          </w:tcPr>
          <w:p w14:paraId="24005D5A" w14:textId="0C71B97C"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after surgery within 24 hours</w:t>
            </w:r>
          </w:p>
        </w:tc>
        <w:tc>
          <w:tcPr>
            <w:tcW w:w="850" w:type="dxa"/>
            <w:tcBorders>
              <w:bottom w:val="single" w:sz="4" w:space="0" w:color="auto"/>
            </w:tcBorders>
            <w:vAlign w:val="center"/>
          </w:tcPr>
          <w:p w14:paraId="77FB618B" w14:textId="5FADA784"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POD 1</w:t>
            </w:r>
          </w:p>
        </w:tc>
        <w:tc>
          <w:tcPr>
            <w:tcW w:w="851" w:type="dxa"/>
            <w:tcBorders>
              <w:bottom w:val="single" w:sz="4" w:space="0" w:color="auto"/>
            </w:tcBorders>
            <w:vAlign w:val="center"/>
          </w:tcPr>
          <w:p w14:paraId="01DA0BDC" w14:textId="27B5CE0B"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POD 2</w:t>
            </w:r>
          </w:p>
        </w:tc>
        <w:tc>
          <w:tcPr>
            <w:tcW w:w="992" w:type="dxa"/>
            <w:tcBorders>
              <w:bottom w:val="single" w:sz="4" w:space="0" w:color="auto"/>
            </w:tcBorders>
            <w:vAlign w:val="center"/>
          </w:tcPr>
          <w:p w14:paraId="25059BDD" w14:textId="67140C05" w:rsidR="00BC5A44" w:rsidRPr="00B6585E" w:rsidRDefault="00BC5A44" w:rsidP="00BC5A44">
            <w:pPr>
              <w:jc w:val="center"/>
              <w:rPr>
                <w:rFonts w:ascii="Calibri" w:hAnsi="Calibri"/>
                <w:color w:val="000000" w:themeColor="text1"/>
                <w:sz w:val="16"/>
                <w:szCs w:val="16"/>
              </w:rPr>
            </w:pPr>
            <w:r w:rsidRPr="00B6585E">
              <w:rPr>
                <w:rFonts w:ascii="Calibri" w:hAnsi="Calibri"/>
                <w:color w:val="000000" w:themeColor="text1"/>
                <w:sz w:val="16"/>
                <w:szCs w:val="16"/>
              </w:rPr>
              <w:t>POD 3</w:t>
            </w:r>
          </w:p>
        </w:tc>
        <w:tc>
          <w:tcPr>
            <w:tcW w:w="993" w:type="dxa"/>
            <w:tcBorders>
              <w:bottom w:val="single" w:sz="4" w:space="0" w:color="auto"/>
            </w:tcBorders>
            <w:vAlign w:val="center"/>
          </w:tcPr>
          <w:p w14:paraId="1FA4246C" w14:textId="44A5EBA7" w:rsidR="00BC5A44" w:rsidRPr="00B6585E" w:rsidRDefault="00BC5A44" w:rsidP="00BC5A44">
            <w:pPr>
              <w:jc w:val="center"/>
              <w:rPr>
                <w:rFonts w:ascii="Calibri" w:hAnsi="Calibri"/>
                <w:color w:val="000000" w:themeColor="text1"/>
                <w:sz w:val="16"/>
                <w:szCs w:val="16"/>
              </w:rPr>
            </w:pPr>
            <w:r w:rsidRPr="00B6585E">
              <w:rPr>
                <w:rFonts w:ascii="Calibri" w:hAnsi="Calibri"/>
                <w:color w:val="000000" w:themeColor="text1"/>
                <w:sz w:val="16"/>
                <w:szCs w:val="16"/>
              </w:rPr>
              <w:t>POD 5</w:t>
            </w:r>
          </w:p>
        </w:tc>
        <w:tc>
          <w:tcPr>
            <w:tcW w:w="993" w:type="dxa"/>
            <w:tcBorders>
              <w:bottom w:val="single" w:sz="4" w:space="0" w:color="auto"/>
            </w:tcBorders>
            <w:vAlign w:val="center"/>
          </w:tcPr>
          <w:p w14:paraId="633935D1" w14:textId="4301303B"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hospital discharge</w:t>
            </w:r>
          </w:p>
        </w:tc>
        <w:tc>
          <w:tcPr>
            <w:tcW w:w="1134" w:type="dxa"/>
            <w:tcBorders>
              <w:bottom w:val="single" w:sz="4" w:space="0" w:color="auto"/>
            </w:tcBorders>
          </w:tcPr>
          <w:p w14:paraId="6BF3A90C" w14:textId="6A135D9F"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30 days after surgery</w:t>
            </w:r>
          </w:p>
        </w:tc>
        <w:tc>
          <w:tcPr>
            <w:tcW w:w="1134" w:type="dxa"/>
            <w:tcBorders>
              <w:bottom w:val="single" w:sz="4" w:space="0" w:color="auto"/>
            </w:tcBorders>
          </w:tcPr>
          <w:p w14:paraId="5DD1BE14" w14:textId="5B81C409" w:rsidR="00BC5A44" w:rsidRPr="00B6585E" w:rsidRDefault="00BC5A44" w:rsidP="00A11077">
            <w:pPr>
              <w:jc w:val="center"/>
              <w:rPr>
                <w:rFonts w:ascii="Calibri" w:hAnsi="Calibri"/>
                <w:color w:val="000000" w:themeColor="text1"/>
                <w:sz w:val="16"/>
                <w:szCs w:val="16"/>
              </w:rPr>
            </w:pPr>
            <w:r w:rsidRPr="00B6585E">
              <w:rPr>
                <w:rFonts w:ascii="Calibri" w:hAnsi="Calibri"/>
                <w:color w:val="000000" w:themeColor="text1"/>
                <w:sz w:val="16"/>
                <w:szCs w:val="16"/>
              </w:rPr>
              <w:t>1 year after surgery</w:t>
            </w:r>
          </w:p>
        </w:tc>
      </w:tr>
      <w:tr w:rsidR="00637261" w:rsidRPr="00B6585E" w14:paraId="69D13CD1" w14:textId="5275E194" w:rsidTr="00BC5A44">
        <w:tc>
          <w:tcPr>
            <w:tcW w:w="993" w:type="dxa"/>
            <w:shd w:val="clear" w:color="auto" w:fill="FFD966" w:themeFill="accent4" w:themeFillTint="99"/>
          </w:tcPr>
          <w:p w14:paraId="230ABA3F" w14:textId="77777777" w:rsidR="00BC5A44" w:rsidRPr="00B6585E" w:rsidRDefault="00BC5A44" w:rsidP="00A11077">
            <w:pPr>
              <w:rPr>
                <w:rFonts w:ascii="Calibri" w:hAnsi="Calibri"/>
                <w:b/>
                <w:bCs/>
                <w:i/>
                <w:iCs/>
                <w:color w:val="000000" w:themeColor="text1"/>
                <w:sz w:val="20"/>
                <w:szCs w:val="20"/>
              </w:rPr>
            </w:pPr>
          </w:p>
        </w:tc>
        <w:tc>
          <w:tcPr>
            <w:tcW w:w="12612" w:type="dxa"/>
            <w:gridSpan w:val="13"/>
            <w:shd w:val="clear" w:color="auto" w:fill="FFD966" w:themeFill="accent4" w:themeFillTint="99"/>
          </w:tcPr>
          <w:p w14:paraId="0F5BBC37" w14:textId="771606AB" w:rsidR="00BC5A44" w:rsidRPr="00B6585E" w:rsidRDefault="00BC5A44" w:rsidP="00A11077">
            <w:pPr>
              <w:rPr>
                <w:rFonts w:ascii="Calibri" w:hAnsi="Calibri"/>
                <w:b/>
                <w:bCs/>
                <w:i/>
                <w:iCs/>
                <w:color w:val="000000" w:themeColor="text1"/>
                <w:sz w:val="20"/>
                <w:szCs w:val="20"/>
              </w:rPr>
            </w:pPr>
            <w:r w:rsidRPr="00B6585E">
              <w:rPr>
                <w:rFonts w:ascii="Calibri" w:hAnsi="Calibri"/>
                <w:b/>
                <w:bCs/>
                <w:i/>
                <w:iCs/>
                <w:color w:val="000000" w:themeColor="text1"/>
                <w:sz w:val="20"/>
                <w:szCs w:val="20"/>
              </w:rPr>
              <w:t>Enrollment</w:t>
            </w:r>
          </w:p>
        </w:tc>
      </w:tr>
      <w:tr w:rsidR="00637261" w:rsidRPr="00B6585E" w14:paraId="1B578AEF" w14:textId="4D504E77" w:rsidTr="00BC5A44">
        <w:tc>
          <w:tcPr>
            <w:tcW w:w="1696" w:type="dxa"/>
            <w:gridSpan w:val="2"/>
          </w:tcPr>
          <w:p w14:paraId="1B1717D6" w14:textId="77777777"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Eligibility Screening</w:t>
            </w:r>
          </w:p>
        </w:tc>
        <w:tc>
          <w:tcPr>
            <w:tcW w:w="741" w:type="dxa"/>
          </w:tcPr>
          <w:p w14:paraId="5FFA3486"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02" w:type="dxa"/>
          </w:tcPr>
          <w:p w14:paraId="1CBDD2F9" w14:textId="77777777" w:rsidR="00BC5A44" w:rsidRPr="00B6585E" w:rsidRDefault="00BC5A44" w:rsidP="00A11077">
            <w:pPr>
              <w:jc w:val="center"/>
              <w:rPr>
                <w:rFonts w:ascii="Calibri" w:hAnsi="Calibri"/>
                <w:color w:val="000000" w:themeColor="text1"/>
                <w:sz w:val="20"/>
                <w:szCs w:val="20"/>
              </w:rPr>
            </w:pPr>
          </w:p>
        </w:tc>
        <w:tc>
          <w:tcPr>
            <w:tcW w:w="851" w:type="dxa"/>
          </w:tcPr>
          <w:p w14:paraId="39534937" w14:textId="77777777" w:rsidR="00BC5A44" w:rsidRPr="00B6585E" w:rsidRDefault="00BC5A44" w:rsidP="00A11077">
            <w:pPr>
              <w:jc w:val="center"/>
              <w:rPr>
                <w:rFonts w:ascii="Calibri" w:hAnsi="Calibri"/>
                <w:color w:val="000000" w:themeColor="text1"/>
                <w:sz w:val="20"/>
                <w:szCs w:val="20"/>
              </w:rPr>
            </w:pPr>
          </w:p>
        </w:tc>
        <w:tc>
          <w:tcPr>
            <w:tcW w:w="1134" w:type="dxa"/>
          </w:tcPr>
          <w:p w14:paraId="4B2C83A5" w14:textId="77777777" w:rsidR="00BC5A44" w:rsidRPr="00B6585E" w:rsidRDefault="00BC5A44" w:rsidP="00A11077">
            <w:pPr>
              <w:jc w:val="center"/>
              <w:rPr>
                <w:rFonts w:ascii="Calibri" w:hAnsi="Calibri"/>
                <w:color w:val="000000" w:themeColor="text1"/>
                <w:sz w:val="20"/>
                <w:szCs w:val="20"/>
              </w:rPr>
            </w:pPr>
          </w:p>
        </w:tc>
        <w:tc>
          <w:tcPr>
            <w:tcW w:w="1134" w:type="dxa"/>
          </w:tcPr>
          <w:p w14:paraId="633299F9" w14:textId="77777777" w:rsidR="00BC5A44" w:rsidRPr="00B6585E" w:rsidRDefault="00BC5A44" w:rsidP="00A11077">
            <w:pPr>
              <w:jc w:val="center"/>
              <w:rPr>
                <w:rFonts w:ascii="Calibri" w:hAnsi="Calibri"/>
                <w:color w:val="000000" w:themeColor="text1"/>
                <w:sz w:val="20"/>
                <w:szCs w:val="20"/>
              </w:rPr>
            </w:pPr>
          </w:p>
        </w:tc>
        <w:tc>
          <w:tcPr>
            <w:tcW w:w="850" w:type="dxa"/>
          </w:tcPr>
          <w:p w14:paraId="05C3216B" w14:textId="6E5F9060" w:rsidR="00BC5A44" w:rsidRPr="00B6585E" w:rsidRDefault="00BC5A44" w:rsidP="00A11077">
            <w:pPr>
              <w:jc w:val="center"/>
              <w:rPr>
                <w:rFonts w:ascii="Calibri" w:hAnsi="Calibri"/>
                <w:color w:val="000000" w:themeColor="text1"/>
                <w:sz w:val="20"/>
                <w:szCs w:val="20"/>
              </w:rPr>
            </w:pPr>
          </w:p>
        </w:tc>
        <w:tc>
          <w:tcPr>
            <w:tcW w:w="851" w:type="dxa"/>
          </w:tcPr>
          <w:p w14:paraId="29E5BC7F" w14:textId="77777777" w:rsidR="00BC5A44" w:rsidRPr="00B6585E" w:rsidRDefault="00BC5A44" w:rsidP="00A11077">
            <w:pPr>
              <w:jc w:val="center"/>
              <w:rPr>
                <w:rFonts w:ascii="Calibri" w:hAnsi="Calibri"/>
                <w:color w:val="000000" w:themeColor="text1"/>
                <w:sz w:val="20"/>
                <w:szCs w:val="20"/>
              </w:rPr>
            </w:pPr>
          </w:p>
        </w:tc>
        <w:tc>
          <w:tcPr>
            <w:tcW w:w="992" w:type="dxa"/>
          </w:tcPr>
          <w:p w14:paraId="6D7D1792" w14:textId="77777777" w:rsidR="00BC5A44" w:rsidRPr="00B6585E" w:rsidRDefault="00BC5A44" w:rsidP="00A11077">
            <w:pPr>
              <w:jc w:val="center"/>
              <w:rPr>
                <w:rFonts w:ascii="Calibri" w:hAnsi="Calibri"/>
                <w:color w:val="000000" w:themeColor="text1"/>
                <w:sz w:val="20"/>
                <w:szCs w:val="20"/>
              </w:rPr>
            </w:pPr>
          </w:p>
        </w:tc>
        <w:tc>
          <w:tcPr>
            <w:tcW w:w="993" w:type="dxa"/>
          </w:tcPr>
          <w:p w14:paraId="70DCD836" w14:textId="77777777" w:rsidR="00BC5A44" w:rsidRPr="00B6585E" w:rsidRDefault="00BC5A44" w:rsidP="00A11077">
            <w:pPr>
              <w:jc w:val="center"/>
              <w:rPr>
                <w:rFonts w:ascii="Calibri" w:hAnsi="Calibri"/>
                <w:color w:val="000000" w:themeColor="text1"/>
                <w:sz w:val="20"/>
                <w:szCs w:val="20"/>
              </w:rPr>
            </w:pPr>
          </w:p>
        </w:tc>
        <w:tc>
          <w:tcPr>
            <w:tcW w:w="993" w:type="dxa"/>
          </w:tcPr>
          <w:p w14:paraId="72FE2828" w14:textId="6D97BA8E" w:rsidR="00BC5A44" w:rsidRPr="00B6585E" w:rsidRDefault="00BC5A44" w:rsidP="00A11077">
            <w:pPr>
              <w:jc w:val="center"/>
              <w:rPr>
                <w:rFonts w:ascii="Calibri" w:hAnsi="Calibri"/>
                <w:color w:val="000000" w:themeColor="text1"/>
                <w:sz w:val="20"/>
                <w:szCs w:val="20"/>
              </w:rPr>
            </w:pPr>
          </w:p>
        </w:tc>
        <w:tc>
          <w:tcPr>
            <w:tcW w:w="1134" w:type="dxa"/>
          </w:tcPr>
          <w:p w14:paraId="2B93A5D9" w14:textId="77777777" w:rsidR="00BC5A44" w:rsidRPr="00B6585E" w:rsidRDefault="00BC5A44" w:rsidP="00A11077">
            <w:pPr>
              <w:jc w:val="center"/>
              <w:rPr>
                <w:rFonts w:ascii="Calibri" w:hAnsi="Calibri"/>
                <w:color w:val="000000" w:themeColor="text1"/>
                <w:sz w:val="20"/>
                <w:szCs w:val="20"/>
              </w:rPr>
            </w:pPr>
          </w:p>
        </w:tc>
        <w:tc>
          <w:tcPr>
            <w:tcW w:w="1134" w:type="dxa"/>
          </w:tcPr>
          <w:p w14:paraId="1CDF05D2" w14:textId="77777777" w:rsidR="00BC5A44" w:rsidRPr="00B6585E" w:rsidRDefault="00BC5A44" w:rsidP="00A11077">
            <w:pPr>
              <w:jc w:val="center"/>
              <w:rPr>
                <w:rFonts w:ascii="Calibri" w:hAnsi="Calibri"/>
                <w:color w:val="000000" w:themeColor="text1"/>
                <w:sz w:val="20"/>
                <w:szCs w:val="20"/>
              </w:rPr>
            </w:pPr>
          </w:p>
        </w:tc>
      </w:tr>
      <w:tr w:rsidR="00637261" w:rsidRPr="00B6585E" w14:paraId="68E5B15C" w14:textId="32EF13EB" w:rsidTr="00BC5A44">
        <w:tc>
          <w:tcPr>
            <w:tcW w:w="1696" w:type="dxa"/>
            <w:gridSpan w:val="2"/>
          </w:tcPr>
          <w:p w14:paraId="18C7221E" w14:textId="280CDEC4"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Informed Consent</w:t>
            </w:r>
          </w:p>
        </w:tc>
        <w:tc>
          <w:tcPr>
            <w:tcW w:w="741" w:type="dxa"/>
          </w:tcPr>
          <w:p w14:paraId="2A748CC0" w14:textId="126791CD"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02" w:type="dxa"/>
          </w:tcPr>
          <w:p w14:paraId="54486FE6" w14:textId="77777777" w:rsidR="00BC5A44" w:rsidRPr="00B6585E" w:rsidRDefault="00BC5A44" w:rsidP="00A11077">
            <w:pPr>
              <w:jc w:val="center"/>
              <w:rPr>
                <w:rFonts w:ascii="Calibri" w:hAnsi="Calibri"/>
                <w:color w:val="000000" w:themeColor="text1"/>
                <w:sz w:val="20"/>
                <w:szCs w:val="20"/>
              </w:rPr>
            </w:pPr>
          </w:p>
        </w:tc>
        <w:tc>
          <w:tcPr>
            <w:tcW w:w="851" w:type="dxa"/>
          </w:tcPr>
          <w:p w14:paraId="79F9B5B3" w14:textId="77777777" w:rsidR="00BC5A44" w:rsidRPr="00B6585E" w:rsidRDefault="00BC5A44" w:rsidP="00A11077">
            <w:pPr>
              <w:jc w:val="center"/>
              <w:rPr>
                <w:rFonts w:ascii="Calibri" w:hAnsi="Calibri"/>
                <w:color w:val="000000" w:themeColor="text1"/>
                <w:sz w:val="20"/>
                <w:szCs w:val="20"/>
              </w:rPr>
            </w:pPr>
          </w:p>
        </w:tc>
        <w:tc>
          <w:tcPr>
            <w:tcW w:w="1134" w:type="dxa"/>
          </w:tcPr>
          <w:p w14:paraId="7BBC8A7C" w14:textId="77777777" w:rsidR="00BC5A44" w:rsidRPr="00B6585E" w:rsidRDefault="00BC5A44" w:rsidP="00A11077">
            <w:pPr>
              <w:jc w:val="center"/>
              <w:rPr>
                <w:rFonts w:ascii="Calibri" w:hAnsi="Calibri"/>
                <w:color w:val="000000" w:themeColor="text1"/>
                <w:sz w:val="20"/>
                <w:szCs w:val="20"/>
              </w:rPr>
            </w:pPr>
          </w:p>
        </w:tc>
        <w:tc>
          <w:tcPr>
            <w:tcW w:w="1134" w:type="dxa"/>
          </w:tcPr>
          <w:p w14:paraId="58A05A34" w14:textId="77777777" w:rsidR="00BC5A44" w:rsidRPr="00B6585E" w:rsidRDefault="00BC5A44" w:rsidP="00A11077">
            <w:pPr>
              <w:jc w:val="center"/>
              <w:rPr>
                <w:rFonts w:ascii="Calibri" w:hAnsi="Calibri"/>
                <w:color w:val="000000" w:themeColor="text1"/>
                <w:sz w:val="20"/>
                <w:szCs w:val="20"/>
              </w:rPr>
            </w:pPr>
          </w:p>
        </w:tc>
        <w:tc>
          <w:tcPr>
            <w:tcW w:w="850" w:type="dxa"/>
          </w:tcPr>
          <w:p w14:paraId="0B19BDFF" w14:textId="2749E343" w:rsidR="00BC5A44" w:rsidRPr="00B6585E" w:rsidRDefault="00BC5A44" w:rsidP="00A11077">
            <w:pPr>
              <w:jc w:val="center"/>
              <w:rPr>
                <w:rFonts w:ascii="Calibri" w:hAnsi="Calibri"/>
                <w:color w:val="000000" w:themeColor="text1"/>
                <w:sz w:val="20"/>
                <w:szCs w:val="20"/>
              </w:rPr>
            </w:pPr>
          </w:p>
        </w:tc>
        <w:tc>
          <w:tcPr>
            <w:tcW w:w="851" w:type="dxa"/>
          </w:tcPr>
          <w:p w14:paraId="759A985B" w14:textId="77777777" w:rsidR="00BC5A44" w:rsidRPr="00B6585E" w:rsidRDefault="00BC5A44" w:rsidP="00A11077">
            <w:pPr>
              <w:jc w:val="center"/>
              <w:rPr>
                <w:rFonts w:ascii="Calibri" w:hAnsi="Calibri"/>
                <w:color w:val="000000" w:themeColor="text1"/>
                <w:sz w:val="20"/>
                <w:szCs w:val="20"/>
              </w:rPr>
            </w:pPr>
          </w:p>
        </w:tc>
        <w:tc>
          <w:tcPr>
            <w:tcW w:w="992" w:type="dxa"/>
          </w:tcPr>
          <w:p w14:paraId="46D3C827" w14:textId="77777777" w:rsidR="00BC5A44" w:rsidRPr="00B6585E" w:rsidRDefault="00BC5A44" w:rsidP="00A11077">
            <w:pPr>
              <w:jc w:val="center"/>
              <w:rPr>
                <w:rFonts w:ascii="Calibri" w:hAnsi="Calibri"/>
                <w:color w:val="000000" w:themeColor="text1"/>
                <w:sz w:val="20"/>
                <w:szCs w:val="20"/>
              </w:rPr>
            </w:pPr>
          </w:p>
        </w:tc>
        <w:tc>
          <w:tcPr>
            <w:tcW w:w="993" w:type="dxa"/>
          </w:tcPr>
          <w:p w14:paraId="63FABE96" w14:textId="77777777" w:rsidR="00BC5A44" w:rsidRPr="00B6585E" w:rsidRDefault="00BC5A44" w:rsidP="00A11077">
            <w:pPr>
              <w:jc w:val="center"/>
              <w:rPr>
                <w:rFonts w:ascii="Calibri" w:hAnsi="Calibri"/>
                <w:color w:val="000000" w:themeColor="text1"/>
                <w:sz w:val="20"/>
                <w:szCs w:val="20"/>
              </w:rPr>
            </w:pPr>
          </w:p>
        </w:tc>
        <w:tc>
          <w:tcPr>
            <w:tcW w:w="993" w:type="dxa"/>
          </w:tcPr>
          <w:p w14:paraId="45B26BFD" w14:textId="635F8EEB" w:rsidR="00BC5A44" w:rsidRPr="00B6585E" w:rsidRDefault="00BC5A44" w:rsidP="00A11077">
            <w:pPr>
              <w:jc w:val="center"/>
              <w:rPr>
                <w:rFonts w:ascii="Calibri" w:hAnsi="Calibri"/>
                <w:color w:val="000000" w:themeColor="text1"/>
                <w:sz w:val="20"/>
                <w:szCs w:val="20"/>
              </w:rPr>
            </w:pPr>
          </w:p>
        </w:tc>
        <w:tc>
          <w:tcPr>
            <w:tcW w:w="1134" w:type="dxa"/>
          </w:tcPr>
          <w:p w14:paraId="0587B6DF" w14:textId="77777777" w:rsidR="00BC5A44" w:rsidRPr="00B6585E" w:rsidRDefault="00BC5A44" w:rsidP="00A11077">
            <w:pPr>
              <w:jc w:val="center"/>
              <w:rPr>
                <w:rFonts w:ascii="Calibri" w:hAnsi="Calibri"/>
                <w:color w:val="000000" w:themeColor="text1"/>
                <w:sz w:val="20"/>
                <w:szCs w:val="20"/>
              </w:rPr>
            </w:pPr>
          </w:p>
        </w:tc>
        <w:tc>
          <w:tcPr>
            <w:tcW w:w="1134" w:type="dxa"/>
          </w:tcPr>
          <w:p w14:paraId="18DBF4EA" w14:textId="77777777" w:rsidR="00BC5A44" w:rsidRPr="00B6585E" w:rsidRDefault="00BC5A44" w:rsidP="00A11077">
            <w:pPr>
              <w:jc w:val="center"/>
              <w:rPr>
                <w:rFonts w:ascii="Calibri" w:hAnsi="Calibri"/>
                <w:color w:val="000000" w:themeColor="text1"/>
                <w:sz w:val="20"/>
                <w:szCs w:val="20"/>
              </w:rPr>
            </w:pPr>
          </w:p>
        </w:tc>
      </w:tr>
      <w:tr w:rsidR="00637261" w:rsidRPr="00B6585E" w14:paraId="2655D1CA" w14:textId="494F86FB" w:rsidTr="00BC5A44">
        <w:tc>
          <w:tcPr>
            <w:tcW w:w="1696" w:type="dxa"/>
            <w:gridSpan w:val="2"/>
          </w:tcPr>
          <w:p w14:paraId="0879A4CE" w14:textId="5DE1C054"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Patient History</w:t>
            </w:r>
          </w:p>
        </w:tc>
        <w:tc>
          <w:tcPr>
            <w:tcW w:w="741" w:type="dxa"/>
          </w:tcPr>
          <w:p w14:paraId="3DB42C3B"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02" w:type="dxa"/>
          </w:tcPr>
          <w:p w14:paraId="4411B285" w14:textId="77777777" w:rsidR="00BC5A44" w:rsidRPr="00B6585E" w:rsidRDefault="00BC5A44" w:rsidP="00A11077">
            <w:pPr>
              <w:jc w:val="center"/>
              <w:rPr>
                <w:rFonts w:ascii="Calibri" w:hAnsi="Calibri"/>
                <w:color w:val="000000" w:themeColor="text1"/>
                <w:sz w:val="20"/>
                <w:szCs w:val="20"/>
              </w:rPr>
            </w:pPr>
          </w:p>
        </w:tc>
        <w:tc>
          <w:tcPr>
            <w:tcW w:w="851" w:type="dxa"/>
          </w:tcPr>
          <w:p w14:paraId="75FA5F0C" w14:textId="77777777" w:rsidR="00BC5A44" w:rsidRPr="00B6585E" w:rsidRDefault="00BC5A44" w:rsidP="00A11077">
            <w:pPr>
              <w:jc w:val="center"/>
              <w:rPr>
                <w:rFonts w:ascii="Calibri" w:hAnsi="Calibri"/>
                <w:color w:val="000000" w:themeColor="text1"/>
                <w:sz w:val="20"/>
                <w:szCs w:val="20"/>
              </w:rPr>
            </w:pPr>
          </w:p>
        </w:tc>
        <w:tc>
          <w:tcPr>
            <w:tcW w:w="1134" w:type="dxa"/>
          </w:tcPr>
          <w:p w14:paraId="211D3B2F" w14:textId="77777777" w:rsidR="00BC5A44" w:rsidRPr="00B6585E" w:rsidRDefault="00BC5A44" w:rsidP="00A11077">
            <w:pPr>
              <w:jc w:val="center"/>
              <w:rPr>
                <w:rFonts w:ascii="Calibri" w:hAnsi="Calibri"/>
                <w:color w:val="000000" w:themeColor="text1"/>
                <w:sz w:val="20"/>
                <w:szCs w:val="20"/>
              </w:rPr>
            </w:pPr>
          </w:p>
        </w:tc>
        <w:tc>
          <w:tcPr>
            <w:tcW w:w="1134" w:type="dxa"/>
          </w:tcPr>
          <w:p w14:paraId="22CBB96A" w14:textId="77777777" w:rsidR="00BC5A44" w:rsidRPr="00B6585E" w:rsidRDefault="00BC5A44" w:rsidP="00A11077">
            <w:pPr>
              <w:jc w:val="center"/>
              <w:rPr>
                <w:rFonts w:ascii="Calibri" w:hAnsi="Calibri"/>
                <w:color w:val="000000" w:themeColor="text1"/>
                <w:sz w:val="20"/>
                <w:szCs w:val="20"/>
              </w:rPr>
            </w:pPr>
          </w:p>
        </w:tc>
        <w:tc>
          <w:tcPr>
            <w:tcW w:w="850" w:type="dxa"/>
          </w:tcPr>
          <w:p w14:paraId="79743C3C" w14:textId="1AB16711" w:rsidR="00BC5A44" w:rsidRPr="00B6585E" w:rsidRDefault="00BC5A44" w:rsidP="00A11077">
            <w:pPr>
              <w:jc w:val="center"/>
              <w:rPr>
                <w:rFonts w:ascii="Calibri" w:hAnsi="Calibri"/>
                <w:color w:val="000000" w:themeColor="text1"/>
                <w:sz w:val="20"/>
                <w:szCs w:val="20"/>
              </w:rPr>
            </w:pPr>
          </w:p>
        </w:tc>
        <w:tc>
          <w:tcPr>
            <w:tcW w:w="851" w:type="dxa"/>
          </w:tcPr>
          <w:p w14:paraId="7B37B28B" w14:textId="77777777" w:rsidR="00BC5A44" w:rsidRPr="00B6585E" w:rsidRDefault="00BC5A44" w:rsidP="00A11077">
            <w:pPr>
              <w:jc w:val="center"/>
              <w:rPr>
                <w:rFonts w:ascii="Calibri" w:hAnsi="Calibri"/>
                <w:color w:val="000000" w:themeColor="text1"/>
                <w:sz w:val="20"/>
                <w:szCs w:val="20"/>
              </w:rPr>
            </w:pPr>
          </w:p>
        </w:tc>
        <w:tc>
          <w:tcPr>
            <w:tcW w:w="992" w:type="dxa"/>
          </w:tcPr>
          <w:p w14:paraId="22C97C4E" w14:textId="77777777" w:rsidR="00BC5A44" w:rsidRPr="00B6585E" w:rsidRDefault="00BC5A44" w:rsidP="00A11077">
            <w:pPr>
              <w:jc w:val="center"/>
              <w:rPr>
                <w:rFonts w:ascii="Calibri" w:hAnsi="Calibri"/>
                <w:color w:val="000000" w:themeColor="text1"/>
                <w:sz w:val="20"/>
                <w:szCs w:val="20"/>
              </w:rPr>
            </w:pPr>
          </w:p>
        </w:tc>
        <w:tc>
          <w:tcPr>
            <w:tcW w:w="993" w:type="dxa"/>
          </w:tcPr>
          <w:p w14:paraId="182FC229" w14:textId="77777777" w:rsidR="00BC5A44" w:rsidRPr="00B6585E" w:rsidRDefault="00BC5A44" w:rsidP="00A11077">
            <w:pPr>
              <w:jc w:val="center"/>
              <w:rPr>
                <w:rFonts w:ascii="Calibri" w:hAnsi="Calibri"/>
                <w:color w:val="000000" w:themeColor="text1"/>
                <w:sz w:val="20"/>
                <w:szCs w:val="20"/>
              </w:rPr>
            </w:pPr>
          </w:p>
        </w:tc>
        <w:tc>
          <w:tcPr>
            <w:tcW w:w="993" w:type="dxa"/>
          </w:tcPr>
          <w:p w14:paraId="26B26EEA" w14:textId="256E6BF1" w:rsidR="00BC5A44" w:rsidRPr="00B6585E" w:rsidRDefault="00BC5A44" w:rsidP="00A11077">
            <w:pPr>
              <w:jc w:val="center"/>
              <w:rPr>
                <w:rFonts w:ascii="Calibri" w:hAnsi="Calibri"/>
                <w:color w:val="000000" w:themeColor="text1"/>
                <w:sz w:val="20"/>
                <w:szCs w:val="20"/>
              </w:rPr>
            </w:pPr>
          </w:p>
        </w:tc>
        <w:tc>
          <w:tcPr>
            <w:tcW w:w="1134" w:type="dxa"/>
          </w:tcPr>
          <w:p w14:paraId="27F5456D" w14:textId="77777777" w:rsidR="00BC5A44" w:rsidRPr="00B6585E" w:rsidRDefault="00BC5A44" w:rsidP="00A11077">
            <w:pPr>
              <w:jc w:val="center"/>
              <w:rPr>
                <w:rFonts w:ascii="Calibri" w:hAnsi="Calibri"/>
                <w:color w:val="000000" w:themeColor="text1"/>
                <w:sz w:val="20"/>
                <w:szCs w:val="20"/>
              </w:rPr>
            </w:pPr>
          </w:p>
        </w:tc>
        <w:tc>
          <w:tcPr>
            <w:tcW w:w="1134" w:type="dxa"/>
          </w:tcPr>
          <w:p w14:paraId="0AFA1A16" w14:textId="77777777" w:rsidR="00BC5A44" w:rsidRPr="00B6585E" w:rsidRDefault="00BC5A44" w:rsidP="00A11077">
            <w:pPr>
              <w:jc w:val="center"/>
              <w:rPr>
                <w:rFonts w:ascii="Calibri" w:hAnsi="Calibri"/>
                <w:color w:val="000000" w:themeColor="text1"/>
                <w:sz w:val="20"/>
                <w:szCs w:val="20"/>
              </w:rPr>
            </w:pPr>
          </w:p>
        </w:tc>
      </w:tr>
      <w:tr w:rsidR="00637261" w:rsidRPr="00B6585E" w14:paraId="27A1079D" w14:textId="37C77BBC" w:rsidTr="00BC5A44">
        <w:tc>
          <w:tcPr>
            <w:tcW w:w="1696" w:type="dxa"/>
            <w:gridSpan w:val="2"/>
          </w:tcPr>
          <w:p w14:paraId="65243320" w14:textId="77777777"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Blood Pressure</w:t>
            </w:r>
          </w:p>
          <w:p w14:paraId="455DF080" w14:textId="248A57E4"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Measurement</w:t>
            </w:r>
          </w:p>
        </w:tc>
        <w:tc>
          <w:tcPr>
            <w:tcW w:w="741" w:type="dxa"/>
          </w:tcPr>
          <w:p w14:paraId="3FE0283B" w14:textId="2CB88DD4" w:rsidR="00BC5A44" w:rsidRPr="00B6585E" w:rsidRDefault="00BC5A44" w:rsidP="00A11077">
            <w:pPr>
              <w:jc w:val="center"/>
              <w:rPr>
                <w:rFonts w:ascii="Calibri" w:hAnsi="Calibri"/>
                <w:color w:val="000000" w:themeColor="text1"/>
                <w:sz w:val="20"/>
                <w:szCs w:val="20"/>
              </w:rPr>
            </w:pPr>
          </w:p>
        </w:tc>
        <w:tc>
          <w:tcPr>
            <w:tcW w:w="1102" w:type="dxa"/>
          </w:tcPr>
          <w:p w14:paraId="15742F16" w14:textId="6A5A7E9F"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Pr>
          <w:p w14:paraId="253F15B1" w14:textId="77777777" w:rsidR="00BC5A44" w:rsidRPr="00B6585E" w:rsidRDefault="00BC5A44" w:rsidP="00A11077">
            <w:pPr>
              <w:jc w:val="center"/>
              <w:rPr>
                <w:rFonts w:ascii="Calibri" w:hAnsi="Calibri"/>
                <w:color w:val="000000" w:themeColor="text1"/>
                <w:sz w:val="20"/>
                <w:szCs w:val="20"/>
              </w:rPr>
            </w:pPr>
          </w:p>
        </w:tc>
        <w:tc>
          <w:tcPr>
            <w:tcW w:w="1134" w:type="dxa"/>
          </w:tcPr>
          <w:p w14:paraId="002FF1B5" w14:textId="77777777" w:rsidR="00BC5A44" w:rsidRPr="00B6585E" w:rsidRDefault="00BC5A44" w:rsidP="00A11077">
            <w:pPr>
              <w:jc w:val="center"/>
              <w:rPr>
                <w:rFonts w:ascii="Calibri" w:hAnsi="Calibri"/>
                <w:color w:val="000000" w:themeColor="text1"/>
                <w:sz w:val="20"/>
                <w:szCs w:val="20"/>
              </w:rPr>
            </w:pPr>
          </w:p>
        </w:tc>
        <w:tc>
          <w:tcPr>
            <w:tcW w:w="1134" w:type="dxa"/>
          </w:tcPr>
          <w:p w14:paraId="76835174" w14:textId="77777777" w:rsidR="00BC5A44" w:rsidRPr="00B6585E" w:rsidRDefault="00BC5A44" w:rsidP="00A11077">
            <w:pPr>
              <w:jc w:val="center"/>
              <w:rPr>
                <w:rFonts w:ascii="Calibri" w:hAnsi="Calibri"/>
                <w:color w:val="000000" w:themeColor="text1"/>
                <w:sz w:val="20"/>
                <w:szCs w:val="20"/>
              </w:rPr>
            </w:pPr>
          </w:p>
        </w:tc>
        <w:tc>
          <w:tcPr>
            <w:tcW w:w="850" w:type="dxa"/>
          </w:tcPr>
          <w:p w14:paraId="4A586E64" w14:textId="7C94E0DC" w:rsidR="00BC5A44" w:rsidRPr="00B6585E" w:rsidRDefault="00BC5A44" w:rsidP="00A11077">
            <w:pPr>
              <w:jc w:val="center"/>
              <w:rPr>
                <w:rFonts w:ascii="Calibri" w:hAnsi="Calibri"/>
                <w:color w:val="000000" w:themeColor="text1"/>
                <w:sz w:val="20"/>
                <w:szCs w:val="20"/>
              </w:rPr>
            </w:pPr>
          </w:p>
        </w:tc>
        <w:tc>
          <w:tcPr>
            <w:tcW w:w="851" w:type="dxa"/>
          </w:tcPr>
          <w:p w14:paraId="3D8FD0AA" w14:textId="77777777" w:rsidR="00BC5A44" w:rsidRPr="00B6585E" w:rsidRDefault="00BC5A44" w:rsidP="00A11077">
            <w:pPr>
              <w:jc w:val="center"/>
              <w:rPr>
                <w:rFonts w:ascii="Calibri" w:hAnsi="Calibri"/>
                <w:color w:val="000000" w:themeColor="text1"/>
                <w:sz w:val="20"/>
                <w:szCs w:val="20"/>
              </w:rPr>
            </w:pPr>
          </w:p>
        </w:tc>
        <w:tc>
          <w:tcPr>
            <w:tcW w:w="992" w:type="dxa"/>
          </w:tcPr>
          <w:p w14:paraId="5144E5EB" w14:textId="77777777" w:rsidR="00BC5A44" w:rsidRPr="00B6585E" w:rsidRDefault="00BC5A44" w:rsidP="00A11077">
            <w:pPr>
              <w:jc w:val="center"/>
              <w:rPr>
                <w:rFonts w:ascii="Calibri" w:hAnsi="Calibri"/>
                <w:color w:val="000000" w:themeColor="text1"/>
                <w:sz w:val="20"/>
                <w:szCs w:val="20"/>
              </w:rPr>
            </w:pPr>
          </w:p>
        </w:tc>
        <w:tc>
          <w:tcPr>
            <w:tcW w:w="993" w:type="dxa"/>
          </w:tcPr>
          <w:p w14:paraId="3F0406E9" w14:textId="77777777" w:rsidR="00BC5A44" w:rsidRPr="00B6585E" w:rsidRDefault="00BC5A44" w:rsidP="00A11077">
            <w:pPr>
              <w:jc w:val="center"/>
              <w:rPr>
                <w:rFonts w:ascii="Calibri" w:hAnsi="Calibri"/>
                <w:color w:val="000000" w:themeColor="text1"/>
                <w:sz w:val="20"/>
                <w:szCs w:val="20"/>
              </w:rPr>
            </w:pPr>
          </w:p>
        </w:tc>
        <w:tc>
          <w:tcPr>
            <w:tcW w:w="993" w:type="dxa"/>
          </w:tcPr>
          <w:p w14:paraId="5B35523E" w14:textId="7B386EEA" w:rsidR="00BC5A44" w:rsidRPr="00B6585E" w:rsidRDefault="00BC5A44" w:rsidP="00A11077">
            <w:pPr>
              <w:jc w:val="center"/>
              <w:rPr>
                <w:rFonts w:ascii="Calibri" w:hAnsi="Calibri"/>
                <w:color w:val="000000" w:themeColor="text1"/>
                <w:sz w:val="20"/>
                <w:szCs w:val="20"/>
              </w:rPr>
            </w:pPr>
          </w:p>
        </w:tc>
        <w:tc>
          <w:tcPr>
            <w:tcW w:w="1134" w:type="dxa"/>
          </w:tcPr>
          <w:p w14:paraId="3641B0DD" w14:textId="77777777" w:rsidR="00BC5A44" w:rsidRPr="00B6585E" w:rsidRDefault="00BC5A44" w:rsidP="00A11077">
            <w:pPr>
              <w:jc w:val="center"/>
              <w:rPr>
                <w:rFonts w:ascii="Calibri" w:hAnsi="Calibri"/>
                <w:color w:val="000000" w:themeColor="text1"/>
                <w:sz w:val="20"/>
                <w:szCs w:val="20"/>
              </w:rPr>
            </w:pPr>
          </w:p>
        </w:tc>
        <w:tc>
          <w:tcPr>
            <w:tcW w:w="1134" w:type="dxa"/>
          </w:tcPr>
          <w:p w14:paraId="7AE2A88B" w14:textId="77777777" w:rsidR="00BC5A44" w:rsidRPr="00B6585E" w:rsidRDefault="00BC5A44" w:rsidP="00A11077">
            <w:pPr>
              <w:jc w:val="center"/>
              <w:rPr>
                <w:rFonts w:ascii="Calibri" w:hAnsi="Calibri"/>
                <w:color w:val="000000" w:themeColor="text1"/>
                <w:sz w:val="20"/>
                <w:szCs w:val="20"/>
              </w:rPr>
            </w:pPr>
          </w:p>
        </w:tc>
      </w:tr>
      <w:tr w:rsidR="00637261" w:rsidRPr="00B6585E" w14:paraId="2D4BD937" w14:textId="6468E71D" w:rsidTr="00BC5A44">
        <w:tc>
          <w:tcPr>
            <w:tcW w:w="1696" w:type="dxa"/>
            <w:gridSpan w:val="2"/>
            <w:tcBorders>
              <w:bottom w:val="single" w:sz="4" w:space="0" w:color="auto"/>
            </w:tcBorders>
          </w:tcPr>
          <w:p w14:paraId="67ADEBDF" w14:textId="77777777"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Allocation</w:t>
            </w:r>
          </w:p>
        </w:tc>
        <w:tc>
          <w:tcPr>
            <w:tcW w:w="741" w:type="dxa"/>
            <w:tcBorders>
              <w:bottom w:val="single" w:sz="4" w:space="0" w:color="auto"/>
            </w:tcBorders>
          </w:tcPr>
          <w:p w14:paraId="163EC20D" w14:textId="77777777" w:rsidR="00BC5A44" w:rsidRPr="00B6585E" w:rsidRDefault="00BC5A44" w:rsidP="00A11077">
            <w:pPr>
              <w:jc w:val="center"/>
              <w:rPr>
                <w:rFonts w:ascii="Calibri" w:hAnsi="Calibri"/>
                <w:color w:val="000000" w:themeColor="text1"/>
                <w:sz w:val="20"/>
                <w:szCs w:val="20"/>
              </w:rPr>
            </w:pPr>
          </w:p>
        </w:tc>
        <w:tc>
          <w:tcPr>
            <w:tcW w:w="1102" w:type="dxa"/>
            <w:tcBorders>
              <w:bottom w:val="single" w:sz="4" w:space="0" w:color="auto"/>
            </w:tcBorders>
          </w:tcPr>
          <w:p w14:paraId="00A71FC1"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Borders>
              <w:bottom w:val="single" w:sz="4" w:space="0" w:color="auto"/>
            </w:tcBorders>
          </w:tcPr>
          <w:p w14:paraId="2679D6FA"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2B390093"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646F4D8B" w14:textId="77777777" w:rsidR="00BC5A44" w:rsidRPr="00B6585E" w:rsidRDefault="00BC5A44" w:rsidP="00A11077">
            <w:pPr>
              <w:jc w:val="center"/>
              <w:rPr>
                <w:rFonts w:ascii="Calibri" w:hAnsi="Calibri"/>
                <w:color w:val="000000" w:themeColor="text1"/>
                <w:sz w:val="20"/>
                <w:szCs w:val="20"/>
              </w:rPr>
            </w:pPr>
          </w:p>
        </w:tc>
        <w:tc>
          <w:tcPr>
            <w:tcW w:w="850" w:type="dxa"/>
            <w:tcBorders>
              <w:bottom w:val="single" w:sz="4" w:space="0" w:color="auto"/>
            </w:tcBorders>
          </w:tcPr>
          <w:p w14:paraId="44D7DEE2" w14:textId="26D8C0F5"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288E4D45" w14:textId="77777777" w:rsidR="00BC5A44" w:rsidRPr="00B6585E" w:rsidRDefault="00BC5A44" w:rsidP="00A11077">
            <w:pPr>
              <w:jc w:val="center"/>
              <w:rPr>
                <w:rFonts w:ascii="Calibri" w:hAnsi="Calibri"/>
                <w:color w:val="000000" w:themeColor="text1"/>
                <w:sz w:val="20"/>
                <w:szCs w:val="20"/>
              </w:rPr>
            </w:pPr>
          </w:p>
        </w:tc>
        <w:tc>
          <w:tcPr>
            <w:tcW w:w="992" w:type="dxa"/>
            <w:tcBorders>
              <w:bottom w:val="single" w:sz="4" w:space="0" w:color="auto"/>
            </w:tcBorders>
          </w:tcPr>
          <w:p w14:paraId="76372508"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7F844C94"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3C94A35C" w14:textId="1889F4E2"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34407A82"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27771EE0" w14:textId="77777777" w:rsidR="00BC5A44" w:rsidRPr="00B6585E" w:rsidRDefault="00BC5A44" w:rsidP="00A11077">
            <w:pPr>
              <w:jc w:val="center"/>
              <w:rPr>
                <w:rFonts w:ascii="Calibri" w:hAnsi="Calibri"/>
                <w:color w:val="000000" w:themeColor="text1"/>
                <w:sz w:val="20"/>
                <w:szCs w:val="20"/>
              </w:rPr>
            </w:pPr>
          </w:p>
        </w:tc>
      </w:tr>
      <w:tr w:rsidR="00637261" w:rsidRPr="00B6585E" w14:paraId="05A99804" w14:textId="1FE83AF6" w:rsidTr="00BC5A44">
        <w:tc>
          <w:tcPr>
            <w:tcW w:w="993" w:type="dxa"/>
            <w:shd w:val="clear" w:color="auto" w:fill="FFD966" w:themeFill="accent4" w:themeFillTint="99"/>
          </w:tcPr>
          <w:p w14:paraId="2C0DDE96" w14:textId="77777777" w:rsidR="00BC5A44" w:rsidRPr="00B6585E" w:rsidRDefault="00BC5A44" w:rsidP="00A11077">
            <w:pPr>
              <w:rPr>
                <w:rFonts w:ascii="Calibri" w:hAnsi="Calibri"/>
                <w:b/>
                <w:bCs/>
                <w:i/>
                <w:iCs/>
                <w:color w:val="000000" w:themeColor="text1"/>
                <w:sz w:val="20"/>
                <w:szCs w:val="20"/>
              </w:rPr>
            </w:pPr>
          </w:p>
        </w:tc>
        <w:tc>
          <w:tcPr>
            <w:tcW w:w="12612" w:type="dxa"/>
            <w:gridSpan w:val="13"/>
            <w:shd w:val="clear" w:color="auto" w:fill="FFD966" w:themeFill="accent4" w:themeFillTint="99"/>
          </w:tcPr>
          <w:p w14:paraId="2B2AC310" w14:textId="117AB8BD" w:rsidR="00BC5A44" w:rsidRPr="00B6585E" w:rsidRDefault="00BC5A44" w:rsidP="00A11077">
            <w:pPr>
              <w:rPr>
                <w:rFonts w:ascii="Calibri" w:hAnsi="Calibri"/>
                <w:b/>
                <w:bCs/>
                <w:i/>
                <w:iCs/>
                <w:color w:val="000000" w:themeColor="text1"/>
                <w:sz w:val="20"/>
                <w:szCs w:val="20"/>
              </w:rPr>
            </w:pPr>
            <w:r w:rsidRPr="00B6585E">
              <w:rPr>
                <w:rFonts w:ascii="Calibri" w:hAnsi="Calibri"/>
                <w:b/>
                <w:bCs/>
                <w:i/>
                <w:iCs/>
                <w:color w:val="000000" w:themeColor="text1"/>
                <w:sz w:val="20"/>
                <w:szCs w:val="20"/>
              </w:rPr>
              <w:t>Intervention</w:t>
            </w:r>
          </w:p>
        </w:tc>
      </w:tr>
      <w:tr w:rsidR="00637261" w:rsidRPr="00B6585E" w14:paraId="51ACD5EB" w14:textId="228A1288" w:rsidTr="00BC5A44">
        <w:tc>
          <w:tcPr>
            <w:tcW w:w="1696" w:type="dxa"/>
            <w:gridSpan w:val="2"/>
          </w:tcPr>
          <w:p w14:paraId="56397412" w14:textId="2D775C68"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 xml:space="preserve">Blinded Drug Treatment </w:t>
            </w:r>
          </w:p>
        </w:tc>
        <w:tc>
          <w:tcPr>
            <w:tcW w:w="741" w:type="dxa"/>
          </w:tcPr>
          <w:p w14:paraId="7526AD3A" w14:textId="77777777" w:rsidR="00BC5A44" w:rsidRPr="00B6585E" w:rsidRDefault="00BC5A44" w:rsidP="00A11077">
            <w:pPr>
              <w:jc w:val="center"/>
              <w:rPr>
                <w:rFonts w:ascii="Calibri" w:hAnsi="Calibri"/>
                <w:color w:val="000000" w:themeColor="text1"/>
                <w:sz w:val="20"/>
                <w:szCs w:val="20"/>
              </w:rPr>
            </w:pPr>
          </w:p>
        </w:tc>
        <w:tc>
          <w:tcPr>
            <w:tcW w:w="1102" w:type="dxa"/>
          </w:tcPr>
          <w:p w14:paraId="67D09057" w14:textId="77777777" w:rsidR="00BC5A44" w:rsidRPr="00B6585E" w:rsidRDefault="00BC5A44" w:rsidP="00A11077">
            <w:pPr>
              <w:jc w:val="center"/>
              <w:rPr>
                <w:rFonts w:ascii="Calibri" w:hAnsi="Calibri"/>
                <w:color w:val="000000" w:themeColor="text1"/>
                <w:sz w:val="20"/>
                <w:szCs w:val="20"/>
              </w:rPr>
            </w:pPr>
          </w:p>
        </w:tc>
        <w:tc>
          <w:tcPr>
            <w:tcW w:w="851" w:type="dxa"/>
          </w:tcPr>
          <w:p w14:paraId="473E46A0"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3B284CFB" w14:textId="77777777" w:rsidR="00BC5A44" w:rsidRPr="00B6585E" w:rsidRDefault="00BC5A44" w:rsidP="00A11077">
            <w:pPr>
              <w:jc w:val="center"/>
              <w:rPr>
                <w:rFonts w:ascii="Calibri" w:hAnsi="Calibri"/>
                <w:color w:val="000000" w:themeColor="text1"/>
                <w:sz w:val="20"/>
                <w:szCs w:val="20"/>
              </w:rPr>
            </w:pPr>
          </w:p>
        </w:tc>
        <w:tc>
          <w:tcPr>
            <w:tcW w:w="1134" w:type="dxa"/>
          </w:tcPr>
          <w:p w14:paraId="0C1732CF" w14:textId="77777777" w:rsidR="00BC5A44" w:rsidRPr="00B6585E" w:rsidRDefault="00BC5A44" w:rsidP="00A11077">
            <w:pPr>
              <w:jc w:val="center"/>
              <w:rPr>
                <w:rFonts w:ascii="Calibri" w:hAnsi="Calibri"/>
                <w:color w:val="000000" w:themeColor="text1"/>
                <w:sz w:val="20"/>
                <w:szCs w:val="20"/>
              </w:rPr>
            </w:pPr>
          </w:p>
        </w:tc>
        <w:tc>
          <w:tcPr>
            <w:tcW w:w="850" w:type="dxa"/>
          </w:tcPr>
          <w:p w14:paraId="141DFF65" w14:textId="746CC6E5" w:rsidR="00BC5A44" w:rsidRPr="00B6585E" w:rsidRDefault="00BC5A44" w:rsidP="00A11077">
            <w:pPr>
              <w:jc w:val="center"/>
              <w:rPr>
                <w:rFonts w:ascii="Calibri" w:hAnsi="Calibri"/>
                <w:color w:val="000000" w:themeColor="text1"/>
                <w:sz w:val="20"/>
                <w:szCs w:val="20"/>
              </w:rPr>
            </w:pPr>
          </w:p>
        </w:tc>
        <w:tc>
          <w:tcPr>
            <w:tcW w:w="851" w:type="dxa"/>
          </w:tcPr>
          <w:p w14:paraId="5DDB80BC" w14:textId="77777777" w:rsidR="00BC5A44" w:rsidRPr="00B6585E" w:rsidRDefault="00BC5A44" w:rsidP="00A11077">
            <w:pPr>
              <w:jc w:val="center"/>
              <w:rPr>
                <w:rFonts w:ascii="Calibri" w:hAnsi="Calibri"/>
                <w:color w:val="000000" w:themeColor="text1"/>
                <w:sz w:val="20"/>
                <w:szCs w:val="20"/>
              </w:rPr>
            </w:pPr>
          </w:p>
        </w:tc>
        <w:tc>
          <w:tcPr>
            <w:tcW w:w="992" w:type="dxa"/>
          </w:tcPr>
          <w:p w14:paraId="48E68B3B" w14:textId="77777777" w:rsidR="00BC5A44" w:rsidRPr="00B6585E" w:rsidRDefault="00BC5A44" w:rsidP="00A11077">
            <w:pPr>
              <w:jc w:val="center"/>
              <w:rPr>
                <w:rFonts w:ascii="Calibri" w:hAnsi="Calibri"/>
                <w:color w:val="000000" w:themeColor="text1"/>
                <w:sz w:val="20"/>
                <w:szCs w:val="20"/>
              </w:rPr>
            </w:pPr>
          </w:p>
        </w:tc>
        <w:tc>
          <w:tcPr>
            <w:tcW w:w="993" w:type="dxa"/>
          </w:tcPr>
          <w:p w14:paraId="2A7B48B3" w14:textId="77777777" w:rsidR="00BC5A44" w:rsidRPr="00B6585E" w:rsidRDefault="00BC5A44" w:rsidP="00A11077">
            <w:pPr>
              <w:jc w:val="center"/>
              <w:rPr>
                <w:rFonts w:ascii="Calibri" w:hAnsi="Calibri"/>
                <w:color w:val="000000" w:themeColor="text1"/>
                <w:sz w:val="20"/>
                <w:szCs w:val="20"/>
              </w:rPr>
            </w:pPr>
          </w:p>
        </w:tc>
        <w:tc>
          <w:tcPr>
            <w:tcW w:w="993" w:type="dxa"/>
          </w:tcPr>
          <w:p w14:paraId="4F783598" w14:textId="2B20F59D" w:rsidR="00BC5A44" w:rsidRPr="00B6585E" w:rsidRDefault="00BC5A44" w:rsidP="00A11077">
            <w:pPr>
              <w:jc w:val="center"/>
              <w:rPr>
                <w:rFonts w:ascii="Calibri" w:hAnsi="Calibri"/>
                <w:color w:val="000000" w:themeColor="text1"/>
                <w:sz w:val="20"/>
                <w:szCs w:val="20"/>
              </w:rPr>
            </w:pPr>
          </w:p>
        </w:tc>
        <w:tc>
          <w:tcPr>
            <w:tcW w:w="1134" w:type="dxa"/>
          </w:tcPr>
          <w:p w14:paraId="48C97DF9" w14:textId="77777777" w:rsidR="00BC5A44" w:rsidRPr="00B6585E" w:rsidRDefault="00BC5A44" w:rsidP="00A11077">
            <w:pPr>
              <w:jc w:val="center"/>
              <w:rPr>
                <w:rFonts w:ascii="Calibri" w:hAnsi="Calibri"/>
                <w:color w:val="000000" w:themeColor="text1"/>
                <w:sz w:val="20"/>
                <w:szCs w:val="20"/>
              </w:rPr>
            </w:pPr>
          </w:p>
        </w:tc>
        <w:tc>
          <w:tcPr>
            <w:tcW w:w="1134" w:type="dxa"/>
          </w:tcPr>
          <w:p w14:paraId="25F5BD74" w14:textId="77777777" w:rsidR="00BC5A44" w:rsidRPr="00B6585E" w:rsidRDefault="00BC5A44" w:rsidP="00A11077">
            <w:pPr>
              <w:jc w:val="center"/>
              <w:rPr>
                <w:rFonts w:ascii="Calibri" w:hAnsi="Calibri"/>
                <w:color w:val="000000" w:themeColor="text1"/>
                <w:sz w:val="20"/>
                <w:szCs w:val="20"/>
              </w:rPr>
            </w:pPr>
          </w:p>
        </w:tc>
      </w:tr>
      <w:tr w:rsidR="00637261" w:rsidRPr="00B6585E" w14:paraId="34D71C50" w14:textId="5F71E102" w:rsidTr="00BC5A44">
        <w:tc>
          <w:tcPr>
            <w:tcW w:w="1696" w:type="dxa"/>
            <w:gridSpan w:val="2"/>
          </w:tcPr>
          <w:p w14:paraId="6E978012" w14:textId="400C3838" w:rsidR="00BC5A44" w:rsidRPr="00B6585E" w:rsidRDefault="00BC5A44" w:rsidP="00A11077">
            <w:pPr>
              <w:rPr>
                <w:rFonts w:ascii="Calibri" w:hAnsi="Calibri"/>
                <w:color w:val="000000" w:themeColor="text1"/>
                <w:sz w:val="16"/>
                <w:szCs w:val="16"/>
                <w:lang w:val="de-AT"/>
              </w:rPr>
            </w:pPr>
            <w:r w:rsidRPr="00B6585E">
              <w:rPr>
                <w:rFonts w:ascii="Calibri" w:hAnsi="Calibri"/>
                <w:color w:val="000000" w:themeColor="text1"/>
                <w:sz w:val="16"/>
                <w:szCs w:val="16"/>
                <w:lang w:val="de-AT"/>
              </w:rPr>
              <w:t>Study Drug infusion</w:t>
            </w:r>
          </w:p>
        </w:tc>
        <w:tc>
          <w:tcPr>
            <w:tcW w:w="741" w:type="dxa"/>
          </w:tcPr>
          <w:p w14:paraId="45191B5D" w14:textId="77777777" w:rsidR="00BC5A44" w:rsidRPr="00B6585E" w:rsidRDefault="00BC5A44" w:rsidP="00A11077">
            <w:pPr>
              <w:jc w:val="center"/>
              <w:rPr>
                <w:rFonts w:ascii="Calibri" w:hAnsi="Calibri"/>
                <w:color w:val="000000" w:themeColor="text1"/>
                <w:sz w:val="20"/>
                <w:szCs w:val="20"/>
                <w:lang w:val="de-AT"/>
              </w:rPr>
            </w:pPr>
          </w:p>
        </w:tc>
        <w:tc>
          <w:tcPr>
            <w:tcW w:w="1102" w:type="dxa"/>
          </w:tcPr>
          <w:p w14:paraId="6F3B9D1E" w14:textId="77777777" w:rsidR="00BC5A44" w:rsidRPr="00B6585E" w:rsidRDefault="00BC5A44" w:rsidP="00A11077">
            <w:pPr>
              <w:jc w:val="center"/>
              <w:rPr>
                <w:rFonts w:ascii="Calibri" w:hAnsi="Calibri"/>
                <w:color w:val="000000" w:themeColor="text1"/>
                <w:sz w:val="20"/>
                <w:szCs w:val="20"/>
                <w:lang w:val="de-AT"/>
              </w:rPr>
            </w:pPr>
          </w:p>
        </w:tc>
        <w:tc>
          <w:tcPr>
            <w:tcW w:w="851" w:type="dxa"/>
          </w:tcPr>
          <w:p w14:paraId="5D077C09"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032E5418" w14:textId="5335681E"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650B4669" w14:textId="2FD5A039"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0" w:type="dxa"/>
          </w:tcPr>
          <w:p w14:paraId="235CC2A2" w14:textId="7104ED2A" w:rsidR="00BC5A44" w:rsidRPr="00B6585E" w:rsidRDefault="00BC5A44" w:rsidP="00A11077">
            <w:pPr>
              <w:jc w:val="center"/>
              <w:rPr>
                <w:rFonts w:ascii="Calibri" w:hAnsi="Calibri"/>
                <w:color w:val="000000" w:themeColor="text1"/>
                <w:sz w:val="20"/>
                <w:szCs w:val="20"/>
              </w:rPr>
            </w:pPr>
          </w:p>
        </w:tc>
        <w:tc>
          <w:tcPr>
            <w:tcW w:w="851" w:type="dxa"/>
          </w:tcPr>
          <w:p w14:paraId="38A3973F" w14:textId="77777777" w:rsidR="00BC5A44" w:rsidRPr="00B6585E" w:rsidRDefault="00BC5A44" w:rsidP="00A11077">
            <w:pPr>
              <w:jc w:val="center"/>
              <w:rPr>
                <w:rFonts w:ascii="Calibri" w:hAnsi="Calibri"/>
                <w:color w:val="000000" w:themeColor="text1"/>
                <w:sz w:val="20"/>
                <w:szCs w:val="20"/>
              </w:rPr>
            </w:pPr>
          </w:p>
        </w:tc>
        <w:tc>
          <w:tcPr>
            <w:tcW w:w="992" w:type="dxa"/>
          </w:tcPr>
          <w:p w14:paraId="76EE26EC" w14:textId="77777777" w:rsidR="00BC5A44" w:rsidRPr="00B6585E" w:rsidRDefault="00BC5A44" w:rsidP="00A11077">
            <w:pPr>
              <w:jc w:val="center"/>
              <w:rPr>
                <w:rFonts w:ascii="Calibri" w:hAnsi="Calibri"/>
                <w:color w:val="000000" w:themeColor="text1"/>
                <w:sz w:val="20"/>
                <w:szCs w:val="20"/>
              </w:rPr>
            </w:pPr>
          </w:p>
        </w:tc>
        <w:tc>
          <w:tcPr>
            <w:tcW w:w="993" w:type="dxa"/>
          </w:tcPr>
          <w:p w14:paraId="71ABCA7C" w14:textId="77777777" w:rsidR="00BC5A44" w:rsidRPr="00B6585E" w:rsidRDefault="00BC5A44" w:rsidP="00A11077">
            <w:pPr>
              <w:jc w:val="center"/>
              <w:rPr>
                <w:rFonts w:ascii="Calibri" w:hAnsi="Calibri"/>
                <w:color w:val="000000" w:themeColor="text1"/>
                <w:sz w:val="20"/>
                <w:szCs w:val="20"/>
              </w:rPr>
            </w:pPr>
          </w:p>
        </w:tc>
        <w:tc>
          <w:tcPr>
            <w:tcW w:w="993" w:type="dxa"/>
          </w:tcPr>
          <w:p w14:paraId="2958202D" w14:textId="56A0CB80" w:rsidR="00BC5A44" w:rsidRPr="00B6585E" w:rsidRDefault="00BC5A44" w:rsidP="00A11077">
            <w:pPr>
              <w:jc w:val="center"/>
              <w:rPr>
                <w:rFonts w:ascii="Calibri" w:hAnsi="Calibri"/>
                <w:color w:val="000000" w:themeColor="text1"/>
                <w:sz w:val="20"/>
                <w:szCs w:val="20"/>
              </w:rPr>
            </w:pPr>
          </w:p>
        </w:tc>
        <w:tc>
          <w:tcPr>
            <w:tcW w:w="1134" w:type="dxa"/>
          </w:tcPr>
          <w:p w14:paraId="1A0C50A5" w14:textId="77777777" w:rsidR="00BC5A44" w:rsidRPr="00B6585E" w:rsidRDefault="00BC5A44" w:rsidP="00A11077">
            <w:pPr>
              <w:jc w:val="center"/>
              <w:rPr>
                <w:rFonts w:ascii="Calibri" w:hAnsi="Calibri"/>
                <w:color w:val="000000" w:themeColor="text1"/>
                <w:sz w:val="20"/>
                <w:szCs w:val="20"/>
              </w:rPr>
            </w:pPr>
          </w:p>
        </w:tc>
        <w:tc>
          <w:tcPr>
            <w:tcW w:w="1134" w:type="dxa"/>
          </w:tcPr>
          <w:p w14:paraId="2ED1E9B6" w14:textId="77777777" w:rsidR="00BC5A44" w:rsidRPr="00B6585E" w:rsidRDefault="00BC5A44" w:rsidP="00A11077">
            <w:pPr>
              <w:jc w:val="center"/>
              <w:rPr>
                <w:rFonts w:ascii="Calibri" w:hAnsi="Calibri"/>
                <w:color w:val="000000" w:themeColor="text1"/>
                <w:sz w:val="20"/>
                <w:szCs w:val="20"/>
              </w:rPr>
            </w:pPr>
          </w:p>
        </w:tc>
      </w:tr>
      <w:tr w:rsidR="00637261" w:rsidRPr="00B6585E" w14:paraId="47928CAC" w14:textId="45FFB8BE" w:rsidTr="00BC5A44">
        <w:tc>
          <w:tcPr>
            <w:tcW w:w="1696" w:type="dxa"/>
            <w:gridSpan w:val="2"/>
          </w:tcPr>
          <w:p w14:paraId="3B660B38" w14:textId="56719CC4"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Hemodynamic Records</w:t>
            </w:r>
          </w:p>
        </w:tc>
        <w:tc>
          <w:tcPr>
            <w:tcW w:w="741" w:type="dxa"/>
          </w:tcPr>
          <w:p w14:paraId="54C93B3C" w14:textId="77777777" w:rsidR="00BC5A44" w:rsidRPr="00B6585E" w:rsidRDefault="00BC5A44" w:rsidP="00A11077">
            <w:pPr>
              <w:jc w:val="center"/>
              <w:rPr>
                <w:rFonts w:ascii="Calibri" w:hAnsi="Calibri"/>
                <w:color w:val="000000" w:themeColor="text1"/>
                <w:sz w:val="20"/>
                <w:szCs w:val="20"/>
              </w:rPr>
            </w:pPr>
          </w:p>
        </w:tc>
        <w:tc>
          <w:tcPr>
            <w:tcW w:w="1102" w:type="dxa"/>
          </w:tcPr>
          <w:p w14:paraId="46F2491C" w14:textId="77777777" w:rsidR="00BC5A44" w:rsidRPr="00B6585E" w:rsidRDefault="00BC5A44" w:rsidP="00A11077">
            <w:pPr>
              <w:jc w:val="center"/>
              <w:rPr>
                <w:rFonts w:ascii="Calibri" w:hAnsi="Calibri"/>
                <w:color w:val="000000" w:themeColor="text1"/>
                <w:sz w:val="20"/>
                <w:szCs w:val="20"/>
              </w:rPr>
            </w:pPr>
          </w:p>
        </w:tc>
        <w:tc>
          <w:tcPr>
            <w:tcW w:w="851" w:type="dxa"/>
          </w:tcPr>
          <w:p w14:paraId="57EB889E"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01E50040" w14:textId="56AA504F"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1AB56D1C" w14:textId="5ED7CE19"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0" w:type="dxa"/>
          </w:tcPr>
          <w:p w14:paraId="49474B7A" w14:textId="7C99288C" w:rsidR="00BC5A44" w:rsidRPr="00B6585E" w:rsidRDefault="00BC5A44" w:rsidP="00A11077">
            <w:pPr>
              <w:jc w:val="center"/>
              <w:rPr>
                <w:rFonts w:ascii="Calibri" w:hAnsi="Calibri"/>
                <w:color w:val="000000" w:themeColor="text1"/>
                <w:sz w:val="20"/>
                <w:szCs w:val="20"/>
              </w:rPr>
            </w:pPr>
          </w:p>
        </w:tc>
        <w:tc>
          <w:tcPr>
            <w:tcW w:w="851" w:type="dxa"/>
          </w:tcPr>
          <w:p w14:paraId="4F2751F3" w14:textId="77777777" w:rsidR="00BC5A44" w:rsidRPr="00B6585E" w:rsidRDefault="00BC5A44" w:rsidP="00A11077">
            <w:pPr>
              <w:jc w:val="center"/>
              <w:rPr>
                <w:rFonts w:ascii="Calibri" w:hAnsi="Calibri"/>
                <w:color w:val="000000" w:themeColor="text1"/>
                <w:sz w:val="20"/>
                <w:szCs w:val="20"/>
              </w:rPr>
            </w:pPr>
          </w:p>
        </w:tc>
        <w:tc>
          <w:tcPr>
            <w:tcW w:w="992" w:type="dxa"/>
          </w:tcPr>
          <w:p w14:paraId="327FC4D3" w14:textId="77777777" w:rsidR="00BC5A44" w:rsidRPr="00B6585E" w:rsidRDefault="00BC5A44" w:rsidP="00A11077">
            <w:pPr>
              <w:jc w:val="center"/>
              <w:rPr>
                <w:rFonts w:ascii="Calibri" w:hAnsi="Calibri"/>
                <w:color w:val="000000" w:themeColor="text1"/>
                <w:sz w:val="20"/>
                <w:szCs w:val="20"/>
              </w:rPr>
            </w:pPr>
          </w:p>
        </w:tc>
        <w:tc>
          <w:tcPr>
            <w:tcW w:w="993" w:type="dxa"/>
          </w:tcPr>
          <w:p w14:paraId="6C55AA97" w14:textId="77777777" w:rsidR="00BC5A44" w:rsidRPr="00B6585E" w:rsidRDefault="00BC5A44" w:rsidP="00A11077">
            <w:pPr>
              <w:jc w:val="center"/>
              <w:rPr>
                <w:rFonts w:ascii="Calibri" w:hAnsi="Calibri"/>
                <w:color w:val="000000" w:themeColor="text1"/>
                <w:sz w:val="20"/>
                <w:szCs w:val="20"/>
              </w:rPr>
            </w:pPr>
          </w:p>
        </w:tc>
        <w:tc>
          <w:tcPr>
            <w:tcW w:w="993" w:type="dxa"/>
          </w:tcPr>
          <w:p w14:paraId="6AAE9B8E" w14:textId="6683E0D8" w:rsidR="00BC5A44" w:rsidRPr="00B6585E" w:rsidRDefault="00BC5A44" w:rsidP="00A11077">
            <w:pPr>
              <w:jc w:val="center"/>
              <w:rPr>
                <w:rFonts w:ascii="Calibri" w:hAnsi="Calibri"/>
                <w:color w:val="000000" w:themeColor="text1"/>
                <w:sz w:val="20"/>
                <w:szCs w:val="20"/>
              </w:rPr>
            </w:pPr>
          </w:p>
        </w:tc>
        <w:tc>
          <w:tcPr>
            <w:tcW w:w="1134" w:type="dxa"/>
          </w:tcPr>
          <w:p w14:paraId="4275AE55" w14:textId="77777777" w:rsidR="00BC5A44" w:rsidRPr="00B6585E" w:rsidRDefault="00BC5A44" w:rsidP="00A11077">
            <w:pPr>
              <w:jc w:val="center"/>
              <w:rPr>
                <w:rFonts w:ascii="Calibri" w:hAnsi="Calibri"/>
                <w:color w:val="000000" w:themeColor="text1"/>
                <w:sz w:val="20"/>
                <w:szCs w:val="20"/>
              </w:rPr>
            </w:pPr>
          </w:p>
        </w:tc>
        <w:tc>
          <w:tcPr>
            <w:tcW w:w="1134" w:type="dxa"/>
          </w:tcPr>
          <w:p w14:paraId="7E5F31C1" w14:textId="77777777" w:rsidR="00BC5A44" w:rsidRPr="00B6585E" w:rsidRDefault="00BC5A44" w:rsidP="00A11077">
            <w:pPr>
              <w:jc w:val="center"/>
              <w:rPr>
                <w:rFonts w:ascii="Calibri" w:hAnsi="Calibri"/>
                <w:color w:val="000000" w:themeColor="text1"/>
                <w:sz w:val="20"/>
                <w:szCs w:val="20"/>
              </w:rPr>
            </w:pPr>
          </w:p>
        </w:tc>
      </w:tr>
      <w:tr w:rsidR="00637261" w:rsidRPr="00B6585E" w14:paraId="3126107E" w14:textId="097F9B67" w:rsidTr="00BC5A44">
        <w:tc>
          <w:tcPr>
            <w:tcW w:w="1696" w:type="dxa"/>
            <w:gridSpan w:val="2"/>
            <w:tcBorders>
              <w:bottom w:val="single" w:sz="4" w:space="0" w:color="auto"/>
            </w:tcBorders>
          </w:tcPr>
          <w:p w14:paraId="76858B6D" w14:textId="78E11E2D"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SAE &amp; AE</w:t>
            </w:r>
          </w:p>
        </w:tc>
        <w:tc>
          <w:tcPr>
            <w:tcW w:w="741" w:type="dxa"/>
            <w:tcBorders>
              <w:bottom w:val="single" w:sz="4" w:space="0" w:color="auto"/>
            </w:tcBorders>
          </w:tcPr>
          <w:p w14:paraId="7C42D28C" w14:textId="77777777" w:rsidR="00BC5A44" w:rsidRPr="00B6585E" w:rsidRDefault="00BC5A44" w:rsidP="00A11077">
            <w:pPr>
              <w:jc w:val="center"/>
              <w:rPr>
                <w:rFonts w:ascii="Calibri" w:hAnsi="Calibri"/>
                <w:color w:val="000000" w:themeColor="text1"/>
                <w:sz w:val="20"/>
                <w:szCs w:val="20"/>
              </w:rPr>
            </w:pPr>
          </w:p>
        </w:tc>
        <w:tc>
          <w:tcPr>
            <w:tcW w:w="1102" w:type="dxa"/>
            <w:tcBorders>
              <w:bottom w:val="single" w:sz="4" w:space="0" w:color="auto"/>
            </w:tcBorders>
          </w:tcPr>
          <w:p w14:paraId="2A94521A" w14:textId="77777777"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171E720F"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Borders>
              <w:bottom w:val="single" w:sz="4" w:space="0" w:color="auto"/>
            </w:tcBorders>
          </w:tcPr>
          <w:p w14:paraId="060A6F49"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Borders>
              <w:bottom w:val="single" w:sz="4" w:space="0" w:color="auto"/>
            </w:tcBorders>
          </w:tcPr>
          <w:p w14:paraId="4B666D5D" w14:textId="6200F16A"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0" w:type="dxa"/>
            <w:tcBorders>
              <w:bottom w:val="single" w:sz="4" w:space="0" w:color="auto"/>
            </w:tcBorders>
          </w:tcPr>
          <w:p w14:paraId="595C0215" w14:textId="593A66F1"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39C8D32B" w14:textId="308C19EC" w:rsidR="00BC5A44" w:rsidRPr="00B6585E" w:rsidRDefault="00BC5A44" w:rsidP="00A11077">
            <w:pPr>
              <w:jc w:val="center"/>
              <w:rPr>
                <w:rFonts w:ascii="Calibri" w:hAnsi="Calibri"/>
                <w:color w:val="000000" w:themeColor="text1"/>
                <w:sz w:val="20"/>
                <w:szCs w:val="20"/>
              </w:rPr>
            </w:pPr>
          </w:p>
        </w:tc>
        <w:tc>
          <w:tcPr>
            <w:tcW w:w="992" w:type="dxa"/>
            <w:tcBorders>
              <w:bottom w:val="single" w:sz="4" w:space="0" w:color="auto"/>
            </w:tcBorders>
          </w:tcPr>
          <w:p w14:paraId="6859F5E8" w14:textId="09CB3B91"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5F89635F"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5E3BA497" w14:textId="2D7E40D1"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248F4394"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7F7984C6" w14:textId="77777777" w:rsidR="00BC5A44" w:rsidRPr="00B6585E" w:rsidRDefault="00BC5A44" w:rsidP="00A11077">
            <w:pPr>
              <w:jc w:val="center"/>
              <w:rPr>
                <w:rFonts w:ascii="Calibri" w:hAnsi="Calibri"/>
                <w:color w:val="000000" w:themeColor="text1"/>
                <w:sz w:val="20"/>
                <w:szCs w:val="20"/>
              </w:rPr>
            </w:pPr>
          </w:p>
        </w:tc>
      </w:tr>
      <w:tr w:rsidR="00637261" w:rsidRPr="00B6585E" w14:paraId="4CF76E02" w14:textId="73E78F45" w:rsidTr="00BC5A44">
        <w:tc>
          <w:tcPr>
            <w:tcW w:w="993" w:type="dxa"/>
            <w:shd w:val="clear" w:color="auto" w:fill="FFD966" w:themeFill="accent4" w:themeFillTint="99"/>
          </w:tcPr>
          <w:p w14:paraId="49B78A03" w14:textId="77777777" w:rsidR="00BC5A44" w:rsidRPr="00B6585E" w:rsidRDefault="00BC5A44" w:rsidP="00A11077">
            <w:pPr>
              <w:rPr>
                <w:rFonts w:ascii="Calibri" w:hAnsi="Calibri"/>
                <w:b/>
                <w:bCs/>
                <w:i/>
                <w:iCs/>
                <w:color w:val="000000" w:themeColor="text1"/>
                <w:sz w:val="20"/>
                <w:szCs w:val="20"/>
              </w:rPr>
            </w:pPr>
          </w:p>
        </w:tc>
        <w:tc>
          <w:tcPr>
            <w:tcW w:w="12612" w:type="dxa"/>
            <w:gridSpan w:val="13"/>
            <w:shd w:val="clear" w:color="auto" w:fill="FFD966" w:themeFill="accent4" w:themeFillTint="99"/>
          </w:tcPr>
          <w:p w14:paraId="15704746" w14:textId="34B61E5C" w:rsidR="00BC5A44" w:rsidRPr="00B6585E" w:rsidRDefault="00BC5A44" w:rsidP="00A11077">
            <w:pPr>
              <w:rPr>
                <w:rFonts w:ascii="Calibri" w:hAnsi="Calibri"/>
                <w:b/>
                <w:bCs/>
                <w:i/>
                <w:iCs/>
                <w:color w:val="000000" w:themeColor="text1"/>
                <w:sz w:val="20"/>
                <w:szCs w:val="20"/>
              </w:rPr>
            </w:pPr>
            <w:r w:rsidRPr="00B6585E">
              <w:rPr>
                <w:rFonts w:ascii="Calibri" w:hAnsi="Calibri"/>
                <w:b/>
                <w:bCs/>
                <w:i/>
                <w:iCs/>
                <w:color w:val="000000" w:themeColor="text1"/>
                <w:sz w:val="20"/>
                <w:szCs w:val="20"/>
              </w:rPr>
              <w:t>Assessments</w:t>
            </w:r>
          </w:p>
        </w:tc>
      </w:tr>
      <w:tr w:rsidR="00637261" w:rsidRPr="00B6585E" w14:paraId="68474AB5" w14:textId="0F6B0FFD" w:rsidTr="00BC5A44">
        <w:tc>
          <w:tcPr>
            <w:tcW w:w="1696" w:type="dxa"/>
            <w:gridSpan w:val="2"/>
          </w:tcPr>
          <w:p w14:paraId="4B4419F1" w14:textId="626CB935"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Outcomes (see Appendix IV)</w:t>
            </w:r>
          </w:p>
        </w:tc>
        <w:tc>
          <w:tcPr>
            <w:tcW w:w="741" w:type="dxa"/>
          </w:tcPr>
          <w:p w14:paraId="0EA41CE1" w14:textId="77777777" w:rsidR="00BC5A44" w:rsidRPr="00B6585E" w:rsidRDefault="00BC5A44" w:rsidP="00A11077">
            <w:pPr>
              <w:jc w:val="center"/>
              <w:rPr>
                <w:rFonts w:ascii="Calibri" w:hAnsi="Calibri"/>
                <w:color w:val="000000" w:themeColor="text1"/>
                <w:sz w:val="20"/>
                <w:szCs w:val="20"/>
              </w:rPr>
            </w:pPr>
          </w:p>
        </w:tc>
        <w:tc>
          <w:tcPr>
            <w:tcW w:w="1102" w:type="dxa"/>
          </w:tcPr>
          <w:p w14:paraId="48F48D8C" w14:textId="77777777" w:rsidR="00BC5A44" w:rsidRPr="00B6585E" w:rsidRDefault="00BC5A44" w:rsidP="00A11077">
            <w:pPr>
              <w:jc w:val="center"/>
              <w:rPr>
                <w:rFonts w:ascii="Calibri" w:hAnsi="Calibri"/>
                <w:color w:val="000000" w:themeColor="text1"/>
                <w:sz w:val="20"/>
                <w:szCs w:val="20"/>
              </w:rPr>
            </w:pPr>
          </w:p>
        </w:tc>
        <w:tc>
          <w:tcPr>
            <w:tcW w:w="851" w:type="dxa"/>
          </w:tcPr>
          <w:p w14:paraId="68E71B55" w14:textId="77777777" w:rsidR="00BC5A44" w:rsidRPr="00B6585E" w:rsidRDefault="00BC5A44" w:rsidP="00A11077">
            <w:pPr>
              <w:jc w:val="center"/>
              <w:rPr>
                <w:rFonts w:ascii="Calibri" w:hAnsi="Calibri"/>
                <w:color w:val="000000" w:themeColor="text1"/>
                <w:sz w:val="20"/>
                <w:szCs w:val="20"/>
              </w:rPr>
            </w:pPr>
          </w:p>
        </w:tc>
        <w:tc>
          <w:tcPr>
            <w:tcW w:w="1134" w:type="dxa"/>
          </w:tcPr>
          <w:p w14:paraId="0510862A" w14:textId="77777777" w:rsidR="00BC5A44" w:rsidRPr="00B6585E" w:rsidRDefault="00BC5A44" w:rsidP="00A11077">
            <w:pPr>
              <w:jc w:val="center"/>
              <w:rPr>
                <w:rFonts w:ascii="Calibri" w:hAnsi="Calibri"/>
                <w:color w:val="000000" w:themeColor="text1"/>
                <w:sz w:val="20"/>
                <w:szCs w:val="20"/>
              </w:rPr>
            </w:pPr>
          </w:p>
        </w:tc>
        <w:tc>
          <w:tcPr>
            <w:tcW w:w="1134" w:type="dxa"/>
          </w:tcPr>
          <w:p w14:paraId="47F0F68D" w14:textId="77777777" w:rsidR="00BC5A44" w:rsidRPr="00B6585E" w:rsidRDefault="00BC5A44" w:rsidP="00A11077">
            <w:pPr>
              <w:jc w:val="center"/>
              <w:rPr>
                <w:rFonts w:ascii="Calibri" w:hAnsi="Calibri"/>
                <w:color w:val="000000" w:themeColor="text1"/>
                <w:sz w:val="20"/>
                <w:szCs w:val="20"/>
              </w:rPr>
            </w:pPr>
          </w:p>
        </w:tc>
        <w:tc>
          <w:tcPr>
            <w:tcW w:w="850" w:type="dxa"/>
          </w:tcPr>
          <w:p w14:paraId="65F7BD84" w14:textId="226997CA"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Pr>
          <w:p w14:paraId="6C2E5CFF"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2" w:type="dxa"/>
          </w:tcPr>
          <w:p w14:paraId="49B29FFE"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Pr>
          <w:p w14:paraId="3E02EC63" w14:textId="6B5867FE"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Pr>
          <w:p w14:paraId="64B0A8C4" w14:textId="21365FB8" w:rsidR="00BC5A44" w:rsidRPr="00B6585E" w:rsidRDefault="00BC5A44" w:rsidP="00A11077">
            <w:pPr>
              <w:jc w:val="center"/>
              <w:rPr>
                <w:rFonts w:ascii="Calibri" w:hAnsi="Calibri"/>
                <w:color w:val="000000" w:themeColor="text1"/>
                <w:sz w:val="20"/>
                <w:szCs w:val="20"/>
              </w:rPr>
            </w:pPr>
          </w:p>
        </w:tc>
        <w:tc>
          <w:tcPr>
            <w:tcW w:w="1134" w:type="dxa"/>
          </w:tcPr>
          <w:p w14:paraId="6F167B18" w14:textId="77777777" w:rsidR="00BC5A44" w:rsidRPr="00B6585E" w:rsidRDefault="00BC5A44" w:rsidP="00A11077">
            <w:pPr>
              <w:jc w:val="center"/>
              <w:rPr>
                <w:rFonts w:ascii="Calibri" w:hAnsi="Calibri"/>
                <w:color w:val="000000" w:themeColor="text1"/>
                <w:sz w:val="20"/>
                <w:szCs w:val="20"/>
              </w:rPr>
            </w:pPr>
          </w:p>
        </w:tc>
        <w:tc>
          <w:tcPr>
            <w:tcW w:w="1134" w:type="dxa"/>
          </w:tcPr>
          <w:p w14:paraId="1951224C" w14:textId="77777777" w:rsidR="00BC5A44" w:rsidRPr="00B6585E" w:rsidRDefault="00BC5A44" w:rsidP="00A11077">
            <w:pPr>
              <w:jc w:val="center"/>
              <w:rPr>
                <w:rFonts w:ascii="Calibri" w:hAnsi="Calibri"/>
                <w:color w:val="000000" w:themeColor="text1"/>
                <w:sz w:val="20"/>
                <w:szCs w:val="20"/>
              </w:rPr>
            </w:pPr>
          </w:p>
        </w:tc>
      </w:tr>
      <w:tr w:rsidR="00637261" w:rsidRPr="00B6585E" w14:paraId="07A328E6" w14:textId="589D78BA" w:rsidTr="00BC5A44">
        <w:tc>
          <w:tcPr>
            <w:tcW w:w="1696" w:type="dxa"/>
            <w:gridSpan w:val="2"/>
            <w:tcBorders>
              <w:bottom w:val="single" w:sz="4" w:space="0" w:color="auto"/>
            </w:tcBorders>
          </w:tcPr>
          <w:p w14:paraId="1209E3FD" w14:textId="35212E1F"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SAE &amp; AE</w:t>
            </w:r>
          </w:p>
        </w:tc>
        <w:tc>
          <w:tcPr>
            <w:tcW w:w="741" w:type="dxa"/>
            <w:tcBorders>
              <w:bottom w:val="single" w:sz="4" w:space="0" w:color="auto"/>
            </w:tcBorders>
          </w:tcPr>
          <w:p w14:paraId="207C1969" w14:textId="77777777" w:rsidR="00BC5A44" w:rsidRPr="00B6585E" w:rsidRDefault="00BC5A44" w:rsidP="00A11077">
            <w:pPr>
              <w:jc w:val="center"/>
              <w:rPr>
                <w:rFonts w:ascii="Calibri" w:hAnsi="Calibri"/>
                <w:color w:val="000000" w:themeColor="text1"/>
                <w:sz w:val="20"/>
                <w:szCs w:val="20"/>
              </w:rPr>
            </w:pPr>
          </w:p>
        </w:tc>
        <w:tc>
          <w:tcPr>
            <w:tcW w:w="1102" w:type="dxa"/>
            <w:tcBorders>
              <w:bottom w:val="single" w:sz="4" w:space="0" w:color="auto"/>
            </w:tcBorders>
          </w:tcPr>
          <w:p w14:paraId="53E782F9" w14:textId="77777777"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73985C47"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3718F71F"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6CD1D3FC" w14:textId="77777777" w:rsidR="00BC5A44" w:rsidRPr="00B6585E" w:rsidRDefault="00BC5A44" w:rsidP="00A11077">
            <w:pPr>
              <w:jc w:val="center"/>
              <w:rPr>
                <w:rFonts w:ascii="Calibri" w:hAnsi="Calibri"/>
                <w:color w:val="000000" w:themeColor="text1"/>
                <w:sz w:val="20"/>
                <w:szCs w:val="20"/>
              </w:rPr>
            </w:pPr>
          </w:p>
        </w:tc>
        <w:tc>
          <w:tcPr>
            <w:tcW w:w="850" w:type="dxa"/>
            <w:tcBorders>
              <w:bottom w:val="single" w:sz="4" w:space="0" w:color="auto"/>
            </w:tcBorders>
          </w:tcPr>
          <w:p w14:paraId="53CD2652" w14:textId="022F54B8"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Borders>
              <w:bottom w:val="single" w:sz="4" w:space="0" w:color="auto"/>
            </w:tcBorders>
          </w:tcPr>
          <w:p w14:paraId="0043EB43"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2" w:type="dxa"/>
            <w:tcBorders>
              <w:bottom w:val="single" w:sz="4" w:space="0" w:color="auto"/>
            </w:tcBorders>
          </w:tcPr>
          <w:p w14:paraId="48A52A27" w14:textId="7777777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Borders>
              <w:bottom w:val="single" w:sz="4" w:space="0" w:color="auto"/>
            </w:tcBorders>
          </w:tcPr>
          <w:p w14:paraId="7B8DBD15" w14:textId="6AA587D2"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Borders>
              <w:bottom w:val="single" w:sz="4" w:space="0" w:color="auto"/>
            </w:tcBorders>
          </w:tcPr>
          <w:p w14:paraId="034EF895" w14:textId="113363F1"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Borders>
              <w:bottom w:val="single" w:sz="4" w:space="0" w:color="auto"/>
            </w:tcBorders>
          </w:tcPr>
          <w:p w14:paraId="7C03A8A6"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2C2D5D79" w14:textId="77777777" w:rsidR="00BC5A44" w:rsidRPr="00B6585E" w:rsidRDefault="00BC5A44" w:rsidP="00A11077">
            <w:pPr>
              <w:jc w:val="center"/>
              <w:rPr>
                <w:rFonts w:ascii="Calibri" w:hAnsi="Calibri"/>
                <w:color w:val="000000" w:themeColor="text1"/>
                <w:sz w:val="20"/>
                <w:szCs w:val="20"/>
              </w:rPr>
            </w:pPr>
          </w:p>
        </w:tc>
      </w:tr>
      <w:tr w:rsidR="00637261" w:rsidRPr="00B6585E" w14:paraId="29E721BA" w14:textId="77777777" w:rsidTr="00BC5A44">
        <w:tc>
          <w:tcPr>
            <w:tcW w:w="993" w:type="dxa"/>
            <w:tcBorders>
              <w:bottom w:val="single" w:sz="4" w:space="0" w:color="auto"/>
            </w:tcBorders>
            <w:shd w:val="clear" w:color="auto" w:fill="FFD966" w:themeFill="accent4" w:themeFillTint="99"/>
          </w:tcPr>
          <w:p w14:paraId="00E46156" w14:textId="77777777" w:rsidR="00BC5A44" w:rsidRPr="00B6585E" w:rsidRDefault="00BC5A44" w:rsidP="00AB5E45">
            <w:pPr>
              <w:rPr>
                <w:rFonts w:ascii="Calibri" w:hAnsi="Calibri"/>
                <w:b/>
                <w:bCs/>
                <w:i/>
                <w:iCs/>
                <w:color w:val="000000" w:themeColor="text1"/>
                <w:sz w:val="20"/>
                <w:szCs w:val="20"/>
              </w:rPr>
            </w:pPr>
          </w:p>
        </w:tc>
        <w:tc>
          <w:tcPr>
            <w:tcW w:w="12612" w:type="dxa"/>
            <w:gridSpan w:val="13"/>
            <w:tcBorders>
              <w:bottom w:val="single" w:sz="4" w:space="0" w:color="auto"/>
            </w:tcBorders>
            <w:shd w:val="clear" w:color="auto" w:fill="FFD966" w:themeFill="accent4" w:themeFillTint="99"/>
          </w:tcPr>
          <w:p w14:paraId="459CC2BA" w14:textId="079BD91A" w:rsidR="00BC5A44" w:rsidRPr="00B6585E" w:rsidRDefault="00BC5A44" w:rsidP="00AB5E45">
            <w:pPr>
              <w:rPr>
                <w:rFonts w:ascii="Calibri" w:hAnsi="Calibri"/>
                <w:b/>
                <w:bCs/>
                <w:i/>
                <w:iCs/>
                <w:color w:val="000000" w:themeColor="text1"/>
                <w:sz w:val="20"/>
                <w:szCs w:val="20"/>
              </w:rPr>
            </w:pPr>
            <w:r w:rsidRPr="00B6585E">
              <w:rPr>
                <w:rFonts w:ascii="Calibri" w:hAnsi="Calibri"/>
                <w:b/>
                <w:bCs/>
                <w:i/>
                <w:iCs/>
                <w:color w:val="000000" w:themeColor="text1"/>
                <w:sz w:val="20"/>
                <w:szCs w:val="20"/>
              </w:rPr>
              <w:t>Follow-Up</w:t>
            </w:r>
          </w:p>
        </w:tc>
      </w:tr>
      <w:tr w:rsidR="00637261" w:rsidRPr="00B6585E" w14:paraId="3742B8FA" w14:textId="77777777" w:rsidTr="00BC5A44">
        <w:tc>
          <w:tcPr>
            <w:tcW w:w="1696" w:type="dxa"/>
            <w:gridSpan w:val="2"/>
            <w:tcBorders>
              <w:bottom w:val="single" w:sz="4" w:space="0" w:color="auto"/>
            </w:tcBorders>
          </w:tcPr>
          <w:p w14:paraId="1A5D8234" w14:textId="6272D6AF"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30 day Phone F/U</w:t>
            </w:r>
          </w:p>
        </w:tc>
        <w:tc>
          <w:tcPr>
            <w:tcW w:w="741" w:type="dxa"/>
            <w:tcBorders>
              <w:bottom w:val="single" w:sz="4" w:space="0" w:color="auto"/>
            </w:tcBorders>
          </w:tcPr>
          <w:p w14:paraId="1058CCC0" w14:textId="77777777" w:rsidR="00BC5A44" w:rsidRPr="00B6585E" w:rsidRDefault="00BC5A44" w:rsidP="00A11077">
            <w:pPr>
              <w:jc w:val="center"/>
              <w:rPr>
                <w:rFonts w:ascii="Calibri" w:hAnsi="Calibri"/>
                <w:color w:val="000000" w:themeColor="text1"/>
                <w:sz w:val="20"/>
                <w:szCs w:val="20"/>
              </w:rPr>
            </w:pPr>
          </w:p>
        </w:tc>
        <w:tc>
          <w:tcPr>
            <w:tcW w:w="1102" w:type="dxa"/>
            <w:tcBorders>
              <w:bottom w:val="single" w:sz="4" w:space="0" w:color="auto"/>
            </w:tcBorders>
          </w:tcPr>
          <w:p w14:paraId="39B39CA5" w14:textId="77777777"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3A8D36F1"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56817C96"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409579CF" w14:textId="77777777" w:rsidR="00BC5A44" w:rsidRPr="00B6585E" w:rsidRDefault="00BC5A44" w:rsidP="00A11077">
            <w:pPr>
              <w:jc w:val="center"/>
              <w:rPr>
                <w:rFonts w:ascii="Calibri" w:hAnsi="Calibri"/>
                <w:color w:val="000000" w:themeColor="text1"/>
                <w:sz w:val="20"/>
                <w:szCs w:val="20"/>
              </w:rPr>
            </w:pPr>
          </w:p>
        </w:tc>
        <w:tc>
          <w:tcPr>
            <w:tcW w:w="850" w:type="dxa"/>
            <w:tcBorders>
              <w:bottom w:val="single" w:sz="4" w:space="0" w:color="auto"/>
            </w:tcBorders>
          </w:tcPr>
          <w:p w14:paraId="416EC295" w14:textId="77777777"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512B9370" w14:textId="77777777" w:rsidR="00BC5A44" w:rsidRPr="00B6585E" w:rsidRDefault="00BC5A44" w:rsidP="00A11077">
            <w:pPr>
              <w:jc w:val="center"/>
              <w:rPr>
                <w:rFonts w:ascii="Calibri" w:hAnsi="Calibri"/>
                <w:color w:val="000000" w:themeColor="text1"/>
                <w:sz w:val="20"/>
                <w:szCs w:val="20"/>
              </w:rPr>
            </w:pPr>
          </w:p>
        </w:tc>
        <w:tc>
          <w:tcPr>
            <w:tcW w:w="992" w:type="dxa"/>
            <w:tcBorders>
              <w:bottom w:val="single" w:sz="4" w:space="0" w:color="auto"/>
            </w:tcBorders>
          </w:tcPr>
          <w:p w14:paraId="0FC40A34"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6F34998A"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6EC8308C" w14:textId="5476DE22"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10FB6BE4" w14:textId="6AA2D981"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Borders>
              <w:bottom w:val="single" w:sz="4" w:space="0" w:color="auto"/>
            </w:tcBorders>
          </w:tcPr>
          <w:p w14:paraId="1866B537" w14:textId="77777777" w:rsidR="00BC5A44" w:rsidRPr="00B6585E" w:rsidRDefault="00BC5A44" w:rsidP="00A11077">
            <w:pPr>
              <w:jc w:val="center"/>
              <w:rPr>
                <w:rFonts w:ascii="Calibri" w:hAnsi="Calibri"/>
                <w:color w:val="000000" w:themeColor="text1"/>
                <w:sz w:val="20"/>
                <w:szCs w:val="20"/>
              </w:rPr>
            </w:pPr>
          </w:p>
        </w:tc>
      </w:tr>
      <w:tr w:rsidR="00637261" w:rsidRPr="00B6585E" w14:paraId="2151CAA1" w14:textId="77777777" w:rsidTr="00BC5A44">
        <w:tc>
          <w:tcPr>
            <w:tcW w:w="1696" w:type="dxa"/>
            <w:gridSpan w:val="2"/>
            <w:tcBorders>
              <w:bottom w:val="single" w:sz="4" w:space="0" w:color="auto"/>
            </w:tcBorders>
          </w:tcPr>
          <w:p w14:paraId="5D19B3CD" w14:textId="21FB3817"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1 Year Phone F/U</w:t>
            </w:r>
          </w:p>
        </w:tc>
        <w:tc>
          <w:tcPr>
            <w:tcW w:w="741" w:type="dxa"/>
            <w:tcBorders>
              <w:bottom w:val="single" w:sz="4" w:space="0" w:color="auto"/>
            </w:tcBorders>
          </w:tcPr>
          <w:p w14:paraId="3E13B82F" w14:textId="77777777" w:rsidR="00BC5A44" w:rsidRPr="00B6585E" w:rsidRDefault="00BC5A44" w:rsidP="00A11077">
            <w:pPr>
              <w:jc w:val="center"/>
              <w:rPr>
                <w:rFonts w:ascii="Calibri" w:hAnsi="Calibri"/>
                <w:color w:val="000000" w:themeColor="text1"/>
                <w:sz w:val="20"/>
                <w:szCs w:val="20"/>
              </w:rPr>
            </w:pPr>
          </w:p>
        </w:tc>
        <w:tc>
          <w:tcPr>
            <w:tcW w:w="1102" w:type="dxa"/>
            <w:tcBorders>
              <w:bottom w:val="single" w:sz="4" w:space="0" w:color="auto"/>
            </w:tcBorders>
          </w:tcPr>
          <w:p w14:paraId="158DAE74" w14:textId="77777777"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776A67A3"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4816CDB4"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2DDE450A" w14:textId="77777777" w:rsidR="00BC5A44" w:rsidRPr="00B6585E" w:rsidRDefault="00BC5A44" w:rsidP="00A11077">
            <w:pPr>
              <w:jc w:val="center"/>
              <w:rPr>
                <w:rFonts w:ascii="Calibri" w:hAnsi="Calibri"/>
                <w:color w:val="000000" w:themeColor="text1"/>
                <w:sz w:val="20"/>
                <w:szCs w:val="20"/>
              </w:rPr>
            </w:pPr>
          </w:p>
        </w:tc>
        <w:tc>
          <w:tcPr>
            <w:tcW w:w="850" w:type="dxa"/>
            <w:tcBorders>
              <w:bottom w:val="single" w:sz="4" w:space="0" w:color="auto"/>
            </w:tcBorders>
          </w:tcPr>
          <w:p w14:paraId="430B5185" w14:textId="77777777" w:rsidR="00BC5A44" w:rsidRPr="00B6585E" w:rsidRDefault="00BC5A44" w:rsidP="00A11077">
            <w:pPr>
              <w:jc w:val="center"/>
              <w:rPr>
                <w:rFonts w:ascii="Calibri" w:hAnsi="Calibri"/>
                <w:color w:val="000000" w:themeColor="text1"/>
                <w:sz w:val="20"/>
                <w:szCs w:val="20"/>
              </w:rPr>
            </w:pPr>
          </w:p>
        </w:tc>
        <w:tc>
          <w:tcPr>
            <w:tcW w:w="851" w:type="dxa"/>
            <w:tcBorders>
              <w:bottom w:val="single" w:sz="4" w:space="0" w:color="auto"/>
            </w:tcBorders>
          </w:tcPr>
          <w:p w14:paraId="244340B2" w14:textId="77777777" w:rsidR="00BC5A44" w:rsidRPr="00B6585E" w:rsidRDefault="00BC5A44" w:rsidP="00A11077">
            <w:pPr>
              <w:jc w:val="center"/>
              <w:rPr>
                <w:rFonts w:ascii="Calibri" w:hAnsi="Calibri"/>
                <w:color w:val="000000" w:themeColor="text1"/>
                <w:sz w:val="20"/>
                <w:szCs w:val="20"/>
              </w:rPr>
            </w:pPr>
          </w:p>
        </w:tc>
        <w:tc>
          <w:tcPr>
            <w:tcW w:w="992" w:type="dxa"/>
            <w:tcBorders>
              <w:bottom w:val="single" w:sz="4" w:space="0" w:color="auto"/>
            </w:tcBorders>
          </w:tcPr>
          <w:p w14:paraId="4315BD49"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3EB676AB"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340B8471" w14:textId="4FF32A9C"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38E4C49C"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3B575B2E" w14:textId="3DA39B34"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r>
      <w:tr w:rsidR="00637261" w:rsidRPr="00B6585E" w14:paraId="29734FEB" w14:textId="77777777" w:rsidTr="00BC5A44">
        <w:tc>
          <w:tcPr>
            <w:tcW w:w="993" w:type="dxa"/>
            <w:shd w:val="clear" w:color="auto" w:fill="FFD966" w:themeFill="accent4" w:themeFillTint="99"/>
          </w:tcPr>
          <w:p w14:paraId="2851C342" w14:textId="77777777" w:rsidR="00BC5A44" w:rsidRPr="00B6585E" w:rsidRDefault="00BC5A44" w:rsidP="00A11077">
            <w:pPr>
              <w:rPr>
                <w:rFonts w:ascii="Calibri" w:hAnsi="Calibri"/>
                <w:b/>
                <w:bCs/>
                <w:i/>
                <w:iCs/>
                <w:color w:val="000000" w:themeColor="text1"/>
                <w:sz w:val="20"/>
                <w:szCs w:val="20"/>
              </w:rPr>
            </w:pPr>
          </w:p>
        </w:tc>
        <w:tc>
          <w:tcPr>
            <w:tcW w:w="12612" w:type="dxa"/>
            <w:gridSpan w:val="13"/>
            <w:shd w:val="clear" w:color="auto" w:fill="FFD966" w:themeFill="accent4" w:themeFillTint="99"/>
          </w:tcPr>
          <w:p w14:paraId="18F927A9" w14:textId="78F34959" w:rsidR="00BC5A44" w:rsidRPr="00B6585E" w:rsidRDefault="00BC5A44" w:rsidP="00A11077">
            <w:pPr>
              <w:rPr>
                <w:rFonts w:ascii="Calibri" w:hAnsi="Calibri"/>
                <w:b/>
                <w:bCs/>
                <w:i/>
                <w:iCs/>
                <w:color w:val="000000" w:themeColor="text1"/>
                <w:sz w:val="20"/>
                <w:szCs w:val="20"/>
              </w:rPr>
            </w:pPr>
            <w:r w:rsidRPr="00B6585E">
              <w:rPr>
                <w:rFonts w:ascii="Calibri" w:hAnsi="Calibri"/>
                <w:b/>
                <w:bCs/>
                <w:i/>
                <w:iCs/>
                <w:color w:val="000000" w:themeColor="text1"/>
                <w:sz w:val="20"/>
                <w:szCs w:val="20"/>
              </w:rPr>
              <w:t>Sub-study I: Body Composition Monitor (see Appendix II)</w:t>
            </w:r>
          </w:p>
        </w:tc>
      </w:tr>
      <w:tr w:rsidR="00637261" w:rsidRPr="00B6585E" w14:paraId="14E3D43E" w14:textId="77777777" w:rsidTr="00BC5A44">
        <w:tc>
          <w:tcPr>
            <w:tcW w:w="1696" w:type="dxa"/>
            <w:gridSpan w:val="2"/>
            <w:tcBorders>
              <w:bottom w:val="single" w:sz="4" w:space="0" w:color="auto"/>
            </w:tcBorders>
          </w:tcPr>
          <w:p w14:paraId="47CDB5D3" w14:textId="704ED6C6"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Primary Outcome – BCM measurements</w:t>
            </w:r>
          </w:p>
        </w:tc>
        <w:tc>
          <w:tcPr>
            <w:tcW w:w="741" w:type="dxa"/>
            <w:tcBorders>
              <w:bottom w:val="single" w:sz="4" w:space="0" w:color="auto"/>
            </w:tcBorders>
          </w:tcPr>
          <w:p w14:paraId="39C5361F" w14:textId="77777777" w:rsidR="00BC5A44" w:rsidRPr="00B6585E" w:rsidRDefault="00BC5A44" w:rsidP="00A11077">
            <w:pPr>
              <w:jc w:val="center"/>
              <w:rPr>
                <w:rFonts w:ascii="Calibri" w:hAnsi="Calibri"/>
                <w:color w:val="000000" w:themeColor="text1"/>
                <w:sz w:val="20"/>
                <w:szCs w:val="20"/>
              </w:rPr>
            </w:pPr>
          </w:p>
        </w:tc>
        <w:tc>
          <w:tcPr>
            <w:tcW w:w="1102" w:type="dxa"/>
            <w:tcBorders>
              <w:bottom w:val="single" w:sz="4" w:space="0" w:color="auto"/>
            </w:tcBorders>
          </w:tcPr>
          <w:p w14:paraId="5DBA0E43" w14:textId="7C13A8D5"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Borders>
              <w:bottom w:val="single" w:sz="4" w:space="0" w:color="auto"/>
            </w:tcBorders>
          </w:tcPr>
          <w:p w14:paraId="45C219B9"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4261B1F0"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18BEFCAE" w14:textId="01E57356"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0" w:type="dxa"/>
            <w:tcBorders>
              <w:bottom w:val="single" w:sz="4" w:space="0" w:color="auto"/>
            </w:tcBorders>
          </w:tcPr>
          <w:p w14:paraId="38F414F6" w14:textId="22D321A8"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Borders>
              <w:bottom w:val="single" w:sz="4" w:space="0" w:color="auto"/>
            </w:tcBorders>
          </w:tcPr>
          <w:p w14:paraId="06D4F3DE" w14:textId="208DDE0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2" w:type="dxa"/>
            <w:tcBorders>
              <w:bottom w:val="single" w:sz="4" w:space="0" w:color="auto"/>
            </w:tcBorders>
          </w:tcPr>
          <w:p w14:paraId="329C3E9A" w14:textId="7D8B8569"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Borders>
              <w:bottom w:val="single" w:sz="4" w:space="0" w:color="auto"/>
            </w:tcBorders>
          </w:tcPr>
          <w:p w14:paraId="5449EBBC" w14:textId="77777777" w:rsidR="00BC5A44" w:rsidRPr="00B6585E" w:rsidRDefault="00BC5A44" w:rsidP="00A11077">
            <w:pPr>
              <w:jc w:val="center"/>
              <w:rPr>
                <w:rFonts w:ascii="Calibri" w:hAnsi="Calibri"/>
                <w:color w:val="000000" w:themeColor="text1"/>
                <w:sz w:val="20"/>
                <w:szCs w:val="20"/>
              </w:rPr>
            </w:pPr>
          </w:p>
        </w:tc>
        <w:tc>
          <w:tcPr>
            <w:tcW w:w="993" w:type="dxa"/>
            <w:tcBorders>
              <w:bottom w:val="single" w:sz="4" w:space="0" w:color="auto"/>
            </w:tcBorders>
          </w:tcPr>
          <w:p w14:paraId="2F1A6134" w14:textId="63BC926B"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220FD7C4" w14:textId="77777777" w:rsidR="00BC5A44" w:rsidRPr="00B6585E" w:rsidRDefault="00BC5A44" w:rsidP="00A11077">
            <w:pPr>
              <w:jc w:val="center"/>
              <w:rPr>
                <w:rFonts w:ascii="Calibri" w:hAnsi="Calibri"/>
                <w:color w:val="000000" w:themeColor="text1"/>
                <w:sz w:val="20"/>
                <w:szCs w:val="20"/>
              </w:rPr>
            </w:pPr>
          </w:p>
        </w:tc>
        <w:tc>
          <w:tcPr>
            <w:tcW w:w="1134" w:type="dxa"/>
            <w:tcBorders>
              <w:bottom w:val="single" w:sz="4" w:space="0" w:color="auto"/>
            </w:tcBorders>
          </w:tcPr>
          <w:p w14:paraId="54D545CE" w14:textId="77777777" w:rsidR="00BC5A44" w:rsidRPr="00B6585E" w:rsidRDefault="00BC5A44" w:rsidP="00A11077">
            <w:pPr>
              <w:jc w:val="center"/>
              <w:rPr>
                <w:rFonts w:ascii="Calibri" w:hAnsi="Calibri"/>
                <w:color w:val="000000" w:themeColor="text1"/>
                <w:sz w:val="20"/>
                <w:szCs w:val="20"/>
              </w:rPr>
            </w:pPr>
          </w:p>
        </w:tc>
      </w:tr>
      <w:tr w:rsidR="00637261" w:rsidRPr="00B6585E" w14:paraId="0C527E03" w14:textId="77777777" w:rsidTr="00BC5A44">
        <w:tc>
          <w:tcPr>
            <w:tcW w:w="993" w:type="dxa"/>
            <w:shd w:val="clear" w:color="auto" w:fill="FFD966" w:themeFill="accent4" w:themeFillTint="99"/>
          </w:tcPr>
          <w:p w14:paraId="27D86532" w14:textId="77777777" w:rsidR="00BC5A44" w:rsidRPr="00B6585E" w:rsidRDefault="00BC5A44" w:rsidP="00A11077">
            <w:pPr>
              <w:rPr>
                <w:rFonts w:ascii="Calibri" w:hAnsi="Calibri"/>
                <w:b/>
                <w:bCs/>
                <w:i/>
                <w:iCs/>
                <w:color w:val="000000" w:themeColor="text1"/>
                <w:sz w:val="20"/>
                <w:szCs w:val="20"/>
              </w:rPr>
            </w:pPr>
          </w:p>
        </w:tc>
        <w:tc>
          <w:tcPr>
            <w:tcW w:w="12612" w:type="dxa"/>
            <w:gridSpan w:val="13"/>
            <w:shd w:val="clear" w:color="auto" w:fill="FFD966" w:themeFill="accent4" w:themeFillTint="99"/>
          </w:tcPr>
          <w:p w14:paraId="01E3697C" w14:textId="32E57579" w:rsidR="00BC5A44" w:rsidRPr="00B6585E" w:rsidRDefault="00BC5A44" w:rsidP="00A11077">
            <w:pPr>
              <w:rPr>
                <w:rFonts w:ascii="Calibri" w:hAnsi="Calibri"/>
                <w:b/>
                <w:bCs/>
                <w:i/>
                <w:iCs/>
                <w:color w:val="000000" w:themeColor="text1"/>
                <w:sz w:val="20"/>
                <w:szCs w:val="20"/>
              </w:rPr>
            </w:pPr>
            <w:r w:rsidRPr="00B6585E">
              <w:rPr>
                <w:rFonts w:ascii="Calibri" w:hAnsi="Calibri"/>
                <w:b/>
                <w:bCs/>
                <w:i/>
                <w:iCs/>
                <w:color w:val="000000" w:themeColor="text1"/>
                <w:sz w:val="20"/>
                <w:szCs w:val="20"/>
              </w:rPr>
              <w:t>Sub-study II: Renal Function (see Appendix III)</w:t>
            </w:r>
          </w:p>
        </w:tc>
      </w:tr>
      <w:tr w:rsidR="00637261" w:rsidRPr="00B6585E" w14:paraId="2C04A66F" w14:textId="77777777" w:rsidTr="00BC5A44">
        <w:tc>
          <w:tcPr>
            <w:tcW w:w="1696" w:type="dxa"/>
            <w:gridSpan w:val="2"/>
          </w:tcPr>
          <w:p w14:paraId="5AFE97D8" w14:textId="22F9DA56"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AKI evaluation</w:t>
            </w:r>
          </w:p>
        </w:tc>
        <w:tc>
          <w:tcPr>
            <w:tcW w:w="741" w:type="dxa"/>
          </w:tcPr>
          <w:p w14:paraId="741421D7" w14:textId="77777777" w:rsidR="00BC5A44" w:rsidRPr="00B6585E" w:rsidRDefault="00BC5A44" w:rsidP="00A11077">
            <w:pPr>
              <w:jc w:val="center"/>
              <w:rPr>
                <w:rFonts w:ascii="Calibri" w:hAnsi="Calibri"/>
                <w:color w:val="000000" w:themeColor="text1"/>
                <w:sz w:val="20"/>
                <w:szCs w:val="20"/>
              </w:rPr>
            </w:pPr>
          </w:p>
        </w:tc>
        <w:tc>
          <w:tcPr>
            <w:tcW w:w="1102" w:type="dxa"/>
          </w:tcPr>
          <w:p w14:paraId="43633648" w14:textId="7972C981"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Pr>
          <w:p w14:paraId="502647B0" w14:textId="77777777" w:rsidR="00BC5A44" w:rsidRPr="00B6585E" w:rsidRDefault="00BC5A44" w:rsidP="00A11077">
            <w:pPr>
              <w:jc w:val="center"/>
              <w:rPr>
                <w:rFonts w:ascii="Calibri" w:hAnsi="Calibri"/>
                <w:color w:val="000000" w:themeColor="text1"/>
                <w:sz w:val="20"/>
                <w:szCs w:val="20"/>
              </w:rPr>
            </w:pPr>
          </w:p>
        </w:tc>
        <w:tc>
          <w:tcPr>
            <w:tcW w:w="1134" w:type="dxa"/>
          </w:tcPr>
          <w:p w14:paraId="67991B7A" w14:textId="77777777" w:rsidR="00BC5A44" w:rsidRPr="00B6585E" w:rsidRDefault="00BC5A44" w:rsidP="00A11077">
            <w:pPr>
              <w:jc w:val="center"/>
              <w:rPr>
                <w:rFonts w:ascii="Calibri" w:hAnsi="Calibri"/>
                <w:color w:val="000000" w:themeColor="text1"/>
                <w:sz w:val="20"/>
                <w:szCs w:val="20"/>
              </w:rPr>
            </w:pPr>
          </w:p>
        </w:tc>
        <w:tc>
          <w:tcPr>
            <w:tcW w:w="1134" w:type="dxa"/>
          </w:tcPr>
          <w:p w14:paraId="05E74D35" w14:textId="77777777" w:rsidR="00BC5A44" w:rsidRPr="00B6585E" w:rsidRDefault="00BC5A44" w:rsidP="00A11077">
            <w:pPr>
              <w:jc w:val="center"/>
              <w:rPr>
                <w:rFonts w:ascii="Calibri" w:hAnsi="Calibri"/>
                <w:color w:val="000000" w:themeColor="text1"/>
                <w:sz w:val="20"/>
                <w:szCs w:val="20"/>
              </w:rPr>
            </w:pPr>
          </w:p>
        </w:tc>
        <w:tc>
          <w:tcPr>
            <w:tcW w:w="850" w:type="dxa"/>
          </w:tcPr>
          <w:p w14:paraId="77C010C7" w14:textId="6639E783"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Pr>
          <w:p w14:paraId="1E508CFE" w14:textId="5673775D"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2" w:type="dxa"/>
          </w:tcPr>
          <w:p w14:paraId="133DB8EE" w14:textId="26B6FE68"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Pr>
          <w:p w14:paraId="5A80D97C" w14:textId="29883D54"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Pr>
          <w:p w14:paraId="41EC2EF8" w14:textId="33AEF885" w:rsidR="00BC5A44" w:rsidRPr="00B6585E" w:rsidRDefault="00BC5A44" w:rsidP="00A11077">
            <w:pPr>
              <w:jc w:val="center"/>
              <w:rPr>
                <w:rFonts w:ascii="Calibri" w:hAnsi="Calibri"/>
                <w:color w:val="000000" w:themeColor="text1"/>
                <w:sz w:val="20"/>
                <w:szCs w:val="20"/>
              </w:rPr>
            </w:pPr>
          </w:p>
        </w:tc>
        <w:tc>
          <w:tcPr>
            <w:tcW w:w="1134" w:type="dxa"/>
          </w:tcPr>
          <w:p w14:paraId="1CD2B5E4" w14:textId="77777777" w:rsidR="00BC5A44" w:rsidRPr="00B6585E" w:rsidRDefault="00BC5A44" w:rsidP="00A11077">
            <w:pPr>
              <w:jc w:val="center"/>
              <w:rPr>
                <w:rFonts w:ascii="Calibri" w:hAnsi="Calibri"/>
                <w:color w:val="000000" w:themeColor="text1"/>
                <w:sz w:val="20"/>
                <w:szCs w:val="20"/>
              </w:rPr>
            </w:pPr>
          </w:p>
        </w:tc>
        <w:tc>
          <w:tcPr>
            <w:tcW w:w="1134" w:type="dxa"/>
          </w:tcPr>
          <w:p w14:paraId="5A989E7A" w14:textId="77777777" w:rsidR="00BC5A44" w:rsidRPr="00B6585E" w:rsidRDefault="00BC5A44" w:rsidP="00A11077">
            <w:pPr>
              <w:jc w:val="center"/>
              <w:rPr>
                <w:rFonts w:ascii="Calibri" w:hAnsi="Calibri"/>
                <w:color w:val="000000" w:themeColor="text1"/>
                <w:sz w:val="20"/>
                <w:szCs w:val="20"/>
              </w:rPr>
            </w:pPr>
          </w:p>
        </w:tc>
      </w:tr>
      <w:tr w:rsidR="00637261" w:rsidRPr="00B6585E" w14:paraId="16F599CA" w14:textId="77777777" w:rsidTr="00BC5A44">
        <w:tc>
          <w:tcPr>
            <w:tcW w:w="1696" w:type="dxa"/>
            <w:gridSpan w:val="2"/>
          </w:tcPr>
          <w:p w14:paraId="4971AA52" w14:textId="6C66B850"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RRT Evaluation</w:t>
            </w:r>
          </w:p>
        </w:tc>
        <w:tc>
          <w:tcPr>
            <w:tcW w:w="741" w:type="dxa"/>
          </w:tcPr>
          <w:p w14:paraId="289FD5E5" w14:textId="77777777" w:rsidR="00BC5A44" w:rsidRPr="00B6585E" w:rsidRDefault="00BC5A44" w:rsidP="00A11077">
            <w:pPr>
              <w:jc w:val="center"/>
              <w:rPr>
                <w:rFonts w:ascii="Calibri" w:hAnsi="Calibri"/>
                <w:color w:val="000000" w:themeColor="text1"/>
                <w:sz w:val="20"/>
                <w:szCs w:val="20"/>
              </w:rPr>
            </w:pPr>
          </w:p>
        </w:tc>
        <w:tc>
          <w:tcPr>
            <w:tcW w:w="1102" w:type="dxa"/>
          </w:tcPr>
          <w:p w14:paraId="16DD7E52" w14:textId="4F7E978D" w:rsidR="00BC5A44" w:rsidRPr="00B6585E" w:rsidRDefault="00BC5A44" w:rsidP="00A11077">
            <w:pPr>
              <w:jc w:val="center"/>
              <w:rPr>
                <w:rFonts w:ascii="Calibri" w:hAnsi="Calibri"/>
                <w:color w:val="000000" w:themeColor="text1"/>
                <w:sz w:val="20"/>
                <w:szCs w:val="20"/>
              </w:rPr>
            </w:pPr>
          </w:p>
        </w:tc>
        <w:tc>
          <w:tcPr>
            <w:tcW w:w="851" w:type="dxa"/>
          </w:tcPr>
          <w:p w14:paraId="4A43D83F" w14:textId="77777777" w:rsidR="00BC5A44" w:rsidRPr="00B6585E" w:rsidRDefault="00BC5A44" w:rsidP="00A11077">
            <w:pPr>
              <w:jc w:val="center"/>
              <w:rPr>
                <w:rFonts w:ascii="Calibri" w:hAnsi="Calibri"/>
                <w:color w:val="000000" w:themeColor="text1"/>
                <w:sz w:val="20"/>
                <w:szCs w:val="20"/>
              </w:rPr>
            </w:pPr>
          </w:p>
        </w:tc>
        <w:tc>
          <w:tcPr>
            <w:tcW w:w="1134" w:type="dxa"/>
          </w:tcPr>
          <w:p w14:paraId="27CBB52A" w14:textId="77777777" w:rsidR="00BC5A44" w:rsidRPr="00B6585E" w:rsidRDefault="00BC5A44" w:rsidP="00A11077">
            <w:pPr>
              <w:jc w:val="center"/>
              <w:rPr>
                <w:rFonts w:ascii="Calibri" w:hAnsi="Calibri"/>
                <w:color w:val="000000" w:themeColor="text1"/>
                <w:sz w:val="20"/>
                <w:szCs w:val="20"/>
              </w:rPr>
            </w:pPr>
          </w:p>
        </w:tc>
        <w:tc>
          <w:tcPr>
            <w:tcW w:w="1134" w:type="dxa"/>
          </w:tcPr>
          <w:p w14:paraId="5BFEDA65" w14:textId="77777777" w:rsidR="00BC5A44" w:rsidRPr="00B6585E" w:rsidRDefault="00BC5A44" w:rsidP="00A11077">
            <w:pPr>
              <w:jc w:val="center"/>
              <w:rPr>
                <w:rFonts w:ascii="Calibri" w:hAnsi="Calibri"/>
                <w:color w:val="000000" w:themeColor="text1"/>
                <w:sz w:val="20"/>
                <w:szCs w:val="20"/>
              </w:rPr>
            </w:pPr>
          </w:p>
        </w:tc>
        <w:tc>
          <w:tcPr>
            <w:tcW w:w="850" w:type="dxa"/>
          </w:tcPr>
          <w:p w14:paraId="4CF1E2A6" w14:textId="1589A154" w:rsidR="00BC5A44" w:rsidRPr="00B6585E" w:rsidRDefault="00BC5A44" w:rsidP="00A11077">
            <w:pPr>
              <w:jc w:val="center"/>
              <w:rPr>
                <w:rFonts w:ascii="Calibri" w:hAnsi="Calibri"/>
                <w:color w:val="000000" w:themeColor="text1"/>
                <w:sz w:val="20"/>
                <w:szCs w:val="20"/>
              </w:rPr>
            </w:pPr>
          </w:p>
        </w:tc>
        <w:tc>
          <w:tcPr>
            <w:tcW w:w="851" w:type="dxa"/>
          </w:tcPr>
          <w:p w14:paraId="7690E4B3" w14:textId="77777777" w:rsidR="00BC5A44" w:rsidRPr="00B6585E" w:rsidRDefault="00BC5A44" w:rsidP="00A11077">
            <w:pPr>
              <w:jc w:val="center"/>
              <w:rPr>
                <w:rFonts w:ascii="Calibri" w:hAnsi="Calibri"/>
                <w:color w:val="000000" w:themeColor="text1"/>
                <w:sz w:val="20"/>
                <w:szCs w:val="20"/>
              </w:rPr>
            </w:pPr>
          </w:p>
        </w:tc>
        <w:tc>
          <w:tcPr>
            <w:tcW w:w="992" w:type="dxa"/>
          </w:tcPr>
          <w:p w14:paraId="2FA2A489" w14:textId="77777777" w:rsidR="00BC5A44" w:rsidRPr="00B6585E" w:rsidRDefault="00BC5A44" w:rsidP="00A11077">
            <w:pPr>
              <w:jc w:val="center"/>
              <w:rPr>
                <w:rFonts w:ascii="Calibri" w:hAnsi="Calibri"/>
                <w:color w:val="000000" w:themeColor="text1"/>
                <w:sz w:val="20"/>
                <w:szCs w:val="20"/>
              </w:rPr>
            </w:pPr>
          </w:p>
        </w:tc>
        <w:tc>
          <w:tcPr>
            <w:tcW w:w="993" w:type="dxa"/>
          </w:tcPr>
          <w:p w14:paraId="39DF4403" w14:textId="77777777" w:rsidR="00BC5A44" w:rsidRPr="00B6585E" w:rsidRDefault="00BC5A44" w:rsidP="00A11077">
            <w:pPr>
              <w:jc w:val="center"/>
              <w:rPr>
                <w:rFonts w:ascii="Calibri" w:hAnsi="Calibri"/>
                <w:color w:val="000000" w:themeColor="text1"/>
                <w:sz w:val="20"/>
                <w:szCs w:val="20"/>
              </w:rPr>
            </w:pPr>
          </w:p>
        </w:tc>
        <w:tc>
          <w:tcPr>
            <w:tcW w:w="993" w:type="dxa"/>
          </w:tcPr>
          <w:p w14:paraId="0D8ED8D7" w14:textId="1C245BB7"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3C216501" w14:textId="77777777" w:rsidR="00BC5A44" w:rsidRPr="00B6585E" w:rsidRDefault="00BC5A44" w:rsidP="00A11077">
            <w:pPr>
              <w:jc w:val="center"/>
              <w:rPr>
                <w:rFonts w:ascii="Calibri" w:hAnsi="Calibri"/>
                <w:color w:val="000000" w:themeColor="text1"/>
                <w:sz w:val="20"/>
                <w:szCs w:val="20"/>
              </w:rPr>
            </w:pPr>
          </w:p>
        </w:tc>
        <w:tc>
          <w:tcPr>
            <w:tcW w:w="1134" w:type="dxa"/>
          </w:tcPr>
          <w:p w14:paraId="682CBA57" w14:textId="77777777" w:rsidR="00BC5A44" w:rsidRPr="00B6585E" w:rsidRDefault="00BC5A44" w:rsidP="00A11077">
            <w:pPr>
              <w:jc w:val="center"/>
              <w:rPr>
                <w:rFonts w:ascii="Calibri" w:hAnsi="Calibri"/>
                <w:color w:val="000000" w:themeColor="text1"/>
                <w:sz w:val="20"/>
                <w:szCs w:val="20"/>
              </w:rPr>
            </w:pPr>
          </w:p>
        </w:tc>
      </w:tr>
      <w:tr w:rsidR="00637261" w:rsidRPr="00B6585E" w14:paraId="30767ECE" w14:textId="77777777" w:rsidTr="00BC5A44">
        <w:tc>
          <w:tcPr>
            <w:tcW w:w="993" w:type="dxa"/>
            <w:shd w:val="clear" w:color="auto" w:fill="FFD966" w:themeFill="accent4" w:themeFillTint="99"/>
          </w:tcPr>
          <w:p w14:paraId="68D08783" w14:textId="77777777" w:rsidR="00BC5A44" w:rsidRPr="00B6585E" w:rsidRDefault="00BC5A44" w:rsidP="008324F7">
            <w:pPr>
              <w:rPr>
                <w:rFonts w:ascii="Calibri" w:hAnsi="Calibri"/>
                <w:b/>
                <w:bCs/>
                <w:i/>
                <w:iCs/>
                <w:color w:val="000000" w:themeColor="text1"/>
                <w:sz w:val="20"/>
                <w:szCs w:val="20"/>
              </w:rPr>
            </w:pPr>
          </w:p>
        </w:tc>
        <w:tc>
          <w:tcPr>
            <w:tcW w:w="12612" w:type="dxa"/>
            <w:gridSpan w:val="13"/>
            <w:shd w:val="clear" w:color="auto" w:fill="FFD966" w:themeFill="accent4" w:themeFillTint="99"/>
          </w:tcPr>
          <w:p w14:paraId="66ADB145" w14:textId="4540FA56" w:rsidR="00BC5A44" w:rsidRPr="00B6585E" w:rsidRDefault="00BC5A44" w:rsidP="008324F7">
            <w:pPr>
              <w:rPr>
                <w:rFonts w:ascii="Calibri" w:hAnsi="Calibri"/>
                <w:b/>
                <w:bCs/>
                <w:i/>
                <w:iCs/>
                <w:color w:val="000000" w:themeColor="text1"/>
                <w:sz w:val="20"/>
                <w:szCs w:val="20"/>
              </w:rPr>
            </w:pPr>
            <w:r w:rsidRPr="00B6585E">
              <w:rPr>
                <w:rFonts w:ascii="Calibri" w:hAnsi="Calibri"/>
                <w:b/>
                <w:bCs/>
                <w:i/>
                <w:iCs/>
                <w:color w:val="000000" w:themeColor="text1"/>
                <w:sz w:val="20"/>
                <w:szCs w:val="20"/>
              </w:rPr>
              <w:t>Sub-study III: Inflammatory Response (see Appendix IV)</w:t>
            </w:r>
          </w:p>
        </w:tc>
      </w:tr>
      <w:tr w:rsidR="00637261" w:rsidRPr="00B6585E" w14:paraId="21D2BE6C" w14:textId="77777777" w:rsidTr="00BC5A44">
        <w:tc>
          <w:tcPr>
            <w:tcW w:w="1696" w:type="dxa"/>
            <w:gridSpan w:val="2"/>
          </w:tcPr>
          <w:p w14:paraId="09B0A6EF" w14:textId="77777777"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Primary Outcome –</w:t>
            </w:r>
          </w:p>
          <w:p w14:paraId="6B80C5B7" w14:textId="57FBD631" w:rsidR="00BC5A44" w:rsidRPr="00B6585E" w:rsidRDefault="00BC5A44" w:rsidP="00A11077">
            <w:pPr>
              <w:rPr>
                <w:rFonts w:ascii="Calibri" w:hAnsi="Calibri"/>
                <w:color w:val="000000" w:themeColor="text1"/>
                <w:sz w:val="16"/>
                <w:szCs w:val="16"/>
              </w:rPr>
            </w:pPr>
            <w:r w:rsidRPr="00B6585E">
              <w:rPr>
                <w:rFonts w:ascii="Calibri" w:hAnsi="Calibri"/>
                <w:color w:val="000000" w:themeColor="text1"/>
                <w:sz w:val="16"/>
                <w:szCs w:val="16"/>
              </w:rPr>
              <w:t>Inflammatory parameters</w:t>
            </w:r>
          </w:p>
        </w:tc>
        <w:tc>
          <w:tcPr>
            <w:tcW w:w="741" w:type="dxa"/>
          </w:tcPr>
          <w:p w14:paraId="462DE3D5" w14:textId="77777777" w:rsidR="00BC5A44" w:rsidRPr="00B6585E" w:rsidRDefault="00BC5A44" w:rsidP="00A11077">
            <w:pPr>
              <w:jc w:val="center"/>
              <w:rPr>
                <w:rFonts w:ascii="Calibri" w:hAnsi="Calibri"/>
                <w:color w:val="000000" w:themeColor="text1"/>
                <w:sz w:val="20"/>
                <w:szCs w:val="20"/>
              </w:rPr>
            </w:pPr>
          </w:p>
        </w:tc>
        <w:tc>
          <w:tcPr>
            <w:tcW w:w="1102" w:type="dxa"/>
          </w:tcPr>
          <w:p w14:paraId="698A4103" w14:textId="731834A4"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Pr>
          <w:p w14:paraId="77ECF9BC" w14:textId="77777777" w:rsidR="00BC5A44" w:rsidRPr="00B6585E" w:rsidRDefault="00BC5A44" w:rsidP="00A11077">
            <w:pPr>
              <w:jc w:val="center"/>
              <w:rPr>
                <w:rFonts w:ascii="Calibri" w:hAnsi="Calibri"/>
                <w:color w:val="000000" w:themeColor="text1"/>
                <w:sz w:val="20"/>
                <w:szCs w:val="20"/>
              </w:rPr>
            </w:pPr>
          </w:p>
        </w:tc>
        <w:tc>
          <w:tcPr>
            <w:tcW w:w="1134" w:type="dxa"/>
          </w:tcPr>
          <w:p w14:paraId="5935A5D8" w14:textId="02A86FEB"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1134" w:type="dxa"/>
          </w:tcPr>
          <w:p w14:paraId="7A2835BE" w14:textId="77777777" w:rsidR="00BC5A44" w:rsidRPr="00B6585E" w:rsidRDefault="00BC5A44" w:rsidP="00A11077">
            <w:pPr>
              <w:jc w:val="center"/>
              <w:rPr>
                <w:rFonts w:ascii="Calibri" w:hAnsi="Calibri"/>
                <w:color w:val="000000" w:themeColor="text1"/>
                <w:sz w:val="20"/>
                <w:szCs w:val="20"/>
              </w:rPr>
            </w:pPr>
          </w:p>
        </w:tc>
        <w:tc>
          <w:tcPr>
            <w:tcW w:w="850" w:type="dxa"/>
          </w:tcPr>
          <w:p w14:paraId="73A2B7E6" w14:textId="12DA330F"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851" w:type="dxa"/>
          </w:tcPr>
          <w:p w14:paraId="4475F8C0" w14:textId="57E59221"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2" w:type="dxa"/>
          </w:tcPr>
          <w:p w14:paraId="7CD4C3E0" w14:textId="1D23D801"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Pr>
          <w:p w14:paraId="431A9E68" w14:textId="399A59E9" w:rsidR="00BC5A44" w:rsidRPr="00B6585E" w:rsidRDefault="00BC5A44" w:rsidP="00A11077">
            <w:pPr>
              <w:jc w:val="center"/>
              <w:rPr>
                <w:rFonts w:ascii="Calibri" w:hAnsi="Calibri"/>
                <w:color w:val="000000" w:themeColor="text1"/>
                <w:sz w:val="20"/>
                <w:szCs w:val="20"/>
              </w:rPr>
            </w:pPr>
            <w:r w:rsidRPr="00B6585E">
              <w:rPr>
                <w:rFonts w:ascii="Calibri" w:hAnsi="Calibri"/>
                <w:color w:val="000000" w:themeColor="text1"/>
                <w:sz w:val="20"/>
                <w:szCs w:val="20"/>
              </w:rPr>
              <w:t>X</w:t>
            </w:r>
          </w:p>
        </w:tc>
        <w:tc>
          <w:tcPr>
            <w:tcW w:w="993" w:type="dxa"/>
          </w:tcPr>
          <w:p w14:paraId="096B5852" w14:textId="22EB975D" w:rsidR="00BC5A44" w:rsidRPr="00B6585E" w:rsidRDefault="00BC5A44" w:rsidP="00A11077">
            <w:pPr>
              <w:jc w:val="center"/>
              <w:rPr>
                <w:rFonts w:ascii="Calibri" w:hAnsi="Calibri"/>
                <w:color w:val="000000" w:themeColor="text1"/>
                <w:sz w:val="20"/>
                <w:szCs w:val="20"/>
              </w:rPr>
            </w:pPr>
          </w:p>
        </w:tc>
        <w:tc>
          <w:tcPr>
            <w:tcW w:w="1134" w:type="dxa"/>
          </w:tcPr>
          <w:p w14:paraId="762803A6" w14:textId="77777777" w:rsidR="00BC5A44" w:rsidRPr="00B6585E" w:rsidRDefault="00BC5A44" w:rsidP="00A11077">
            <w:pPr>
              <w:jc w:val="center"/>
              <w:rPr>
                <w:rFonts w:ascii="Calibri" w:hAnsi="Calibri"/>
                <w:color w:val="000000" w:themeColor="text1"/>
                <w:sz w:val="20"/>
                <w:szCs w:val="20"/>
              </w:rPr>
            </w:pPr>
          </w:p>
        </w:tc>
        <w:tc>
          <w:tcPr>
            <w:tcW w:w="1134" w:type="dxa"/>
          </w:tcPr>
          <w:p w14:paraId="7820EA8B" w14:textId="77777777" w:rsidR="00BC5A44" w:rsidRPr="00B6585E" w:rsidRDefault="00BC5A44" w:rsidP="00A11077">
            <w:pPr>
              <w:jc w:val="center"/>
              <w:rPr>
                <w:rFonts w:ascii="Calibri" w:hAnsi="Calibri"/>
                <w:color w:val="000000" w:themeColor="text1"/>
                <w:sz w:val="20"/>
                <w:szCs w:val="20"/>
              </w:rPr>
            </w:pPr>
          </w:p>
        </w:tc>
      </w:tr>
    </w:tbl>
    <w:p w14:paraId="66C0059A" w14:textId="76F975C5" w:rsidR="00A11077" w:rsidRPr="00B6585E" w:rsidRDefault="00CC1777" w:rsidP="00CC1777">
      <w:pPr>
        <w:pStyle w:val="Heading2"/>
        <w:numPr>
          <w:ilvl w:val="0"/>
          <w:numId w:val="0"/>
        </w:numPr>
        <w:ind w:left="964" w:hanging="964"/>
        <w:rPr>
          <w:color w:val="000000" w:themeColor="text1"/>
        </w:rPr>
      </w:pPr>
      <w:bookmarkStart w:id="346" w:name="_Toc23231379"/>
      <w:bookmarkStart w:id="347" w:name="_Toc96925044"/>
      <w:r w:rsidRPr="00B6585E">
        <w:rPr>
          <w:color w:val="000000" w:themeColor="text1"/>
        </w:rPr>
        <w:t xml:space="preserve">15.5 </w:t>
      </w:r>
      <w:r w:rsidR="00A11077" w:rsidRPr="00B6585E">
        <w:rPr>
          <w:color w:val="000000" w:themeColor="text1"/>
        </w:rPr>
        <w:t>Appendix IV: Time Schedule</w:t>
      </w:r>
      <w:bookmarkEnd w:id="346"/>
      <w:bookmarkEnd w:id="347"/>
    </w:p>
    <w:p w14:paraId="11E3261B" w14:textId="61191119" w:rsidR="00A5257C" w:rsidRPr="00B6585E" w:rsidRDefault="00A5257C" w:rsidP="005E0496">
      <w:pPr>
        <w:tabs>
          <w:tab w:val="left" w:pos="952"/>
        </w:tabs>
        <w:jc w:val="both"/>
        <w:rPr>
          <w:rFonts w:ascii="Arial" w:hAnsi="Arial" w:cs="Arial"/>
          <w:color w:val="000000" w:themeColor="text1"/>
          <w:sz w:val="22"/>
          <w:szCs w:val="22"/>
        </w:rPr>
      </w:pPr>
    </w:p>
    <w:p w14:paraId="19B1E638" w14:textId="58D9A8AA" w:rsidR="00A11077" w:rsidRPr="00B6585E" w:rsidRDefault="00A11077" w:rsidP="00A11077">
      <w:pPr>
        <w:rPr>
          <w:rFonts w:ascii="Arial" w:hAnsi="Arial" w:cs="Arial"/>
          <w:color w:val="000000" w:themeColor="text1"/>
          <w:sz w:val="22"/>
          <w:szCs w:val="22"/>
        </w:rPr>
      </w:pPr>
    </w:p>
    <w:p w14:paraId="3128760C" w14:textId="78458099" w:rsidR="00A11077" w:rsidRPr="00B6585E" w:rsidRDefault="00A11077" w:rsidP="00A11077">
      <w:pPr>
        <w:rPr>
          <w:rFonts w:ascii="Arial" w:hAnsi="Arial" w:cs="Arial"/>
          <w:color w:val="000000" w:themeColor="text1"/>
          <w:sz w:val="22"/>
          <w:szCs w:val="22"/>
        </w:rPr>
      </w:pPr>
    </w:p>
    <w:p w14:paraId="1D637069" w14:textId="0ADC2552" w:rsidR="00A11077" w:rsidRPr="00B6585E" w:rsidRDefault="00A11077" w:rsidP="00A11077">
      <w:pPr>
        <w:rPr>
          <w:rFonts w:ascii="Arial" w:hAnsi="Arial" w:cs="Arial"/>
          <w:color w:val="000000" w:themeColor="text1"/>
          <w:sz w:val="22"/>
          <w:szCs w:val="22"/>
        </w:rPr>
      </w:pPr>
    </w:p>
    <w:p w14:paraId="3A905E9B" w14:textId="4F8A3367" w:rsidR="00A11077" w:rsidRPr="00B6585E" w:rsidRDefault="00A11077" w:rsidP="00A11077">
      <w:pPr>
        <w:rPr>
          <w:rFonts w:ascii="Arial" w:hAnsi="Arial" w:cs="Arial"/>
          <w:color w:val="000000" w:themeColor="text1"/>
          <w:sz w:val="22"/>
          <w:szCs w:val="22"/>
        </w:rPr>
      </w:pPr>
    </w:p>
    <w:p w14:paraId="03E2E11F" w14:textId="31E3088D" w:rsidR="00A11077" w:rsidRPr="00B6585E" w:rsidRDefault="00A11077" w:rsidP="00A11077">
      <w:pPr>
        <w:rPr>
          <w:rFonts w:ascii="Arial" w:hAnsi="Arial" w:cs="Arial"/>
          <w:color w:val="000000" w:themeColor="text1"/>
          <w:sz w:val="22"/>
          <w:szCs w:val="22"/>
        </w:rPr>
      </w:pPr>
    </w:p>
    <w:p w14:paraId="6DCBDC17" w14:textId="40C75A83" w:rsidR="00A11077" w:rsidRPr="00B6585E" w:rsidRDefault="00A11077" w:rsidP="00A11077">
      <w:pPr>
        <w:rPr>
          <w:rFonts w:ascii="Arial" w:hAnsi="Arial" w:cs="Arial"/>
          <w:color w:val="000000" w:themeColor="text1"/>
          <w:sz w:val="22"/>
          <w:szCs w:val="22"/>
        </w:rPr>
      </w:pPr>
    </w:p>
    <w:p w14:paraId="3AE82CAE" w14:textId="7806E7EC" w:rsidR="00A11077" w:rsidRPr="00B6585E" w:rsidRDefault="00A11077" w:rsidP="00A11077">
      <w:pPr>
        <w:rPr>
          <w:rFonts w:ascii="Arial" w:hAnsi="Arial" w:cs="Arial"/>
          <w:color w:val="000000" w:themeColor="text1"/>
          <w:sz w:val="22"/>
          <w:szCs w:val="22"/>
        </w:rPr>
      </w:pPr>
    </w:p>
    <w:p w14:paraId="3BFC4B56" w14:textId="58E2ECCB" w:rsidR="00A11077" w:rsidRPr="00B6585E" w:rsidRDefault="00A11077" w:rsidP="00A11077">
      <w:pPr>
        <w:rPr>
          <w:rFonts w:ascii="Arial" w:hAnsi="Arial" w:cs="Arial"/>
          <w:color w:val="000000" w:themeColor="text1"/>
          <w:sz w:val="22"/>
          <w:szCs w:val="22"/>
        </w:rPr>
      </w:pPr>
    </w:p>
    <w:p w14:paraId="14A31DB0" w14:textId="50B698AB" w:rsidR="00A11077" w:rsidRPr="00B6585E" w:rsidRDefault="00A11077" w:rsidP="00A11077">
      <w:pPr>
        <w:rPr>
          <w:rFonts w:ascii="Arial" w:hAnsi="Arial" w:cs="Arial"/>
          <w:color w:val="000000" w:themeColor="text1"/>
          <w:sz w:val="22"/>
          <w:szCs w:val="22"/>
        </w:rPr>
      </w:pPr>
    </w:p>
    <w:p w14:paraId="080BA6A6" w14:textId="4204EF91" w:rsidR="00A11077" w:rsidRPr="00B6585E" w:rsidRDefault="00A11077" w:rsidP="00A11077">
      <w:pPr>
        <w:rPr>
          <w:rFonts w:ascii="Arial" w:hAnsi="Arial" w:cs="Arial"/>
          <w:color w:val="000000" w:themeColor="text1"/>
          <w:sz w:val="22"/>
          <w:szCs w:val="22"/>
        </w:rPr>
      </w:pPr>
    </w:p>
    <w:p w14:paraId="52676F88" w14:textId="652E96C9" w:rsidR="00A11077" w:rsidRPr="00B6585E" w:rsidRDefault="00A11077" w:rsidP="00A11077">
      <w:pPr>
        <w:rPr>
          <w:rFonts w:ascii="Arial" w:hAnsi="Arial" w:cs="Arial"/>
          <w:color w:val="000000" w:themeColor="text1"/>
          <w:sz w:val="22"/>
          <w:szCs w:val="22"/>
        </w:rPr>
      </w:pPr>
    </w:p>
    <w:p w14:paraId="475B89D1" w14:textId="1DC2E6E0" w:rsidR="00A11077" w:rsidRPr="00B6585E" w:rsidRDefault="00A11077" w:rsidP="00A11077">
      <w:pPr>
        <w:rPr>
          <w:rFonts w:ascii="Arial" w:hAnsi="Arial" w:cs="Arial"/>
          <w:color w:val="000000" w:themeColor="text1"/>
          <w:sz w:val="22"/>
          <w:szCs w:val="22"/>
        </w:rPr>
      </w:pPr>
    </w:p>
    <w:p w14:paraId="591FF1F2" w14:textId="3991B133" w:rsidR="00A11077" w:rsidRPr="00B6585E" w:rsidRDefault="00A11077" w:rsidP="00A11077">
      <w:pPr>
        <w:rPr>
          <w:rFonts w:ascii="Arial" w:hAnsi="Arial" w:cs="Arial"/>
          <w:color w:val="000000" w:themeColor="text1"/>
          <w:sz w:val="22"/>
          <w:szCs w:val="22"/>
        </w:rPr>
      </w:pPr>
    </w:p>
    <w:p w14:paraId="2547B4AA" w14:textId="4AEAAE01" w:rsidR="00A11077" w:rsidRPr="00B6585E" w:rsidRDefault="00A11077" w:rsidP="00A11077">
      <w:pPr>
        <w:rPr>
          <w:rFonts w:ascii="Arial" w:hAnsi="Arial" w:cs="Arial"/>
          <w:color w:val="000000" w:themeColor="text1"/>
          <w:sz w:val="22"/>
          <w:szCs w:val="22"/>
        </w:rPr>
      </w:pPr>
    </w:p>
    <w:p w14:paraId="28224ACF" w14:textId="469CB6FF" w:rsidR="00A11077" w:rsidRPr="00B6585E" w:rsidRDefault="00A11077" w:rsidP="00A11077">
      <w:pPr>
        <w:rPr>
          <w:rFonts w:ascii="Arial" w:hAnsi="Arial" w:cs="Arial"/>
          <w:color w:val="000000" w:themeColor="text1"/>
          <w:sz w:val="22"/>
          <w:szCs w:val="22"/>
        </w:rPr>
      </w:pPr>
    </w:p>
    <w:p w14:paraId="05253FA3" w14:textId="01071261" w:rsidR="00A11077" w:rsidRPr="00B6585E" w:rsidRDefault="00A11077" w:rsidP="00A11077">
      <w:pPr>
        <w:rPr>
          <w:rFonts w:ascii="Arial" w:hAnsi="Arial" w:cs="Arial"/>
          <w:color w:val="000000" w:themeColor="text1"/>
          <w:sz w:val="22"/>
          <w:szCs w:val="22"/>
        </w:rPr>
      </w:pPr>
    </w:p>
    <w:p w14:paraId="0758D5A1" w14:textId="7608326A" w:rsidR="00A11077" w:rsidRPr="00B6585E" w:rsidRDefault="00A11077" w:rsidP="00A11077">
      <w:pPr>
        <w:rPr>
          <w:rFonts w:ascii="Arial" w:hAnsi="Arial" w:cs="Arial"/>
          <w:color w:val="000000" w:themeColor="text1"/>
          <w:sz w:val="22"/>
          <w:szCs w:val="22"/>
        </w:rPr>
      </w:pPr>
    </w:p>
    <w:p w14:paraId="3383094D" w14:textId="4508A9B6" w:rsidR="00A11077" w:rsidRPr="00B6585E" w:rsidRDefault="00A11077" w:rsidP="00A11077">
      <w:pPr>
        <w:rPr>
          <w:rFonts w:ascii="Arial" w:hAnsi="Arial" w:cs="Arial"/>
          <w:color w:val="000000" w:themeColor="text1"/>
          <w:sz w:val="22"/>
          <w:szCs w:val="22"/>
        </w:rPr>
      </w:pPr>
    </w:p>
    <w:p w14:paraId="786383AE" w14:textId="1CBF9EE0" w:rsidR="00A11077" w:rsidRPr="00B6585E" w:rsidRDefault="00A11077" w:rsidP="00A11077">
      <w:pPr>
        <w:rPr>
          <w:rFonts w:ascii="Arial" w:hAnsi="Arial" w:cs="Arial"/>
          <w:color w:val="000000" w:themeColor="text1"/>
          <w:sz w:val="22"/>
          <w:szCs w:val="22"/>
        </w:rPr>
      </w:pPr>
    </w:p>
    <w:p w14:paraId="7E3ECA2B" w14:textId="49DEC8CF" w:rsidR="00A11077" w:rsidRPr="00B6585E" w:rsidRDefault="00A11077" w:rsidP="00A11077">
      <w:pPr>
        <w:rPr>
          <w:rFonts w:ascii="Arial" w:hAnsi="Arial" w:cs="Arial"/>
          <w:color w:val="000000" w:themeColor="text1"/>
          <w:sz w:val="22"/>
          <w:szCs w:val="22"/>
        </w:rPr>
      </w:pPr>
    </w:p>
    <w:p w14:paraId="02CA8A57" w14:textId="2F29D69E" w:rsidR="00A11077" w:rsidRPr="00B6585E" w:rsidRDefault="00A11077" w:rsidP="00A11077">
      <w:pPr>
        <w:rPr>
          <w:rFonts w:ascii="Arial" w:hAnsi="Arial" w:cs="Arial"/>
          <w:color w:val="000000" w:themeColor="text1"/>
          <w:sz w:val="22"/>
          <w:szCs w:val="22"/>
        </w:rPr>
      </w:pPr>
    </w:p>
    <w:p w14:paraId="731B28EA" w14:textId="73FD8EB8" w:rsidR="00A11077" w:rsidRPr="00B6585E" w:rsidRDefault="00A11077" w:rsidP="00A11077">
      <w:pPr>
        <w:rPr>
          <w:rFonts w:ascii="Arial" w:hAnsi="Arial" w:cs="Arial"/>
          <w:color w:val="000000" w:themeColor="text1"/>
          <w:sz w:val="22"/>
          <w:szCs w:val="22"/>
        </w:rPr>
      </w:pPr>
    </w:p>
    <w:p w14:paraId="61591078" w14:textId="30D9AD87" w:rsidR="00A11077" w:rsidRPr="00B6585E" w:rsidRDefault="00A11077" w:rsidP="00A11077">
      <w:pPr>
        <w:rPr>
          <w:rFonts w:ascii="Arial" w:hAnsi="Arial" w:cs="Arial"/>
          <w:color w:val="000000" w:themeColor="text1"/>
          <w:sz w:val="22"/>
          <w:szCs w:val="22"/>
        </w:rPr>
      </w:pPr>
    </w:p>
    <w:p w14:paraId="29E2D708" w14:textId="7E601037" w:rsidR="00A11077" w:rsidRPr="00B6585E" w:rsidRDefault="00A11077" w:rsidP="00A11077">
      <w:pPr>
        <w:rPr>
          <w:rFonts w:ascii="Arial" w:hAnsi="Arial" w:cs="Arial"/>
          <w:color w:val="000000" w:themeColor="text1"/>
          <w:sz w:val="22"/>
          <w:szCs w:val="22"/>
        </w:rPr>
      </w:pPr>
    </w:p>
    <w:p w14:paraId="465B04AB" w14:textId="2CCEE32C" w:rsidR="00A11077" w:rsidRPr="00B6585E" w:rsidRDefault="00A11077" w:rsidP="00A11077">
      <w:pPr>
        <w:rPr>
          <w:rFonts w:ascii="Arial" w:hAnsi="Arial" w:cs="Arial"/>
          <w:color w:val="000000" w:themeColor="text1"/>
          <w:sz w:val="22"/>
          <w:szCs w:val="22"/>
        </w:rPr>
      </w:pPr>
    </w:p>
    <w:p w14:paraId="17EDDAAA" w14:textId="1AEA70C5" w:rsidR="00A11077" w:rsidRPr="00B6585E" w:rsidRDefault="00A11077" w:rsidP="00A11077">
      <w:pPr>
        <w:rPr>
          <w:rFonts w:ascii="Arial" w:hAnsi="Arial" w:cs="Arial"/>
          <w:color w:val="000000" w:themeColor="text1"/>
          <w:sz w:val="22"/>
          <w:szCs w:val="22"/>
        </w:rPr>
      </w:pPr>
    </w:p>
    <w:p w14:paraId="2EF4F435" w14:textId="06496967" w:rsidR="00A11077" w:rsidRPr="00B6585E" w:rsidRDefault="00A11077" w:rsidP="00A11077">
      <w:pPr>
        <w:rPr>
          <w:rFonts w:ascii="Arial" w:hAnsi="Arial" w:cs="Arial"/>
          <w:color w:val="000000" w:themeColor="text1"/>
          <w:sz w:val="22"/>
          <w:szCs w:val="22"/>
        </w:rPr>
      </w:pPr>
    </w:p>
    <w:p w14:paraId="495D4738" w14:textId="1A820F08" w:rsidR="00A11077" w:rsidRPr="00B6585E" w:rsidRDefault="00A11077" w:rsidP="00A11077">
      <w:pPr>
        <w:rPr>
          <w:rFonts w:ascii="Arial" w:hAnsi="Arial" w:cs="Arial"/>
          <w:color w:val="000000" w:themeColor="text1"/>
          <w:sz w:val="22"/>
          <w:szCs w:val="22"/>
        </w:rPr>
      </w:pPr>
    </w:p>
    <w:p w14:paraId="0A8757AA" w14:textId="053AB940" w:rsidR="00A11077" w:rsidRPr="00B6585E" w:rsidRDefault="00A11077" w:rsidP="00A11077">
      <w:pPr>
        <w:rPr>
          <w:rFonts w:ascii="Arial" w:hAnsi="Arial" w:cs="Arial"/>
          <w:color w:val="000000" w:themeColor="text1"/>
          <w:sz w:val="22"/>
          <w:szCs w:val="22"/>
        </w:rPr>
      </w:pPr>
    </w:p>
    <w:p w14:paraId="38E19156" w14:textId="1B1750AF" w:rsidR="00A11077" w:rsidRPr="00B6585E" w:rsidRDefault="00A11077" w:rsidP="00A11077">
      <w:pPr>
        <w:tabs>
          <w:tab w:val="left" w:pos="909"/>
        </w:tabs>
        <w:rPr>
          <w:rFonts w:ascii="Arial" w:hAnsi="Arial" w:cs="Arial"/>
          <w:color w:val="000000" w:themeColor="text1"/>
          <w:sz w:val="22"/>
          <w:szCs w:val="22"/>
        </w:rPr>
      </w:pPr>
    </w:p>
    <w:p w14:paraId="23B9A9E3" w14:textId="24B71F44" w:rsidR="00A11077" w:rsidRPr="00B6585E" w:rsidRDefault="00A11077" w:rsidP="00A11077">
      <w:pPr>
        <w:tabs>
          <w:tab w:val="left" w:pos="909"/>
        </w:tabs>
        <w:rPr>
          <w:rFonts w:ascii="Arial" w:hAnsi="Arial" w:cs="Arial"/>
          <w:color w:val="000000" w:themeColor="text1"/>
          <w:sz w:val="22"/>
          <w:szCs w:val="22"/>
        </w:rPr>
      </w:pPr>
    </w:p>
    <w:p w14:paraId="20373737" w14:textId="014E05B6" w:rsidR="00A11077" w:rsidRPr="00B6585E" w:rsidRDefault="00A11077" w:rsidP="00A11077">
      <w:pPr>
        <w:tabs>
          <w:tab w:val="left" w:pos="909"/>
        </w:tabs>
        <w:rPr>
          <w:rFonts w:ascii="Arial" w:hAnsi="Arial" w:cs="Arial"/>
          <w:color w:val="000000" w:themeColor="text1"/>
          <w:sz w:val="22"/>
          <w:szCs w:val="22"/>
        </w:rPr>
      </w:pPr>
    </w:p>
    <w:p w14:paraId="2683CAF2" w14:textId="290D6FCC" w:rsidR="00A11077" w:rsidRPr="00B6585E" w:rsidRDefault="00A11077" w:rsidP="00A11077">
      <w:pPr>
        <w:tabs>
          <w:tab w:val="left" w:pos="909"/>
        </w:tabs>
        <w:rPr>
          <w:rFonts w:ascii="Arial" w:hAnsi="Arial" w:cs="Arial"/>
          <w:color w:val="000000" w:themeColor="text1"/>
          <w:sz w:val="22"/>
          <w:szCs w:val="22"/>
        </w:rPr>
      </w:pPr>
    </w:p>
    <w:p w14:paraId="03869C56" w14:textId="5E283DB2" w:rsidR="00A11077" w:rsidRPr="00B6585E" w:rsidRDefault="00A11077" w:rsidP="00A11077">
      <w:pPr>
        <w:tabs>
          <w:tab w:val="left" w:pos="909"/>
        </w:tabs>
        <w:rPr>
          <w:rFonts w:ascii="Arial" w:hAnsi="Arial" w:cs="Arial"/>
          <w:color w:val="000000" w:themeColor="text1"/>
          <w:sz w:val="22"/>
          <w:szCs w:val="22"/>
        </w:rPr>
      </w:pPr>
    </w:p>
    <w:p w14:paraId="5BC2B0E2" w14:textId="76586400" w:rsidR="00037C03" w:rsidRPr="00B6585E" w:rsidRDefault="00CC1777" w:rsidP="00CC1777">
      <w:pPr>
        <w:pStyle w:val="Heading2"/>
        <w:numPr>
          <w:ilvl w:val="0"/>
          <w:numId w:val="0"/>
        </w:numPr>
        <w:ind w:left="964" w:hanging="964"/>
        <w:rPr>
          <w:color w:val="000000" w:themeColor="text1"/>
        </w:rPr>
      </w:pPr>
      <w:bookmarkStart w:id="348" w:name="_Toc23231380"/>
      <w:bookmarkStart w:id="349" w:name="_Toc96925045"/>
      <w:r w:rsidRPr="00B6585E">
        <w:rPr>
          <w:color w:val="000000" w:themeColor="text1"/>
        </w:rPr>
        <w:t xml:space="preserve">15.6 </w:t>
      </w:r>
      <w:r w:rsidR="00037C03" w:rsidRPr="00B6585E">
        <w:rPr>
          <w:color w:val="000000" w:themeColor="text1"/>
        </w:rPr>
        <w:t>Appendix V: Study specific laboratory measurements</w:t>
      </w:r>
      <w:bookmarkEnd w:id="348"/>
      <w:bookmarkEnd w:id="349"/>
    </w:p>
    <w:p w14:paraId="61C54B9B" w14:textId="77777777" w:rsidR="00A11077" w:rsidRPr="00B6585E" w:rsidRDefault="00A11077" w:rsidP="00A11077">
      <w:pPr>
        <w:widowControl w:val="0"/>
        <w:spacing w:after="120"/>
        <w:ind w:left="640" w:hanging="640"/>
        <w:rPr>
          <w:color w:val="000000" w:themeColor="text1"/>
        </w:rPr>
      </w:pPr>
    </w:p>
    <w:tbl>
      <w:tblPr>
        <w:tblpPr w:leftFromText="180" w:rightFromText="180" w:vertAnchor="page" w:horzAnchor="margin" w:tblpY="2907"/>
        <w:tblW w:w="11766" w:type="dxa"/>
        <w:tblBorders>
          <w:right w:val="single" w:sz="4" w:space="0" w:color="000000"/>
          <w:insideV w:val="single" w:sz="4" w:space="0" w:color="000000"/>
        </w:tblBorders>
        <w:tblLook w:val="04A0" w:firstRow="1" w:lastRow="0" w:firstColumn="1" w:lastColumn="0" w:noHBand="0" w:noVBand="1"/>
      </w:tblPr>
      <w:tblGrid>
        <w:gridCol w:w="1861"/>
        <w:gridCol w:w="2013"/>
        <w:gridCol w:w="1770"/>
        <w:gridCol w:w="1291"/>
        <w:gridCol w:w="1570"/>
        <w:gridCol w:w="1465"/>
        <w:gridCol w:w="1796"/>
      </w:tblGrid>
      <w:tr w:rsidR="00637261" w:rsidRPr="00B6585E" w14:paraId="6D5ACF30" w14:textId="54EA2AA9" w:rsidTr="00CD42D9">
        <w:trPr>
          <w:trHeight w:val="570"/>
        </w:trPr>
        <w:tc>
          <w:tcPr>
            <w:tcW w:w="1861" w:type="dxa"/>
            <w:tcBorders>
              <w:right w:val="single" w:sz="4" w:space="0" w:color="000000"/>
            </w:tcBorders>
            <w:shd w:val="clear" w:color="auto" w:fill="auto"/>
            <w:vAlign w:val="center"/>
          </w:tcPr>
          <w:p w14:paraId="13B36282" w14:textId="77777777" w:rsidR="00F5619C" w:rsidRPr="00B6585E" w:rsidRDefault="00F5619C" w:rsidP="00E67D0A">
            <w:pPr>
              <w:widowControl w:val="0"/>
              <w:spacing w:line="288" w:lineRule="auto"/>
              <w:jc w:val="center"/>
              <w:rPr>
                <w:rFonts w:ascii="Arial" w:hAnsi="Arial" w:cs="Arial"/>
                <w:b/>
                <w:i/>
                <w:color w:val="000000" w:themeColor="text1"/>
              </w:rPr>
            </w:pPr>
          </w:p>
        </w:tc>
        <w:tc>
          <w:tcPr>
            <w:tcW w:w="2013"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63D6BFDC" w14:textId="77777777" w:rsidR="00F5619C" w:rsidRPr="00B6585E" w:rsidRDefault="00F5619C" w:rsidP="00E67D0A">
            <w:pPr>
              <w:widowControl w:val="0"/>
              <w:spacing w:line="288" w:lineRule="auto"/>
              <w:jc w:val="center"/>
              <w:rPr>
                <w:rFonts w:ascii="Arial" w:hAnsi="Arial" w:cs="Arial"/>
                <w:b/>
                <w:i/>
                <w:color w:val="000000" w:themeColor="text1"/>
              </w:rPr>
            </w:pPr>
            <w:r w:rsidRPr="00B6585E">
              <w:rPr>
                <w:rFonts w:ascii="Arial" w:hAnsi="Arial" w:cs="Arial"/>
                <w:b/>
                <w:i/>
                <w:color w:val="000000" w:themeColor="text1"/>
              </w:rPr>
              <w:t>Preoperative</w:t>
            </w:r>
          </w:p>
          <w:p w14:paraId="408B4253" w14:textId="77777777" w:rsidR="00F5619C" w:rsidRPr="00B6585E" w:rsidRDefault="00F5619C" w:rsidP="00E67D0A">
            <w:pPr>
              <w:widowControl w:val="0"/>
              <w:spacing w:line="288" w:lineRule="auto"/>
              <w:jc w:val="center"/>
              <w:rPr>
                <w:rFonts w:ascii="Arial" w:hAnsi="Arial" w:cs="Arial"/>
                <w:b/>
                <w:i/>
                <w:color w:val="000000" w:themeColor="text1"/>
              </w:rPr>
            </w:pPr>
            <w:r w:rsidRPr="00B6585E">
              <w:rPr>
                <w:rFonts w:ascii="Arial" w:hAnsi="Arial" w:cs="Arial"/>
                <w:b/>
                <w:i/>
                <w:color w:val="000000" w:themeColor="text1"/>
              </w:rPr>
              <w:t>(Baseline)</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367380FE" w14:textId="4583CA44" w:rsidR="00F5619C" w:rsidRPr="00B6585E" w:rsidRDefault="00F5619C" w:rsidP="00E67D0A">
            <w:pPr>
              <w:widowControl w:val="0"/>
              <w:spacing w:line="360" w:lineRule="auto"/>
              <w:jc w:val="center"/>
              <w:rPr>
                <w:rFonts w:ascii="Arial" w:hAnsi="Arial" w:cs="Arial"/>
                <w:b/>
                <w:bCs/>
                <w:i/>
                <w:iCs/>
                <w:color w:val="000000" w:themeColor="text1"/>
              </w:rPr>
            </w:pPr>
            <w:r w:rsidRPr="00B6585E">
              <w:rPr>
                <w:rFonts w:ascii="Arial" w:hAnsi="Arial" w:cs="Arial"/>
                <w:b/>
                <w:bCs/>
                <w:i/>
                <w:iCs/>
                <w:color w:val="000000" w:themeColor="text1"/>
              </w:rPr>
              <w:t xml:space="preserve">Postoperative </w:t>
            </w:r>
          </w:p>
        </w:tc>
      </w:tr>
      <w:tr w:rsidR="00637261" w:rsidRPr="00B6585E" w14:paraId="3DD9B4D9" w14:textId="082863D2" w:rsidTr="00CD42D9">
        <w:trPr>
          <w:trHeight w:val="724"/>
        </w:trPr>
        <w:tc>
          <w:tcPr>
            <w:tcW w:w="1861" w:type="dxa"/>
            <w:tcBorders>
              <w:bottom w:val="single" w:sz="4" w:space="0" w:color="000000"/>
              <w:right w:val="single" w:sz="4" w:space="0" w:color="000000"/>
            </w:tcBorders>
            <w:shd w:val="clear" w:color="auto" w:fill="auto"/>
            <w:vAlign w:val="center"/>
          </w:tcPr>
          <w:p w14:paraId="4FCB501C" w14:textId="77777777" w:rsidR="00F5619C" w:rsidRPr="00B6585E" w:rsidRDefault="00F5619C" w:rsidP="00E67D0A">
            <w:pPr>
              <w:widowControl w:val="0"/>
              <w:spacing w:line="360" w:lineRule="auto"/>
              <w:jc w:val="center"/>
              <w:rPr>
                <w:rFonts w:ascii="Arial" w:hAnsi="Arial" w:cs="Arial"/>
                <w:color w:val="000000" w:themeColor="text1"/>
                <w:sz w:val="22"/>
                <w:szCs w:val="22"/>
              </w:rPr>
            </w:pP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D1CC3"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52F77" w14:textId="77777777" w:rsidR="00F5619C" w:rsidRPr="00B6585E" w:rsidRDefault="00F5619C" w:rsidP="00E67D0A">
            <w:pPr>
              <w:widowControl w:val="0"/>
              <w:jc w:val="center"/>
              <w:rPr>
                <w:rFonts w:ascii="Arial" w:hAnsi="Arial" w:cs="Arial"/>
                <w:color w:val="000000" w:themeColor="text1"/>
                <w:sz w:val="22"/>
                <w:szCs w:val="22"/>
              </w:rPr>
            </w:pPr>
            <w:r w:rsidRPr="00B6585E">
              <w:rPr>
                <w:rFonts w:ascii="Arial" w:hAnsi="Arial" w:cs="Arial"/>
                <w:color w:val="000000" w:themeColor="text1"/>
                <w:sz w:val="22"/>
                <w:szCs w:val="22"/>
              </w:rPr>
              <w:t>0 (immediately after surgery within 2 hrs)</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AE523"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POD 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541B0"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POD 2</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5CBD7"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POD 3</w:t>
            </w:r>
          </w:p>
        </w:tc>
        <w:tc>
          <w:tcPr>
            <w:tcW w:w="1796" w:type="dxa"/>
            <w:tcBorders>
              <w:top w:val="single" w:sz="4" w:space="0" w:color="000000"/>
              <w:left w:val="single" w:sz="4" w:space="0" w:color="000000"/>
              <w:bottom w:val="single" w:sz="4" w:space="0" w:color="000000"/>
              <w:right w:val="single" w:sz="4" w:space="0" w:color="000000"/>
            </w:tcBorders>
            <w:vAlign w:val="center"/>
          </w:tcPr>
          <w:p w14:paraId="108A3713" w14:textId="1D52A015" w:rsidR="00F5619C" w:rsidRPr="00B6585E" w:rsidRDefault="00F5619C" w:rsidP="00F5619C">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POD 5</w:t>
            </w:r>
          </w:p>
        </w:tc>
      </w:tr>
      <w:tr w:rsidR="00637261" w:rsidRPr="00B6585E" w14:paraId="6B52B13E" w14:textId="216F87D4" w:rsidTr="00CD42D9">
        <w:trPr>
          <w:trHeight w:val="350"/>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B615"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BNP</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A8527E2"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157E449"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3DDC6E5"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E241B20"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A3195F5"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EBAA522" w14:textId="41DF5BC1" w:rsidR="00F5619C" w:rsidRPr="00B6585E" w:rsidRDefault="00F5619C" w:rsidP="00F5619C">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68E98AA0" w14:textId="695DF060" w:rsidTr="00CD42D9">
        <w:trPr>
          <w:trHeight w:val="361"/>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7E2C"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TnT</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D03587F"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466B2F1"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2EB80E0"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FBBC320"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13993D8"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3DB89B6" w14:textId="7ACC0066" w:rsidR="00F5619C" w:rsidRPr="00B6585E" w:rsidRDefault="00F5619C" w:rsidP="00F5619C">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6EDD311B" w14:textId="283EE81B" w:rsidTr="00CD42D9">
        <w:trPr>
          <w:trHeight w:val="350"/>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80F10"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Copeptin</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2E6CB14"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B09982E"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A1FF55B"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71452F6"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1BF9C55"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05B173F" w14:textId="7F3850D2"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5CF93E3D" w14:textId="119791A6" w:rsidTr="00CD42D9">
        <w:trPr>
          <w:trHeight w:val="350"/>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1DCE8"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Creatinine</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074931C"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33C8969"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4708517"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BAEBE9D"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9D35F3C"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EBB44E6" w14:textId="2E818D96"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2B3D81E3" w14:textId="714F2336" w:rsidTr="00CD42D9">
        <w:trPr>
          <w:trHeight w:val="361"/>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81E6"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Hematology</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9E5494A"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pct15" w:color="auto" w:fill="auto"/>
            <w:vAlign w:val="center"/>
          </w:tcPr>
          <w:p w14:paraId="6C399BEF" w14:textId="5F5571D6" w:rsidR="00F5619C" w:rsidRPr="00B6585E" w:rsidRDefault="00F5619C" w:rsidP="00E67D0A">
            <w:pPr>
              <w:widowControl w:val="0"/>
              <w:spacing w:line="360" w:lineRule="auto"/>
              <w:jc w:val="center"/>
              <w:rPr>
                <w:rFonts w:ascii="Arial" w:hAnsi="Arial" w:cs="Arial"/>
                <w:color w:val="000000" w:themeColor="text1"/>
                <w:sz w:val="22"/>
                <w:szCs w:val="22"/>
              </w:rPr>
            </w:pPr>
          </w:p>
        </w:tc>
        <w:tc>
          <w:tcPr>
            <w:tcW w:w="1291" w:type="dxa"/>
            <w:tcBorders>
              <w:top w:val="single" w:sz="4" w:space="0" w:color="000000"/>
              <w:left w:val="single" w:sz="4" w:space="0" w:color="000000"/>
              <w:bottom w:val="single" w:sz="4" w:space="0" w:color="000000"/>
              <w:right w:val="single" w:sz="4" w:space="0" w:color="000000"/>
            </w:tcBorders>
            <w:shd w:val="pct15" w:color="auto" w:fill="auto"/>
            <w:vAlign w:val="center"/>
          </w:tcPr>
          <w:p w14:paraId="792009FF" w14:textId="1FAD885F" w:rsidR="00F5619C" w:rsidRPr="00B6585E" w:rsidRDefault="00F5619C" w:rsidP="00E67D0A">
            <w:pPr>
              <w:widowControl w:val="0"/>
              <w:spacing w:line="360" w:lineRule="auto"/>
              <w:jc w:val="center"/>
              <w:rPr>
                <w:rFonts w:ascii="Arial" w:hAnsi="Arial" w:cs="Arial"/>
                <w:color w:val="000000" w:themeColor="text1"/>
                <w:sz w:val="22"/>
                <w:szCs w:val="22"/>
              </w:rPr>
            </w:pPr>
          </w:p>
        </w:tc>
        <w:tc>
          <w:tcPr>
            <w:tcW w:w="1570" w:type="dxa"/>
            <w:tcBorders>
              <w:top w:val="single" w:sz="4" w:space="0" w:color="000000"/>
              <w:left w:val="single" w:sz="4" w:space="0" w:color="000000"/>
              <w:bottom w:val="single" w:sz="4" w:space="0" w:color="000000"/>
              <w:right w:val="single" w:sz="4" w:space="0" w:color="000000"/>
            </w:tcBorders>
            <w:shd w:val="pct15" w:color="auto" w:fill="auto"/>
            <w:vAlign w:val="center"/>
          </w:tcPr>
          <w:p w14:paraId="5D2C644F" w14:textId="2A79DA04" w:rsidR="00F5619C" w:rsidRPr="00B6585E" w:rsidRDefault="00F5619C" w:rsidP="00E67D0A">
            <w:pPr>
              <w:widowControl w:val="0"/>
              <w:spacing w:line="360" w:lineRule="auto"/>
              <w:jc w:val="center"/>
              <w:rPr>
                <w:rFonts w:ascii="Arial" w:hAnsi="Arial" w:cs="Arial"/>
                <w:color w:val="000000" w:themeColor="text1"/>
                <w:sz w:val="22"/>
                <w:szCs w:val="22"/>
              </w:rPr>
            </w:pPr>
          </w:p>
        </w:tc>
        <w:tc>
          <w:tcPr>
            <w:tcW w:w="1465" w:type="dxa"/>
            <w:tcBorders>
              <w:top w:val="single" w:sz="4" w:space="0" w:color="000000"/>
              <w:left w:val="single" w:sz="4" w:space="0" w:color="000000"/>
              <w:bottom w:val="single" w:sz="4" w:space="0" w:color="000000"/>
              <w:right w:val="single" w:sz="4" w:space="0" w:color="000000"/>
            </w:tcBorders>
            <w:shd w:val="pct15" w:color="auto" w:fill="auto"/>
            <w:vAlign w:val="center"/>
          </w:tcPr>
          <w:p w14:paraId="0B112177" w14:textId="77777777" w:rsidR="00F5619C" w:rsidRPr="00B6585E" w:rsidRDefault="00F5619C" w:rsidP="00E67D0A">
            <w:pPr>
              <w:widowControl w:val="0"/>
              <w:spacing w:line="360" w:lineRule="auto"/>
              <w:jc w:val="center"/>
              <w:rPr>
                <w:rFonts w:ascii="Arial" w:hAnsi="Arial" w:cs="Arial"/>
                <w:color w:val="000000" w:themeColor="text1"/>
                <w:sz w:val="22"/>
                <w:szCs w:val="22"/>
              </w:rPr>
            </w:pPr>
          </w:p>
        </w:tc>
        <w:tc>
          <w:tcPr>
            <w:tcW w:w="1796" w:type="dxa"/>
            <w:tcBorders>
              <w:top w:val="single" w:sz="4" w:space="0" w:color="000000"/>
              <w:left w:val="single" w:sz="4" w:space="0" w:color="000000"/>
              <w:bottom w:val="single" w:sz="4" w:space="0" w:color="000000"/>
              <w:right w:val="single" w:sz="4" w:space="0" w:color="000000"/>
            </w:tcBorders>
            <w:shd w:val="pct15" w:color="auto" w:fill="auto"/>
          </w:tcPr>
          <w:p w14:paraId="0406D1F8" w14:textId="77777777" w:rsidR="00F5619C" w:rsidRPr="00B6585E" w:rsidRDefault="00F5619C" w:rsidP="00E67D0A">
            <w:pPr>
              <w:widowControl w:val="0"/>
              <w:spacing w:line="360" w:lineRule="auto"/>
              <w:jc w:val="center"/>
              <w:rPr>
                <w:rFonts w:ascii="Arial" w:hAnsi="Arial" w:cs="Arial"/>
                <w:color w:val="000000" w:themeColor="text1"/>
                <w:sz w:val="22"/>
                <w:szCs w:val="22"/>
              </w:rPr>
            </w:pPr>
          </w:p>
        </w:tc>
      </w:tr>
      <w:tr w:rsidR="00637261" w:rsidRPr="00B6585E" w14:paraId="52E13BEA" w14:textId="14B1DA9B" w:rsidTr="00CD42D9">
        <w:trPr>
          <w:trHeight w:val="361"/>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A905" w14:textId="43B4D6EE"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Chemistry</w:t>
            </w:r>
            <w:r w:rsidRPr="00B6585E">
              <w:rPr>
                <w:rFonts w:ascii="Arial" w:hAnsi="Arial" w:cs="Arial"/>
                <w:color w:val="000000" w:themeColor="text1"/>
                <w:sz w:val="22"/>
                <w:szCs w:val="22"/>
                <w:vertAlign w:val="superscript"/>
              </w:rPr>
              <w:t>2)</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7DD1091"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6D145F2" w14:textId="7BEDF0AA"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5752263" w14:textId="6BFD09F6"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9B5291F" w14:textId="65741FCC"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5F77F74" w14:textId="5F7A8A96"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61C390A" w14:textId="704FED4A"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2A944CFC" w14:textId="03C4E81D" w:rsidTr="00CD42D9">
        <w:trPr>
          <w:trHeight w:val="361"/>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45162"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Creatinine</w:t>
            </w:r>
            <w:r w:rsidRPr="00B6585E">
              <w:rPr>
                <w:rFonts w:ascii="Arial" w:hAnsi="Arial" w:cs="Arial"/>
                <w:color w:val="000000" w:themeColor="text1"/>
                <w:sz w:val="22"/>
                <w:szCs w:val="22"/>
                <w:vertAlign w:val="superscript"/>
              </w:rPr>
              <w:t>1)</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772DA1D"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C268F9C"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E601DED"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868E72A"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B78F679"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4094BD8" w14:textId="3B2192BA"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0E58FD4B" w14:textId="63AF76DB" w:rsidTr="00CD42D9">
        <w:trPr>
          <w:trHeight w:val="361"/>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A2EE6" w14:textId="77777777" w:rsidR="00F5619C" w:rsidRPr="00B6585E" w:rsidRDefault="00F5619C" w:rsidP="00E67D0A">
            <w:pPr>
              <w:widowControl w:val="0"/>
              <w:rPr>
                <w:rFonts w:ascii="Arial" w:hAnsi="Arial" w:cs="Arial"/>
                <w:color w:val="000000" w:themeColor="text1"/>
                <w:sz w:val="22"/>
                <w:szCs w:val="22"/>
              </w:rPr>
            </w:pPr>
            <w:r w:rsidRPr="00B6585E">
              <w:rPr>
                <w:rFonts w:ascii="Arial" w:hAnsi="Arial" w:cs="Arial"/>
                <w:color w:val="000000" w:themeColor="text1"/>
                <w:sz w:val="22"/>
                <w:szCs w:val="22"/>
              </w:rPr>
              <w:t>eGFR</w:t>
            </w:r>
            <w:r w:rsidRPr="00B6585E">
              <w:rPr>
                <w:rFonts w:ascii="Arial" w:hAnsi="Arial" w:cs="Arial"/>
                <w:color w:val="000000" w:themeColor="text1"/>
                <w:sz w:val="22"/>
                <w:szCs w:val="22"/>
                <w:vertAlign w:val="superscript"/>
              </w:rPr>
              <w:t>1)</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CC5EEBF"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064C9E9"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5A2D625"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2FE35DD"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D6532C1" w14:textId="77777777"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D6FA425" w14:textId="1206BE3E"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511AD0B0" w14:textId="1EF9118F" w:rsidTr="00CD42D9">
        <w:trPr>
          <w:trHeight w:val="361"/>
        </w:trPr>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A3F60" w14:textId="65C77316" w:rsidR="00F5619C" w:rsidRPr="00B6585E" w:rsidRDefault="00F5619C" w:rsidP="00E67D0A">
            <w:pPr>
              <w:widowControl w:val="0"/>
              <w:rPr>
                <w:rFonts w:ascii="Arial" w:hAnsi="Arial" w:cs="Arial"/>
                <w:color w:val="000000" w:themeColor="text1"/>
                <w:sz w:val="22"/>
                <w:szCs w:val="22"/>
                <w:vertAlign w:val="superscript"/>
              </w:rPr>
            </w:pPr>
            <w:r w:rsidRPr="00B6585E">
              <w:rPr>
                <w:rFonts w:ascii="Arial" w:hAnsi="Arial" w:cs="Arial"/>
                <w:color w:val="000000" w:themeColor="text1"/>
                <w:sz w:val="22"/>
                <w:szCs w:val="22"/>
              </w:rPr>
              <w:t>IL-6</w:t>
            </w:r>
            <w:r w:rsidRPr="00B6585E">
              <w:rPr>
                <w:rFonts w:ascii="Arial" w:hAnsi="Arial" w:cs="Arial"/>
                <w:color w:val="000000" w:themeColor="text1"/>
                <w:sz w:val="22"/>
                <w:szCs w:val="22"/>
                <w:vertAlign w:val="superscript"/>
              </w:rPr>
              <w:t>2)</w:t>
            </w:r>
          </w:p>
        </w:tc>
        <w:tc>
          <w:tcPr>
            <w:tcW w:w="20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6EE0112" w14:textId="687CE5EF"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3ABD60C" w14:textId="1A8DEAF4"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29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23F6147" w14:textId="517B400C"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5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483AF3E" w14:textId="0054E90D"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AE6BE2F" w14:textId="547D3F49"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c>
          <w:tcPr>
            <w:tcW w:w="17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42366ED" w14:textId="27BD0DBE" w:rsidR="00F5619C" w:rsidRPr="00B6585E" w:rsidRDefault="00F5619C" w:rsidP="00E67D0A">
            <w:pPr>
              <w:widowControl w:val="0"/>
              <w:spacing w:line="360" w:lineRule="auto"/>
              <w:jc w:val="center"/>
              <w:rPr>
                <w:rFonts w:ascii="Arial" w:hAnsi="Arial" w:cs="Arial"/>
                <w:color w:val="000000" w:themeColor="text1"/>
                <w:sz w:val="22"/>
                <w:szCs w:val="22"/>
              </w:rPr>
            </w:pPr>
            <w:r w:rsidRPr="00B6585E">
              <w:rPr>
                <w:rFonts w:ascii="Arial" w:hAnsi="Arial" w:cs="Arial"/>
                <w:color w:val="000000" w:themeColor="text1"/>
                <w:sz w:val="22"/>
                <w:szCs w:val="22"/>
              </w:rPr>
              <w:t>X</w:t>
            </w:r>
          </w:p>
        </w:tc>
      </w:tr>
      <w:tr w:rsidR="00637261" w:rsidRPr="00B6585E" w14:paraId="66DB54E4" w14:textId="06745E0A" w:rsidTr="00CD42D9">
        <w:trPr>
          <w:trHeight w:val="358"/>
        </w:trPr>
        <w:tc>
          <w:tcPr>
            <w:tcW w:w="186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06F9DE4C" w14:textId="77777777" w:rsidR="00F5619C" w:rsidRPr="00B6585E" w:rsidRDefault="00F5619C" w:rsidP="00E67D0A">
            <w:pPr>
              <w:widowControl w:val="0"/>
              <w:rPr>
                <w:rFonts w:ascii="Arial" w:hAnsi="Arial" w:cs="Arial"/>
                <w:b/>
                <w:i/>
                <w:color w:val="000000" w:themeColor="text1"/>
                <w:sz w:val="22"/>
                <w:szCs w:val="22"/>
              </w:rPr>
            </w:pPr>
            <w:r w:rsidRPr="00B6585E">
              <w:rPr>
                <w:rFonts w:ascii="Arial" w:hAnsi="Arial" w:cs="Arial"/>
                <w:b/>
                <w:i/>
                <w:color w:val="000000" w:themeColor="text1"/>
                <w:sz w:val="22"/>
                <w:szCs w:val="22"/>
              </w:rPr>
              <w:t>Blood Volume</w:t>
            </w:r>
          </w:p>
          <w:p w14:paraId="3AD1B7FE" w14:textId="77777777" w:rsidR="00F5619C" w:rsidRPr="00B6585E" w:rsidRDefault="00F5619C" w:rsidP="00E67D0A">
            <w:pPr>
              <w:widowControl w:val="0"/>
              <w:rPr>
                <w:rFonts w:ascii="Arial" w:hAnsi="Arial" w:cs="Arial"/>
                <w:b/>
                <w:i/>
                <w:color w:val="000000" w:themeColor="text1"/>
                <w:sz w:val="22"/>
                <w:szCs w:val="22"/>
              </w:rPr>
            </w:pPr>
            <w:r w:rsidRPr="00B6585E">
              <w:rPr>
                <w:rFonts w:ascii="Arial" w:hAnsi="Arial" w:cs="Arial"/>
                <w:b/>
                <w:i/>
                <w:color w:val="000000" w:themeColor="text1"/>
                <w:sz w:val="22"/>
                <w:szCs w:val="22"/>
              </w:rPr>
              <w:t>(max)</w:t>
            </w:r>
          </w:p>
        </w:tc>
        <w:tc>
          <w:tcPr>
            <w:tcW w:w="2013"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A8C4F76" w14:textId="0FB35E62" w:rsidR="00F5619C" w:rsidRPr="00B6585E" w:rsidRDefault="00F5619C" w:rsidP="00E67D0A">
            <w:pPr>
              <w:widowControl w:val="0"/>
              <w:spacing w:line="360" w:lineRule="auto"/>
              <w:jc w:val="center"/>
              <w:rPr>
                <w:rFonts w:ascii="Arial" w:hAnsi="Arial" w:cs="Arial"/>
                <w:b/>
                <w:i/>
                <w:color w:val="000000" w:themeColor="text1"/>
                <w:sz w:val="22"/>
                <w:szCs w:val="22"/>
              </w:rPr>
            </w:pPr>
            <w:r w:rsidRPr="00B6585E">
              <w:rPr>
                <w:rFonts w:ascii="Arial" w:hAnsi="Arial" w:cs="Arial"/>
                <w:b/>
                <w:i/>
                <w:color w:val="000000" w:themeColor="text1"/>
                <w:sz w:val="22"/>
                <w:szCs w:val="22"/>
              </w:rPr>
              <w:t>30mL</w:t>
            </w:r>
          </w:p>
        </w:tc>
        <w:tc>
          <w:tcPr>
            <w:tcW w:w="1770"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3D12096" w14:textId="65B4A55A" w:rsidR="00F5619C" w:rsidRPr="00B6585E" w:rsidRDefault="00F5619C" w:rsidP="00E67D0A">
            <w:pPr>
              <w:widowControl w:val="0"/>
              <w:spacing w:line="360" w:lineRule="auto"/>
              <w:jc w:val="center"/>
              <w:rPr>
                <w:rFonts w:ascii="Arial" w:hAnsi="Arial" w:cs="Arial"/>
                <w:b/>
                <w:i/>
                <w:color w:val="000000" w:themeColor="text1"/>
                <w:sz w:val="22"/>
                <w:szCs w:val="22"/>
              </w:rPr>
            </w:pPr>
            <w:r w:rsidRPr="00B6585E">
              <w:rPr>
                <w:rFonts w:ascii="Arial" w:hAnsi="Arial" w:cs="Arial"/>
                <w:b/>
                <w:i/>
                <w:color w:val="000000" w:themeColor="text1"/>
                <w:sz w:val="22"/>
                <w:szCs w:val="22"/>
              </w:rPr>
              <w:t>10mL</w:t>
            </w:r>
          </w:p>
        </w:tc>
        <w:tc>
          <w:tcPr>
            <w:tcW w:w="129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58DBCF3E" w14:textId="75FEC190" w:rsidR="00F5619C" w:rsidRPr="00B6585E" w:rsidRDefault="00F5619C" w:rsidP="00E67D0A">
            <w:pPr>
              <w:widowControl w:val="0"/>
              <w:spacing w:line="360" w:lineRule="auto"/>
              <w:jc w:val="center"/>
              <w:rPr>
                <w:rFonts w:ascii="Arial" w:hAnsi="Arial" w:cs="Arial"/>
                <w:b/>
                <w:i/>
                <w:color w:val="000000" w:themeColor="text1"/>
                <w:sz w:val="22"/>
                <w:szCs w:val="22"/>
              </w:rPr>
            </w:pPr>
            <w:r w:rsidRPr="00B6585E">
              <w:rPr>
                <w:rFonts w:ascii="Arial" w:hAnsi="Arial" w:cs="Arial"/>
                <w:b/>
                <w:i/>
                <w:color w:val="000000" w:themeColor="text1"/>
                <w:sz w:val="22"/>
                <w:szCs w:val="22"/>
              </w:rPr>
              <w:t>10mL</w:t>
            </w:r>
          </w:p>
        </w:tc>
        <w:tc>
          <w:tcPr>
            <w:tcW w:w="1570"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03AA5292" w14:textId="3EAE7DE3" w:rsidR="00F5619C" w:rsidRPr="00B6585E" w:rsidRDefault="00F5619C" w:rsidP="00E67D0A">
            <w:pPr>
              <w:widowControl w:val="0"/>
              <w:spacing w:line="360" w:lineRule="auto"/>
              <w:jc w:val="center"/>
              <w:rPr>
                <w:rFonts w:ascii="Arial" w:hAnsi="Arial" w:cs="Arial"/>
                <w:b/>
                <w:i/>
                <w:color w:val="000000" w:themeColor="text1"/>
                <w:sz w:val="22"/>
                <w:szCs w:val="22"/>
              </w:rPr>
            </w:pPr>
            <w:r w:rsidRPr="00B6585E">
              <w:rPr>
                <w:rFonts w:ascii="Arial" w:hAnsi="Arial" w:cs="Arial"/>
                <w:b/>
                <w:i/>
                <w:color w:val="000000" w:themeColor="text1"/>
                <w:sz w:val="22"/>
                <w:szCs w:val="22"/>
              </w:rPr>
              <w:t>10mL</w:t>
            </w:r>
          </w:p>
        </w:tc>
        <w:tc>
          <w:tcPr>
            <w:tcW w:w="1465"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382E64BC" w14:textId="32427096" w:rsidR="00F5619C" w:rsidRPr="00B6585E" w:rsidRDefault="00F5619C" w:rsidP="00E67D0A">
            <w:pPr>
              <w:widowControl w:val="0"/>
              <w:spacing w:line="360" w:lineRule="auto"/>
              <w:jc w:val="center"/>
              <w:rPr>
                <w:rFonts w:ascii="Arial" w:hAnsi="Arial" w:cs="Arial"/>
                <w:b/>
                <w:i/>
                <w:color w:val="000000" w:themeColor="text1"/>
                <w:sz w:val="22"/>
                <w:szCs w:val="22"/>
              </w:rPr>
            </w:pPr>
            <w:r w:rsidRPr="00B6585E">
              <w:rPr>
                <w:rFonts w:ascii="Arial" w:hAnsi="Arial" w:cs="Arial"/>
                <w:b/>
                <w:i/>
                <w:color w:val="000000" w:themeColor="text1"/>
                <w:sz w:val="22"/>
                <w:szCs w:val="22"/>
              </w:rPr>
              <w:t>10mL</w:t>
            </w:r>
          </w:p>
        </w:tc>
        <w:tc>
          <w:tcPr>
            <w:tcW w:w="1796"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39484A6C" w14:textId="6A884BD2" w:rsidR="00F5619C" w:rsidRPr="00B6585E" w:rsidRDefault="00F5619C" w:rsidP="00BC5A44">
            <w:pPr>
              <w:widowControl w:val="0"/>
              <w:spacing w:line="360" w:lineRule="auto"/>
              <w:jc w:val="center"/>
              <w:rPr>
                <w:rFonts w:ascii="Arial" w:hAnsi="Arial" w:cs="Arial"/>
                <w:b/>
                <w:i/>
                <w:color w:val="000000" w:themeColor="text1"/>
                <w:sz w:val="22"/>
                <w:szCs w:val="22"/>
              </w:rPr>
            </w:pPr>
            <w:r w:rsidRPr="00B6585E">
              <w:rPr>
                <w:rFonts w:ascii="Arial" w:hAnsi="Arial" w:cs="Arial"/>
                <w:b/>
                <w:i/>
                <w:color w:val="000000" w:themeColor="text1"/>
                <w:sz w:val="22"/>
                <w:szCs w:val="22"/>
              </w:rPr>
              <w:t>10 mL</w:t>
            </w:r>
          </w:p>
        </w:tc>
      </w:tr>
    </w:tbl>
    <w:p w14:paraId="778E6277" w14:textId="2C645429" w:rsidR="00A11077" w:rsidRPr="00B6585E" w:rsidRDefault="00A11077" w:rsidP="00A11077">
      <w:pPr>
        <w:rPr>
          <w:color w:val="000000" w:themeColor="text1"/>
        </w:rPr>
      </w:pPr>
    </w:p>
    <w:p w14:paraId="1FFD7626" w14:textId="77777777" w:rsidR="00A11077" w:rsidRPr="00B6585E" w:rsidRDefault="00A11077" w:rsidP="00A11077">
      <w:pPr>
        <w:rPr>
          <w:color w:val="000000" w:themeColor="text1"/>
        </w:rPr>
      </w:pPr>
    </w:p>
    <w:p w14:paraId="15672BC2" w14:textId="5C3291FC" w:rsidR="00A11077" w:rsidRPr="00B6585E" w:rsidRDefault="009E0648" w:rsidP="009E0648">
      <w:pPr>
        <w:rPr>
          <w:rFonts w:ascii="Arial" w:hAnsi="Arial" w:cs="Arial"/>
          <w:color w:val="000000" w:themeColor="text1"/>
        </w:rPr>
      </w:pPr>
      <w:r w:rsidRPr="00B6585E">
        <w:rPr>
          <w:rFonts w:ascii="Arial" w:hAnsi="Arial" w:cs="Arial"/>
          <w:color w:val="000000" w:themeColor="text1"/>
          <w:vertAlign w:val="superscript"/>
        </w:rPr>
        <w:t>1)</w:t>
      </w:r>
      <w:r w:rsidRPr="00B6585E">
        <w:rPr>
          <w:rFonts w:ascii="Arial" w:hAnsi="Arial" w:cs="Arial"/>
          <w:color w:val="000000" w:themeColor="text1"/>
        </w:rPr>
        <w:t xml:space="preserve"> </w:t>
      </w:r>
      <w:r w:rsidR="00A11077" w:rsidRPr="00B6585E">
        <w:rPr>
          <w:rFonts w:ascii="Arial" w:hAnsi="Arial" w:cs="Arial"/>
          <w:color w:val="000000" w:themeColor="text1"/>
        </w:rPr>
        <w:t xml:space="preserve">Appendix </w:t>
      </w:r>
      <w:r w:rsidRPr="00B6585E">
        <w:rPr>
          <w:rFonts w:ascii="Arial" w:hAnsi="Arial" w:cs="Arial"/>
          <w:color w:val="000000" w:themeColor="text1"/>
        </w:rPr>
        <w:t>III</w:t>
      </w:r>
      <w:r w:rsidR="00A11077" w:rsidRPr="00B6585E">
        <w:rPr>
          <w:rFonts w:ascii="Arial" w:hAnsi="Arial" w:cs="Arial"/>
          <w:color w:val="000000" w:themeColor="text1"/>
        </w:rPr>
        <w:t>, Renal Function – Sub-Study</w:t>
      </w:r>
    </w:p>
    <w:p w14:paraId="32067CDB" w14:textId="6B00CA6B" w:rsidR="00A11077" w:rsidRPr="00B6585E" w:rsidRDefault="009E0648" w:rsidP="00A11077">
      <w:pPr>
        <w:rPr>
          <w:rFonts w:ascii="Arial" w:hAnsi="Arial" w:cs="Arial"/>
          <w:color w:val="000000" w:themeColor="text1"/>
        </w:rPr>
      </w:pPr>
      <w:r w:rsidRPr="00B6585E">
        <w:rPr>
          <w:rFonts w:ascii="Arial" w:hAnsi="Arial" w:cs="Arial"/>
          <w:color w:val="000000" w:themeColor="text1"/>
          <w:vertAlign w:val="superscript"/>
        </w:rPr>
        <w:t xml:space="preserve">2) </w:t>
      </w:r>
      <w:r w:rsidRPr="00B6585E">
        <w:rPr>
          <w:rFonts w:ascii="Arial" w:hAnsi="Arial" w:cs="Arial"/>
          <w:color w:val="000000" w:themeColor="text1"/>
        </w:rPr>
        <w:t>Appendix IV, Inflammatory Response – Sub-Study</w:t>
      </w:r>
    </w:p>
    <w:p w14:paraId="18625892" w14:textId="77777777" w:rsidR="009E0648" w:rsidRPr="00B6585E" w:rsidRDefault="009E0648" w:rsidP="00A11077">
      <w:pPr>
        <w:rPr>
          <w:rFonts w:ascii="Arial" w:hAnsi="Arial" w:cs="Arial"/>
          <w:color w:val="000000" w:themeColor="text1"/>
        </w:rPr>
      </w:pPr>
    </w:p>
    <w:p w14:paraId="3DF0AD0F" w14:textId="11A75F67" w:rsidR="00A11077" w:rsidRPr="00B6585E" w:rsidRDefault="00A11077" w:rsidP="00A11077">
      <w:pPr>
        <w:rPr>
          <w:color w:val="000000" w:themeColor="text1"/>
        </w:rPr>
      </w:pPr>
    </w:p>
    <w:p w14:paraId="5D03B5DA" w14:textId="72645850" w:rsidR="007766AA" w:rsidRPr="00B6585E" w:rsidRDefault="007766AA" w:rsidP="00A11077">
      <w:pPr>
        <w:rPr>
          <w:color w:val="000000" w:themeColor="text1"/>
        </w:rPr>
      </w:pPr>
    </w:p>
    <w:p w14:paraId="3306D2FE" w14:textId="77777777" w:rsidR="007766AA" w:rsidRPr="00B6585E" w:rsidRDefault="007766AA" w:rsidP="00A11077">
      <w:pPr>
        <w:rPr>
          <w:color w:val="000000" w:themeColor="text1"/>
        </w:rPr>
      </w:pPr>
    </w:p>
    <w:p w14:paraId="48D3C72E" w14:textId="06349DD7" w:rsidR="00A11077" w:rsidRPr="00B6585E" w:rsidRDefault="00A11077" w:rsidP="00A11077">
      <w:pPr>
        <w:tabs>
          <w:tab w:val="left" w:pos="909"/>
        </w:tabs>
        <w:rPr>
          <w:rFonts w:ascii="Arial" w:hAnsi="Arial" w:cs="Arial"/>
          <w:color w:val="000000" w:themeColor="text1"/>
          <w:sz w:val="22"/>
          <w:szCs w:val="22"/>
        </w:rPr>
      </w:pPr>
    </w:p>
    <w:p w14:paraId="2B97EED0" w14:textId="7EB173C1" w:rsidR="00037C03" w:rsidRPr="00B6585E" w:rsidRDefault="00037C03" w:rsidP="00037C03">
      <w:pPr>
        <w:rPr>
          <w:rFonts w:ascii="Arial" w:hAnsi="Arial" w:cs="Arial"/>
          <w:color w:val="000000" w:themeColor="text1"/>
          <w:sz w:val="22"/>
          <w:szCs w:val="22"/>
        </w:rPr>
      </w:pPr>
    </w:p>
    <w:p w14:paraId="78B2BD47" w14:textId="7C144AE5" w:rsidR="00037C03" w:rsidRPr="00B6585E" w:rsidRDefault="00037C03" w:rsidP="00037C03">
      <w:pPr>
        <w:rPr>
          <w:rFonts w:ascii="Arial" w:hAnsi="Arial" w:cs="Arial"/>
          <w:color w:val="000000" w:themeColor="text1"/>
          <w:sz w:val="22"/>
          <w:szCs w:val="22"/>
        </w:rPr>
      </w:pPr>
    </w:p>
    <w:p w14:paraId="318A2801" w14:textId="1C2D8F19" w:rsidR="00037C03" w:rsidRPr="00B6585E" w:rsidRDefault="00037C03" w:rsidP="00037C03">
      <w:pPr>
        <w:rPr>
          <w:rFonts w:ascii="Arial" w:hAnsi="Arial" w:cs="Arial"/>
          <w:color w:val="000000" w:themeColor="text1"/>
          <w:sz w:val="22"/>
          <w:szCs w:val="22"/>
        </w:rPr>
      </w:pPr>
    </w:p>
    <w:p w14:paraId="1AD778AB" w14:textId="573CEFA4" w:rsidR="00037C03" w:rsidRPr="00B6585E" w:rsidRDefault="00037C03" w:rsidP="00037C03">
      <w:pPr>
        <w:rPr>
          <w:rFonts w:ascii="Arial" w:hAnsi="Arial" w:cs="Arial"/>
          <w:color w:val="000000" w:themeColor="text1"/>
          <w:sz w:val="22"/>
          <w:szCs w:val="22"/>
        </w:rPr>
      </w:pPr>
    </w:p>
    <w:p w14:paraId="57C25745" w14:textId="559AD319" w:rsidR="00037C03" w:rsidRPr="00B6585E" w:rsidRDefault="00037C03" w:rsidP="00037C03">
      <w:pPr>
        <w:rPr>
          <w:rFonts w:ascii="Arial" w:hAnsi="Arial" w:cs="Arial"/>
          <w:color w:val="000000" w:themeColor="text1"/>
          <w:sz w:val="22"/>
          <w:szCs w:val="22"/>
        </w:rPr>
      </w:pPr>
    </w:p>
    <w:p w14:paraId="2FA1488A" w14:textId="5968A388" w:rsidR="00037C03" w:rsidRPr="00B6585E" w:rsidRDefault="00037C03" w:rsidP="00037C03">
      <w:pPr>
        <w:rPr>
          <w:rFonts w:ascii="Arial" w:hAnsi="Arial" w:cs="Arial"/>
          <w:color w:val="000000" w:themeColor="text1"/>
          <w:sz w:val="22"/>
          <w:szCs w:val="22"/>
        </w:rPr>
      </w:pPr>
    </w:p>
    <w:p w14:paraId="1E568A99" w14:textId="790FE286" w:rsidR="00037C03" w:rsidRPr="00B6585E" w:rsidRDefault="00037C03" w:rsidP="00037C03">
      <w:pPr>
        <w:rPr>
          <w:rFonts w:ascii="Arial" w:hAnsi="Arial" w:cs="Arial"/>
          <w:color w:val="000000" w:themeColor="text1"/>
          <w:sz w:val="22"/>
          <w:szCs w:val="22"/>
        </w:rPr>
      </w:pPr>
    </w:p>
    <w:p w14:paraId="717231CD" w14:textId="44ED80E1" w:rsidR="00037C03" w:rsidRPr="00B6585E" w:rsidRDefault="00037C03" w:rsidP="00037C03">
      <w:pPr>
        <w:rPr>
          <w:rFonts w:ascii="Arial" w:hAnsi="Arial" w:cs="Arial"/>
          <w:color w:val="000000" w:themeColor="text1"/>
          <w:sz w:val="22"/>
          <w:szCs w:val="22"/>
        </w:rPr>
      </w:pPr>
    </w:p>
    <w:p w14:paraId="667617DF" w14:textId="5B7EA193" w:rsidR="00037C03" w:rsidRPr="00B6585E" w:rsidRDefault="00037C03" w:rsidP="00037C03">
      <w:pPr>
        <w:rPr>
          <w:rFonts w:ascii="Arial" w:hAnsi="Arial" w:cs="Arial"/>
          <w:color w:val="000000" w:themeColor="text1"/>
          <w:sz w:val="22"/>
          <w:szCs w:val="22"/>
        </w:rPr>
      </w:pPr>
    </w:p>
    <w:p w14:paraId="24095CE5" w14:textId="163D8487" w:rsidR="00037C03" w:rsidRPr="00B6585E" w:rsidRDefault="00037C03" w:rsidP="00037C03">
      <w:pPr>
        <w:rPr>
          <w:rFonts w:ascii="Arial" w:hAnsi="Arial" w:cs="Arial"/>
          <w:color w:val="000000" w:themeColor="text1"/>
          <w:sz w:val="22"/>
          <w:szCs w:val="22"/>
        </w:rPr>
      </w:pPr>
    </w:p>
    <w:p w14:paraId="5111DF85" w14:textId="35B8DF2A" w:rsidR="00037C03" w:rsidRPr="00B6585E" w:rsidRDefault="00037C03" w:rsidP="00037C03">
      <w:pPr>
        <w:rPr>
          <w:rFonts w:ascii="Arial" w:hAnsi="Arial" w:cs="Arial"/>
          <w:color w:val="000000" w:themeColor="text1"/>
          <w:sz w:val="22"/>
          <w:szCs w:val="22"/>
        </w:rPr>
      </w:pPr>
    </w:p>
    <w:p w14:paraId="10560CAD" w14:textId="50310816" w:rsidR="00037C03" w:rsidRPr="00B6585E" w:rsidRDefault="00037C03" w:rsidP="00037C03">
      <w:pPr>
        <w:rPr>
          <w:rFonts w:ascii="Arial" w:hAnsi="Arial" w:cs="Arial"/>
          <w:color w:val="000000" w:themeColor="text1"/>
          <w:sz w:val="22"/>
          <w:szCs w:val="22"/>
        </w:rPr>
      </w:pPr>
    </w:p>
    <w:p w14:paraId="04101986" w14:textId="78AFE1DF" w:rsidR="00037C03" w:rsidRPr="00B6585E" w:rsidRDefault="00037C03" w:rsidP="00037C03">
      <w:pPr>
        <w:rPr>
          <w:rFonts w:ascii="Arial" w:hAnsi="Arial" w:cs="Arial"/>
          <w:color w:val="000000" w:themeColor="text1"/>
          <w:sz w:val="22"/>
          <w:szCs w:val="22"/>
        </w:rPr>
      </w:pPr>
    </w:p>
    <w:p w14:paraId="0E79310F" w14:textId="0C3BDA59" w:rsidR="00037C03" w:rsidRPr="00B6585E" w:rsidRDefault="00037C03" w:rsidP="00037C03">
      <w:pPr>
        <w:tabs>
          <w:tab w:val="left" w:pos="1190"/>
        </w:tabs>
        <w:rPr>
          <w:rFonts w:ascii="Arial" w:hAnsi="Arial" w:cs="Arial"/>
          <w:color w:val="000000" w:themeColor="text1"/>
          <w:sz w:val="22"/>
          <w:szCs w:val="22"/>
        </w:rPr>
      </w:pPr>
      <w:r w:rsidRPr="00B6585E">
        <w:rPr>
          <w:rFonts w:ascii="Arial" w:hAnsi="Arial" w:cs="Arial"/>
          <w:color w:val="000000" w:themeColor="text1"/>
          <w:sz w:val="22"/>
          <w:szCs w:val="22"/>
        </w:rPr>
        <w:tab/>
      </w:r>
    </w:p>
    <w:p w14:paraId="6F344266" w14:textId="5B4047F2" w:rsidR="00037C03" w:rsidRPr="00B6585E" w:rsidRDefault="00037C03">
      <w:pPr>
        <w:rPr>
          <w:rFonts w:ascii="Arial" w:hAnsi="Arial" w:cs="Arial"/>
          <w:color w:val="000000" w:themeColor="text1"/>
          <w:sz w:val="22"/>
          <w:szCs w:val="22"/>
        </w:rPr>
      </w:pPr>
    </w:p>
    <w:p w14:paraId="72A45752" w14:textId="77777777" w:rsidR="00037C03" w:rsidRPr="00B6585E" w:rsidRDefault="00037C03" w:rsidP="00037C03">
      <w:pPr>
        <w:tabs>
          <w:tab w:val="left" w:pos="1190"/>
        </w:tabs>
        <w:rPr>
          <w:rFonts w:ascii="Arial" w:hAnsi="Arial" w:cs="Arial"/>
          <w:color w:val="000000" w:themeColor="text1"/>
          <w:sz w:val="22"/>
          <w:szCs w:val="22"/>
        </w:rPr>
        <w:sectPr w:rsidR="00037C03" w:rsidRPr="00B6585E" w:rsidSect="00A5257C">
          <w:footerReference w:type="default" r:id="rId33"/>
          <w:headerReference w:type="first" r:id="rId34"/>
          <w:footerReference w:type="first" r:id="rId35"/>
          <w:pgSz w:w="16838" w:h="11906" w:orient="landscape"/>
          <w:pgMar w:top="1134" w:right="1134" w:bottom="1134" w:left="1418" w:header="709" w:footer="709" w:gutter="0"/>
          <w:cols w:space="720"/>
          <w:formProt w:val="0"/>
          <w:titlePg/>
          <w:docGrid w:linePitch="360"/>
        </w:sectPr>
      </w:pPr>
    </w:p>
    <w:p w14:paraId="72BE5E7D" w14:textId="6A12D4EB" w:rsidR="00037C03" w:rsidRPr="00B6585E" w:rsidRDefault="00037C03" w:rsidP="00037C03">
      <w:pPr>
        <w:tabs>
          <w:tab w:val="left" w:pos="1190"/>
        </w:tabs>
        <w:rPr>
          <w:rFonts w:ascii="Arial" w:hAnsi="Arial" w:cs="Arial"/>
          <w:color w:val="000000" w:themeColor="text1"/>
          <w:sz w:val="22"/>
          <w:szCs w:val="22"/>
        </w:rPr>
      </w:pPr>
    </w:p>
    <w:p w14:paraId="7F14A875" w14:textId="77777777" w:rsidR="00037C03" w:rsidRPr="00B6585E" w:rsidRDefault="00037C03" w:rsidP="00037C03">
      <w:pPr>
        <w:tabs>
          <w:tab w:val="left" w:pos="909"/>
        </w:tabs>
        <w:rPr>
          <w:rFonts w:ascii="Arial" w:hAnsi="Arial" w:cs="Arial"/>
          <w:color w:val="000000" w:themeColor="text1"/>
          <w:sz w:val="22"/>
          <w:szCs w:val="22"/>
        </w:rPr>
      </w:pPr>
    </w:p>
    <w:p w14:paraId="568F9CB2" w14:textId="08DAB6CA" w:rsidR="00037C03" w:rsidRPr="00B6585E" w:rsidRDefault="00CC1777" w:rsidP="00CC1777">
      <w:pPr>
        <w:pStyle w:val="Heading2"/>
        <w:numPr>
          <w:ilvl w:val="0"/>
          <w:numId w:val="0"/>
        </w:numPr>
        <w:ind w:left="964" w:hanging="964"/>
        <w:rPr>
          <w:color w:val="000000" w:themeColor="text1"/>
        </w:rPr>
      </w:pPr>
      <w:bookmarkStart w:id="350" w:name="_Toc96925046"/>
      <w:r w:rsidRPr="00B6585E">
        <w:rPr>
          <w:color w:val="000000" w:themeColor="text1"/>
        </w:rPr>
        <w:t xml:space="preserve">15.7 </w:t>
      </w:r>
      <w:r w:rsidR="00037C03" w:rsidRPr="00B6585E">
        <w:rPr>
          <w:color w:val="000000" w:themeColor="text1"/>
        </w:rPr>
        <w:t>Appendix VI: WHODAS 2.0</w:t>
      </w:r>
      <w:bookmarkEnd w:id="350"/>
    </w:p>
    <w:p w14:paraId="73886FA8" w14:textId="77777777" w:rsidR="00037C03" w:rsidRPr="00B6585E" w:rsidRDefault="00037C03" w:rsidP="00037C03">
      <w:pPr>
        <w:rPr>
          <w:color w:val="000000" w:themeColor="text1"/>
          <w:sz w:val="22"/>
          <w:szCs w:val="22"/>
        </w:rPr>
      </w:pPr>
    </w:p>
    <w:tbl>
      <w:tblPr>
        <w:tblStyle w:val="TableGrid"/>
        <w:tblW w:w="9030" w:type="dxa"/>
        <w:tblLook w:val="04A0" w:firstRow="1" w:lastRow="0" w:firstColumn="1" w:lastColumn="0" w:noHBand="0" w:noVBand="1"/>
      </w:tblPr>
      <w:tblGrid>
        <w:gridCol w:w="705"/>
        <w:gridCol w:w="3978"/>
        <w:gridCol w:w="852"/>
        <w:gridCol w:w="851"/>
        <w:gridCol w:w="852"/>
        <w:gridCol w:w="781"/>
        <w:gridCol w:w="1011"/>
      </w:tblGrid>
      <w:tr w:rsidR="00637261" w:rsidRPr="00650709" w14:paraId="6053168B" w14:textId="77777777" w:rsidTr="00EE37C3">
        <w:trPr>
          <w:trHeight w:val="215"/>
        </w:trPr>
        <w:tc>
          <w:tcPr>
            <w:tcW w:w="9030" w:type="dxa"/>
            <w:gridSpan w:val="7"/>
            <w:shd w:val="clear" w:color="auto" w:fill="E7E6E6" w:themeFill="background2"/>
          </w:tcPr>
          <w:p w14:paraId="543069AE" w14:textId="77777777" w:rsidR="00037C03" w:rsidRPr="00B6585E" w:rsidRDefault="00037C03" w:rsidP="00EE37C3">
            <w:pPr>
              <w:rPr>
                <w:color w:val="000000" w:themeColor="text1"/>
                <w:sz w:val="16"/>
                <w:szCs w:val="16"/>
                <w:lang w:val="de-AT"/>
              </w:rPr>
            </w:pPr>
            <w:r w:rsidRPr="00B6585E">
              <w:rPr>
                <w:color w:val="000000" w:themeColor="text1"/>
                <w:sz w:val="16"/>
                <w:szCs w:val="16"/>
                <w:lang w:val="de-AT"/>
              </w:rPr>
              <w:t xml:space="preserve">Wie viele Schwierigkeiten hatten Sie in den letzten 30 Tagen: </w:t>
            </w:r>
          </w:p>
        </w:tc>
      </w:tr>
      <w:tr w:rsidR="00637261" w:rsidRPr="00B6585E" w14:paraId="214D89B4" w14:textId="77777777" w:rsidTr="00EE37C3">
        <w:trPr>
          <w:trHeight w:val="622"/>
        </w:trPr>
        <w:tc>
          <w:tcPr>
            <w:tcW w:w="705" w:type="dxa"/>
            <w:vAlign w:val="center"/>
          </w:tcPr>
          <w:p w14:paraId="6E94C6A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S1</w:t>
            </w:r>
          </w:p>
        </w:tc>
        <w:tc>
          <w:tcPr>
            <w:tcW w:w="3978" w:type="dxa"/>
            <w:vAlign w:val="center"/>
          </w:tcPr>
          <w:p w14:paraId="5C952385"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Eine längere Zeit (ca. 30 Minuten) zu stehen?</w:t>
            </w:r>
          </w:p>
        </w:tc>
        <w:tc>
          <w:tcPr>
            <w:tcW w:w="852" w:type="dxa"/>
            <w:vAlign w:val="center"/>
          </w:tcPr>
          <w:p w14:paraId="60808A18"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Keine</w:t>
            </w:r>
          </w:p>
          <w:p w14:paraId="3E3EA05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 (0)</w:t>
            </w:r>
          </w:p>
        </w:tc>
        <w:tc>
          <w:tcPr>
            <w:tcW w:w="851" w:type="dxa"/>
            <w:vAlign w:val="center"/>
          </w:tcPr>
          <w:p w14:paraId="03994F5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2B84B4F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1D200A3B"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7135356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2CD953CD" w14:textId="77777777" w:rsidTr="00EE37C3">
        <w:trPr>
          <w:trHeight w:val="634"/>
        </w:trPr>
        <w:tc>
          <w:tcPr>
            <w:tcW w:w="705" w:type="dxa"/>
            <w:vAlign w:val="center"/>
          </w:tcPr>
          <w:p w14:paraId="36A89289"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S2</w:t>
            </w:r>
          </w:p>
        </w:tc>
        <w:tc>
          <w:tcPr>
            <w:tcW w:w="3978" w:type="dxa"/>
            <w:vAlign w:val="center"/>
          </w:tcPr>
          <w:p w14:paraId="7C0A6AEE"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Ihren Haushaltspflichten nachzukommen?</w:t>
            </w:r>
          </w:p>
        </w:tc>
        <w:tc>
          <w:tcPr>
            <w:tcW w:w="852" w:type="dxa"/>
            <w:vAlign w:val="center"/>
          </w:tcPr>
          <w:p w14:paraId="36B5328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605F7D6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4A5B43B1"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2A40C4A1"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11C41A79"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2B38607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6A6D146A" w14:textId="77777777" w:rsidTr="00EE37C3">
        <w:trPr>
          <w:trHeight w:val="634"/>
        </w:trPr>
        <w:tc>
          <w:tcPr>
            <w:tcW w:w="705" w:type="dxa"/>
            <w:vAlign w:val="center"/>
          </w:tcPr>
          <w:p w14:paraId="2870BD8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S3</w:t>
            </w:r>
          </w:p>
        </w:tc>
        <w:tc>
          <w:tcPr>
            <w:tcW w:w="3978" w:type="dxa"/>
            <w:vAlign w:val="center"/>
          </w:tcPr>
          <w:p w14:paraId="0822FC7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Neue Aufgaben zu lernen (zB erlernen an einem neuen Ort zu gelangen, den Sie nicht kannten)</w:t>
            </w:r>
          </w:p>
        </w:tc>
        <w:tc>
          <w:tcPr>
            <w:tcW w:w="852" w:type="dxa"/>
            <w:vAlign w:val="center"/>
          </w:tcPr>
          <w:p w14:paraId="413D469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66C8E58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4419E5A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308CE6D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288029B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57CCE4A9"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0B88C8D6" w14:textId="77777777" w:rsidTr="00EE37C3">
        <w:trPr>
          <w:trHeight w:val="837"/>
        </w:trPr>
        <w:tc>
          <w:tcPr>
            <w:tcW w:w="705" w:type="dxa"/>
            <w:vAlign w:val="center"/>
          </w:tcPr>
          <w:p w14:paraId="75B50B5C"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S4</w:t>
            </w:r>
          </w:p>
        </w:tc>
        <w:tc>
          <w:tcPr>
            <w:tcW w:w="3978" w:type="dxa"/>
            <w:vAlign w:val="center"/>
          </w:tcPr>
          <w:p w14:paraId="3D81B4FE"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Wie viele Schwierigkeiten hatten Sie, an gesellschaftlichen Aktivitäten (wie zB Festlichkeiten, religiöse oder andere Aktivitäten) in der gleichen Art und Weise teilzunehmen, wie jeder andere?</w:t>
            </w:r>
          </w:p>
        </w:tc>
        <w:tc>
          <w:tcPr>
            <w:tcW w:w="852" w:type="dxa"/>
            <w:vAlign w:val="center"/>
          </w:tcPr>
          <w:p w14:paraId="340955C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Keine</w:t>
            </w:r>
          </w:p>
          <w:p w14:paraId="652BB30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 (0)</w:t>
            </w:r>
          </w:p>
        </w:tc>
        <w:tc>
          <w:tcPr>
            <w:tcW w:w="851" w:type="dxa"/>
            <w:vAlign w:val="center"/>
          </w:tcPr>
          <w:p w14:paraId="587F7B7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2DB15ED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08908F0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2CCB3A5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333AC3E3" w14:textId="77777777" w:rsidTr="00EE37C3">
        <w:trPr>
          <w:trHeight w:val="634"/>
        </w:trPr>
        <w:tc>
          <w:tcPr>
            <w:tcW w:w="705" w:type="dxa"/>
            <w:vAlign w:val="center"/>
          </w:tcPr>
          <w:p w14:paraId="198D6EF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S5</w:t>
            </w:r>
          </w:p>
        </w:tc>
        <w:tc>
          <w:tcPr>
            <w:tcW w:w="3978" w:type="dxa"/>
            <w:vAlign w:val="center"/>
          </w:tcPr>
          <w:p w14:paraId="61E5EC0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Wie sehr wurden Sie durch Ihren gesundheitlichen Zustand emotional belastet?</w:t>
            </w:r>
          </w:p>
        </w:tc>
        <w:tc>
          <w:tcPr>
            <w:tcW w:w="852" w:type="dxa"/>
            <w:vAlign w:val="center"/>
          </w:tcPr>
          <w:p w14:paraId="4C9D295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4447525C"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7F2F5AE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56BF34B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00557659"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69A9D419"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11458477" w14:textId="77777777" w:rsidTr="00EE37C3">
        <w:trPr>
          <w:trHeight w:val="622"/>
        </w:trPr>
        <w:tc>
          <w:tcPr>
            <w:tcW w:w="705" w:type="dxa"/>
            <w:vAlign w:val="center"/>
          </w:tcPr>
          <w:p w14:paraId="7079A68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S6</w:t>
            </w:r>
          </w:p>
        </w:tc>
        <w:tc>
          <w:tcPr>
            <w:tcW w:w="3978" w:type="dxa"/>
            <w:vAlign w:val="center"/>
          </w:tcPr>
          <w:p w14:paraId="05F6FC7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Sich für 10 Minuten auf etwas zu konzentrieren?</w:t>
            </w:r>
          </w:p>
        </w:tc>
        <w:tc>
          <w:tcPr>
            <w:tcW w:w="852" w:type="dxa"/>
            <w:vAlign w:val="center"/>
          </w:tcPr>
          <w:p w14:paraId="6F4100B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2BC5DE0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60E46393"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34CCE9D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343415CE"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4D354FDC"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0CB6955D" w14:textId="77777777" w:rsidTr="00EE37C3">
        <w:trPr>
          <w:trHeight w:val="634"/>
        </w:trPr>
        <w:tc>
          <w:tcPr>
            <w:tcW w:w="705" w:type="dxa"/>
            <w:vAlign w:val="center"/>
          </w:tcPr>
          <w:p w14:paraId="32F77F08"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S7</w:t>
            </w:r>
          </w:p>
        </w:tc>
        <w:tc>
          <w:tcPr>
            <w:tcW w:w="3978" w:type="dxa"/>
            <w:vAlign w:val="center"/>
          </w:tcPr>
          <w:p w14:paraId="5BD1196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Eine längere Strecke (ca. einen Kilometer) zu Fuss zu gehen?</w:t>
            </w:r>
          </w:p>
        </w:tc>
        <w:tc>
          <w:tcPr>
            <w:tcW w:w="852" w:type="dxa"/>
            <w:vAlign w:val="center"/>
          </w:tcPr>
          <w:p w14:paraId="7FC8EA98"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Keine</w:t>
            </w:r>
          </w:p>
          <w:p w14:paraId="59DCC96B"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 (0)</w:t>
            </w:r>
          </w:p>
        </w:tc>
        <w:tc>
          <w:tcPr>
            <w:tcW w:w="851" w:type="dxa"/>
            <w:vAlign w:val="center"/>
          </w:tcPr>
          <w:p w14:paraId="062805FC"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487A4E8B"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1723F49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596B841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5DC74127" w14:textId="77777777" w:rsidTr="00EE37C3">
        <w:trPr>
          <w:trHeight w:val="634"/>
        </w:trPr>
        <w:tc>
          <w:tcPr>
            <w:tcW w:w="705" w:type="dxa"/>
            <w:vAlign w:val="center"/>
          </w:tcPr>
          <w:p w14:paraId="538CB6B3"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S8</w:t>
            </w:r>
          </w:p>
        </w:tc>
        <w:tc>
          <w:tcPr>
            <w:tcW w:w="3978" w:type="dxa"/>
            <w:vAlign w:val="center"/>
          </w:tcPr>
          <w:p w14:paraId="5849C76B"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Ihren gesamten Körper zu waschen?</w:t>
            </w:r>
          </w:p>
        </w:tc>
        <w:tc>
          <w:tcPr>
            <w:tcW w:w="852" w:type="dxa"/>
            <w:vAlign w:val="center"/>
          </w:tcPr>
          <w:p w14:paraId="21743E45"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0385B43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3B5F389C"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4F0B8CF7"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092BC6D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6F77B0D1"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37CEE31D" w14:textId="77777777" w:rsidTr="00EE37C3">
        <w:trPr>
          <w:trHeight w:val="622"/>
        </w:trPr>
        <w:tc>
          <w:tcPr>
            <w:tcW w:w="705" w:type="dxa"/>
            <w:vAlign w:val="center"/>
          </w:tcPr>
          <w:p w14:paraId="401B5F7E"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S9</w:t>
            </w:r>
          </w:p>
        </w:tc>
        <w:tc>
          <w:tcPr>
            <w:tcW w:w="3978" w:type="dxa"/>
            <w:vAlign w:val="center"/>
          </w:tcPr>
          <w:p w14:paraId="752B34F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Sich anzuziehen?</w:t>
            </w:r>
          </w:p>
        </w:tc>
        <w:tc>
          <w:tcPr>
            <w:tcW w:w="852" w:type="dxa"/>
            <w:vAlign w:val="center"/>
          </w:tcPr>
          <w:p w14:paraId="159B0F65"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78AA435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36E5926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202D7B2B"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0BDAD1A1"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64A8B905"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3D6A0A7F" w14:textId="77777777" w:rsidTr="00EE37C3">
        <w:trPr>
          <w:trHeight w:val="634"/>
        </w:trPr>
        <w:tc>
          <w:tcPr>
            <w:tcW w:w="705" w:type="dxa"/>
            <w:vAlign w:val="center"/>
          </w:tcPr>
          <w:p w14:paraId="16EB916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S10</w:t>
            </w:r>
          </w:p>
        </w:tc>
        <w:tc>
          <w:tcPr>
            <w:tcW w:w="3978" w:type="dxa"/>
            <w:vAlign w:val="center"/>
          </w:tcPr>
          <w:p w14:paraId="6635C2EE"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Im Umgang mit Personen, die Sie nicht kennen?</w:t>
            </w:r>
          </w:p>
        </w:tc>
        <w:tc>
          <w:tcPr>
            <w:tcW w:w="852" w:type="dxa"/>
            <w:vAlign w:val="center"/>
          </w:tcPr>
          <w:p w14:paraId="37840C3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5FD64997"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3AD1FFF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2556A0D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07646133"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30F18AE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637261" w:rsidRPr="00B6585E" w14:paraId="3B7DE9DF" w14:textId="77777777" w:rsidTr="00EE37C3">
        <w:trPr>
          <w:trHeight w:val="634"/>
        </w:trPr>
        <w:tc>
          <w:tcPr>
            <w:tcW w:w="705" w:type="dxa"/>
            <w:vAlign w:val="center"/>
          </w:tcPr>
          <w:p w14:paraId="2821706C"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S11</w:t>
            </w:r>
          </w:p>
        </w:tc>
        <w:tc>
          <w:tcPr>
            <w:tcW w:w="3978" w:type="dxa"/>
            <w:vAlign w:val="center"/>
          </w:tcPr>
          <w:p w14:paraId="25E2A14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Eine Freundschaft aufrechtzuerhalten?</w:t>
            </w:r>
          </w:p>
        </w:tc>
        <w:tc>
          <w:tcPr>
            <w:tcW w:w="852" w:type="dxa"/>
            <w:vAlign w:val="center"/>
          </w:tcPr>
          <w:p w14:paraId="0250C8B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70305A8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0A0F107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7EF89BF1"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22837B84"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2926404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r w:rsidR="00037C03" w:rsidRPr="00B6585E" w14:paraId="0EB7305C" w14:textId="77777777" w:rsidTr="00EE37C3">
        <w:trPr>
          <w:trHeight w:val="622"/>
        </w:trPr>
        <w:tc>
          <w:tcPr>
            <w:tcW w:w="705" w:type="dxa"/>
            <w:vAlign w:val="center"/>
          </w:tcPr>
          <w:p w14:paraId="6881DB5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S12</w:t>
            </w:r>
          </w:p>
        </w:tc>
        <w:tc>
          <w:tcPr>
            <w:tcW w:w="3978" w:type="dxa"/>
            <w:vAlign w:val="center"/>
          </w:tcPr>
          <w:p w14:paraId="58C77AF5"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Bei der Bewältigung Ihres Arbeits/Schulalltags?</w:t>
            </w:r>
          </w:p>
        </w:tc>
        <w:tc>
          <w:tcPr>
            <w:tcW w:w="852" w:type="dxa"/>
            <w:vAlign w:val="center"/>
          </w:tcPr>
          <w:p w14:paraId="77C4DC3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Keine </w:t>
            </w:r>
          </w:p>
          <w:p w14:paraId="56425585"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(0)</w:t>
            </w:r>
          </w:p>
        </w:tc>
        <w:tc>
          <w:tcPr>
            <w:tcW w:w="851" w:type="dxa"/>
            <w:vAlign w:val="center"/>
          </w:tcPr>
          <w:p w14:paraId="49D7BA3D"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Geringe (1)</w:t>
            </w:r>
          </w:p>
        </w:tc>
        <w:tc>
          <w:tcPr>
            <w:tcW w:w="852" w:type="dxa"/>
            <w:vAlign w:val="center"/>
          </w:tcPr>
          <w:p w14:paraId="741097B7"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Mäßige (2)</w:t>
            </w:r>
          </w:p>
        </w:tc>
        <w:tc>
          <w:tcPr>
            <w:tcW w:w="781" w:type="dxa"/>
            <w:vAlign w:val="center"/>
          </w:tcPr>
          <w:p w14:paraId="3B99345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Starke (3)</w:t>
            </w:r>
          </w:p>
        </w:tc>
        <w:tc>
          <w:tcPr>
            <w:tcW w:w="1011" w:type="dxa"/>
            <w:vAlign w:val="center"/>
          </w:tcPr>
          <w:p w14:paraId="7F7A37AF"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Sehr starke/nicht möglich (4)</w:t>
            </w:r>
          </w:p>
        </w:tc>
      </w:tr>
    </w:tbl>
    <w:p w14:paraId="24C6EF99" w14:textId="77777777" w:rsidR="00037C03" w:rsidRPr="00B6585E" w:rsidRDefault="00037C03" w:rsidP="00037C03">
      <w:pPr>
        <w:rPr>
          <w:color w:val="000000" w:themeColor="text1"/>
          <w:sz w:val="22"/>
          <w:szCs w:val="22"/>
          <w:lang w:val="de-AT"/>
        </w:rPr>
      </w:pPr>
    </w:p>
    <w:tbl>
      <w:tblPr>
        <w:tblStyle w:val="TableGrid"/>
        <w:tblW w:w="9030" w:type="dxa"/>
        <w:tblLook w:val="04A0" w:firstRow="1" w:lastRow="0" w:firstColumn="1" w:lastColumn="0" w:noHBand="0" w:noVBand="1"/>
      </w:tblPr>
      <w:tblGrid>
        <w:gridCol w:w="4673"/>
        <w:gridCol w:w="4357"/>
      </w:tblGrid>
      <w:tr w:rsidR="00037C03" w:rsidRPr="00B6585E" w14:paraId="7770D377" w14:textId="77777777" w:rsidTr="00EE37C3">
        <w:trPr>
          <w:trHeight w:val="622"/>
        </w:trPr>
        <w:tc>
          <w:tcPr>
            <w:tcW w:w="4673" w:type="dxa"/>
            <w:vAlign w:val="center"/>
          </w:tcPr>
          <w:p w14:paraId="7EE28091" w14:textId="77777777" w:rsidR="00037C03" w:rsidRPr="00B6585E" w:rsidRDefault="00037C03" w:rsidP="00EE37C3">
            <w:pPr>
              <w:jc w:val="center"/>
              <w:rPr>
                <w:b/>
                <w:bCs/>
                <w:color w:val="000000" w:themeColor="text1"/>
                <w:sz w:val="20"/>
                <w:szCs w:val="20"/>
                <w:lang w:val="de-AT"/>
              </w:rPr>
            </w:pPr>
            <w:r w:rsidRPr="00B6585E">
              <w:rPr>
                <w:b/>
                <w:bCs/>
                <w:color w:val="000000" w:themeColor="text1"/>
                <w:sz w:val="20"/>
                <w:szCs w:val="20"/>
                <w:lang w:val="de-AT"/>
              </w:rPr>
              <w:t>Summe</w:t>
            </w:r>
          </w:p>
        </w:tc>
        <w:tc>
          <w:tcPr>
            <w:tcW w:w="4357" w:type="dxa"/>
            <w:vAlign w:val="center"/>
          </w:tcPr>
          <w:p w14:paraId="526B3F86"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w:t>
            </w:r>
          </w:p>
        </w:tc>
      </w:tr>
    </w:tbl>
    <w:p w14:paraId="3E6D69A0" w14:textId="77777777" w:rsidR="00037C03" w:rsidRPr="00B6585E" w:rsidRDefault="00037C03" w:rsidP="00037C03">
      <w:pPr>
        <w:rPr>
          <w:color w:val="000000" w:themeColor="text1"/>
          <w:sz w:val="22"/>
          <w:szCs w:val="22"/>
          <w:lang w:val="de-AT"/>
        </w:rPr>
      </w:pPr>
    </w:p>
    <w:p w14:paraId="067A0076" w14:textId="77777777" w:rsidR="00037C03" w:rsidRPr="00B6585E" w:rsidRDefault="00037C03" w:rsidP="00037C03">
      <w:pPr>
        <w:rPr>
          <w:color w:val="000000" w:themeColor="text1"/>
          <w:sz w:val="22"/>
          <w:szCs w:val="22"/>
          <w:lang w:val="de-AT"/>
        </w:rPr>
      </w:pPr>
    </w:p>
    <w:tbl>
      <w:tblPr>
        <w:tblStyle w:val="TableGrid"/>
        <w:tblW w:w="9051" w:type="dxa"/>
        <w:tblLook w:val="04A0" w:firstRow="1" w:lastRow="0" w:firstColumn="1" w:lastColumn="0" w:noHBand="0" w:noVBand="1"/>
      </w:tblPr>
      <w:tblGrid>
        <w:gridCol w:w="707"/>
        <w:gridCol w:w="5696"/>
        <w:gridCol w:w="2648"/>
      </w:tblGrid>
      <w:tr w:rsidR="00637261" w:rsidRPr="00B6585E" w14:paraId="56481240" w14:textId="77777777" w:rsidTr="00EE37C3">
        <w:trPr>
          <w:trHeight w:val="484"/>
        </w:trPr>
        <w:tc>
          <w:tcPr>
            <w:tcW w:w="707" w:type="dxa"/>
            <w:vAlign w:val="center"/>
          </w:tcPr>
          <w:p w14:paraId="11706079"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 xml:space="preserve">H1 </w:t>
            </w:r>
          </w:p>
        </w:tc>
        <w:tc>
          <w:tcPr>
            <w:tcW w:w="5696" w:type="dxa"/>
            <w:vAlign w:val="center"/>
          </w:tcPr>
          <w:p w14:paraId="1F31BEE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An wie vielen Tage traten diese Schwierigkeiten während der letzten 30 Tage auf?</w:t>
            </w:r>
          </w:p>
        </w:tc>
        <w:tc>
          <w:tcPr>
            <w:tcW w:w="2648" w:type="dxa"/>
            <w:vAlign w:val="center"/>
          </w:tcPr>
          <w:p w14:paraId="527464B3"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Anzahl der Tage ……………</w:t>
            </w:r>
          </w:p>
        </w:tc>
      </w:tr>
      <w:tr w:rsidR="00637261" w:rsidRPr="00B6585E" w14:paraId="65F9838C" w14:textId="77777777" w:rsidTr="00EE37C3">
        <w:trPr>
          <w:trHeight w:val="457"/>
        </w:trPr>
        <w:tc>
          <w:tcPr>
            <w:tcW w:w="707" w:type="dxa"/>
            <w:vAlign w:val="center"/>
          </w:tcPr>
          <w:p w14:paraId="25F0F852"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H2</w:t>
            </w:r>
          </w:p>
        </w:tc>
        <w:tc>
          <w:tcPr>
            <w:tcW w:w="5696" w:type="dxa"/>
            <w:vAlign w:val="center"/>
          </w:tcPr>
          <w:p w14:paraId="287317D0"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An wie vielen Tagen in den letzten 30 Tagen waren Sie aufgrund Ihrer Gesundheitsprobleme absolut unfähig, alltägliche Aktivitäten oder Ihre Arbeit zu verrichten?</w:t>
            </w:r>
          </w:p>
        </w:tc>
        <w:tc>
          <w:tcPr>
            <w:tcW w:w="2648" w:type="dxa"/>
            <w:vAlign w:val="center"/>
          </w:tcPr>
          <w:p w14:paraId="62655EFA"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Anzahl der Tage ……………</w:t>
            </w:r>
          </w:p>
        </w:tc>
      </w:tr>
      <w:tr w:rsidR="00037C03" w:rsidRPr="00B6585E" w14:paraId="356CE124" w14:textId="77777777" w:rsidTr="00EE37C3">
        <w:trPr>
          <w:trHeight w:val="484"/>
        </w:trPr>
        <w:tc>
          <w:tcPr>
            <w:tcW w:w="707" w:type="dxa"/>
            <w:vAlign w:val="center"/>
          </w:tcPr>
          <w:p w14:paraId="30386CD3"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H3</w:t>
            </w:r>
          </w:p>
        </w:tc>
        <w:tc>
          <w:tcPr>
            <w:tcW w:w="5696" w:type="dxa"/>
            <w:vAlign w:val="center"/>
          </w:tcPr>
          <w:p w14:paraId="7FB3A1C1"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An wie vielen Tagen in den letzten 30 Tagen mussten Sie aufgrund Ihrer Gesundheitsprobleme alltägliche Aktivitäten oder Ihre Arbeit reduzieren?</w:t>
            </w:r>
          </w:p>
        </w:tc>
        <w:tc>
          <w:tcPr>
            <w:tcW w:w="2648" w:type="dxa"/>
            <w:vAlign w:val="center"/>
          </w:tcPr>
          <w:p w14:paraId="295177C7" w14:textId="77777777" w:rsidR="00037C03" w:rsidRPr="00B6585E" w:rsidRDefault="00037C03" w:rsidP="00EE37C3">
            <w:pPr>
              <w:jc w:val="center"/>
              <w:rPr>
                <w:color w:val="000000" w:themeColor="text1"/>
                <w:sz w:val="16"/>
                <w:szCs w:val="16"/>
                <w:lang w:val="de-AT"/>
              </w:rPr>
            </w:pPr>
            <w:r w:rsidRPr="00B6585E">
              <w:rPr>
                <w:color w:val="000000" w:themeColor="text1"/>
                <w:sz w:val="16"/>
                <w:szCs w:val="16"/>
                <w:lang w:val="de-AT"/>
              </w:rPr>
              <w:t>Anzahl der Tage ……………</w:t>
            </w:r>
          </w:p>
        </w:tc>
      </w:tr>
    </w:tbl>
    <w:p w14:paraId="6F7F3B59" w14:textId="2D019CDD" w:rsidR="00937A9D" w:rsidRPr="00B6585E" w:rsidRDefault="00937A9D" w:rsidP="00037C03">
      <w:pPr>
        <w:tabs>
          <w:tab w:val="left" w:pos="1190"/>
        </w:tabs>
        <w:rPr>
          <w:rFonts w:ascii="Arial" w:hAnsi="Arial" w:cs="Arial"/>
          <w:color w:val="000000" w:themeColor="text1"/>
          <w:sz w:val="22"/>
          <w:szCs w:val="22"/>
        </w:rPr>
      </w:pPr>
    </w:p>
    <w:p w14:paraId="31EB960A" w14:textId="77777777" w:rsidR="00937A9D" w:rsidRPr="00B6585E" w:rsidRDefault="00937A9D">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182E468F" w14:textId="2C8AB5A3" w:rsidR="00937A9D" w:rsidRPr="00B6585E" w:rsidRDefault="00CC1777" w:rsidP="00CC1777">
      <w:pPr>
        <w:pStyle w:val="Heading2"/>
        <w:numPr>
          <w:ilvl w:val="0"/>
          <w:numId w:val="0"/>
        </w:numPr>
        <w:ind w:left="964" w:hanging="964"/>
        <w:rPr>
          <w:color w:val="000000" w:themeColor="text1"/>
        </w:rPr>
      </w:pPr>
      <w:bookmarkStart w:id="351" w:name="_Toc96925047"/>
      <w:r w:rsidRPr="00B6585E">
        <w:rPr>
          <w:color w:val="000000" w:themeColor="text1"/>
        </w:rPr>
        <w:lastRenderedPageBreak/>
        <w:t xml:space="preserve">15.8 </w:t>
      </w:r>
      <w:r w:rsidR="00937A9D" w:rsidRPr="00B6585E">
        <w:rPr>
          <w:color w:val="000000" w:themeColor="text1"/>
        </w:rPr>
        <w:t>Appendix VII: Definitions of surgeries</w:t>
      </w:r>
      <w:bookmarkEnd w:id="351"/>
    </w:p>
    <w:p w14:paraId="7BEF78FE" w14:textId="4C181872" w:rsidR="00037C03" w:rsidRPr="00B6585E" w:rsidRDefault="00037C03" w:rsidP="00037C03">
      <w:pPr>
        <w:tabs>
          <w:tab w:val="left" w:pos="1190"/>
        </w:tabs>
        <w:rPr>
          <w:rFonts w:ascii="Arial" w:hAnsi="Arial" w:cs="Arial"/>
          <w:color w:val="000000" w:themeColor="text1"/>
          <w:sz w:val="22"/>
          <w:szCs w:val="22"/>
        </w:rPr>
      </w:pPr>
    </w:p>
    <w:p w14:paraId="2B3138FA" w14:textId="2E1E72D3" w:rsidR="00937A9D" w:rsidRPr="00B6585E" w:rsidRDefault="00937A9D" w:rsidP="00937A9D">
      <w:pPr>
        <w:pStyle w:val="NormalWeb"/>
        <w:jc w:val="both"/>
        <w:rPr>
          <w:rFonts w:ascii="Arial" w:hAnsi="Arial" w:cs="Arial"/>
          <w:color w:val="000000" w:themeColor="text1"/>
          <w:sz w:val="22"/>
          <w:szCs w:val="22"/>
          <w:lang w:val="en-US"/>
        </w:rPr>
      </w:pPr>
      <w:r w:rsidRPr="00B6585E">
        <w:rPr>
          <w:rFonts w:ascii="Arial" w:hAnsi="Arial" w:cs="Arial"/>
          <w:b/>
          <w:bCs/>
          <w:i/>
          <w:iCs/>
          <w:color w:val="000000" w:themeColor="text1"/>
          <w:sz w:val="22"/>
          <w:szCs w:val="22"/>
          <w:lang w:val="en-US"/>
        </w:rPr>
        <w:t>Major general surgery</w:t>
      </w:r>
      <w:r w:rsidRPr="00B6585E">
        <w:rPr>
          <w:rFonts w:ascii="Arial" w:hAnsi="Arial" w:cs="Arial"/>
          <w:color w:val="000000" w:themeColor="text1"/>
          <w:sz w:val="22"/>
          <w:szCs w:val="22"/>
          <w:lang w:val="en-US"/>
        </w:rPr>
        <w:t xml:space="preserve"> – A patient undergoing one or more of the following general surgeries: complex visceral resection, partial or total colectomy or stomach surgery, other intra-abdominal surgery,</w:t>
      </w:r>
      <w:r w:rsidR="00F42476" w:rsidRPr="00B6585E">
        <w:rPr>
          <w:rFonts w:ascii="Arial" w:hAnsi="Arial" w:cs="Arial"/>
          <w:color w:val="000000" w:themeColor="text1"/>
          <w:sz w:val="22"/>
          <w:szCs w:val="22"/>
          <w:lang w:val="en-US"/>
        </w:rPr>
        <w:t xml:space="preserve"> major hepato-biliary surgery, pancreatic surgery.</w:t>
      </w:r>
    </w:p>
    <w:p w14:paraId="1A639C26" w14:textId="74A6DC60" w:rsidR="00937A9D" w:rsidRPr="00B6585E" w:rsidRDefault="00937A9D" w:rsidP="00937A9D">
      <w:pPr>
        <w:pStyle w:val="NormalWeb"/>
        <w:jc w:val="both"/>
        <w:rPr>
          <w:rFonts w:ascii="Arial" w:hAnsi="Arial" w:cs="Arial"/>
          <w:color w:val="000000" w:themeColor="text1"/>
          <w:sz w:val="22"/>
          <w:szCs w:val="22"/>
          <w:lang w:val="en-US"/>
        </w:rPr>
      </w:pPr>
      <w:r w:rsidRPr="00B6585E">
        <w:rPr>
          <w:rFonts w:ascii="Arial" w:hAnsi="Arial" w:cs="Arial"/>
          <w:b/>
          <w:bCs/>
          <w:i/>
          <w:iCs/>
          <w:color w:val="000000" w:themeColor="text1"/>
          <w:sz w:val="22"/>
          <w:szCs w:val="22"/>
          <w:lang w:val="en-US"/>
        </w:rPr>
        <w:t>Major urology or gynecology surgery</w:t>
      </w:r>
      <w:r w:rsidRPr="00B6585E">
        <w:rPr>
          <w:rFonts w:ascii="Arial" w:hAnsi="Arial" w:cs="Arial"/>
          <w:color w:val="000000" w:themeColor="text1"/>
          <w:sz w:val="22"/>
          <w:szCs w:val="22"/>
          <w:lang w:val="en-US"/>
        </w:rPr>
        <w:t xml:space="preserve"> – A patient undergoing one or more of the following major urology or gynecology surgeries: nephrectomy, ureterectomy, bladder resection, retroperitoneal tumor resection, exenteration, cytoreduction surgery, hysterectomy, </w:t>
      </w:r>
      <w:r w:rsidR="00683F5A" w:rsidRPr="00B6585E">
        <w:rPr>
          <w:rFonts w:ascii="Arial" w:hAnsi="Arial" w:cs="Arial"/>
          <w:color w:val="000000" w:themeColor="text1"/>
          <w:sz w:val="22"/>
          <w:szCs w:val="22"/>
          <w:lang w:val="en-US"/>
        </w:rPr>
        <w:t xml:space="preserve">or </w:t>
      </w:r>
      <w:r w:rsidRPr="00B6585E">
        <w:rPr>
          <w:rFonts w:ascii="Arial" w:hAnsi="Arial" w:cs="Arial"/>
          <w:color w:val="000000" w:themeColor="text1"/>
          <w:sz w:val="22"/>
          <w:szCs w:val="22"/>
          <w:lang w:val="en-US"/>
        </w:rPr>
        <w:t>radical prostatectomy</w:t>
      </w:r>
      <w:r w:rsidR="00683F5A" w:rsidRPr="00B6585E">
        <w:rPr>
          <w:rFonts w:ascii="Arial" w:hAnsi="Arial" w:cs="Arial"/>
          <w:color w:val="000000" w:themeColor="text1"/>
          <w:sz w:val="22"/>
          <w:szCs w:val="22"/>
          <w:lang w:val="en-US"/>
        </w:rPr>
        <w:t>.</w:t>
      </w:r>
    </w:p>
    <w:p w14:paraId="536EAEBF" w14:textId="7AEE3484" w:rsidR="00EF7AD5" w:rsidRPr="00B6585E" w:rsidRDefault="00EF7AD5">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441D2220" w14:textId="3B3948AF" w:rsidR="00EF7AD5" w:rsidRPr="00B6585E" w:rsidRDefault="00CC1777" w:rsidP="00CC1777">
      <w:pPr>
        <w:pStyle w:val="Heading2"/>
        <w:numPr>
          <w:ilvl w:val="0"/>
          <w:numId w:val="0"/>
        </w:numPr>
        <w:ind w:left="964" w:hanging="964"/>
        <w:rPr>
          <w:color w:val="000000" w:themeColor="text1"/>
        </w:rPr>
      </w:pPr>
      <w:bookmarkStart w:id="352" w:name="_Toc96925048"/>
      <w:r w:rsidRPr="00B6585E">
        <w:rPr>
          <w:color w:val="000000" w:themeColor="text1"/>
        </w:rPr>
        <w:lastRenderedPageBreak/>
        <w:t xml:space="preserve">15.9 </w:t>
      </w:r>
      <w:r w:rsidR="00EF7AD5" w:rsidRPr="00B6585E">
        <w:rPr>
          <w:color w:val="000000" w:themeColor="text1"/>
        </w:rPr>
        <w:t xml:space="preserve"> Appendix VII: IMPROVE Trial - Incidence of neurocognitive decline</w:t>
      </w:r>
      <w:bookmarkEnd w:id="352"/>
    </w:p>
    <w:p w14:paraId="2774BA55" w14:textId="77777777" w:rsidR="00EF7AD5" w:rsidRPr="00B6585E" w:rsidRDefault="00EF7AD5">
      <w:pPr>
        <w:rPr>
          <w:rFonts w:ascii="Arial" w:hAnsi="Arial" w:cs="Arial"/>
          <w:b/>
          <w:bCs/>
          <w:color w:val="000000" w:themeColor="text1"/>
          <w:sz w:val="22"/>
          <w:szCs w:val="22"/>
        </w:rPr>
      </w:pPr>
    </w:p>
    <w:p w14:paraId="75EFE673" w14:textId="1BDBE2AF" w:rsidR="00EF7AD5" w:rsidRPr="00B6585E" w:rsidRDefault="00EF7AD5" w:rsidP="001D162A">
      <w:pPr>
        <w:jc w:val="both"/>
        <w:rPr>
          <w:rFonts w:ascii="Arial" w:hAnsi="Arial" w:cs="Arial"/>
          <w:b/>
          <w:bCs/>
          <w:color w:val="000000" w:themeColor="text1"/>
          <w:sz w:val="22"/>
          <w:szCs w:val="22"/>
        </w:rPr>
      </w:pPr>
      <w:r w:rsidRPr="00B6585E">
        <w:rPr>
          <w:rFonts w:ascii="Arial" w:hAnsi="Arial" w:cs="Arial"/>
          <w:b/>
          <w:bCs/>
          <w:color w:val="000000" w:themeColor="text1"/>
          <w:sz w:val="22"/>
          <w:szCs w:val="22"/>
        </w:rPr>
        <w:t>Background</w:t>
      </w:r>
    </w:p>
    <w:p w14:paraId="5D940879" w14:textId="77777777" w:rsidR="00EF7AD5" w:rsidRPr="00B6585E" w:rsidRDefault="00EF7AD5" w:rsidP="001D162A">
      <w:pPr>
        <w:jc w:val="both"/>
        <w:rPr>
          <w:rFonts w:ascii="Arial" w:hAnsi="Arial" w:cs="Arial"/>
          <w:color w:val="000000" w:themeColor="text1"/>
          <w:sz w:val="22"/>
          <w:szCs w:val="22"/>
        </w:rPr>
      </w:pPr>
    </w:p>
    <w:p w14:paraId="0F68BA8C"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Perioperative stroke is a serious complication that is associated with a significant increase in morbidity and mortality. The incidence of overt stroke after noncardiac surgery lies between 0.14%-0.7%.</w:t>
      </w:r>
    </w:p>
    <w:p w14:paraId="3FC94E92"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rPr>
        <w:t xml:space="preserve">A recently published prospective cohort study including 1114 patients undergoing noncardiac surgery showed that the incidence of covert stroke was 7%. Furthermore, covert stroke was also associated with an increased risk of postoperative delirium (hazard ration [HR] 2.24, 95% CI 1.06 – 4.73, absolute risk increase 6%; </w:t>
      </w:r>
      <w:r w:rsidRPr="00B6585E">
        <w:rPr>
          <w:rFonts w:ascii="Arial" w:hAnsi="Arial" w:cs="Arial"/>
          <w:i/>
          <w:iCs/>
          <w:color w:val="000000" w:themeColor="text1"/>
          <w:sz w:val="22"/>
          <w:szCs w:val="22"/>
        </w:rPr>
        <w:t>p</w:t>
      </w:r>
      <w:r w:rsidRPr="00B6585E">
        <w:rPr>
          <w:rFonts w:ascii="Arial" w:hAnsi="Arial" w:cs="Arial"/>
          <w:color w:val="000000" w:themeColor="text1"/>
          <w:sz w:val="22"/>
          <w:szCs w:val="22"/>
        </w:rPr>
        <w:t>=0.030) and overt stroke or transient ischemic attack within 1 year (</w:t>
      </w:r>
      <w:r w:rsidRPr="00B6585E">
        <w:rPr>
          <w:rFonts w:ascii="Arial" w:hAnsi="Arial" w:cs="Arial"/>
          <w:color w:val="000000" w:themeColor="text1"/>
          <w:sz w:val="22"/>
          <w:szCs w:val="22"/>
          <w:lang w:val="en-GB"/>
        </w:rPr>
        <w:t>HR 4·13, 1·14–14·99, absolute risk increase 3%; p=0.019). 1-year cognitive decline occurred in 42% of patients, who had a perioperative covert stroke and in 29% of patients who did not have a perioperative covert stroke.</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{"citationItems":[{"id":"ITEM-1","itemData":{"DOI":"10.1016/S0140-6736(19)31795-7","ISSN":"1474547X","PMID":"31422895","abstract":"Background: In non-surgical settings, covert stroke is more common than overt stroke and is associated with cognitive decline. Although overt stroke occurs in less than 1% of adults after non-cardiac surgery and is associated with substantial morbidity, we know little about perioperative covert stroke. Therefore, our primary aim was to investigate the relationship between perioperative covert stroke (ie, an acute brain infarct detected on an MRI after non-cardiac surgery in a patient with no clinical stroke symptoms) and cognitive decline 1 year after surgery. Methods: NeuroVISION was a prospective cohort study done in 12 academic centres in nine countries, in which we assessed patients aged 65 years or older who underwent inpatient, elective, non-cardiac surgery and had brain MRI after surgery. Two independent neuroradiology experts, masked to clinical data, assessed each MRI for acute brain infarction. Using multivariable regression, we explored the association between covert stroke and the primary outcome of cognitive decline, defined as a decrease of 2 points or more on the Montreal Cognitive Assessment from preoperative baseline to 1-year follow-up. Patients, health-care providers, and outcome adjudicators were masked to MRI results. Findings: Between March 24, 2014, and July 21, 2017, of 1114 participants recruited to the study, 78 (7%; 95% CI 6–9) had a perioperative covert stroke. Among the patients who completed the 1-year follow-up, cognitive decline 1 year after surgery occurred in 29 (42%) of 69 participants who had a perioperative covert stroke and in 274 (29%) of 932 participants who did not have a perioperative covert stroke (adjusted odds ratio 1·98, 95% CI 1·22–3·20, absolute risk increase 13%; p=0·0055). Covert stroke was also associated with an increased risk of perioperative delirium (hazard ratio [HR] 2·24, 95% CI 1·06–4·73, absolute risk increase 6%; p=0·030) and overt stroke or transient ischaemic attack at 1-year follow-up (HR 4·13, 1·14–14·99, absolute risk increase 3%; p=0·019). Interpretation: Perioperative covert stroke is associated with an increased risk of cognitive decline 1 year after non-cardiac surgery, and perioperative covert stroke occurred in one in 14 patients aged 65 years and older undergoing non-cardiac surgery. Research is needed to establish prevention and management strategies for perioperative covert stroke. Funding: Canadian Institutes of Health Research; The Ontario Strategy for Patient Oriented Research …","author":[{"dropping-particle":"","family":"Mrkobrada","given":"Marko","non-dropping-particle":"","parse-names":false,"suffix":""},{"dropping-particle":"","family":"Chan","given":"Matthew T.V.","non-dropping-particle":"","parse-names":false,"suffix":""},{"dropping-particle":"","family":"Cowan","given":"David","non-dropping-particle":"","parse-names":false,"suffix":""},{"dropping-particle":"","family":"Campbell","given":"Douglas","non-dropping-particle":"","parse-names":false,"suffix":""},{"dropping-particle":"","family":"Wang","given":"Chew Yin","non-dropping-particle":"","parse-names":false,"suffix":""},{"dropping-particle":"","family":"Torres","given":"David","non-dropping-particle":"","parse-names":false,"suffix":""},{"dropping-particle":"","family":"Malaga","given":"German","non-dropping-particle":"","parse-names":false,"suffix":""},{"dropping-particle":"","family":"Sanders","given":"Robert D.","non-dropping-particle":"","parse-names":false,"suffix":""},{"dropping-particle":"","family":"Sharma","given":"Manas","non-dropping-particle":"","parse-names":false,"suffix":""},{"dropping-particle":"","family":"Brown","given":"Carl","non-dropping-particle":"","parse-names":false,"suffix":""},{"dropping-particle":"","family":"Sigamani","given":"Alben","non-dropping-particle":"","parse-names":false,"suffix":""},{"dropping-particle":"","family":"Szczeklik","given":"Wojciech","non-dropping-particle":"","parse-names":false,"suffix":""},{"dropping-particle":"","family":"Sharma","given":"Mukul","non-dropping-particle":"","parse-names":false,"suffix":""},{"dropping-particle":"","family":"Guyatt","given":"Gordon","non-dropping-particle":"","parse-names":false,"suffix":""},{"dropping-particle":"","family":"Smith","given":"Eric E.","non-dropping-particle":"","parse-names":false,"suffix":""},{"dropping-particle":"","family":"Agid","given":"Ronit","non-dropping-particle":"","parse-names":false,"suffix":""},{"dropping-particle":"","family":"Dmytriw","given":"Adam A.","non-dropping-particle":"","parse-names":false,"suffix":""},{"dropping-particle":"","family":"Spence","given":"Jessica","non-dropping-particle":"","parse-names":false,"suffix":""},{"dropping-particle":"","family":"Adunuri","given":"Nikesh R.","non-dropping-particle":"","parse-names":false,"suffix":""},{"dropping-particle":"","family":"Borges","given":"Flavia K.","non-dropping-particle":"","parse-names":false,"suffix":""},{"dropping-particle":"","family":"Short","given":"Timothy G.","non-dropping-particle":"","parse-names":false,"suffix":""},{"dropping-particle":"","family":"Hill","given":"Michael D.","non-dropping-particle":"","parse-names":false,"suffix":""},{"dropping-particle":"","family":"Saad","given":"Feryal","non-dropping-particle":"","parse-names":false,"suffix":""},{"dropping-particle":"","family":"Copland","given":"Ingrid","non-dropping-particle":"","parse-names":false,"suffix":""},{"dropping-particle":"","family":"Pettit","given":"Shirley","non-dropping-particle":"","parse-names":false,"suffix":""},{"dropping-particle":"","family":"Ibrahim","given":"Quazi","non-dropping-particle":"","parse-names":false,"suffix":""},{"dropping-particle":"","family":"Bangdiwala","given":"Shrikant I.","non-dropping-particle":"","parse-names":false,"suffix":""},{"dropping-particle":"","family":"Yusuf","given":"Salim","non-dropping-particle":"","parse-names":false,"suffix":""},{"dropping-particle":"","family":"Tsai","given":"Scott","non-dropping-particle":"","parse-names":false,"suffix":""},{"dropping-particle":"","family":"Sahlas","given":"Demetrios J.","non-dropping-particle":"","parse-names":false,"suffix":""},{"dropping-particle":"","family":"Mensinkai","given":"Arun","non-dropping-particle":"","parse-names":false,"suffix":""},{"dropping-particle":"","family":"Sposato","given":"Luciano A.","non-dropping-particle":"","parse-names":false,"suffix":""},{"dropping-particle":"","family":"Hussain","given":"Sara","non-dropping-particle":"","parse-names":false,"suffix":""},{"dropping-particle":"","family":"Yang","given":"Steven","non-dropping-particle":"","parse-names":false,"suffix":""},{"dropping-particle":"","family":"Siegal","given":"Deborah","non-dropping-particle":"","parse-names":false,"suffix":""},{"dropping-particle":"","family":"Khaw","given":"Alexander","non-dropping-particle":"","parse-names":false,"suffix":""},{"dropping-particle":"","family":"Mandzia","given":"Jennifer","non-dropping-particle":"","parse-names":false,"suffix":""},{"dropping-particle":"","family":"Simpson","given":"Sara","non-dropping-particle":"","parse-names":false,"suffix":""},{"dropping-particle":"","family":"Raval","given":"Manoj","non-dropping-particle":"","parse-names":false,"suffix":""},{"dropping-particle":"","family":"Karimuddin","given":"Ahmer","non-dropping-particle":"","parse-names":false,"suffix":""},{"dropping-particle":"","family":"Phang","given":"P. T.","non-dropping-particle":"","parse-names":false,"suffix":""},{"dropping-particle":"","family":"Mok","given":"Vincent CT","non-dropping-particle":"","parse-names":false,"suffix":""},{"dropping-particle":"","family":"Wu","given":"William KK","non-dropping-particle":"","parse-names":false,"suffix":""},{"dropping-particle":"","family":"Yu","given":"Simon CH","non-dropping-particle":"","parse-names":false,"suffix":""},{"dropping-particle":"","family":"Gin","given":"Tony","non-dropping-particle":"","parse-names":false,"suffix":""},{"dropping-particle":"","family":"Loh","given":"Pui San","non-dropping-particle":"","parse-names":false,"suffix":""},{"dropping-particle":"","family":"Liew","given":"Mun Thing","non-dropping-particle":"","parse-names":false,"suffix":""},{"dropping-particle":"","family":"Ramli","given":"Norlisah","non-dropping-particle":"","parse-names":false,"suffix":""},{"dropping-particle":"","family":"Siow","given":"Yee Lein","non-dropping-particle":"","parse-names":false,"suffix":""},{"dropping-particle":"","family":"Fuentes","given":"Maite","non-dropping-particle":"","parse-names":false,"suffix":""},{"dropping-particle":"","family":"Ortiz-Soriano","given":"Victor","non-dropping-particle":"","parse-names":false,"suffix":""},{"dropping-particle":"","family":"Waymouth","given":"Ellen","non-dropping-particle":"","parse-names":false,"suffix":""},{"dropping-particle":"","family":"Kumar","given":"Jonathan","non-dropping-particle":"","parse-names":false,"suffix":""},{"dropping-particle":"","family":"Sadana","given":"Divya","non-dropping-particle":"","parse-names":false,"suffix":""},{"dropping-particle":"","family":"Thomas","given":"Lenimol","non-dropping-particle":"","parse-names":false,"suffix":""},{"dropping-particle":"","family":"Kaczmarek","given":"Bogusz","non-dropping-particle":"","parse-names":false,"suffix":""},{"dropping-particle":"","family":"Lindroth","given":"Heidi","non-dropping-particle":"","parse-names":false,"suffix":""},{"dropping-particle":"","family":"Sessler","given":"Daniel","non-dropping-particle":"","parse-names":false,"suffix":""},{"dropping-particle":"","family":"Apolcer","given":"Sarah","non-dropping-particle":"","parse-names":false,"suffix":""},{"dropping-particle":"","family":"Trombetta","given":"Amelia","non-dropping-particle":"","parse-names":false,"suffix":""},{"dropping-particle":"","family":"Handsor","given":"Stephanie","non-dropping-particle":"","parse-names":false,"suffix":""},{"dropping-particle":"","family":"Dasgupta","given":"Monidipa","non-dropping-particle":"","parse-names":false,"suffix":""},{"dropping-particle":"","family":"Murkin","given":"John M.","non-dropping-particle":"","parse-names":false,"suffix":""},{"dropping-particle":"","family":"Lee","given":"Shun Fu","non-dropping-particle":"","parse-names":false,"suffix":""},{"dropping-particle":"","family":"Devereaux","given":"P. J.","non-dropping-particle":"","parse-names":false,"suffix":""}],"container-title":"The Lancet","id":"ITEM-1","issue":"10203","issued":{"date-parts":[["2019"]]},"page":"1022-1029","title":"Perioperative covert stroke in patients undergoing non-cardiac surgery (NeuroVISION): a prospective cohort study","type":"article-journal","volume":"394"},"uris":["http://www.mendeley.com/documents/?uuid=12492bfd-6893-4c44-8876-772adec4b2c5"]}],"mendeley":{"formattedCitation":"&lt;sup&gt;1&lt;/sup&gt;","plainTextFormattedCitation":"1","previouslyFormattedCitation":"&lt;sup&gt;1&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1</w:t>
      </w:r>
      <w:r w:rsidRPr="00B6585E">
        <w:rPr>
          <w:rFonts w:ascii="Arial" w:hAnsi="Arial" w:cs="Arial"/>
          <w:color w:val="000000" w:themeColor="text1"/>
          <w:sz w:val="22"/>
          <w:szCs w:val="22"/>
          <w:lang w:val="en-GB"/>
        </w:rPr>
        <w:fldChar w:fldCharType="end"/>
      </w:r>
    </w:p>
    <w:p w14:paraId="28D81C58"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An analysis of 523,059 patients undergoing noncardiac and nonneurologic surgery showed following independent predictors for stroke: i) age &gt; 6</w:t>
      </w:r>
      <w:r w:rsidRPr="00B6585E">
        <w:rPr>
          <w:rFonts w:ascii="Arial" w:hAnsi="Arial" w:cs="Arial"/>
          <w:i/>
          <w:iCs/>
          <w:color w:val="000000" w:themeColor="text1"/>
          <w:sz w:val="22"/>
          <w:szCs w:val="22"/>
          <w:lang w:val="en-GB"/>
        </w:rPr>
        <w:t xml:space="preserve">2 </w:t>
      </w:r>
      <w:r w:rsidRPr="00B6585E">
        <w:rPr>
          <w:rFonts w:ascii="Arial" w:hAnsi="Arial" w:cs="Arial"/>
          <w:color w:val="000000" w:themeColor="text1"/>
          <w:sz w:val="22"/>
          <w:szCs w:val="22"/>
          <w:lang w:val="en-GB"/>
        </w:rPr>
        <w:t>years, ii) history of myocardial infarction within 6 months, iii) dialysis, iv) hypertension, v) history of transient ischemic attack, vi) chronic obstructive pulmonary disease, and vii) current tobacco use. They further showed that perioperative stroke was associated with an 8-fold increase in perioperative mortality within 30 days (95% CI, 4.6 –12.6).</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{"citationItems":[{"id":"ITEM-1","itemData":{"DOI":"10.1097/ALN.0b013e318216e7f4","ISSN":"15281175","abstract":"Background: Stroke is a leading cause of morbidity and mortality in the United States and occurs in the perioperative period. The authors studied the incidence, predictors, and outcomes of perioperative stroke using the American College of Surgeons National Surgical Quality Improvement Program. Methods: Data on 523,059 noncardiac, nonneurologic patients in the American College of Surgeons National Surgical Quality Improvement Program database were analyzed for the current study. The incidence of perioperative stroke was identified. Logistic regression was applied to a derivation cohort of 350,031 patients to generate independent predictors of stroke and develop a risk model. The risk model was subsequently applied to a validation cohort of 173,028 patients. The role of perioperative stroke in 30-day mortality was also assessed. Results: The incidence of perioperative stroke in both the derivation and validation cohorts was 0.1%. Multivariate analysis revealed the following independent predictors of stroke in the derivation cohort: age ≥62 yr, history of myocardial infarction within 6 months before surgery, acute renal failure, history of stroke, dialysis, hypertension, history of transient ischemic attack, chronic obstructive pulmonary disease, current tobacco use, and body mass index 35-40 kg/m (protective). These risk factors were confirmed in the validation cohort. Surgical procedure also influenced the incidence of stroke. Perioperative stroke was associated with an 8-fold increase in perioperative mortality within 30 days (95% CI, 4.6-12.6). Conclusions: Noncardiac, nonneurologic surgery carries a risk of perioperative stroke, which is associated with higher mortality. The models developed in this study may be informative for clinicians and patients regarding risk and prevention of this complication. Copyright © 2011, the American Society of Anesthesiologists, Inc. Lippincott Williams &amp; Wilkins.","author":[{"dropping-particle":"","family":"Mashour","given":"George A.","non-dropping-particle":"","parse-names":false,"suffix":""},{"dropping-particle":"","family":"Shanks","given":"Amy M.","non-dropping-particle":"","parse-names":false,"suffix":""},{"dropping-particle":"","family":"Kheterpal","given":"Sachin","non-dropping-particle":"","parse-names":false,"suffix":""}],"container-title":"Anesthesiology","id":"ITEM-1","issue":"6","issued":{"date-parts":[["2011"]]},"page":"1289-1296","title":"Perioperative stroke and associated mortality after noncardiac, nonneurologic surgery","type":"article-journal","volume":"114"},"uris":["http://www.mendeley.com/documents/?uuid=6866f1d4-231b-40cb-83d8-c15c2520fb5f"]}],"mendeley":{"formattedCitation":"&lt;sup&gt;2&lt;/sup&gt;","plainTextFormattedCitation":"2","previouslyFormattedCitation":"&lt;sup&gt;2&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2</w:t>
      </w:r>
      <w:r w:rsidRPr="00B6585E">
        <w:rPr>
          <w:rFonts w:ascii="Arial" w:hAnsi="Arial" w:cs="Arial"/>
          <w:color w:val="000000" w:themeColor="text1"/>
          <w:sz w:val="22"/>
          <w:szCs w:val="22"/>
          <w:lang w:val="en-GB"/>
        </w:rPr>
        <w:fldChar w:fldCharType="end"/>
      </w:r>
      <w:r w:rsidRPr="00B6585E">
        <w:rPr>
          <w:rFonts w:ascii="Arial" w:hAnsi="Arial" w:cs="Arial"/>
          <w:color w:val="000000" w:themeColor="text1"/>
          <w:sz w:val="22"/>
          <w:szCs w:val="22"/>
          <w:lang w:val="en-GB"/>
        </w:rPr>
        <w:t xml:space="preserve"> A further analysis in over 2,020,712 patients having surgery for hip fracture showed that patients with heart failure with preserved ejection fraction have a significantly higher incidence of cardio- and cerebrovascular complications (adjusted odds ratio 1.69; 95% CI, 1.51-1.89).</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{"citationItems":[{"id":"ITEM-1","itemData":{"DOI":"10.5435/JAAOS-D-18-00731","ISSN":"19405480","PMID":"31977615","abstract":"INTRODUCTION: Heart failure is a leading cause of morbidity and mortality in hip fracture surgery. The impact of heart failure with preserved ejection fraction (HFpEF) is poorly understood in this population. We designed a study to evaluate national perioperative outcomes in hip fracture for patients with HFpEF. METHODS: Patients with hip fracture undergoing total hip arthroplasty, hemiarthroplasty, or open/closed reduction with internal and external fixation from January 2005 to December 2013 were identified using the Nationwide Inpatient Sample. Inpatient outcomes during the index hospitalization were compared between patients without heart failure and with HFpEF. Heart failure with reduced ejection fraction was included as a secondary comparator. Perioperative major adverse cardiovascular and cerebrovascular events (MACCEs), defined as in-hospital all-cause death, acute myocardial infarction, and in-hospital cardiac arrest or acute ischemic stroke, were evaluated. RESULTS: Among 2,020,712 hospitalizations for hip fracture surgery, perioperative MACCE occurred in 67,554 hospitalizations (3.3%), corresponding to an annual incidence of approximately 7,506 events after applying sample weights. Compared with patients without heart failure, patients with HFpEF experienced increased odds of MACCE, adjusted odds ratio [aOR], 1.69; 95% confidence interval (CI), 1.51 to 1.89. In comparison, the aOR of experiencing a MACCE event in the heart failure with reduced ejection fraction group was 1.75 (95% CI, 1.57 to 1.96). HFpEF was also associated with increased odds of acute respiratory failure (aOR, 1.71; 95% CI, 1.53 to 1.91) and acute renal failure (aOR, 1.52; 95% CI, 1.41 to 1.64). CONCLUSION: HFpEF confers a significant perioperative risk of MACCE in patients undergoing hip fracture surgery.","author":[{"dropping-particle":"","family":"Bohsali","given":"Fuad","non-dropping-particle":"","parse-names":false,"suffix":""},{"dropping-particle":"","family":"Klimpl","given":"David","non-dropping-particle":"","parse-names":false,"suffix":""},{"dropping-particle":"","family":"Baumgartner","given":"Rita","non-dropping-particle":"","parse-names":false,"suffix":""},{"dropping-particle":"","family":"Sieber","given":"Frederick","non-dropping-particle":"","parse-names":false,"suffix":""},{"dropping-particle":"","family":"Eid","given":"Shaker M.","non-dropping-particle":"","parse-names":false,"suffix":""}],"container-title":"The Journal of the American Academy of Orthopaedic Surgeons","id":"ITEM-1","issue":"3","issued":{"date-parts":[["2020"]]},"page":"e131-e138","title":"Effect of Heart Failure With Preserved Ejection Fraction on Perioperative Outcomes in Patients Undergoing Hip Fracture Surgery","type":"article-journal","volume":"28"},"uris":["http://www.mendeley.com/documents/?uuid=184a4d00-294c-4e00-83e7-f2eac3916e79"]}],"mendeley":{"formattedCitation":"&lt;sup&gt;3&lt;/sup&gt;","plainTextFormattedCitation":"3","previouslyFormattedCitation":"&lt;sup&gt;3&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3</w:t>
      </w:r>
      <w:r w:rsidRPr="00B6585E">
        <w:rPr>
          <w:rFonts w:ascii="Arial" w:hAnsi="Arial" w:cs="Arial"/>
          <w:color w:val="000000" w:themeColor="text1"/>
          <w:sz w:val="22"/>
          <w:szCs w:val="22"/>
          <w:lang w:val="en-GB"/>
        </w:rPr>
        <w:fldChar w:fldCharType="end"/>
      </w:r>
    </w:p>
    <w:p w14:paraId="05C425A1"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A previous study in 34 patients undergoing elective shoulder surgery showed that cerebral oxygen saturation is not only dependent of optimal blood pressure, but also of optimal cardiac output.</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{"citationItems":[{"id":"ITEM-1","itemData":{"DOI":"10.1093/bja/aet024","ISSN":"14716771","abstract":"BackgroundThe upright sitting or beachchair position is associated with hypotension, risk of cerebral hypoperfusion, and cerebral injury. We hypothesized that by increasing arterial pressure with phenylephrine administration, cerebral perfusion, and postoperative recovery would be improved.MethodsThirty-four patients undergoing elective shoulder surgery were randomized to receive either saline or phenylephrine infusion (PE) 5 min before being placed in the upright position. Simultaneous measurements of mean arterial pressure, cerebral oxygen saturation, middle cerebral artery velocity, and cardiac function using transthoracic echocardiography were made. Postoperative neurocognitive function was assessed.ResultsAt the commencement of PE, mean (sd) cerebral oxygen saturation significantly decreased from 77 (10) to 67 (13)% (P=0.02), and further to 59 (11) % on upright positioning. The level of cerebral saturation upright was not significantly different to patients receiving saline (P=0.07), with values remaining at room-air levels. Middle cerebral artery blood velocity increased by 20% (P=0.04). Phenylephrine prevented hypotension in the upright position primarily by maintaining preload and increasing systemic vascular resistance (P=0.01), and was associated with a decrease in cardiac output. No postoperative neurocognitive dysfunction was identified. ConclusionsDespite maintaining arterial pressure with phenylephrine, cerebral desaturation occurred with upright positioning. Cerebral oxygen saturation can provide a valuable endpoint when evaluating the effect of vasopressor therapy on cerebral perfusion. © The Author [2013]. Published by Oxford University Press on behalf of the British Journal of Anaesthesia. All rights reserved.","author":[{"dropping-particle":"","family":"Soeding","given":"P. F.","non-dropping-particle":"","parse-names":false,"suffix":""},{"dropping-particle":"","family":"Hoy","given":"S.","non-dropping-particle":"","parse-names":false,"suffix":""},{"dropping-particle":"","family":"Hoy","given":"G.","non-dropping-particle":"","parse-names":false,"suffix":""},{"dropping-particle":"","family":"Evans","given":"M.","non-dropping-particle":"","parse-names":false,"suffix":""},{"dropping-particle":"","family":"Royse","given":"C. F.","non-dropping-particle":"","parse-names":false,"suffix":""}],"container-title":"British Journal of Anaesthesia","id":"ITEM-1","issue":"2","issued":{"date-parts":[["2013"]]},"page":"229-234","publisher":"The Author(s)","title":"Effect of phenylephrine on the haemodynamic state and cerebral oxygen saturation during anaesthesia in the upright position","type":"article-journal","volume":"111"},"uris":["http://www.mendeley.com/documents/?uuid=c0ea751a-9594-4c07-84e7-7eab6a1032f0"]}],"mendeley":{"formattedCitation":"&lt;sup&gt;4&lt;/sup&gt;","plainTextFormattedCitation":"4","previouslyFormattedCitation":"&lt;sup&gt;4&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4</w:t>
      </w:r>
      <w:r w:rsidRPr="00B6585E">
        <w:rPr>
          <w:rFonts w:ascii="Arial" w:hAnsi="Arial" w:cs="Arial"/>
          <w:color w:val="000000" w:themeColor="text1"/>
          <w:sz w:val="22"/>
          <w:szCs w:val="22"/>
          <w:lang w:val="en-GB"/>
        </w:rPr>
        <w:fldChar w:fldCharType="end"/>
      </w:r>
      <w:r w:rsidRPr="00B6585E">
        <w:rPr>
          <w:rFonts w:ascii="Arial" w:hAnsi="Arial" w:cs="Arial"/>
          <w:color w:val="000000" w:themeColor="text1"/>
          <w:sz w:val="22"/>
          <w:szCs w:val="22"/>
          <w:lang w:val="en-GB"/>
        </w:rPr>
        <w:t xml:space="preserve"> Perioperative strokes after noncardiac surgery are typically ischemic, rather than haemorrhagic. These ischemic strokes can be embolic, thrombotic, or of hemodynamic causes (e.g. hypoperfusion of watershed areas).</w:t>
      </w:r>
    </w:p>
    <w:p w14:paraId="50E433CE"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Interestingly, several studies showed that a compromised cardiac output is associated with a decrease in cerebral perfusion. Furthermore, it was shown that a low cardiac outcome is associated with neurodegeneration in the long-term.</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{"citationItems":[{"id":"ITEM-1","itemData":{"DOI":"10.1007/s11682-020-00398-0","ISBN":"1168202000","ISSN":"19317565","abstract":"Subclinical cardiac dysfunction is associated with smaller total brain volume on magnetic resonance imaging (MRI). To study whether cardiac output relates to regional measurements of grey and white matter structure, older adults (n = 326) underwent echocardiogram to quantify cardiac output (L/min) and brain MRI. Linear regressions related cardiac output to grey matter volumes measured on T1 and white matter hyperintensities assessed on T2-FLAIR. Voxelwise analyses related cardiac output to diffusion tensor imaging adjusting for demographic, genetic, and vascular risk factors. Follow-up models assessed a cardiac output x diagnosis interaction with stratification (normal cognition, mild cognitive impairment). Cardiac output interacted with diagnosis, such that lower cardiac output related to smaller total grey matter (p = 0.01), frontal lobe (p = 0.01), and occipital lobe volumes (p = 0.01) among participants with normal cognition. When excluding participants with cardiovascular disease and atrial fibrillation, associations emerged with smaller parietal lobe (p = 0.005) and hippocampal volume (p = 0.05). Subtle age-related cardiac changes may disrupt neuronal homeostasis and impact grey matter integrity prior to cognitive impairment.","author":[{"dropping-particle":"","family":"Moore","given":"Elizabeth E.","non-dropping-particle":"","parse-names":false,"suffix":""},{"dropping-particle":"","family":"Liu","given":"Dandan","non-dropping-particle":"","parse-names":false,"suffix":""},{"dropping-particle":"","family":"Bown","given":"Corey W.","non-dropping-particle":"","parse-names":false,"suffix":""},{"dropping-particle":"","family":"Kresge","given":"Hailey A.","non-dropping-particle":"","parse-names":false,"suffix":""},{"dropping-particle":"","family":"Gupta","given":"Deepak K.","non-dropping-particle":"","parse-names":false,"suffix":""},{"dropping-particle":"","family":"Pechman","given":"Kimberly R.","non-dropping-particle":"","parse-names":false,"suffix":""},{"dropping-particle":"","family":"Mendes","given":"Lisa A.","non-dropping-particle":"","parse-names":false,"suffix":""},{"dropping-particle":"","family":"Davis","given":"L. Taylor","non-dropping-particle":"","parse-names":false,"suffix":""},{"dropping-particle":"","family":"Gifford","given":"Katherine A.","non-dropping-particle":"","parse-names":false,"suffix":""},{"dropping-particle":"","family":"Anderson","given":"Adam W.","non-dropping-particle":"","parse-names":false,"suffix":""},{"dropping-particle":"","family":"Wang","given":"Thomas J.","non-dropping-particle":"","parse-names":false,"suffix":""},{"dropping-particle":"","family":"Landman","given":"Bennett A.","non-dropping-particle":"","parse-names":false,"suffix":""},{"dropping-particle":"","family":"Hohman","given":"Timothy J.","non-dropping-particle":"","parse-names":false,"suffix":""},{"dropping-particle":"","family":"Jefferson","given":"Angela L.","non-dropping-particle":"","parse-names":false,"suffix":""}],"container-title":"Brain Imaging and Behavior","id":"ITEM-1","issued":{"date-parts":[["2020"]]},"publisher":"Brain Imaging and Behavior","title":"Lower cardiac output is associated with neurodegeneration among older adults with normal cognition but not mild cognitive impairment","type":"article-journal"},"uris":["http://www.mendeley.com/documents/?uuid=69dc88cf-0cc0-4f62-8bf7-9934a4acd211"]}],"mendeley":{"formattedCitation":"&lt;sup&gt;5&lt;/sup&gt;","plainTextFormattedCitation":"5","previouslyFormattedCitation":"&lt;sup&gt;5&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5</w:t>
      </w:r>
      <w:r w:rsidRPr="00B6585E">
        <w:rPr>
          <w:rFonts w:ascii="Arial" w:hAnsi="Arial" w:cs="Arial"/>
          <w:color w:val="000000" w:themeColor="text1"/>
          <w:sz w:val="22"/>
          <w:szCs w:val="22"/>
          <w:lang w:val="en-GB"/>
        </w:rPr>
        <w:fldChar w:fldCharType="end"/>
      </w:r>
      <w:r w:rsidRPr="00B6585E">
        <w:rPr>
          <w:rFonts w:ascii="Arial" w:hAnsi="Arial" w:cs="Arial"/>
          <w:color w:val="000000" w:themeColor="text1"/>
          <w:sz w:val="22"/>
          <w:szCs w:val="22"/>
          <w:lang w:val="en-GB"/>
        </w:rPr>
        <w:t xml:space="preserve"> Although surgery normally lasts only for a few hours, its changes in blood pressure and cardiac output</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{"citationItems":[{"id":"ITEM-1","itemData":{"DOI":"10.1097/ALN.0000000000001985","ISBN":"0000000000","ISSN":"15281175","PMID":"29189290","abstract":"BACKGROUND The relative contributions of intraoperative and postoperative hypotension to perioperative morbidity remain unclear. We determined the association between hypotension and a composite of 30-day myocardial infarction and death over three periods: 1) intraoperative; 2) remaining day of surgery; and 3) during the initial four postoperative days. METHODS This was a substudy of POISE-2, a 10,010-patient factorial-randomized trial of aspirin and clonidine for prevention of myocardial infarction. Clinically important hypotension was defined as systolic blood pressure less than 90 mmHg requiring treatment. Minutes of hypotension was the exposure variable intraoperatively and for the remaining day of surgery, whereas hypotension status was treated as binary variable for postoperative days 1 to 4. We estimated the average relative effect of hypotension across components of the composite using a distinct effect generalized estimating model, adjusting for hypotension during earlier periods. RESULTS Among 9,765 patients, 42{%} experienced hypotension, 590 (6.0{%}) had an infarction, and 116 (1.2{%}) died within 30 days of surgery. Intraoperatively, the estimated average relative effect across myocardial infarction and mortality was 1.08 (98.3{%} CI, 1.03, 1.12; P {&lt;} 0.001) per 10-min increase in hypotension duration. For the remaining day of surgery, the odds ratio was 1.03 (98.3{%} CI, 1.01, 1.05; P {&lt;} 0.001) per 10-min increase in hypotension duration. The average relative effect odds ratio was 2.83 (98.3{%} CI, 1.26, 6.35; P = 0.002) in patients with hypotension during the subsequent 4 days of hospitalization. CONCLUSIONS Clinically important hypotension-a potentially modifiable exposure-was significantly associated with a composite of myocardial infarction and death during each of three perioperative periods, even after adjustment for previous hypotension.","author":[{"dropping-particle":"","family":"Sessler","given":"Daniel I.","non-dropping-particle":"","parse-names":false,"suffix":""},{"dropping-particle":"","family":"Meyhoff","given":"Christian S.","non-dropping-particle":"","parse-names":false,"suffix":""},{"dropping-particle":"","family":"Zimmerman","given":"Nicole M.","non-dropping-particle":"","parse-names":false,"suffix":""},{"dropping-particle":"","family":"Mao","given":"Guangmei","non-dropping-particle":"","parse-names":false,"suffix":""},{"dropping-particle":"","family":"Leslie","given":"Kate","non-dropping-particle":"","parse-names":false,"suffix":""},{"dropping-particle":"","family":"Vásquez","given":"Skarlet M.","non-dropping-particle":"","parse-names":false,"suffix":""},{"dropping-particle":"","family":"Balaji","given":"Packianathaswamy","non-dropping-particle":"","parse-names":false,"suffix":""},{"dropping-particle":"","family":"Alvarez-Garcia","given":"Jesús","non-dropping-particle":"","parse-names":false,"suffix":""},{"dropping-particle":"","family":"Cavalcanti","given":"Alexandre B.","non-dropping-particle":"","parse-names":false,"suffix":""},{"dropping-particle":"","family":"Parlow","given":"Joel L.","non-dropping-particle":"","parse-names":false,"suffix":""},{"dropping-particle":"V.","family":"Rahate","given":"Prashant","non-dropping-particle":"","parse-names":false,"suffix":""},{"dropping-particle":"","family":"Seeberger","given":"Manfred D.","non-dropping-particle":"","parse-names":false,"suffix":""},{"dropping-particle":"","family":"Gossetti","given":"Bruno","non-dropping-particle":"","parse-names":false,"suffix":""},{"dropping-particle":"","family":"Walker","given":"S. A.","non-dropping-particle":"","parse-names":false,"suffix":""},{"dropping-particle":"","family":"Premchand","given":"Rajendra K.","non-dropping-particle":"","parse-names":false,"suffix":""},{"dropping-particle":"","family":"Dahl","given":"Rikke M.","non-dropping-particle":"","parse-names":false,"suffix":""},{"dropping-particle":"","family":"Duceppe","given":"Emmanuelle","non-dropping-particle":"","parse-names":false,"suffix":""},{"dropping-particle":"","family":"Rodseth","given":"Reitze","non-dropping-particle":"","parse-names":false,"suffix":""},{"dropping-particle":"","family":"Botto","given":"Fernando","non-dropping-particle":"","parse-names":false,"suffix":""},{"dropping-particle":"","family":"Devereaux","given":"P. J.","non-dropping-particle":"","parse-names":false,"suffix":""}],"container-title":"Anesthesiology","id":"ITEM-1","issue":"2","issued":{"date-parts":[["2018"]]},"page":"317-327","title":"Period-dependent Associations between Hypotension during and for Four Days after Noncardiac Surgery and a Composite of Myocardial Infarction and Death: A Substudy of the POISE-2 Trial","type":"article-journal","volume":"128"},"uris":["http://www.mendeley.com/documents/?uuid=a4c554de-8d1d-401b-9040-8ba4c12296a6"]}],"mendeley":{"formattedCitation":"&lt;sup&gt;6&lt;/sup&gt;","plainTextFormattedCitation":"6","previouslyFormattedCitation":"&lt;sup&gt;6&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6</w:t>
      </w:r>
      <w:r w:rsidRPr="00B6585E">
        <w:rPr>
          <w:rFonts w:ascii="Arial" w:hAnsi="Arial" w:cs="Arial"/>
          <w:color w:val="000000" w:themeColor="text1"/>
          <w:sz w:val="22"/>
          <w:szCs w:val="22"/>
          <w:lang w:val="en-GB"/>
        </w:rPr>
        <w:fldChar w:fldCharType="end"/>
      </w:r>
      <w:r w:rsidRPr="00B6585E">
        <w:rPr>
          <w:rFonts w:ascii="Arial" w:hAnsi="Arial" w:cs="Arial"/>
          <w:color w:val="000000" w:themeColor="text1"/>
          <w:sz w:val="22"/>
          <w:szCs w:val="22"/>
          <w:lang w:val="en-GB"/>
        </w:rPr>
        <w:t>, on the neurocognitive function has still to be evaluated.</w:t>
      </w:r>
    </w:p>
    <w:p w14:paraId="5DA44704"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Therefore, we hypothesize in this sub-study that the administration of levosimendan will result in a higher cardiac output, specifically in the postoperative period and thus might increase cerebral perfusion. Thus, levosimendan might reduce the risk of neurologic decline in high risk patients undergoing noncardiac surgery. As a secondary endpoint we will measure intraoperative and postoperative near-infrared spectroscopy (rSO</w:t>
      </w:r>
      <w:r w:rsidRPr="00B6585E">
        <w:rPr>
          <w:rFonts w:ascii="Arial" w:hAnsi="Arial" w:cs="Arial"/>
          <w:color w:val="000000" w:themeColor="text1"/>
          <w:sz w:val="22"/>
          <w:szCs w:val="22"/>
          <w:vertAlign w:val="subscript"/>
          <w:lang w:val="en-GB"/>
        </w:rPr>
        <w:t>2</w:t>
      </w:r>
      <w:r w:rsidRPr="00B6585E">
        <w:rPr>
          <w:rFonts w:ascii="Arial" w:hAnsi="Arial" w:cs="Arial"/>
          <w:color w:val="000000" w:themeColor="text1"/>
          <w:sz w:val="22"/>
          <w:szCs w:val="22"/>
          <w:lang w:val="en-GB"/>
        </w:rPr>
        <w:t xml:space="preserve">) saturations. </w:t>
      </w:r>
    </w:p>
    <w:p w14:paraId="024554DA" w14:textId="77777777" w:rsidR="00EF7AD5" w:rsidRPr="00B6585E" w:rsidRDefault="00EF7AD5">
      <w:pPr>
        <w:rPr>
          <w:rFonts w:ascii="Arial" w:hAnsi="Arial" w:cs="Arial"/>
          <w:color w:val="000000" w:themeColor="text1"/>
          <w:sz w:val="22"/>
          <w:szCs w:val="22"/>
          <w:lang w:val="en-GB"/>
        </w:rPr>
      </w:pPr>
    </w:p>
    <w:p w14:paraId="38D4CDFE" w14:textId="77777777" w:rsidR="00EF7AD5" w:rsidRPr="00B6585E" w:rsidRDefault="00EF7AD5">
      <w:pPr>
        <w:rPr>
          <w:rFonts w:ascii="Arial" w:hAnsi="Arial" w:cs="Arial"/>
          <w:color w:val="000000" w:themeColor="text1"/>
          <w:sz w:val="22"/>
          <w:szCs w:val="22"/>
          <w:lang w:val="en-GB"/>
        </w:rPr>
      </w:pPr>
    </w:p>
    <w:p w14:paraId="56EF55DA" w14:textId="77777777" w:rsidR="00EF7AD5" w:rsidRPr="00B6585E" w:rsidRDefault="00EF7AD5">
      <w:pPr>
        <w:rPr>
          <w:rFonts w:ascii="Arial" w:hAnsi="Arial" w:cs="Arial"/>
          <w:i/>
          <w:iCs/>
          <w:color w:val="000000" w:themeColor="text1"/>
          <w:sz w:val="22"/>
          <w:szCs w:val="22"/>
          <w:lang w:val="en-GB"/>
        </w:rPr>
      </w:pPr>
      <w:r w:rsidRPr="00B6585E">
        <w:rPr>
          <w:rFonts w:ascii="Arial" w:hAnsi="Arial" w:cs="Arial"/>
          <w:i/>
          <w:iCs/>
          <w:color w:val="000000" w:themeColor="text1"/>
          <w:sz w:val="22"/>
          <w:szCs w:val="22"/>
          <w:lang w:val="en-GB"/>
        </w:rPr>
        <w:br w:type="page"/>
      </w:r>
    </w:p>
    <w:p w14:paraId="36BD6F1A" w14:textId="77777777" w:rsidR="00EF7AD5" w:rsidRPr="00B6585E" w:rsidRDefault="00EF7AD5">
      <w:pPr>
        <w:rPr>
          <w:rFonts w:ascii="Arial" w:hAnsi="Arial" w:cs="Arial"/>
          <w:b/>
          <w:bCs/>
          <w:color w:val="000000" w:themeColor="text1"/>
          <w:sz w:val="22"/>
          <w:szCs w:val="22"/>
          <w:lang w:val="en-GB"/>
        </w:rPr>
      </w:pPr>
      <w:r w:rsidRPr="00B6585E">
        <w:rPr>
          <w:rFonts w:ascii="Arial" w:hAnsi="Arial" w:cs="Arial"/>
          <w:b/>
          <w:bCs/>
          <w:color w:val="000000" w:themeColor="text1"/>
          <w:sz w:val="22"/>
          <w:szCs w:val="22"/>
          <w:lang w:val="en-GB"/>
        </w:rPr>
        <w:lastRenderedPageBreak/>
        <w:t>Material and Methods</w:t>
      </w:r>
    </w:p>
    <w:p w14:paraId="1C5C094C" w14:textId="77777777" w:rsidR="00EF7AD5" w:rsidRPr="00B6585E" w:rsidRDefault="00EF7AD5">
      <w:pPr>
        <w:rPr>
          <w:rFonts w:ascii="Arial" w:hAnsi="Arial" w:cs="Arial"/>
          <w:b/>
          <w:bCs/>
          <w:color w:val="000000" w:themeColor="text1"/>
          <w:sz w:val="22"/>
          <w:szCs w:val="22"/>
          <w:lang w:val="en-GB"/>
        </w:rPr>
      </w:pPr>
    </w:p>
    <w:p w14:paraId="11DD5BB7" w14:textId="77777777" w:rsidR="00EF7AD5" w:rsidRPr="00B6585E" w:rsidRDefault="00EF7AD5">
      <w:pPr>
        <w:rPr>
          <w:rFonts w:ascii="Arial" w:hAnsi="Arial" w:cs="Arial"/>
          <w:b/>
          <w:bCs/>
          <w:color w:val="000000" w:themeColor="text1"/>
          <w:sz w:val="22"/>
          <w:szCs w:val="22"/>
          <w:lang w:val="en-GB"/>
        </w:rPr>
      </w:pPr>
      <w:r w:rsidRPr="00B6585E">
        <w:rPr>
          <w:rFonts w:ascii="Arial" w:hAnsi="Arial" w:cs="Arial"/>
          <w:b/>
          <w:bCs/>
          <w:color w:val="000000" w:themeColor="text1"/>
          <w:sz w:val="22"/>
          <w:szCs w:val="22"/>
          <w:lang w:val="en-GB"/>
        </w:rPr>
        <w:t>Study aims</w:t>
      </w:r>
    </w:p>
    <w:p w14:paraId="74142A4F" w14:textId="77777777" w:rsidR="00EF7AD5" w:rsidRPr="00B6585E" w:rsidRDefault="00EF7AD5" w:rsidP="001D162A">
      <w:pPr>
        <w:jc w:val="both"/>
        <w:rPr>
          <w:rFonts w:ascii="Arial" w:hAnsi="Arial" w:cs="Arial"/>
          <w:color w:val="000000" w:themeColor="text1"/>
          <w:sz w:val="22"/>
          <w:szCs w:val="22"/>
          <w:lang w:val="en-GB"/>
        </w:rPr>
      </w:pPr>
    </w:p>
    <w:p w14:paraId="44A806B2" w14:textId="77777777" w:rsidR="00EF7AD5" w:rsidRPr="00B6585E" w:rsidRDefault="00EF7AD5" w:rsidP="001D162A">
      <w:pPr>
        <w:jc w:val="both"/>
        <w:rPr>
          <w:rFonts w:ascii="Arial" w:hAnsi="Arial" w:cs="Arial"/>
          <w:b/>
          <w:bCs/>
          <w:i/>
          <w:iCs/>
          <w:color w:val="000000" w:themeColor="text1"/>
          <w:sz w:val="22"/>
          <w:szCs w:val="22"/>
          <w:lang w:val="en-GB"/>
        </w:rPr>
      </w:pPr>
      <w:r w:rsidRPr="00B6585E">
        <w:rPr>
          <w:rFonts w:ascii="Arial" w:hAnsi="Arial" w:cs="Arial"/>
          <w:b/>
          <w:bCs/>
          <w:i/>
          <w:iCs/>
          <w:color w:val="000000" w:themeColor="text1"/>
          <w:sz w:val="22"/>
          <w:szCs w:val="22"/>
          <w:lang w:val="en-GB"/>
        </w:rPr>
        <w:t>Primary aim</w:t>
      </w:r>
    </w:p>
    <w:p w14:paraId="7D15A703" w14:textId="77777777" w:rsidR="00EF7AD5" w:rsidRPr="00B6585E" w:rsidRDefault="00EF7AD5" w:rsidP="001D162A">
      <w:pPr>
        <w:jc w:val="both"/>
        <w:rPr>
          <w:rFonts w:ascii="Arial" w:hAnsi="Arial" w:cs="Arial"/>
          <w:color w:val="000000" w:themeColor="text1"/>
          <w:sz w:val="22"/>
          <w:szCs w:val="22"/>
          <w:lang w:val="en-GB"/>
        </w:rPr>
      </w:pPr>
    </w:p>
    <w:p w14:paraId="42B521D0"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i/>
          <w:iCs/>
          <w:color w:val="000000" w:themeColor="text1"/>
          <w:sz w:val="22"/>
          <w:szCs w:val="22"/>
          <w:lang w:val="en-GB"/>
        </w:rPr>
        <w:t>Primary hypothesis</w:t>
      </w:r>
    </w:p>
    <w:p w14:paraId="39DF0EFD"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 xml:space="preserve">We hypothesize that the administration of levosimendan will result in a significant increase in cardiac output as compared to the placebo group. This might lead to an improved brain perfusion and finally might reduce the incidence of hemodynamic/hypoperfusion related neuro-cognitive impairment after noncardiac surgery. </w:t>
      </w:r>
    </w:p>
    <w:p w14:paraId="3D4EE55D" w14:textId="77777777" w:rsidR="00EF7AD5" w:rsidRPr="00B6585E" w:rsidRDefault="00EF7AD5" w:rsidP="001D162A">
      <w:pPr>
        <w:jc w:val="both"/>
        <w:rPr>
          <w:rFonts w:ascii="Arial" w:hAnsi="Arial" w:cs="Arial"/>
          <w:i/>
          <w:iCs/>
          <w:color w:val="000000" w:themeColor="text1"/>
          <w:sz w:val="22"/>
          <w:szCs w:val="22"/>
          <w:lang w:val="en-GB"/>
        </w:rPr>
      </w:pPr>
    </w:p>
    <w:p w14:paraId="16C1F861" w14:textId="77777777" w:rsidR="00EF7AD5" w:rsidRPr="00B6585E" w:rsidRDefault="00EF7AD5" w:rsidP="001D162A">
      <w:pPr>
        <w:jc w:val="both"/>
        <w:rPr>
          <w:rFonts w:ascii="Arial" w:hAnsi="Arial" w:cs="Arial"/>
          <w:i/>
          <w:iCs/>
          <w:color w:val="000000" w:themeColor="text1"/>
          <w:sz w:val="22"/>
          <w:szCs w:val="22"/>
          <w:lang w:val="en-GB"/>
        </w:rPr>
      </w:pPr>
      <w:r w:rsidRPr="00B6585E">
        <w:rPr>
          <w:rFonts w:ascii="Arial" w:hAnsi="Arial" w:cs="Arial"/>
          <w:i/>
          <w:iCs/>
          <w:color w:val="000000" w:themeColor="text1"/>
          <w:sz w:val="22"/>
          <w:szCs w:val="22"/>
          <w:lang w:val="en-GB"/>
        </w:rPr>
        <w:t>Primary outcome</w:t>
      </w:r>
    </w:p>
    <w:p w14:paraId="2A6261AE"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 xml:space="preserve">Our primary outcome will be defined as the incidence of cognitive dysfunction within 1 year after surgery between both study groups. Cognitive dysfunction will be defined as a decrease of 2 points or more on the Montreal cognitive assessment (MoCA) from preoperative baseline values. </w:t>
      </w:r>
    </w:p>
    <w:p w14:paraId="1B4A0BC8"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We will assess the MoCA before induction of anesthesia, on the first, second, third and fifth postoperative day. Furthermore, we will assess the MoCA score 30 days and one year after surgery per phone interview. It was shown that a decrease of 2 points or more on the MoCA is associated with cognitive decline based on a formal neuropsychological test battery.</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{"citationItems":[{"id":"ITEM-1","itemData":{"DOI":"10.1177/1073191116654217","ISSN":"15523489","PMID":"27318033","abstract":"This study explored the utility of the Montreal Cognitive Assessment (MoCA) in the detection of cognitive change over time in a community sample (age ranging from 58 to 77 years). The MoCA was administered twice approximately 3.5 years apart (n = 139). Participants were classified as mild cognitive impairment (MCI) or cognitively intact at follow-up based on multidisciplinary consensus. We excluded 33 participants who endorsed cognitive complaints at baseline. The MCI group (n = 53) showed a significant decrease in MoCA scores (M = −1.83, p &lt;.001, d = 0.64). When accounting for age and education, the MCI group showed a decline of 1.7 points, while cognitively intact participants remained stable. Using Reliable Change Indices established by cognitively intact group, 42% of MCI participants demonstrated a decline in MoCA scores. Results suggest that the MoCA can detect cognitive change in MCI over a 3.5-year period and preliminarily supports the utility of the MoCA as a repeatable brief cognitive screening measure.","author":[{"dropping-particle":"","family":"Krishnan","given":"Kamini","non-dropping-particle":"","parse-names":false,"suffix":""},{"dropping-particle":"","family":"Rossetti","given":"Heidi","non-dropping-particle":"","parse-names":false,"suffix":""},{"dropping-particle":"","family":"Hynan","given":"Linda S.","non-dropping-particle":"","parse-names":false,"suffix":""},{"dropping-particle":"","family":"Carter","given":"Kirstine","non-dropping-particle":"","parse-names":false,"suffix":""},{"dropping-particle":"","family":"Falkowski","given":"Jed","non-dropping-particle":"","parse-names":false,"suffix":""},{"dropping-particle":"","family":"Lacritz","given":"Laura","non-dropping-particle":"","parse-names":false,"suffix":""},{"dropping-particle":"","family":"Cullum","given":"C. Munro","non-dropping-particle":"","parse-names":false,"suffix":""},{"dropping-particle":"","family":"Weiner","given":"Myron","non-dropping-particle":"","parse-names":false,"suffix":""}],"container-title":"Assessment","id":"ITEM-1","issue":"6","issued":{"date-parts":[["2017"]]},"page":"772-777","title":"Changes in Montreal Cognitive Assessment Scores Over Time","type":"article-journal","volume":"24"},"uris":["http://www.mendeley.com/documents/?uuid=c06e7ea3-a73d-4a1d-aa76-d18e159d9fc6"]},{"id":"ITEM-2","itemData":{"DOI":"10.1371/journal.pone.0173291","ISBN":"1111111111","ISSN":"19326203","PMID":"28346532","abstract":"Objectives We aimed to examine changes in the Montreal Cognitive Assessment (MoCA) and Mini-Mental State Examination (MMSE) scores within a one-year period after stroke/transient ischemic attack (TIA) in associating cognitive decline determined by a formal neuropsychological test battery. Methods Patients with ischemic stroke/TIA received MoCA and MMSE at baseline within 14 days after stroke/TIA, at 3 lusmn;6 months and 1-year follow-ups. The scores of MoCA and MMSE were considered to have declined if there were a reduction of -2 points in the respective scores measured across two time points. The decline in neuropsychological diagnosis transitional status was defined by a category transition from no cognitive impairment or any cognitive impairment to a more severe cognitive impairment or dementia. Results 275 patients with a mean age of 59.8 lusmn; 11.6 years, and education of 7.7 lusmn; 4.3 years completed all the assessments at baseline, 3 lusmn;6 months and 1-year follow-ups. A decline in MoCA scores from 3 lusmn;6 months to 1 year was associated with higher risk of decline in diagnosis transitional status (odd ratio = 3.21, p = 0.004) in the same time period whereas there was no association with a decline in MMSE scores. Conclusions The decline in MoCA scores from 3 lusmn;6 months to 1 year after stroke/TIA has three times higher risk for decline in the diagnosis transitional status. The decline of MoCA scores (reduction &gt; 2points) is associated with the decline in neuropsychological diagnosis transitional status.","author":[{"dropping-particle":"","family":"Tan","given":"Hui Hui","non-dropping-particle":"","parse-names":false,"suffix":""},{"dropping-particle":"","family":"Xu","given":"Jing","non-dropping-particle":"","parse-names":false,"suffix":""},{"dropping-particle":"","family":"Teoh","given":"Hock Luen","non-dropping-particle":"","parse-names":false,"suffix":""},{"dropping-particle":"","family":"Chan","given":"Bernard Poon Lap","non-dropping-particle":"","parse-names":false,"suffix":""},{"dropping-particle":"","family":"Seet","given":"Raymond Chee Seong","non-dropping-particle":"","parse-names":false,"suffix":""},{"dropping-particle":"","family":"Venketasubramanian","given":"Narayanaswarmy","non-dropping-particle":"","parse-names":false,"suffix":""},{"dropping-particle":"","family":"Sharma","given":"Vijay Kumar","non-dropping-particle":"","parse-names":false,"suffix":""},{"dropping-particle":"","family":"Chen","given":"Christopher Li Hsian","non-dropping-particle":"","parse-names":false,"suffix":""},{"dropping-particle":"","family":"Dong","given":"Yanhong","non-dropping-particle":"","parse-names":false,"suffix":""}],"container-title":"PLoS ONE","id":"ITEM-2","issue":"3","issued":{"date-parts":[["2017"]]},"page":"3-6","title":"Decline in changing montreal cognitive assessment (MoCA) scores is associated withpost-stroke cognitive decline determined by a formal neuropsychological evaluation","type":"article-journal","volume":"12"},"uris":["http://www.mendeley.com/documents/?uuid=3b4c5540-9e12-4b33-bf36-49a56ee15672"]}],"mendeley":{"formattedCitation":"&lt;sup&gt;7 8&lt;/sup&gt;","plainTextFormattedCitation":"7 8","previouslyFormattedCitation":"&lt;sup&gt;7 8&lt;/sup&gt;"},"properties":{"noteIndex":0},"schema":"https://github.com/citation-style-language/schema/raw/master/csl-citation.json"}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7 8</w:t>
      </w:r>
      <w:r w:rsidRPr="00B6585E">
        <w:rPr>
          <w:rFonts w:ascii="Arial" w:hAnsi="Arial" w:cs="Arial"/>
          <w:color w:val="000000" w:themeColor="text1"/>
          <w:sz w:val="22"/>
          <w:szCs w:val="22"/>
          <w:lang w:val="en-GB"/>
        </w:rPr>
        <w:fldChar w:fldCharType="end"/>
      </w:r>
    </w:p>
    <w:p w14:paraId="02B2BAA5"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For this substudy we will use the abbreviated version of the MoCA test (telephone MoCA), which was also validated to be assessed via phone.</w:t>
      </w:r>
      <w:r w:rsidRPr="00B6585E">
        <w:rPr>
          <w:rFonts w:ascii="Arial" w:hAnsi="Arial" w:cs="Arial"/>
          <w:color w:val="000000" w:themeColor="text1"/>
          <w:sz w:val="22"/>
          <w:szCs w:val="22"/>
        </w:rPr>
        <w:fldChar w:fldCharType="begin" w:fldLock="1"/>
      </w:r>
      <w:r w:rsidRPr="00B6585E">
        <w:rPr>
          <w:rFonts w:ascii="Arial" w:hAnsi="Arial" w:cs="Arial"/>
          <w:color w:val="000000" w:themeColor="text1"/>
          <w:sz w:val="22"/>
          <w:szCs w:val="22"/>
        </w:rPr>
        <w:instrText>ADDIN CSL_CITATION {"citationItems":[{"id":"ITEM-1","itemData":{"DOI":"10.1161/STROKEAHA.112.673384","ISSN":"00392499","PMID":"23138443","abstract":"Background and Purpose-: Face-to-face cognitive testing is not always possible in large studies. Therefore, we assessed the telephone Montreal Cognitive Assessment (T-MoCA: MoCA items not requiring pencil and paper or visual stimulus) and the modified Telephone Interview of Cognitive Status (TICSm) against face-to-face cognitive tests in patients with transient ischemic attack (TIA) or stroke. Methods-: In a population-based study, consecutive community-dwelling patients underwent the MoCA and neuropsychological battery &gt;1 year after TIA or stroke, followed by T-MoCA (22 points) and TICSm (39 points) at least 1 month later. Mild cognitive impairment (MCI) was diagnosed using modified Petersen criteria and the area under the receiver-operating characteristic curve (AUC) determined for T-MoCA and TICSm. Results-: Ninety-one nondemented subjects completed neuropsychological testing (mean±SD age, 72.9±11.6 years; 54 males; stroke 49%) and 73 had telephone follow-up. MoCA subtest scores for repetition, abstraction, and verbal fluency were significantly worse (P&lt;0.02) by telephone than during face-to-face testing. Reliability of diagnosis for MCI (AUC) were T-MoCA of 0.75 (95% confidence interval [CI], 0.63-0.87) and TICSm of 0.79 (95% CI, 0.68-0.90) vs face-to-face MoCA of 0.85 (95% CI, 0.76-0.94). Optimal cutoffs were 18 to 19 for T-MoCA and 24 to 25 for TICSm. Reliability of diagnosis for MCI (AUC) was greater when only multi-domain impairment was considered (T-MoCA=0.85; 95% CI, 0.75-0.96 and TICSm=0.83, 95% CI, 0.70-0.96) vs face-to-face MoCA=0.87; 95% CI, 0.76-0.97). Conclusions-: Both T-MoCA and TICSm are feasible and valid telephone tests of cognition after TIA and stroke but perform better in detecting multi-domain vs single-domain impairment. However, T-MoCA is limited in its ability to assess visuoexecutive and complex language tasks compared with face-to-face MoCA. © 2012 American Heart Association, Inc.","author":[{"dropping-particle":"","family":"Pendlebury","given":"Sarah T.","non-dropping-particle":"","parse-names":false,"suffix":""},{"dropping-particle":"","family":"Welch","given":"Sarah J.V.","non-dropping-particle":"","parse-names":false,"suffix":""},{"dropping-particle":"","family":"Cuthbertson","given":"Fiona C.","non-dropping-particle":"","parse-names":false,"suffix":""},{"dropping-particle":"","family":"Mariz","given":"Jose","non-dropping-particle":"","parse-names":false,"suffix":""},{"dropping-particle":"","family":"Mehta","given":"Ziyah","non-dropping-particle":"","parse-names":false,"suffix":""},{"dropping-particle":"","family":"Rothwell","given":"Peter M.","non-dropping-particle":"","parse-names":false,"suffix":""}],"container-title":"Stroke","id":"ITEM-1","issue":"1","issued":{"date-parts":[["2013"]]},"page":"227-229","title":"Telephone assessment of cognition after transient ischemic attack and stroke: Modified telephone interview of cognitive status and telephone montreal cognitive assessment versus face-to-face montreal cognitive assessment and neuropsychological battery","type":"article-journal","volume":"44"},"uris":["http://www.mendeley.com/documents/?uuid=66397833-8487-474d-a6de-9b13b9e9e119"]},{"id":"ITEM-2","itemData":{"DOI":"10.1161/STROKEAHA.117.017519","ISSN":"15244628","PMID":"29042492","abstract":"Background and Purpose-Assessment of cognitive status poststroke is recommended by guidelines but follow-up can often not be done in person. The Telephone Interview of Cognitive Status (TICS) and the Telephone Montreal Cognitive Assessment (T-MoCA) are considered useful screening instruments. Yet, evidence to define optimal cut-offs for mild cognitive impairment (MCI) after stroke is limited. Methods-We studied 105 patients enrolled in the prospective DEDEMAS study (Determinants of Dementia After Stroke; NCT01334749). Follow-up visits at 6, 12, 36, and 60 months included comprehensive neuropsychological testing and the Clinical Dementia Rating scale, both of which served as reference standards. The original TICS and T-MoCA were obtained in 2 separate telephone interviews each separated from the personal visits by 1 week (1 before and 1 after the visit) with the order of interviews (TICS versus T-MoCA) alternating between subjects. Area under the receiver-operating characteristic curves was determined. Results-Ninety-six patients completed both the face-to-face visits and the 2 interviews. Area under the receiver-operating characteristic curves ranged between 0.76 and 0.83 for TICS and between 0.73 and 0.94 for T-MoCA depending on MCI definition. For multidomain MCI defined by multiple-tests definition derived from comprehensive neuropsychological testing optimal sensitivities and specificities were achieved at cut-offs &lt;36 (TICS) and &lt;18 (T-MoCA). Validity was lower using single-test definition, and cut-offs were higher compared with multiple-test definitions. Using Clinical Dementia Rating as the reference, optimal cut-offs for MCI were &lt;36 (TICS) and approximately 19 (T-MoCA). Conclusions-Both the TICS and T-MoCA are valid screening tools poststroke, particularly for multidomain MCI using multiple-test definition.","author":[{"dropping-particle":"","family":"Zietemann","given":"Vera","non-dropping-particle":"","parse-names":false,"suffix":""},{"dropping-particle":"","family":"Kopczak","given":"Anna","non-dropping-particle":"","parse-names":false,"suffix":""},{"dropping-particle":"","family":"Müller","given":"Claudia","non-dropping-particle":"","parse-names":false,"suffix":""},{"dropping-particle":"","family":"Wollenweber","given":"Frank Arne","non-dropping-particle":"","parse-names":false,"suffix":""},{"dropping-particle":"","family":"Dichgans","given":"Martin","non-dropping-particle":"","parse-names":false,"suffix":""}],"container-title":"Stroke","id":"ITEM-2","issue":"11","issued":{"date-parts":[["2017"]]},"page":"2952-2957","title":"Validation of the telephone interview of cognitive status and telephone montreal cognitive assessment against detailed cognitive testing and clinical diagnosis of mild cognitive impairment after stroke","type":"article-journal","volume":"48"},"uris":["http://www.mendeley.com/documents/?uuid=295bb458-2652-40a2-81b9-8e628144b3de"]}],"mendeley":{"formattedCitation":"&lt;sup&gt;9 10&lt;/sup&gt;","plainTextFormattedCitation":"9 10","previouslyFormattedCitation":"&lt;sup&gt;9 10&lt;/sup&gt;"},"properties":{"noteIndex":0},"schema":"https://github.com/citation-style-language/schema/raw/master/csl-citation.json"}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Pr="00B6585E">
        <w:rPr>
          <w:rFonts w:ascii="Arial" w:hAnsi="Arial" w:cs="Arial"/>
          <w:noProof/>
          <w:color w:val="000000" w:themeColor="text1"/>
          <w:sz w:val="22"/>
          <w:szCs w:val="22"/>
          <w:vertAlign w:val="superscript"/>
        </w:rPr>
        <w:t>9 10</w:t>
      </w:r>
      <w:r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We will use all MoCA items for the abbreviated version that will not require the use of a pencil and paper or a visual stimulus. The maximum score therefore is 22.</w:t>
      </w:r>
      <w:r w:rsidRPr="00B6585E">
        <w:rPr>
          <w:rFonts w:ascii="Arial" w:hAnsi="Arial" w:cs="Arial"/>
          <w:color w:val="000000" w:themeColor="text1"/>
          <w:sz w:val="22"/>
          <w:szCs w:val="22"/>
        </w:rPr>
        <w:fldChar w:fldCharType="begin" w:fldLock="1"/>
      </w:r>
      <w:r w:rsidRPr="00B6585E">
        <w:rPr>
          <w:rFonts w:ascii="Arial" w:hAnsi="Arial" w:cs="Arial"/>
          <w:color w:val="000000" w:themeColor="text1"/>
          <w:sz w:val="22"/>
          <w:szCs w:val="22"/>
        </w:rPr>
        <w:instrText>ADDIN CSL_CITATION {"citationItems":[{"id":"ITEM-1","itemData":{"DOI":"10.1161/STROKEAHA.112.673384","ISSN":"00392499","PMID":"23138443","abstract":"Background and Purpose-: Face-to-face cognitive testing is not always possible in large studies. Therefore, we assessed the telephone Montreal Cognitive Assessment (T-MoCA: MoCA items not requiring pencil and paper or visual stimulus) and the modified Telephone Interview of Cognitive Status (TICSm) against face-to-face cognitive tests in patients with transient ischemic attack (TIA) or stroke. Methods-: In a population-based study, consecutive community-dwelling patients underwent the MoCA and neuropsychological battery &gt;1 year after TIA or stroke, followed by T-MoCA (22 points) and TICSm (39 points) at least 1 month later. Mild cognitive impairment (MCI) was diagnosed using modified Petersen criteria and the area under the receiver-operating characteristic curve (AUC) determined for T-MoCA and TICSm. Results-: Ninety-one nondemented subjects completed neuropsychological testing (mean±SD age, 72.9±11.6 years; 54 males; stroke 49%) and 73 had telephone follow-up. MoCA subtest scores for repetition, abstraction, and verbal fluency were significantly worse (P&lt;0.02) by telephone than during face-to-face testing. Reliability of diagnosis for MCI (AUC) were T-MoCA of 0.75 (95% confidence interval [CI], 0.63-0.87) and TICSm of 0.79 (95% CI, 0.68-0.90) vs face-to-face MoCA of 0.85 (95% CI, 0.76-0.94). Optimal cutoffs were 18 to 19 for T-MoCA and 24 to 25 for TICSm. Reliability of diagnosis for MCI (AUC) was greater when only multi-domain impairment was considered (T-MoCA=0.85; 95% CI, 0.75-0.96 and TICSm=0.83, 95% CI, 0.70-0.96) vs face-to-face MoCA=0.87; 95% CI, 0.76-0.97). Conclusions-: Both T-MoCA and TICSm are feasible and valid telephone tests of cognition after TIA and stroke but perform better in detecting multi-domain vs single-domain impairment. However, T-MoCA is limited in its ability to assess visuoexecutive and complex language tasks compared with face-to-face MoCA. © 2012 American Heart Association, Inc.","author":[{"dropping-particle":"","family":"Pendlebury","given":"Sarah T.","non-dropping-particle":"","parse-names":false,"suffix":""},{"dropping-particle":"","family":"Welch","given":"Sarah J.V.","non-dropping-particle":"","parse-names":false,"suffix":""},{"dropping-particle":"","family":"Cuthbertson","given":"Fiona C.","non-dropping-particle":"","parse-names":false,"suffix":""},{"dropping-particle":"","family":"Mariz","given":"Jose","non-dropping-particle":"","parse-names":false,"suffix":""},{"dropping-particle":"","family":"Mehta","given":"Ziyah","non-dropping-particle":"","parse-names":false,"suffix":""},{"dropping-particle":"","family":"Rothwell","given":"Peter M.","non-dropping-particle":"","parse-names":false,"suffix":""}],"container-title":"Stroke","id":"ITEM-1","issue":"1","issued":{"date-parts":[["2013"]]},"page":"227-229","title":"Telephone assessment of cognition after transient ischemic attack and stroke: Modified telephone interview of cognitive status and telephone montreal cognitive assessment versus face-to-face montreal cognitive assessment and neuropsychological battery","type":"article-journal","volume":"44"},"uris":["http://www.mendeley.com/documents/?uuid=66397833-8487-474d-a6de-9b13b9e9e119"]}],"mendeley":{"formattedCitation":"&lt;sup&gt;9&lt;/sup&gt;","plainTextFormattedCitation":"9"},"properties":{"noteIndex":0},"schema":"https://github.com/citation-style-language/schema/raw/master/csl-citation.json"}</w:instrText>
      </w:r>
      <w:r w:rsidRPr="00B6585E">
        <w:rPr>
          <w:rFonts w:ascii="Arial" w:hAnsi="Arial" w:cs="Arial"/>
          <w:color w:val="000000" w:themeColor="text1"/>
          <w:sz w:val="22"/>
          <w:szCs w:val="22"/>
        </w:rPr>
        <w:fldChar w:fldCharType="separate"/>
      </w:r>
      <w:r w:rsidRPr="00B6585E">
        <w:rPr>
          <w:rFonts w:ascii="Arial" w:hAnsi="Arial" w:cs="Arial"/>
          <w:noProof/>
          <w:color w:val="000000" w:themeColor="text1"/>
          <w:sz w:val="22"/>
          <w:szCs w:val="22"/>
          <w:vertAlign w:val="superscript"/>
        </w:rPr>
        <w:t>9</w:t>
      </w:r>
      <w:r w:rsidRPr="00B6585E">
        <w:rPr>
          <w:rFonts w:ascii="Arial" w:hAnsi="Arial" w:cs="Arial"/>
          <w:color w:val="000000" w:themeColor="text1"/>
          <w:sz w:val="22"/>
          <w:szCs w:val="22"/>
        </w:rPr>
        <w:fldChar w:fldCharType="end"/>
      </w:r>
    </w:p>
    <w:p w14:paraId="1DAF0E41" w14:textId="77777777" w:rsidR="00EF7AD5" w:rsidRPr="00B6585E" w:rsidRDefault="00EF7AD5" w:rsidP="001D162A">
      <w:pPr>
        <w:jc w:val="both"/>
        <w:rPr>
          <w:rFonts w:ascii="Arial" w:hAnsi="Arial" w:cs="Arial"/>
          <w:color w:val="000000" w:themeColor="text1"/>
          <w:sz w:val="22"/>
          <w:szCs w:val="22"/>
        </w:rPr>
      </w:pPr>
    </w:p>
    <w:p w14:paraId="5FC2A3F0" w14:textId="77777777" w:rsidR="00EF7AD5" w:rsidRPr="00B6585E" w:rsidRDefault="00EF7AD5" w:rsidP="001D162A">
      <w:pPr>
        <w:jc w:val="both"/>
        <w:rPr>
          <w:rFonts w:ascii="Arial" w:hAnsi="Arial" w:cs="Arial"/>
          <w:color w:val="000000" w:themeColor="text1"/>
          <w:sz w:val="22"/>
          <w:szCs w:val="22"/>
        </w:rPr>
      </w:pPr>
    </w:p>
    <w:p w14:paraId="4918143D" w14:textId="77777777" w:rsidR="00EF7AD5" w:rsidRPr="00B6585E" w:rsidRDefault="00EF7AD5" w:rsidP="001D162A">
      <w:pPr>
        <w:jc w:val="both"/>
        <w:rPr>
          <w:rFonts w:ascii="Arial" w:hAnsi="Arial" w:cs="Arial"/>
          <w:b/>
          <w:bCs/>
          <w:i/>
          <w:iCs/>
          <w:color w:val="000000" w:themeColor="text1"/>
          <w:sz w:val="22"/>
          <w:szCs w:val="22"/>
          <w:lang w:val="en-GB"/>
        </w:rPr>
      </w:pPr>
      <w:r w:rsidRPr="00B6585E">
        <w:rPr>
          <w:rFonts w:ascii="Arial" w:hAnsi="Arial" w:cs="Arial"/>
          <w:b/>
          <w:bCs/>
          <w:i/>
          <w:iCs/>
          <w:color w:val="000000" w:themeColor="text1"/>
          <w:sz w:val="22"/>
          <w:szCs w:val="22"/>
          <w:lang w:val="en-GB"/>
        </w:rPr>
        <w:t>Secondary aims</w:t>
      </w:r>
    </w:p>
    <w:p w14:paraId="035F213D" w14:textId="77777777" w:rsidR="00EF7AD5" w:rsidRPr="00B6585E" w:rsidRDefault="00EF7AD5" w:rsidP="001D162A">
      <w:pPr>
        <w:jc w:val="both"/>
        <w:rPr>
          <w:rFonts w:ascii="Arial" w:hAnsi="Arial" w:cs="Arial"/>
          <w:color w:val="000000" w:themeColor="text1"/>
          <w:sz w:val="22"/>
          <w:szCs w:val="22"/>
          <w:lang w:val="en-GB"/>
        </w:rPr>
      </w:pPr>
    </w:p>
    <w:p w14:paraId="738ADA1A" w14:textId="77777777" w:rsidR="00EF7AD5" w:rsidRPr="00B6585E" w:rsidRDefault="00EF7AD5" w:rsidP="001D162A">
      <w:pPr>
        <w:jc w:val="both"/>
        <w:rPr>
          <w:rFonts w:ascii="Arial" w:hAnsi="Arial" w:cs="Arial"/>
          <w:b/>
          <w:bCs/>
          <w:i/>
          <w:iCs/>
          <w:color w:val="000000" w:themeColor="text1"/>
          <w:sz w:val="22"/>
          <w:szCs w:val="22"/>
          <w:lang w:val="en-GB"/>
        </w:rPr>
      </w:pPr>
      <w:r w:rsidRPr="00B6585E">
        <w:rPr>
          <w:rFonts w:ascii="Arial" w:hAnsi="Arial" w:cs="Arial"/>
          <w:b/>
          <w:bCs/>
          <w:i/>
          <w:iCs/>
          <w:color w:val="000000" w:themeColor="text1"/>
          <w:sz w:val="22"/>
          <w:szCs w:val="22"/>
          <w:lang w:val="en-GB"/>
        </w:rPr>
        <w:t>Secondary aim 1</w:t>
      </w:r>
    </w:p>
    <w:p w14:paraId="30DE1972"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 xml:space="preserve">Our secondary outcome 2 will be the incidence of cognitive dysfunction within 30 day after surgery between both study groups. Cognitive dysfunction will be defined as a decrease of 2 points or more on the abbreviated Montreal cognitive assessment (MoCA) from preoperative baseline values. </w:t>
      </w:r>
    </w:p>
    <w:p w14:paraId="538309F2" w14:textId="5D18F31F"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We will assess the telephone MoCA before induction of anesthesia</w:t>
      </w:r>
      <w:r w:rsidR="00637261" w:rsidRPr="00B6585E">
        <w:rPr>
          <w:rFonts w:ascii="Arial" w:hAnsi="Arial" w:cs="Arial"/>
          <w:color w:val="000000" w:themeColor="text1"/>
          <w:sz w:val="22"/>
          <w:szCs w:val="22"/>
          <w:lang w:val="en-GB"/>
        </w:rPr>
        <w:t xml:space="preserve"> within </w:t>
      </w:r>
      <w:r w:rsidRPr="00B6585E">
        <w:rPr>
          <w:rFonts w:ascii="Arial" w:hAnsi="Arial" w:cs="Arial"/>
          <w:color w:val="000000" w:themeColor="text1"/>
          <w:sz w:val="22"/>
          <w:szCs w:val="22"/>
          <w:lang w:val="en-GB"/>
        </w:rPr>
        <w:t>30 days after surgery. It was shown that a decrease of 2 points or more on the MoCA is associated with cognitive decline based on a formal neuropsychological test battery.</w:t>
      </w:r>
      <w:r w:rsidRPr="00B6585E">
        <w:rPr>
          <w:rFonts w:ascii="Arial" w:hAnsi="Arial" w:cs="Arial"/>
          <w:color w:val="000000" w:themeColor="text1"/>
          <w:sz w:val="22"/>
          <w:szCs w:val="22"/>
          <w:lang w:val="en-GB"/>
        </w:rPr>
        <w:fldChar w:fldCharType="begin" w:fldLock="1"/>
      </w:r>
      <w:r w:rsidRPr="00B6585E">
        <w:rPr>
          <w:rFonts w:ascii="Arial" w:hAnsi="Arial" w:cs="Arial"/>
          <w:color w:val="000000" w:themeColor="text1"/>
          <w:sz w:val="22"/>
          <w:szCs w:val="22"/>
          <w:lang w:val="en-GB"/>
        </w:rPr>
        <w:instrText>ADDIN CSL_CITATION {"citationItems":[{"id":"ITEM-1","itemData":{"DOI":"10.1177/1073191116654217","ISSN":"15523489","PMID":"27318033","abstract":"This study explored the utility of the Montreal Cognitive Assessment (MoCA) in the detection of cognitive change over time in a community sample (age ranging from 58 to 77 years). The MoCA was administered twice approximately 3.5 years apart (n = 139). Participants were classified as mild cognitive impairment (MCI) or cognitively intact at follow-up based on multidisciplinary consensus. We excluded 33 participants who endorsed cognitive complaints at baseline. The MCI group (n = 53) showed a significant decrease in MoCA scores (M = −1.83, p &lt;.001, d = 0.64). When accounting for age and education, the MCI group showed a decline of 1.7 points, while cognitively intact participants remained stable. Using Reliable Change Indices established by cognitively intact group, 42% of MCI participants demonstrated a decline in MoCA scores. Results suggest that the MoCA can detect cognitive change in MCI over a 3.5-year period and preliminarily supports the utility of the MoCA as a repeatable brief cognitive screening measure.","author":[{"dropping-particle":"","family":"Krishnan","given":"Kamini","non-dropping-particle":"","parse-names":false,"suffix":""},{"dropping-particle":"","family":"Rossetti","given":"Heidi","non-dropping-particle":"","parse-names":false,"suffix":""},{"dropping-particle":"","family":"Hynan","given":"Linda S.","non-dropping-particle":"","parse-names":false,"suffix":""},{"dropping-particle":"","family":"Carter","given":"Kirstine","non-dropping-particle":"","parse-names":false,"suffix":""},{"dropping-particle":"","family":"Falkowski","given":"Jed","non-dropping-particle":"","parse-names":false,"suffix":""},{"dropping-particle":"","family":"Lacritz","given":"Laura","non-dropping-particle":"","parse-names":false,"suffix":""},{"dropping-particle":"","family":"Cullum","given":"C. Munro","non-dropping-particle":"","parse-names":false,"suffix":""},{"dropping-particle":"","family":"Weiner","given":"Myron","non-dropping-particle":"","parse-names":false,"suffix":""}],"container-title":"Assessment","id":"ITEM-1","issue":"6","issued":{"date-parts":[["2017"]]},"page":"772-777","title":"Changes in Montreal Cognitive Assessment Scores Over Time","type":"article-journal","volume":"24"},"uris":["http://www.mendeley.com/documents/?uuid=c06e7ea3-a73d-4a1d-aa76-d18e159d9fc6"]},{"id":"ITEM-2","itemData":{"DOI":"10.1371/journal.pone.0173291","ISBN":"1111111111","ISSN":"19326203","PMID":"28346532","abstract":"Objectives We aimed to examine changes in the Montreal Cognitive Assessment (MoCA) and Mini-Mental State Examination (MMSE) scores within a one-year period after stroke/transient ischemic attack (TIA) in associating cognitive decline determined by a formal neuropsychological test battery. Methods Patients with ischemic stroke/TIA received MoCA and MMSE at baseline within 14 days after stroke/TIA, at 3 lusmn;6 months and 1-year follow-ups. The scores of MoCA and MMSE were considered to have declined if there were a reduction of -2 points in the respective scores measured across two time points. The decline in neuropsychological diagnosis transitional status was defined by a category transition from no cognitive impairment or any cognitive impairment to a more severe cognitive impairment or dementia. Results 275 patients with a mean age of 59.8 lusmn; 11.6 years, and education of 7.7 lusmn; 4.3 years completed all the assessments at baseline, 3 lusmn;6 months and 1-year follow-ups. A decline in MoCA scores from 3 lusmn;6 months to 1 year was associated with higher risk of decline in diagnosis transitional status (odd ratio = 3.21, p = 0.004) in the same time period whereas there was no association with a decline in MMSE scores. Conclusions The decline in MoCA scores from 3 lusmn;6 months to 1 year after stroke/TIA has three times higher risk for decline in the diagnosis transitional status. The decline of MoCA scores (reduction &gt; 2points) is associated with the decline in neuropsychological diagnosis transitional status.","author":[{"dropping-particle":"","family":"Tan","given":"Hui Hui","non-dropping-particle":"","parse-names":false,"suffix":""},{"dropping-particle":"","family":"Xu","given":"Jing","non-dropping-particle":"","parse-names":false,"suffix":""},{"dropping-particle":"","family":"Teoh","given":"Hock Luen","non-dropping-particle":"","parse-names":false,"suffix":""},{"dropping-particle":"","family":"Chan","given":"Bernard Poon Lap","non-dropping-particle":"","parse-names":false,"suffix":""},{"dropping-particle":"","family":"Seet","given":"Raymond Chee Seong","non-dropping-particle":"","parse-names":false,"suffix":""},{"dropping-particle":"","family":"Venketasubramanian","given":"Narayanaswarmy","non-dropping-particle":"","parse-names":false,"suffix":""},{"dropping-particle":"","family":"Sharma","given":"Vijay Kumar","non-dropping-particle":"","parse-names":false,"suffix":""},{"dropping-particle":"","family":"Chen","given":"Christopher Li Hsian","non-dropping-particle":"","parse-names":false,"suffix":""},{"dropping-particle":"","family":"Dong","given":"Yanhong","non-dropping-particle":"","parse-names":false,"suffix":""}],"container-title":"PLoS ONE","id":"ITEM-2","issue":"3","issued":{"date-parts":[["2017"]]},"page":"3-6","title":"Decline in changing montreal cognitive assessment (MoCA) scores is associated withpost-stroke cognitive decline determined by a formal neuropsychological evaluation","type":"article-journal","volume":"12"},"uris":["http://www.mendeley.com/documents/?uuid=3b4c5540-9e12-4b33-bf36-49a56ee15672"]}],"mendeley":{"formattedCitation":"&lt;sup&gt;7 8&lt;/sup&gt;","plainTextFormattedCitation":"7 8","previouslyFormattedCitation":"&lt;sup&gt;7 8&lt;/sup&gt;"},"properties":{"noteIndex":0},"schema":"https://github.com/citation-style-language/schema/raw/master/csl-citation.json"}</w:instrText>
      </w:r>
      <w:r w:rsidRPr="00B6585E">
        <w:rPr>
          <w:rFonts w:ascii="Arial" w:hAnsi="Arial" w:cs="Arial"/>
          <w:color w:val="000000" w:themeColor="text1"/>
          <w:sz w:val="22"/>
          <w:szCs w:val="22"/>
          <w:lang w:val="en-GB"/>
        </w:rPr>
        <w:fldChar w:fldCharType="separate"/>
      </w:r>
      <w:r w:rsidRPr="00B6585E">
        <w:rPr>
          <w:rFonts w:ascii="Arial" w:hAnsi="Arial" w:cs="Arial"/>
          <w:noProof/>
          <w:color w:val="000000" w:themeColor="text1"/>
          <w:sz w:val="22"/>
          <w:szCs w:val="22"/>
          <w:vertAlign w:val="superscript"/>
          <w:lang w:val="en-GB"/>
        </w:rPr>
        <w:t>7 8</w:t>
      </w:r>
      <w:r w:rsidRPr="00B6585E">
        <w:rPr>
          <w:rFonts w:ascii="Arial" w:hAnsi="Arial" w:cs="Arial"/>
          <w:color w:val="000000" w:themeColor="text1"/>
          <w:sz w:val="22"/>
          <w:szCs w:val="22"/>
          <w:lang w:val="en-GB"/>
        </w:rPr>
        <w:fldChar w:fldCharType="end"/>
      </w:r>
    </w:p>
    <w:p w14:paraId="65217974" w14:textId="77777777" w:rsidR="00EF7AD5" w:rsidRPr="00B6585E" w:rsidRDefault="00EF7AD5" w:rsidP="001D162A">
      <w:pPr>
        <w:jc w:val="both"/>
        <w:rPr>
          <w:rFonts w:ascii="Arial" w:hAnsi="Arial" w:cs="Arial"/>
          <w:color w:val="000000" w:themeColor="text1"/>
          <w:sz w:val="22"/>
          <w:szCs w:val="22"/>
          <w:lang w:val="en-GB"/>
        </w:rPr>
      </w:pPr>
    </w:p>
    <w:p w14:paraId="503D5099" w14:textId="77777777" w:rsidR="00EF7AD5" w:rsidRPr="00B6585E" w:rsidRDefault="00EF7AD5" w:rsidP="001D162A">
      <w:pPr>
        <w:jc w:val="both"/>
        <w:rPr>
          <w:rFonts w:ascii="Arial" w:hAnsi="Arial" w:cs="Arial"/>
          <w:b/>
          <w:bCs/>
          <w:i/>
          <w:iCs/>
          <w:color w:val="000000" w:themeColor="text1"/>
          <w:sz w:val="22"/>
          <w:szCs w:val="22"/>
          <w:lang w:val="en-GB"/>
        </w:rPr>
      </w:pPr>
      <w:r w:rsidRPr="00B6585E">
        <w:rPr>
          <w:rFonts w:ascii="Arial" w:hAnsi="Arial" w:cs="Arial"/>
          <w:b/>
          <w:bCs/>
          <w:i/>
          <w:iCs/>
          <w:color w:val="000000" w:themeColor="text1"/>
          <w:sz w:val="22"/>
          <w:szCs w:val="22"/>
          <w:lang w:val="en-GB"/>
        </w:rPr>
        <w:t>Secondary aim 3</w:t>
      </w:r>
    </w:p>
    <w:p w14:paraId="5B49E847"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Tissue oxygen delivery is proportional to the cardiac output. Therefore, we assume that regional oxygen saturation (</w:t>
      </w:r>
      <w:r w:rsidRPr="00B6585E">
        <w:rPr>
          <w:rFonts w:ascii="Arial" w:hAnsi="Arial" w:cs="Arial"/>
          <w:color w:val="000000" w:themeColor="text1"/>
          <w:sz w:val="22"/>
          <w:szCs w:val="22"/>
        </w:rPr>
        <w:t>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of the blood in the brain will be significantly higher after the administration of levosimendan.</w:t>
      </w:r>
    </w:p>
    <w:p w14:paraId="3D60DECF" w14:textId="77777777" w:rsidR="00EF7AD5" w:rsidRPr="00B6585E" w:rsidRDefault="00EF7AD5" w:rsidP="001D162A">
      <w:pPr>
        <w:jc w:val="both"/>
        <w:rPr>
          <w:rFonts w:ascii="Arial" w:hAnsi="Arial" w:cs="Arial"/>
          <w:color w:val="000000" w:themeColor="text1"/>
          <w:sz w:val="22"/>
          <w:szCs w:val="22"/>
          <w:lang w:val="en-GB"/>
        </w:rPr>
      </w:pPr>
    </w:p>
    <w:p w14:paraId="48507E12"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Secondary outcome 3</w:t>
      </w:r>
    </w:p>
    <w:p w14:paraId="53014E55"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Our secondary outcome will be the difference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between both study groups. We will use INVOS® cerebral oximeter for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measurement.</w:t>
      </w:r>
    </w:p>
    <w:p w14:paraId="7426EBE4"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will be measured continuously throughout surgery. Furthermore, we will measure rSO</w:t>
      </w:r>
      <w:r w:rsidRPr="00B6585E">
        <w:rPr>
          <w:rFonts w:ascii="Arial" w:hAnsi="Arial" w:cs="Arial"/>
          <w:color w:val="000000" w:themeColor="text1"/>
          <w:sz w:val="22"/>
          <w:szCs w:val="22"/>
          <w:vertAlign w:val="subscript"/>
        </w:rPr>
        <w:t xml:space="preserve">2 </w:t>
      </w:r>
      <w:r w:rsidRPr="00B6585E">
        <w:rPr>
          <w:rFonts w:ascii="Arial" w:hAnsi="Arial" w:cs="Arial"/>
          <w:color w:val="000000" w:themeColor="text1"/>
          <w:sz w:val="22"/>
          <w:szCs w:val="22"/>
        </w:rPr>
        <w:t>at least as long as the study drug will be administered during the postoperative period which will be a maximum of 24 hours after starting the study drug infusion.</w:t>
      </w:r>
    </w:p>
    <w:p w14:paraId="143481F1"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We will perform baseline measurements before induction of anesthesia. Measurement will be continued for the time of the study drug infusion. </w:t>
      </w:r>
    </w:p>
    <w:p w14:paraId="3D69B49F" w14:textId="77777777" w:rsidR="00EF7AD5" w:rsidRPr="00B6585E" w:rsidRDefault="00EF7AD5" w:rsidP="001D162A">
      <w:pPr>
        <w:jc w:val="both"/>
        <w:rPr>
          <w:rFonts w:ascii="Arial" w:hAnsi="Arial" w:cs="Arial"/>
          <w:color w:val="000000" w:themeColor="text1"/>
          <w:sz w:val="22"/>
          <w:szCs w:val="22"/>
        </w:rPr>
      </w:pPr>
    </w:p>
    <w:p w14:paraId="1B4308D6" w14:textId="77777777" w:rsidR="00EF7AD5" w:rsidRPr="00B6585E" w:rsidRDefault="00EF7AD5" w:rsidP="001D162A">
      <w:pPr>
        <w:jc w:val="both"/>
        <w:rPr>
          <w:rFonts w:ascii="Arial" w:hAnsi="Arial" w:cs="Arial"/>
          <w:b/>
          <w:bCs/>
          <w:i/>
          <w:iCs/>
          <w:color w:val="000000" w:themeColor="text1"/>
          <w:sz w:val="22"/>
          <w:szCs w:val="22"/>
          <w:lang w:val="en-GB"/>
        </w:rPr>
      </w:pPr>
      <w:r w:rsidRPr="00B6585E">
        <w:rPr>
          <w:rFonts w:ascii="Arial" w:hAnsi="Arial" w:cs="Arial"/>
          <w:b/>
          <w:bCs/>
          <w:i/>
          <w:iCs/>
          <w:color w:val="000000" w:themeColor="text1"/>
          <w:sz w:val="22"/>
          <w:szCs w:val="22"/>
          <w:lang w:val="en-GB"/>
        </w:rPr>
        <w:t>Tertiary aims</w:t>
      </w:r>
    </w:p>
    <w:p w14:paraId="75B6C1BF" w14:textId="77777777" w:rsidR="00EF7AD5" w:rsidRPr="00B6585E" w:rsidRDefault="00EF7AD5" w:rsidP="001D162A">
      <w:pPr>
        <w:jc w:val="both"/>
        <w:rPr>
          <w:rFonts w:ascii="Arial" w:hAnsi="Arial" w:cs="Arial"/>
          <w:i/>
          <w:iCs/>
          <w:color w:val="000000" w:themeColor="text1"/>
          <w:sz w:val="22"/>
          <w:szCs w:val="22"/>
        </w:rPr>
      </w:pPr>
    </w:p>
    <w:p w14:paraId="7F33AB94"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Tertiary outcome</w:t>
      </w:r>
    </w:p>
    <w:p w14:paraId="7C4A3BE2"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Postoperative neurocognitive decline might be the result from severe hemodynamic perturbation during surgery. Therefore, we will evaluate the correlation between intraoperative measured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w:t>
      </w:r>
      <w:r w:rsidRPr="00B6585E">
        <w:rPr>
          <w:rFonts w:ascii="Arial" w:hAnsi="Arial" w:cs="Arial"/>
          <w:color w:val="000000" w:themeColor="text1"/>
          <w:sz w:val="22"/>
          <w:szCs w:val="22"/>
        </w:rPr>
        <w:lastRenderedPageBreak/>
        <w:t>and the incidence of postoperative neurocognitive decline within 30 days and the correlation of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and neurocognitive decline within one year after surgery. </w:t>
      </w:r>
    </w:p>
    <w:p w14:paraId="46E83554" w14:textId="77777777" w:rsidR="00EF7AD5" w:rsidRPr="00B6585E" w:rsidRDefault="00EF7AD5">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5552A477" w14:textId="77777777" w:rsidR="00EF7AD5" w:rsidRPr="00B6585E" w:rsidRDefault="00EF7AD5" w:rsidP="001D162A">
      <w:pPr>
        <w:jc w:val="both"/>
        <w:rPr>
          <w:rFonts w:ascii="Arial" w:hAnsi="Arial" w:cs="Arial"/>
          <w:b/>
          <w:bCs/>
          <w:color w:val="000000" w:themeColor="text1"/>
          <w:sz w:val="22"/>
          <w:szCs w:val="22"/>
        </w:rPr>
      </w:pPr>
      <w:r w:rsidRPr="00B6585E">
        <w:rPr>
          <w:rFonts w:ascii="Arial" w:hAnsi="Arial" w:cs="Arial"/>
          <w:b/>
          <w:bCs/>
          <w:color w:val="000000" w:themeColor="text1"/>
          <w:sz w:val="22"/>
          <w:szCs w:val="22"/>
        </w:rPr>
        <w:lastRenderedPageBreak/>
        <w:t>Statistical analysis</w:t>
      </w:r>
    </w:p>
    <w:p w14:paraId="5E7C57F9" w14:textId="77777777" w:rsidR="00EF7AD5" w:rsidRPr="00B6585E" w:rsidRDefault="00EF7AD5" w:rsidP="001D162A">
      <w:pPr>
        <w:jc w:val="both"/>
        <w:rPr>
          <w:rFonts w:ascii="Arial" w:hAnsi="Arial" w:cs="Arial"/>
          <w:color w:val="000000" w:themeColor="text1"/>
          <w:sz w:val="22"/>
          <w:szCs w:val="22"/>
        </w:rPr>
      </w:pPr>
    </w:p>
    <w:p w14:paraId="6347D721" w14:textId="77777777" w:rsidR="00EF7AD5" w:rsidRPr="00B6585E" w:rsidRDefault="00EF7AD5" w:rsidP="001D162A">
      <w:pPr>
        <w:jc w:val="both"/>
        <w:rPr>
          <w:rFonts w:ascii="Arial" w:hAnsi="Arial" w:cs="Arial"/>
          <w:i/>
          <w:iCs/>
          <w:color w:val="000000" w:themeColor="text1"/>
          <w:sz w:val="22"/>
          <w:szCs w:val="22"/>
          <w:lang w:val="en-GB"/>
        </w:rPr>
      </w:pPr>
      <w:r w:rsidRPr="00B6585E">
        <w:rPr>
          <w:rFonts w:ascii="Arial" w:hAnsi="Arial" w:cs="Arial"/>
          <w:i/>
          <w:iCs/>
          <w:color w:val="000000" w:themeColor="text1"/>
          <w:sz w:val="22"/>
          <w:szCs w:val="22"/>
          <w:lang w:val="en-GB"/>
        </w:rPr>
        <w:t>Primary outcome</w:t>
      </w:r>
    </w:p>
    <w:p w14:paraId="30715FD7" w14:textId="3FD88B32"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 xml:space="preserve">We test the difference of the incidence of cognitive decline (defined as a decrease of 2 points or more on the MoCA test as compared to baseline) between both study groups performing a chi-square test. Additionally, we will perform a Mann-Whitney-U test to compare the decrease in MoCA scores between both study groups. </w:t>
      </w:r>
    </w:p>
    <w:p w14:paraId="08768537" w14:textId="77777777" w:rsidR="00EF7AD5" w:rsidRPr="00B6585E" w:rsidRDefault="00EF7AD5" w:rsidP="001D162A">
      <w:pPr>
        <w:jc w:val="both"/>
        <w:rPr>
          <w:rFonts w:ascii="Arial" w:hAnsi="Arial" w:cs="Arial"/>
          <w:color w:val="000000" w:themeColor="text1"/>
          <w:sz w:val="22"/>
          <w:szCs w:val="22"/>
          <w:lang w:val="en-GB"/>
        </w:rPr>
      </w:pPr>
    </w:p>
    <w:p w14:paraId="45E134BF" w14:textId="77777777" w:rsidR="00EF7AD5" w:rsidRPr="00B6585E" w:rsidRDefault="00EF7AD5" w:rsidP="001D162A">
      <w:pPr>
        <w:jc w:val="both"/>
        <w:rPr>
          <w:rFonts w:ascii="Arial" w:hAnsi="Arial" w:cs="Arial"/>
          <w:i/>
          <w:iCs/>
          <w:color w:val="000000" w:themeColor="text1"/>
          <w:sz w:val="22"/>
          <w:szCs w:val="22"/>
          <w:lang w:val="en-GB"/>
        </w:rPr>
      </w:pPr>
      <w:r w:rsidRPr="00B6585E">
        <w:rPr>
          <w:rFonts w:ascii="Arial" w:hAnsi="Arial" w:cs="Arial"/>
          <w:i/>
          <w:iCs/>
          <w:color w:val="000000" w:themeColor="text1"/>
          <w:sz w:val="22"/>
          <w:szCs w:val="22"/>
          <w:lang w:val="en-GB"/>
        </w:rPr>
        <w:t>Secondary outcome 1</w:t>
      </w:r>
    </w:p>
    <w:p w14:paraId="6BB14BD7" w14:textId="77777777" w:rsidR="00EF7AD5" w:rsidRPr="00B6585E" w:rsidRDefault="00EF7AD5" w:rsidP="001D162A">
      <w:pPr>
        <w:jc w:val="both"/>
        <w:rPr>
          <w:rFonts w:ascii="Arial" w:hAnsi="Arial" w:cs="Arial"/>
          <w:color w:val="000000" w:themeColor="text1"/>
          <w:sz w:val="22"/>
          <w:szCs w:val="22"/>
          <w:lang w:val="en-GB"/>
        </w:rPr>
      </w:pPr>
      <w:r w:rsidRPr="00B6585E">
        <w:rPr>
          <w:rFonts w:ascii="Arial" w:hAnsi="Arial" w:cs="Arial"/>
          <w:color w:val="000000" w:themeColor="text1"/>
          <w:sz w:val="22"/>
          <w:szCs w:val="22"/>
          <w:lang w:val="en-GB"/>
        </w:rPr>
        <w:t xml:space="preserve">We test the difference of the incidence of cognitive decline within 30 days after surgery (defined as a decrease of 2 points or more on the MoCA test as compared to baseline) between both study groups performing a chi-square test. Additionally, we will perform a Mann-Whitney-U test to compare the decrease in MoCA score between both study groups. </w:t>
      </w:r>
    </w:p>
    <w:p w14:paraId="0BB769C0" w14:textId="77777777" w:rsidR="00EF7AD5" w:rsidRPr="00B6585E" w:rsidRDefault="00EF7AD5" w:rsidP="001D162A">
      <w:pPr>
        <w:jc w:val="both"/>
        <w:rPr>
          <w:rFonts w:ascii="Arial" w:hAnsi="Arial" w:cs="Arial"/>
          <w:color w:val="000000" w:themeColor="text1"/>
          <w:sz w:val="22"/>
          <w:szCs w:val="22"/>
          <w:lang w:val="en-GB"/>
        </w:rPr>
      </w:pPr>
    </w:p>
    <w:p w14:paraId="16609AEF"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Secondary outcome 2</w:t>
      </w:r>
    </w:p>
    <w:p w14:paraId="13246E70"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The difference in time-weighted-average (TWA) rSO</w:t>
      </w:r>
      <w:r w:rsidRPr="00B6585E">
        <w:rPr>
          <w:rFonts w:ascii="Arial" w:hAnsi="Arial" w:cs="Arial"/>
          <w:color w:val="000000" w:themeColor="text1"/>
          <w:sz w:val="22"/>
          <w:szCs w:val="22"/>
          <w:vertAlign w:val="subscript"/>
        </w:rPr>
        <w:t xml:space="preserve">2 </w:t>
      </w:r>
      <w:r w:rsidRPr="00B6585E">
        <w:rPr>
          <w:rFonts w:ascii="Arial" w:hAnsi="Arial" w:cs="Arial"/>
          <w:color w:val="000000" w:themeColor="text1"/>
          <w:sz w:val="22"/>
          <w:szCs w:val="22"/>
        </w:rPr>
        <w:t>will be tested using a Mann-Whitney-U test.</w:t>
      </w:r>
    </w:p>
    <w:p w14:paraId="77AD6738" w14:textId="77777777" w:rsidR="00EF7AD5" w:rsidRPr="00B6585E" w:rsidRDefault="00EF7AD5" w:rsidP="001D162A">
      <w:pPr>
        <w:jc w:val="both"/>
        <w:rPr>
          <w:rFonts w:ascii="Arial" w:hAnsi="Arial" w:cs="Arial"/>
          <w:color w:val="000000" w:themeColor="text1"/>
          <w:sz w:val="22"/>
          <w:szCs w:val="22"/>
        </w:rPr>
      </w:pPr>
    </w:p>
    <w:p w14:paraId="525DD9CF"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Tertiary outcome</w:t>
      </w:r>
    </w:p>
    <w:p w14:paraId="7579CDD0"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For the correlation between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values and postoperative neurocognitive decline we will calculate a Pearson correlation coefficient. Specifically, we will calculate the postoperative maximum decline in MoCA Scores measured on the first, second, third and fifth postoperative days (MoCA</w:t>
      </w:r>
      <w:r w:rsidRPr="00B6585E">
        <w:rPr>
          <w:rFonts w:ascii="Arial" w:hAnsi="Arial" w:cs="Arial"/>
          <w:color w:val="000000" w:themeColor="text1"/>
          <w:sz w:val="22"/>
          <w:szCs w:val="22"/>
          <w:vertAlign w:val="subscript"/>
        </w:rPr>
        <w:t>decline</w:t>
      </w:r>
      <w:r w:rsidRPr="00B6585E">
        <w:rPr>
          <w:rFonts w:ascii="Arial" w:hAnsi="Arial" w:cs="Arial"/>
          <w:color w:val="000000" w:themeColor="text1"/>
          <w:sz w:val="22"/>
          <w:szCs w:val="22"/>
        </w:rPr>
        <w:t>) in relation to the preoperative baseline score (MoCA</w:t>
      </w:r>
      <w:r w:rsidRPr="00B6585E">
        <w:rPr>
          <w:rFonts w:ascii="Arial" w:hAnsi="Arial" w:cs="Arial"/>
          <w:color w:val="000000" w:themeColor="text1"/>
          <w:sz w:val="22"/>
          <w:szCs w:val="22"/>
          <w:vertAlign w:val="subscript"/>
        </w:rPr>
        <w:t>base</w:t>
      </w:r>
      <w:r w:rsidRPr="00B6585E">
        <w:rPr>
          <w:rFonts w:ascii="Arial" w:hAnsi="Arial" w:cs="Arial"/>
          <w:color w:val="000000" w:themeColor="text1"/>
          <w:sz w:val="22"/>
          <w:szCs w:val="22"/>
        </w:rPr>
        <w:t xml:space="preserve">) as follows: </w:t>
      </w:r>
    </w:p>
    <w:p w14:paraId="5CD988D1" w14:textId="77777777" w:rsidR="00EF7AD5" w:rsidRPr="00B6585E" w:rsidRDefault="00EF7AD5" w:rsidP="001D162A">
      <w:pPr>
        <w:jc w:val="both"/>
        <w:rPr>
          <w:rFonts w:ascii="Arial" w:hAnsi="Arial" w:cs="Arial"/>
          <w:color w:val="000000" w:themeColor="text1"/>
          <w:sz w:val="22"/>
          <w:szCs w:val="22"/>
        </w:rPr>
      </w:pPr>
    </w:p>
    <w:p w14:paraId="20629544" w14:textId="77777777" w:rsidR="00EF7AD5" w:rsidRPr="00B6585E" w:rsidRDefault="00000000" w:rsidP="001D162A">
      <w:pPr>
        <w:jc w:val="both"/>
        <w:rPr>
          <w:rFonts w:ascii="Arial" w:hAnsi="Arial" w:cs="Arial"/>
          <w:color w:val="000000" w:themeColor="text1"/>
          <w:sz w:val="22"/>
          <w:szCs w:val="22"/>
        </w:rPr>
      </w:pPr>
      <m:oMathPara>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MoCA</m:t>
              </m:r>
            </m:e>
            <m:sub>
              <m:r>
                <w:rPr>
                  <w:rFonts w:ascii="Cambria Math" w:hAnsi="Cambria Math" w:cs="Arial"/>
                  <w:color w:val="000000" w:themeColor="text1"/>
                  <w:sz w:val="22"/>
                  <w:szCs w:val="22"/>
                </w:rPr>
                <m:t>decline=</m:t>
              </m:r>
            </m:sub>
          </m:sSub>
          <m:r>
            <w:rPr>
              <w:rFonts w:ascii="Cambria Math" w:hAnsi="Cambria Math" w:cs="Arial"/>
              <w:color w:val="000000" w:themeColor="text1"/>
              <w:sz w:val="22"/>
              <w:szCs w:val="22"/>
            </w:rPr>
            <m:t xml:space="preserve"> </m:t>
          </m:r>
          <m:f>
            <m:fPr>
              <m:ctrlPr>
                <w:rPr>
                  <w:rFonts w:ascii="Cambria Math" w:hAnsi="Cambria Math" w:cs="Arial"/>
                  <w:i/>
                  <w:color w:val="000000" w:themeColor="text1"/>
                  <w:sz w:val="22"/>
                  <w:szCs w:val="22"/>
                </w:rPr>
              </m:ctrlPr>
            </m:fPr>
            <m:num>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(MoCA</m:t>
                  </m:r>
                </m:e>
                <m:sub>
                  <m:r>
                    <w:rPr>
                      <w:rFonts w:ascii="Cambria Math" w:hAnsi="Cambria Math" w:cs="Arial"/>
                      <w:color w:val="000000" w:themeColor="text1"/>
                      <w:sz w:val="22"/>
                      <w:szCs w:val="22"/>
                    </w:rPr>
                    <m:t xml:space="preserve">base </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MoCA</m:t>
                  </m:r>
                </m:e>
                <m:sub>
                  <m:r>
                    <w:rPr>
                      <w:rFonts w:ascii="Cambria Math" w:hAnsi="Cambria Math" w:cs="Arial"/>
                      <w:color w:val="000000" w:themeColor="text1"/>
                      <w:sz w:val="22"/>
                      <w:szCs w:val="22"/>
                    </w:rPr>
                    <m:t>min</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pod</m:t>
                  </m:r>
                </m:e>
                <m:sub>
                  <m:r>
                    <w:rPr>
                      <w:rFonts w:ascii="Cambria Math" w:hAnsi="Cambria Math" w:cs="Arial"/>
                      <w:color w:val="000000" w:themeColor="text1"/>
                      <w:sz w:val="22"/>
                      <w:szCs w:val="22"/>
                    </w:rPr>
                    <m:t>1</m:t>
                  </m:r>
                </m:sub>
              </m:sSub>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;pod</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pod</m:t>
                  </m:r>
                </m:e>
                <m:sub>
                  <m:r>
                    <w:rPr>
                      <w:rFonts w:ascii="Cambria Math" w:hAnsi="Cambria Math" w:cs="Arial"/>
                      <w:color w:val="000000" w:themeColor="text1"/>
                      <w:sz w:val="22"/>
                      <w:szCs w:val="22"/>
                    </w:rPr>
                    <m:t>3</m:t>
                  </m:r>
                </m:sub>
              </m:sSub>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;pod</m:t>
                  </m:r>
                </m:e>
                <m:sub>
                  <m:r>
                    <w:rPr>
                      <w:rFonts w:ascii="Cambria Math" w:hAnsi="Cambria Math" w:cs="Arial"/>
                      <w:color w:val="000000" w:themeColor="text1"/>
                      <w:sz w:val="22"/>
                      <w:szCs w:val="22"/>
                    </w:rPr>
                    <m:t>5</m:t>
                  </m:r>
                </m:sub>
              </m:sSub>
              <m:r>
                <w:rPr>
                  <w:rFonts w:ascii="Cambria Math" w:hAnsi="Cambria Math" w:cs="Arial"/>
                  <w:color w:val="000000" w:themeColor="text1"/>
                  <w:sz w:val="22"/>
                  <w:szCs w:val="22"/>
                </w:rPr>
                <m:t>))</m:t>
              </m:r>
            </m:num>
            <m:den>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MoCA</m:t>
                  </m:r>
                </m:e>
                <m:sub>
                  <m:r>
                    <w:rPr>
                      <w:rFonts w:ascii="Cambria Math" w:hAnsi="Cambria Math" w:cs="Arial"/>
                      <w:color w:val="000000" w:themeColor="text1"/>
                      <w:sz w:val="22"/>
                      <w:szCs w:val="22"/>
                    </w:rPr>
                    <m:t>base</m:t>
                  </m:r>
                </m:sub>
              </m:sSub>
            </m:den>
          </m:f>
        </m:oMath>
      </m:oMathPara>
    </w:p>
    <w:p w14:paraId="0105154B"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pod…postoperative day</w:t>
      </w:r>
    </w:p>
    <w:p w14:paraId="3B0E8B94" w14:textId="77777777" w:rsidR="00EF7AD5" w:rsidRPr="00B6585E" w:rsidRDefault="00EF7AD5" w:rsidP="001D162A">
      <w:pPr>
        <w:jc w:val="both"/>
        <w:rPr>
          <w:rFonts w:ascii="Arial" w:hAnsi="Arial" w:cs="Arial"/>
          <w:color w:val="000000" w:themeColor="text1"/>
          <w:sz w:val="22"/>
          <w:szCs w:val="22"/>
        </w:rPr>
      </w:pPr>
    </w:p>
    <w:p w14:paraId="380D827C"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We will further calculate the change in intraoperative and postoperative rSO</w:t>
      </w:r>
      <w:r w:rsidRPr="00B6585E">
        <w:rPr>
          <w:rFonts w:ascii="Arial" w:hAnsi="Arial" w:cs="Arial"/>
          <w:color w:val="000000" w:themeColor="text1"/>
          <w:sz w:val="22"/>
          <w:szCs w:val="22"/>
          <w:vertAlign w:val="subscript"/>
        </w:rPr>
        <w:t xml:space="preserve">2 </w:t>
      </w:r>
      <w:r w:rsidRPr="00B6585E">
        <w:rPr>
          <w:rFonts w:ascii="Arial" w:hAnsi="Arial" w:cs="Arial"/>
          <w:color w:val="000000" w:themeColor="text1"/>
          <w:sz w:val="22"/>
          <w:szCs w:val="22"/>
        </w:rPr>
        <w:t>values in relation to preoperative baseline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Therefore, we will calculate the difference of each intra- and postoperative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value related to preoperative measured rSO</w:t>
      </w:r>
      <w:r w:rsidRPr="00B6585E">
        <w:rPr>
          <w:rFonts w:ascii="Arial" w:hAnsi="Arial" w:cs="Arial"/>
          <w:color w:val="000000" w:themeColor="text1"/>
          <w:sz w:val="22"/>
          <w:szCs w:val="22"/>
          <w:vertAlign w:val="subscript"/>
        </w:rPr>
        <w:t>2</w:t>
      </w:r>
      <w:r w:rsidRPr="00B6585E">
        <w:rPr>
          <w:rFonts w:ascii="Arial" w:hAnsi="Arial" w:cs="Arial"/>
          <w:color w:val="000000" w:themeColor="text1"/>
          <w:sz w:val="22"/>
          <w:szCs w:val="22"/>
        </w:rPr>
        <w:t xml:space="preserve">. </w:t>
      </w:r>
    </w:p>
    <w:p w14:paraId="7953AC8E" w14:textId="77777777" w:rsidR="00EF7AD5" w:rsidRPr="00B6585E" w:rsidRDefault="00EF7AD5" w:rsidP="001D162A">
      <w:pPr>
        <w:jc w:val="both"/>
        <w:rPr>
          <w:rFonts w:ascii="Arial" w:hAnsi="Arial" w:cs="Arial"/>
          <w:color w:val="000000" w:themeColor="text1"/>
          <w:sz w:val="22"/>
          <w:szCs w:val="22"/>
        </w:rPr>
      </w:pPr>
    </w:p>
    <w:p w14:paraId="1A0FB7CD" w14:textId="77777777" w:rsidR="00EF7AD5" w:rsidRPr="00B6585E" w:rsidRDefault="00000000" w:rsidP="001D162A">
      <w:pPr>
        <w:jc w:val="both"/>
        <w:rPr>
          <w:rFonts w:ascii="Arial" w:hAnsi="Arial" w:cs="Arial"/>
          <w:color w:val="000000" w:themeColor="text1"/>
          <w:sz w:val="22"/>
          <w:szCs w:val="22"/>
        </w:rPr>
      </w:pPr>
      <m:oMathPara>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rSO</m:t>
              </m:r>
            </m:e>
            <m:sub>
              <m:r>
                <w:rPr>
                  <w:rFonts w:ascii="Cambria Math" w:hAnsi="Cambria Math" w:cs="Arial"/>
                  <w:color w:val="000000" w:themeColor="text1"/>
                  <w:sz w:val="22"/>
                  <w:szCs w:val="22"/>
                </w:rPr>
                <m:t xml:space="preserve">2 decline </m:t>
              </m:r>
            </m:sub>
          </m:sSub>
          <m:r>
            <w:rPr>
              <w:rFonts w:ascii="Cambria Math" w:hAnsi="Cambria Math" w:cs="Arial"/>
              <w:color w:val="000000" w:themeColor="text1"/>
              <w:sz w:val="22"/>
              <w:szCs w:val="22"/>
            </w:rPr>
            <m:t xml:space="preserve">= </m:t>
          </m:r>
          <m:f>
            <m:fPr>
              <m:ctrlPr>
                <w:rPr>
                  <w:rFonts w:ascii="Cambria Math" w:hAnsi="Cambria Math" w:cs="Arial"/>
                  <w:i/>
                  <w:color w:val="000000" w:themeColor="text1"/>
                  <w:sz w:val="22"/>
                  <w:szCs w:val="22"/>
                </w:rPr>
              </m:ctrlPr>
            </m:fPr>
            <m:num>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(rSO</m:t>
                  </m:r>
                </m:e>
                <m:sub>
                  <m:r>
                    <w:rPr>
                      <w:rFonts w:ascii="Cambria Math" w:hAnsi="Cambria Math" w:cs="Arial"/>
                      <w:color w:val="000000" w:themeColor="text1"/>
                      <w:sz w:val="22"/>
                      <w:szCs w:val="22"/>
                    </w:rPr>
                    <m:t xml:space="preserve">2preOP- </m:t>
                  </m:r>
                </m:sub>
              </m:sSub>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rSO</m:t>
                  </m:r>
                </m:e>
                <m:sub>
                  <m:r>
                    <w:rPr>
                      <w:rFonts w:ascii="Cambria Math" w:hAnsi="Cambria Math" w:cs="Arial"/>
                      <w:color w:val="000000" w:themeColor="text1"/>
                      <w:sz w:val="22"/>
                      <w:szCs w:val="22"/>
                    </w:rPr>
                    <m:t>2periOP</m:t>
                  </m:r>
                </m:sub>
              </m:sSub>
              <m:r>
                <w:rPr>
                  <w:rFonts w:ascii="Cambria Math" w:hAnsi="Cambria Math" w:cs="Arial"/>
                  <w:color w:val="000000" w:themeColor="text1"/>
                  <w:sz w:val="22"/>
                  <w:szCs w:val="22"/>
                </w:rPr>
                <m:t>)</m:t>
              </m:r>
            </m:num>
            <m:den>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rSO</m:t>
                  </m:r>
                </m:e>
                <m:sub>
                  <m:r>
                    <w:rPr>
                      <w:rFonts w:ascii="Cambria Math" w:hAnsi="Cambria Math" w:cs="Arial"/>
                      <w:color w:val="000000" w:themeColor="text1"/>
                      <w:sz w:val="22"/>
                      <w:szCs w:val="22"/>
                    </w:rPr>
                    <m:t>2 preOP</m:t>
                  </m:r>
                </m:sub>
              </m:sSub>
            </m:den>
          </m:f>
        </m:oMath>
      </m:oMathPara>
    </w:p>
    <w:p w14:paraId="680B02D2" w14:textId="77777777" w:rsidR="00EF7AD5" w:rsidRPr="00B6585E" w:rsidRDefault="00EF7AD5" w:rsidP="001D162A">
      <w:pPr>
        <w:jc w:val="both"/>
        <w:rPr>
          <w:rFonts w:ascii="Arial" w:hAnsi="Arial" w:cs="Arial"/>
          <w:color w:val="000000" w:themeColor="text1"/>
          <w:sz w:val="22"/>
          <w:szCs w:val="22"/>
        </w:rPr>
      </w:pPr>
    </w:p>
    <w:p w14:paraId="097819D8" w14:textId="77777777" w:rsidR="00EF7AD5" w:rsidRPr="00B6585E" w:rsidRDefault="00EF7AD5" w:rsidP="001D162A">
      <w:pPr>
        <w:jc w:val="both"/>
        <w:rPr>
          <w:rFonts w:ascii="Arial" w:hAnsi="Arial" w:cs="Arial"/>
          <w:color w:val="000000" w:themeColor="text1"/>
          <w:sz w:val="22"/>
          <w:szCs w:val="22"/>
        </w:rPr>
      </w:pPr>
    </w:p>
    <w:p w14:paraId="5F8427FE" w14:textId="77777777" w:rsidR="00EF7AD5" w:rsidRPr="00B6585E" w:rsidRDefault="00EF7AD5" w:rsidP="001D162A">
      <w:pPr>
        <w:jc w:val="both"/>
        <w:rPr>
          <w:rFonts w:ascii="Arial" w:hAnsi="Arial" w:cs="Arial"/>
          <w:b/>
          <w:bCs/>
          <w:color w:val="000000" w:themeColor="text1"/>
          <w:sz w:val="22"/>
          <w:szCs w:val="22"/>
        </w:rPr>
      </w:pPr>
      <w:r w:rsidRPr="00B6585E">
        <w:rPr>
          <w:rFonts w:ascii="Arial" w:hAnsi="Arial" w:cs="Arial"/>
          <w:b/>
          <w:bCs/>
          <w:color w:val="000000" w:themeColor="text1"/>
          <w:sz w:val="22"/>
          <w:szCs w:val="22"/>
        </w:rPr>
        <w:t>Sample size calculation</w:t>
      </w:r>
    </w:p>
    <w:p w14:paraId="6BFF21C6"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The median MoCA in patients, who are 65 years or older lies at 25 (IQR 21-27).</w:t>
      </w:r>
      <w:r w:rsidRPr="00B6585E">
        <w:rPr>
          <w:rFonts w:ascii="Arial" w:hAnsi="Arial" w:cs="Arial"/>
          <w:color w:val="000000" w:themeColor="text1"/>
          <w:sz w:val="22"/>
          <w:szCs w:val="22"/>
        </w:rPr>
        <w:fldChar w:fldCharType="begin" w:fldLock="1"/>
      </w:r>
      <w:r w:rsidRPr="00B6585E">
        <w:rPr>
          <w:rFonts w:ascii="Arial" w:hAnsi="Arial" w:cs="Arial"/>
          <w:color w:val="000000" w:themeColor="text1"/>
          <w:sz w:val="22"/>
          <w:szCs w:val="22"/>
        </w:rPr>
        <w:instrText>ADDIN CSL_CITATION {"citationItems":[{"id":"ITEM-1","itemData":{"DOI":"10.1016/S0140-6736(19)31795-7","ISSN":"1474547X","PMID":"31422895","abstract":"Background: In non-surgical settings, covert stroke is more common than overt stroke and is associated with cognitive decline. Although overt stroke occurs in less than 1% of adults after non-cardiac surgery and is associated with substantial morbidity, we know little about perioperative covert stroke. Therefore, our primary aim was to investigate the relationship between perioperative covert stroke (ie, an acute brain infarct detected on an MRI after non-cardiac surgery in a patient with no clinical stroke symptoms) and cognitive decline 1 year after surgery. Methods: NeuroVISION was a prospective cohort study done in 12 academic centres in nine countries, in which we assessed patients aged 65 years or older who underwent inpatient, elective, non-cardiac surgery and had brain MRI after surgery. Two independent neuroradiology experts, masked to clinical data, assessed each MRI for acute brain infarction. Using multivariable regression, we explored the association between covert stroke and the primary outcome of cognitive decline, defined as a decrease of 2 points or more on the Montreal Cognitive Assessment from preoperative baseline to 1-year follow-up. Patients, health-care providers, and outcome adjudicators were masked to MRI results. Findings: Between March 24, 2014, and July 21, 2017, of 1114 participants recruited to the study, 78 (7%; 95% CI 6–9) had a perioperative covert stroke. Among the patients who completed the 1-year follow-up, cognitive decline 1 year after surgery occurred in 29 (42%) of 69 participants who had a perioperative covert stroke and in 274 (29%) of 932 participants who did not have a perioperative covert stroke (adjusted odds ratio 1·98, 95% CI 1·22–3·20, absolute risk increase 13%; p=0·0055). Covert stroke was also associated with an increased risk of perioperative delirium (hazard ratio [HR] 2·24, 95% CI 1·06–4·73, absolute risk increase 6%; p=0·030) and overt stroke or transient ischaemic attack at 1-year follow-up (HR 4·13, 1·14–14·99, absolute risk increase 3%; p=0·019). Interpretation: Perioperative covert stroke is associated with an increased risk of cognitive decline 1 year after non-cardiac surgery, and perioperative covert stroke occurred in one in 14 patients aged 65 years and older undergoing non-cardiac surgery. Research is needed to establish prevention and management strategies for perioperative covert stroke. Funding: Canadian Institutes of Health Research; The Ontario Strategy for Patient Oriented Research …","author":[{"dropping-particle":"","family":"Mrkobrada","given":"Marko","non-dropping-particle":"","parse-names":false,"suffix":""},{"dropping-particle":"","family":"Chan","given":"Matthew T.V.","non-dropping-particle":"","parse-names":false,"suffix":""},{"dropping-particle":"","family":"Cowan","given":"David","non-dropping-particle":"","parse-names":false,"suffix":""},{"dropping-particle":"","family":"Campbell","given":"Douglas","non-dropping-particle":"","parse-names":false,"suffix":""},{"dropping-particle":"","family":"Wang","given":"Chew Yin","non-dropping-particle":"","parse-names":false,"suffix":""},{"dropping-particle":"","family":"Torres","given":"David","non-dropping-particle":"","parse-names":false,"suffix":""},{"dropping-particle":"","family":"Malaga","given":"German","non-dropping-particle":"","parse-names":false,"suffix":""},{"dropping-particle":"","family":"Sanders","given":"Robert D.","non-dropping-particle":"","parse-names":false,"suffix":""},{"dropping-particle":"","family":"Sharma","given":"Manas","non-dropping-particle":"","parse-names":false,"suffix":""},{"dropping-particle":"","family":"Brown","given":"Carl","non-dropping-particle":"","parse-names":false,"suffix":""},{"dropping-particle":"","family":"Sigamani","given":"Alben","non-dropping-particle":"","parse-names":false,"suffix":""},{"dropping-particle":"","family":"Szczeklik","given":"Wojciech","non-dropping-particle":"","parse-names":false,"suffix":""},{"dropping-particle":"","family":"Sharma","given":"Mukul","non-dropping-particle":"","parse-names":false,"suffix":""},{"dropping-particle":"","family":"Guyatt","given":"Gordon","non-dropping-particle":"","parse-names":false,"suffix":""},{"dropping-particle":"","family":"Smith","given":"Eric E.","non-dropping-particle":"","parse-names":false,"suffix":""},{"dropping-particle":"","family":"Agid","given":"Ronit","non-dropping-particle":"","parse-names":false,"suffix":""},{"dropping-particle":"","family":"Dmytriw","given":"Adam A.","non-dropping-particle":"","parse-names":false,"suffix":""},{"dropping-particle":"","family":"Spence","given":"Jessica","non-dropping-particle":"","parse-names":false,"suffix":""},{"dropping-particle":"","family":"Adunuri","given":"Nikesh R.","non-dropping-particle":"","parse-names":false,"suffix":""},{"dropping-particle":"","family":"Borges","given":"Flavia K.","non-dropping-particle":"","parse-names":false,"suffix":""},{"dropping-particle":"","family":"Short","given":"Timothy G.","non-dropping-particle":"","parse-names":false,"suffix":""},{"dropping-particle":"","family":"Hill","given":"Michael D.","non-dropping-particle":"","parse-names":false,"suffix":""},{"dropping-particle":"","family":"Saad","given":"Feryal","non-dropping-particle":"","parse-names":false,"suffix":""},{"dropping-particle":"","family":"Copland","given":"Ingrid","non-dropping-particle":"","parse-names":false,"suffix":""},{"dropping-particle":"","family":"Pettit","given":"Shirley","non-dropping-particle":"","parse-names":false,"suffix":""},{"dropping-particle":"","family":"Ibrahim","given":"Quazi","non-dropping-particle":"","parse-names":false,"suffix":""},{"dropping-particle":"","family":"Bangdiwala","given":"Shrikant I.","non-dropping-particle":"","parse-names":false,"suffix":""},{"dropping-particle":"","family":"Yusuf","given":"Salim","non-dropping-particle":"","parse-names":false,"suffix":""},{"dropping-particle":"","family":"Tsai","given":"Scott","non-dropping-particle":"","parse-names":false,"suffix":""},{"dropping-particle":"","family":"Sahlas","given":"Demetrios J.","non-dropping-particle":"","parse-names":false,"suffix":""},{"dropping-particle":"","family":"Mensinkai","given":"Arun","non-dropping-particle":"","parse-names":false,"suffix":""},{"dropping-particle":"","family":"Sposato","given":"Luciano A.","non-dropping-particle":"","parse-names":false,"suffix":""},{"dropping-particle":"","family":"Hussain","given":"Sara","non-dropping-particle":"","parse-names":false,"suffix":""},{"dropping-particle":"","family":"Yang","given":"Steven","non-dropping-particle":"","parse-names":false,"suffix":""},{"dropping-particle":"","family":"Siegal","given":"Deborah","non-dropping-particle":"","parse-names":false,"suffix":""},{"dropping-particle":"","family":"Khaw","given":"Alexander","non-dropping-particle":"","parse-names":false,"suffix":""},{"dropping-particle":"","family":"Mandzia","given":"Jennifer","non-dropping-particle":"","parse-names":false,"suffix":""},{"dropping-particle":"","family":"Simpson","given":"Sara","non-dropping-particle":"","parse-names":false,"suffix":""},{"dropping-particle":"","family":"Raval","given":"Manoj","non-dropping-particle":"","parse-names":false,"suffix":""},{"dropping-particle":"","family":"Karimuddin","given":"Ahmer","non-dropping-particle":"","parse-names":false,"suffix":""},{"dropping-particle":"","family":"Phang","given":"P. T.","non-dropping-particle":"","parse-names":false,"suffix":""},{"dropping-particle":"","family":"Mok","given":"Vincent CT","non-dropping-particle":"","parse-names":false,"suffix":""},{"dropping-particle":"","family":"Wu","given":"William KK","non-dropping-particle":"","parse-names":false,"suffix":""},{"dropping-particle":"","family":"Yu","given":"Simon CH","non-dropping-particle":"","parse-names":false,"suffix":""},{"dropping-particle":"","family":"Gin","given":"Tony","non-dropping-particle":"","parse-names":false,"suffix":""},{"dropping-particle":"","family":"Loh","given":"Pui San","non-dropping-particle":"","parse-names":false,"suffix":""},{"dropping-particle":"","family":"Liew","given":"Mun Thing","non-dropping-particle":"","parse-names":false,"suffix":""},{"dropping-particle":"","family":"Ramli","given":"Norlisah","non-dropping-particle":"","parse-names":false,"suffix":""},{"dropping-particle":"","family":"Siow","given":"Yee Lein","non-dropping-particle":"","parse-names":false,"suffix":""},{"dropping-particle":"","family":"Fuentes","given":"Maite","non-dropping-particle":"","parse-names":false,"suffix":""},{"dropping-particle":"","family":"Ortiz-Soriano","given":"Victor","non-dropping-particle":"","parse-names":false,"suffix":""},{"dropping-particle":"","family":"Waymouth","given":"Ellen","non-dropping-particle":"","parse-names":false,"suffix":""},{"dropping-particle":"","family":"Kumar","given":"Jonathan","non-dropping-particle":"","parse-names":false,"suffix":""},{"dropping-particle":"","family":"Sadana","given":"Divya","non-dropping-particle":"","parse-names":false,"suffix":""},{"dropping-particle":"","family":"Thomas","given":"Lenimol","non-dropping-particle":"","parse-names":false,"suffix":""},{"dropping-particle":"","family":"Kaczmarek","given":"Bogusz","non-dropping-particle":"","parse-names":false,"suffix":""},{"dropping-particle":"","family":"Lindroth","given":"Heidi","non-dropping-particle":"","parse-names":false,"suffix":""},{"dropping-particle":"","family":"Sessler","given":"Daniel","non-dropping-particle":"","parse-names":false,"suffix":""},{"dropping-particle":"","family":"Apolcer","given":"Sarah","non-dropping-particle":"","parse-names":false,"suffix":""},{"dropping-particle":"","family":"Trombetta","given":"Amelia","non-dropping-particle":"","parse-names":false,"suffix":""},{"dropping-particle":"","family":"Handsor","given":"Stephanie","non-dropping-particle":"","parse-names":false,"suffix":""},{"dropping-particle":"","family":"Dasgupta","given":"Monidipa","non-dropping-particle":"","parse-names":false,"suffix":""},{"dropping-particle":"","family":"Murkin","given":"John M.","non-dropping-particle":"","parse-names":false,"suffix":""},{"dropping-particle":"","family":"Lee","given":"Shun Fu","non-dropping-particle":"","parse-names":false,"suffix":""},{"dropping-particle":"","family":"Devereaux","given":"P. J.","non-dropping-particle":"","parse-names":false,"suffix":""}],"container-title":"The Lancet","id":"ITEM-1","issue":"10203","issued":{"date-parts":[["2019"]]},"page":"1022-1029","title":"Perioperative covert stroke in patients undergoing non-cardiac surgery (NeuroVISION): a prospective cohort study","type":"article-journal","volume":"394"},"uris":["http://www.mendeley.com/documents/?uuid=12492bfd-6893-4c44-8876-772adec4b2c5"]}],"mendeley":{"formattedCitation":"&lt;sup&gt;1&lt;/sup&gt;","plainTextFormattedCitation":"1","previouslyFormattedCitation":"&lt;sup&gt;1&lt;/sup&gt;"},"properties":{"noteIndex":0},"schema":"https://github.com/citation-style-language/schema/raw/master/csl-citation.json"}</w:instrText>
      </w:r>
      <w:r w:rsidRPr="00B6585E">
        <w:rPr>
          <w:rFonts w:ascii="Arial" w:hAnsi="Arial" w:cs="Arial"/>
          <w:color w:val="000000" w:themeColor="text1"/>
          <w:sz w:val="22"/>
          <w:szCs w:val="22"/>
        </w:rPr>
        <w:fldChar w:fldCharType="separate"/>
      </w:r>
      <w:r w:rsidRPr="00B6585E">
        <w:rPr>
          <w:rFonts w:ascii="Arial" w:hAnsi="Arial" w:cs="Arial"/>
          <w:noProof/>
          <w:color w:val="000000" w:themeColor="text1"/>
          <w:sz w:val="22"/>
          <w:szCs w:val="22"/>
          <w:vertAlign w:val="superscript"/>
        </w:rPr>
        <w:t>1</w:t>
      </w:r>
      <w:r w:rsidRPr="00B6585E">
        <w:rPr>
          <w:rFonts w:ascii="Arial" w:hAnsi="Arial" w:cs="Arial"/>
          <w:color w:val="000000" w:themeColor="text1"/>
          <w:sz w:val="22"/>
          <w:szCs w:val="22"/>
        </w:rPr>
        <w:fldChar w:fldCharType="end"/>
      </w:r>
      <w:r w:rsidRPr="00B6585E">
        <w:rPr>
          <w:rFonts w:ascii="Arial" w:hAnsi="Arial" w:cs="Arial"/>
          <w:color w:val="000000" w:themeColor="text1"/>
          <w:sz w:val="22"/>
          <w:szCs w:val="22"/>
        </w:rPr>
        <w:t xml:space="preserve"> Therefore, we assume that patients receiving levosimendan will have a more stable cardiac output in the perioperative setting and thus have no decline in the MoCA. As compared, we assume a MoCA decline of at least 2 points with a standard deviation of 4 (which is defined as significant neurocognitive decline) in patients receiving placebo. </w:t>
      </w:r>
    </w:p>
    <w:p w14:paraId="35BF955A"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To detect a clinical relevant difference of at least 2 points in MoCA between both study groups, we calculated that at least 70 patients per group are needed to get 80% power with a two-sided Wilcoxon-Rank-Sum test to detect the assumed difference in MoCA at an alpha level of 0.05. </w:t>
      </w:r>
    </w:p>
    <w:p w14:paraId="11D1713E" w14:textId="77777777" w:rsidR="00EF7AD5" w:rsidRPr="00B6585E" w:rsidRDefault="00EF7AD5">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2AF21F4E" w14:textId="77777777" w:rsidR="00EF7AD5" w:rsidRPr="00B6585E" w:rsidRDefault="00EF7AD5">
      <w:pPr>
        <w:rPr>
          <w:rFonts w:ascii="Arial" w:hAnsi="Arial" w:cs="Arial"/>
          <w:b/>
          <w:bCs/>
          <w:i/>
          <w:iCs/>
          <w:color w:val="000000" w:themeColor="text1"/>
          <w:sz w:val="22"/>
          <w:szCs w:val="22"/>
        </w:rPr>
      </w:pPr>
      <w:r w:rsidRPr="00B6585E">
        <w:rPr>
          <w:rFonts w:ascii="Arial" w:hAnsi="Arial" w:cs="Arial"/>
          <w:b/>
          <w:bCs/>
          <w:i/>
          <w:iCs/>
          <w:color w:val="000000" w:themeColor="text1"/>
          <w:sz w:val="22"/>
          <w:szCs w:val="22"/>
        </w:rPr>
        <w:lastRenderedPageBreak/>
        <w:t>Outcome definitions</w:t>
      </w:r>
    </w:p>
    <w:p w14:paraId="25A7CDA0" w14:textId="77777777" w:rsidR="00EF7AD5" w:rsidRPr="00B6585E" w:rsidRDefault="00EF7AD5" w:rsidP="001D162A">
      <w:pPr>
        <w:jc w:val="both"/>
        <w:rPr>
          <w:rFonts w:ascii="Arial" w:hAnsi="Arial" w:cs="Arial"/>
          <w:color w:val="000000" w:themeColor="text1"/>
          <w:sz w:val="22"/>
          <w:szCs w:val="22"/>
        </w:rPr>
      </w:pPr>
    </w:p>
    <w:p w14:paraId="3188483F"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Transient ischemic attack (TIA)</w:t>
      </w:r>
    </w:p>
    <w:p w14:paraId="5448598D"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Transient ischemic attack will be defined as a new focal neurological deficit thought to be vascular in origin with signs and symptoms lasting less than 24 hours, as diagnosed by a physician involved in the patient´s care. </w:t>
      </w:r>
    </w:p>
    <w:p w14:paraId="76A046B1" w14:textId="77777777" w:rsidR="00EF7AD5" w:rsidRPr="00B6585E" w:rsidRDefault="00EF7AD5" w:rsidP="001D162A">
      <w:pPr>
        <w:jc w:val="both"/>
        <w:rPr>
          <w:rFonts w:ascii="Arial" w:hAnsi="Arial" w:cs="Arial"/>
          <w:color w:val="000000" w:themeColor="text1"/>
          <w:sz w:val="22"/>
          <w:szCs w:val="22"/>
        </w:rPr>
      </w:pPr>
    </w:p>
    <w:p w14:paraId="7DC4F7A6"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Dementia</w:t>
      </w:r>
    </w:p>
    <w:p w14:paraId="085D852F"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The outcome dementia will be met if a physician will diagnose a patient with dementia.</w:t>
      </w:r>
    </w:p>
    <w:p w14:paraId="06CB0284" w14:textId="77777777" w:rsidR="00EF7AD5" w:rsidRPr="00B6585E" w:rsidRDefault="00EF7AD5" w:rsidP="001D162A">
      <w:pPr>
        <w:jc w:val="both"/>
        <w:rPr>
          <w:rFonts w:ascii="Arial" w:hAnsi="Arial" w:cs="Arial"/>
          <w:color w:val="000000" w:themeColor="text1"/>
          <w:sz w:val="22"/>
          <w:szCs w:val="22"/>
        </w:rPr>
      </w:pPr>
    </w:p>
    <w:p w14:paraId="352C3C66" w14:textId="77777777" w:rsidR="00EF7AD5" w:rsidRPr="00B6585E" w:rsidRDefault="00EF7AD5" w:rsidP="001D162A">
      <w:pPr>
        <w:jc w:val="both"/>
        <w:rPr>
          <w:rFonts w:ascii="Arial" w:hAnsi="Arial" w:cs="Arial"/>
          <w:i/>
          <w:iCs/>
          <w:color w:val="000000" w:themeColor="text1"/>
          <w:sz w:val="22"/>
          <w:szCs w:val="22"/>
        </w:rPr>
      </w:pPr>
      <w:r w:rsidRPr="00B6585E">
        <w:rPr>
          <w:rFonts w:ascii="Arial" w:hAnsi="Arial" w:cs="Arial"/>
          <w:i/>
          <w:iCs/>
          <w:color w:val="000000" w:themeColor="text1"/>
          <w:sz w:val="22"/>
          <w:szCs w:val="22"/>
        </w:rPr>
        <w:t>Mild cognitive impairment</w:t>
      </w:r>
    </w:p>
    <w:p w14:paraId="7D15E29A" w14:textId="77777777" w:rsidR="00EF7AD5" w:rsidRPr="00B6585E" w:rsidRDefault="00EF7AD5" w:rsidP="001D162A">
      <w:pPr>
        <w:jc w:val="both"/>
        <w:rPr>
          <w:rFonts w:ascii="Arial" w:hAnsi="Arial" w:cs="Arial"/>
          <w:color w:val="000000" w:themeColor="text1"/>
          <w:sz w:val="22"/>
          <w:szCs w:val="22"/>
        </w:rPr>
      </w:pPr>
      <w:r w:rsidRPr="00B6585E">
        <w:rPr>
          <w:rFonts w:ascii="Arial" w:hAnsi="Arial" w:cs="Arial"/>
          <w:color w:val="000000" w:themeColor="text1"/>
          <w:sz w:val="22"/>
          <w:szCs w:val="22"/>
        </w:rPr>
        <w:t xml:space="preserve">The outcome mild cognitive impairment will be met if a physician will diagnose a study patient with mild cognitive impairment. </w:t>
      </w:r>
    </w:p>
    <w:p w14:paraId="4BA32E13" w14:textId="77777777" w:rsidR="00EF7AD5" w:rsidRPr="00B6585E" w:rsidRDefault="00EF7AD5" w:rsidP="001D162A">
      <w:pPr>
        <w:jc w:val="both"/>
        <w:rPr>
          <w:color w:val="000000" w:themeColor="text1"/>
        </w:rPr>
      </w:pPr>
    </w:p>
    <w:p w14:paraId="4E2B59C1" w14:textId="77777777" w:rsidR="00EF7AD5" w:rsidRPr="00B6585E" w:rsidRDefault="00EF7AD5">
      <w:pPr>
        <w:rPr>
          <w:rFonts w:ascii="Arial" w:hAnsi="Arial" w:cs="Arial"/>
          <w:color w:val="000000" w:themeColor="text1"/>
          <w:sz w:val="22"/>
          <w:szCs w:val="22"/>
        </w:rPr>
      </w:pPr>
    </w:p>
    <w:p w14:paraId="701F2C8F" w14:textId="77777777" w:rsidR="00EF7AD5" w:rsidRPr="00B6585E" w:rsidRDefault="00EF7AD5">
      <w:pPr>
        <w:rPr>
          <w:rFonts w:ascii="Arial" w:hAnsi="Arial" w:cs="Arial"/>
          <w:color w:val="000000" w:themeColor="text1"/>
          <w:sz w:val="22"/>
          <w:szCs w:val="22"/>
        </w:rPr>
      </w:pPr>
    </w:p>
    <w:p w14:paraId="76FD55EB" w14:textId="77777777" w:rsidR="00EF7AD5" w:rsidRPr="00B6585E" w:rsidRDefault="00EF7AD5">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6FD60ED5" w14:textId="77777777" w:rsidR="00EF7AD5" w:rsidRPr="00B6585E" w:rsidRDefault="00EF7AD5">
      <w:pPr>
        <w:rPr>
          <w:rFonts w:ascii="Arial" w:hAnsi="Arial" w:cs="Arial"/>
          <w:b/>
          <w:bCs/>
          <w:color w:val="000000" w:themeColor="text1"/>
          <w:sz w:val="22"/>
          <w:szCs w:val="22"/>
        </w:rPr>
      </w:pPr>
      <w:r w:rsidRPr="00B6585E">
        <w:rPr>
          <w:rFonts w:ascii="Arial" w:hAnsi="Arial" w:cs="Arial"/>
          <w:b/>
          <w:bCs/>
          <w:color w:val="000000" w:themeColor="text1"/>
          <w:sz w:val="22"/>
          <w:szCs w:val="22"/>
        </w:rPr>
        <w:lastRenderedPageBreak/>
        <w:t>References</w:t>
      </w:r>
    </w:p>
    <w:p w14:paraId="0203E1F7" w14:textId="77777777" w:rsidR="00EF7AD5" w:rsidRPr="00B6585E" w:rsidRDefault="00EF7AD5">
      <w:pPr>
        <w:rPr>
          <w:rFonts w:ascii="Arial" w:hAnsi="Arial" w:cs="Arial"/>
          <w:b/>
          <w:bCs/>
          <w:color w:val="000000" w:themeColor="text1"/>
          <w:sz w:val="22"/>
          <w:szCs w:val="22"/>
        </w:rPr>
      </w:pPr>
    </w:p>
    <w:p w14:paraId="6A007973"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b/>
          <w:bCs/>
          <w:color w:val="000000" w:themeColor="text1"/>
          <w:sz w:val="22"/>
          <w:szCs w:val="22"/>
        </w:rPr>
        <w:fldChar w:fldCharType="begin" w:fldLock="1"/>
      </w:r>
      <w:r w:rsidRPr="00B6585E">
        <w:rPr>
          <w:rFonts w:ascii="Arial" w:hAnsi="Arial" w:cs="Arial"/>
          <w:b/>
          <w:bCs/>
          <w:color w:val="000000" w:themeColor="text1"/>
          <w:sz w:val="22"/>
          <w:szCs w:val="22"/>
        </w:rPr>
        <w:instrText xml:space="preserve">ADDIN Mendeley Bibliography CSL_BIBLIOGRAPHY </w:instrText>
      </w:r>
      <w:r w:rsidRPr="00B6585E">
        <w:rPr>
          <w:rFonts w:ascii="Arial" w:hAnsi="Arial" w:cs="Arial"/>
          <w:b/>
          <w:bCs/>
          <w:color w:val="000000" w:themeColor="text1"/>
          <w:sz w:val="22"/>
          <w:szCs w:val="22"/>
        </w:rPr>
        <w:fldChar w:fldCharType="separate"/>
      </w:r>
      <w:r w:rsidRPr="00B6585E">
        <w:rPr>
          <w:rFonts w:ascii="Arial" w:hAnsi="Arial" w:cs="Arial"/>
          <w:noProof/>
          <w:color w:val="000000" w:themeColor="text1"/>
          <w:sz w:val="22"/>
          <w:lang w:val="en-GB"/>
        </w:rPr>
        <w:t xml:space="preserve">1. </w:t>
      </w:r>
      <w:r w:rsidRPr="00B6585E">
        <w:rPr>
          <w:rFonts w:ascii="Arial" w:hAnsi="Arial" w:cs="Arial"/>
          <w:noProof/>
          <w:color w:val="000000" w:themeColor="text1"/>
          <w:sz w:val="22"/>
          <w:lang w:val="en-GB"/>
        </w:rPr>
        <w:tab/>
        <w:t xml:space="preserve">Mrkobrada M, Chan MTV, Cowan D, et al. Perioperative covert stroke in patients undergoing non-cardiac surgery (NeuroVISION): a prospective cohort study. </w:t>
      </w:r>
      <w:r w:rsidRPr="00B6585E">
        <w:rPr>
          <w:rFonts w:ascii="Arial" w:hAnsi="Arial" w:cs="Arial"/>
          <w:i/>
          <w:iCs/>
          <w:noProof/>
          <w:color w:val="000000" w:themeColor="text1"/>
          <w:sz w:val="22"/>
          <w:lang w:val="en-GB"/>
        </w:rPr>
        <w:t>Lancet</w:t>
      </w:r>
      <w:r w:rsidRPr="00B6585E">
        <w:rPr>
          <w:rFonts w:ascii="Arial" w:hAnsi="Arial" w:cs="Arial"/>
          <w:noProof/>
          <w:color w:val="000000" w:themeColor="text1"/>
          <w:sz w:val="22"/>
          <w:lang w:val="en-GB"/>
        </w:rPr>
        <w:t xml:space="preserve"> 2019; </w:t>
      </w:r>
      <w:r w:rsidRPr="00B6585E">
        <w:rPr>
          <w:rFonts w:ascii="Arial" w:hAnsi="Arial" w:cs="Arial"/>
          <w:b/>
          <w:bCs/>
          <w:noProof/>
          <w:color w:val="000000" w:themeColor="text1"/>
          <w:sz w:val="22"/>
          <w:lang w:val="en-GB"/>
        </w:rPr>
        <w:t>394</w:t>
      </w:r>
      <w:r w:rsidRPr="00B6585E">
        <w:rPr>
          <w:rFonts w:ascii="Arial" w:hAnsi="Arial" w:cs="Arial"/>
          <w:noProof/>
          <w:color w:val="000000" w:themeColor="text1"/>
          <w:sz w:val="22"/>
          <w:lang w:val="en-GB"/>
        </w:rPr>
        <w:t xml:space="preserve">: 1022–9 </w:t>
      </w:r>
    </w:p>
    <w:p w14:paraId="2F401DE0"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de-AT"/>
        </w:rPr>
      </w:pPr>
      <w:r w:rsidRPr="00B6585E">
        <w:rPr>
          <w:rFonts w:ascii="Arial" w:hAnsi="Arial" w:cs="Arial"/>
          <w:noProof/>
          <w:color w:val="000000" w:themeColor="text1"/>
          <w:sz w:val="22"/>
          <w:lang w:val="en-GB"/>
        </w:rPr>
        <w:t xml:space="preserve">2. </w:t>
      </w:r>
      <w:r w:rsidRPr="00B6585E">
        <w:rPr>
          <w:rFonts w:ascii="Arial" w:hAnsi="Arial" w:cs="Arial"/>
          <w:noProof/>
          <w:color w:val="000000" w:themeColor="text1"/>
          <w:sz w:val="22"/>
          <w:lang w:val="en-GB"/>
        </w:rPr>
        <w:tab/>
        <w:t xml:space="preserve">Mashour GA, Shanks AM, Kheterpal S. Perioperative stroke and associated mortality after noncardiac, nonneurologic surgery. </w:t>
      </w:r>
      <w:r w:rsidRPr="00B6585E">
        <w:rPr>
          <w:rFonts w:ascii="Arial" w:hAnsi="Arial" w:cs="Arial"/>
          <w:i/>
          <w:iCs/>
          <w:noProof/>
          <w:color w:val="000000" w:themeColor="text1"/>
          <w:sz w:val="22"/>
          <w:lang w:val="de-AT"/>
        </w:rPr>
        <w:t>Anesthesiology</w:t>
      </w:r>
      <w:r w:rsidRPr="00B6585E">
        <w:rPr>
          <w:rFonts w:ascii="Arial" w:hAnsi="Arial" w:cs="Arial"/>
          <w:noProof/>
          <w:color w:val="000000" w:themeColor="text1"/>
          <w:sz w:val="22"/>
          <w:lang w:val="de-AT"/>
        </w:rPr>
        <w:t xml:space="preserve"> 2011; </w:t>
      </w:r>
      <w:r w:rsidRPr="00B6585E">
        <w:rPr>
          <w:rFonts w:ascii="Arial" w:hAnsi="Arial" w:cs="Arial"/>
          <w:b/>
          <w:bCs/>
          <w:noProof/>
          <w:color w:val="000000" w:themeColor="text1"/>
          <w:sz w:val="22"/>
          <w:lang w:val="de-AT"/>
        </w:rPr>
        <w:t>114</w:t>
      </w:r>
      <w:r w:rsidRPr="00B6585E">
        <w:rPr>
          <w:rFonts w:ascii="Arial" w:hAnsi="Arial" w:cs="Arial"/>
          <w:noProof/>
          <w:color w:val="000000" w:themeColor="text1"/>
          <w:sz w:val="22"/>
          <w:lang w:val="de-AT"/>
        </w:rPr>
        <w:t xml:space="preserve">: 1289–96 </w:t>
      </w:r>
    </w:p>
    <w:p w14:paraId="49C6F6D6"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de-AT"/>
        </w:rPr>
        <w:t xml:space="preserve">3. </w:t>
      </w:r>
      <w:r w:rsidRPr="00B6585E">
        <w:rPr>
          <w:rFonts w:ascii="Arial" w:hAnsi="Arial" w:cs="Arial"/>
          <w:noProof/>
          <w:color w:val="000000" w:themeColor="text1"/>
          <w:sz w:val="22"/>
          <w:lang w:val="de-AT"/>
        </w:rPr>
        <w:tab/>
        <w:t xml:space="preserve">Bohsali F, Klimpl D, Baumgartner R, Sieber F, Eid SM. </w:t>
      </w:r>
      <w:r w:rsidRPr="00B6585E">
        <w:rPr>
          <w:rFonts w:ascii="Arial" w:hAnsi="Arial" w:cs="Arial"/>
          <w:noProof/>
          <w:color w:val="000000" w:themeColor="text1"/>
          <w:sz w:val="22"/>
          <w:lang w:val="en-GB"/>
        </w:rPr>
        <w:t xml:space="preserve">Effect of Heart Failure With Preserved Ejection Fraction on Perioperative Outcomes in Patients Undergoing Hip Fracture Surgery. </w:t>
      </w:r>
      <w:r w:rsidRPr="00B6585E">
        <w:rPr>
          <w:rFonts w:ascii="Arial" w:hAnsi="Arial" w:cs="Arial"/>
          <w:i/>
          <w:iCs/>
          <w:noProof/>
          <w:color w:val="000000" w:themeColor="text1"/>
          <w:sz w:val="22"/>
          <w:lang w:val="en-GB"/>
        </w:rPr>
        <w:t>J Am Acad Orthop Surg</w:t>
      </w:r>
      <w:r w:rsidRPr="00B6585E">
        <w:rPr>
          <w:rFonts w:ascii="Arial" w:hAnsi="Arial" w:cs="Arial"/>
          <w:noProof/>
          <w:color w:val="000000" w:themeColor="text1"/>
          <w:sz w:val="22"/>
          <w:lang w:val="en-GB"/>
        </w:rPr>
        <w:t xml:space="preserve"> 2020; </w:t>
      </w:r>
      <w:r w:rsidRPr="00B6585E">
        <w:rPr>
          <w:rFonts w:ascii="Arial" w:hAnsi="Arial" w:cs="Arial"/>
          <w:b/>
          <w:bCs/>
          <w:noProof/>
          <w:color w:val="000000" w:themeColor="text1"/>
          <w:sz w:val="22"/>
          <w:lang w:val="en-GB"/>
        </w:rPr>
        <w:t>28</w:t>
      </w:r>
      <w:r w:rsidRPr="00B6585E">
        <w:rPr>
          <w:rFonts w:ascii="Arial" w:hAnsi="Arial" w:cs="Arial"/>
          <w:noProof/>
          <w:color w:val="000000" w:themeColor="text1"/>
          <w:sz w:val="22"/>
          <w:lang w:val="en-GB"/>
        </w:rPr>
        <w:t xml:space="preserve">: e131–8 </w:t>
      </w:r>
    </w:p>
    <w:p w14:paraId="70F84F20"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en-GB"/>
        </w:rPr>
        <w:t xml:space="preserve">4. </w:t>
      </w:r>
      <w:r w:rsidRPr="00B6585E">
        <w:rPr>
          <w:rFonts w:ascii="Arial" w:hAnsi="Arial" w:cs="Arial"/>
          <w:noProof/>
          <w:color w:val="000000" w:themeColor="text1"/>
          <w:sz w:val="22"/>
          <w:lang w:val="en-GB"/>
        </w:rPr>
        <w:tab/>
        <w:t xml:space="preserve">Soeding PF, Hoy S, Hoy G, Evans M, Royse CF. Effect of phenylephrine on the haemodynamic state and cerebral oxygen saturation during anaesthesia in the upright position. </w:t>
      </w:r>
      <w:r w:rsidRPr="00B6585E">
        <w:rPr>
          <w:rFonts w:ascii="Arial" w:hAnsi="Arial" w:cs="Arial"/>
          <w:i/>
          <w:iCs/>
          <w:noProof/>
          <w:color w:val="000000" w:themeColor="text1"/>
          <w:sz w:val="22"/>
          <w:lang w:val="en-GB"/>
        </w:rPr>
        <w:t>Br J Anaesth</w:t>
      </w:r>
      <w:r w:rsidRPr="00B6585E">
        <w:rPr>
          <w:rFonts w:ascii="Arial" w:hAnsi="Arial" w:cs="Arial"/>
          <w:noProof/>
          <w:color w:val="000000" w:themeColor="text1"/>
          <w:sz w:val="22"/>
          <w:lang w:val="en-GB"/>
        </w:rPr>
        <w:t xml:space="preserve"> [Internet] The Author(s); 2013; </w:t>
      </w:r>
      <w:r w:rsidRPr="00B6585E">
        <w:rPr>
          <w:rFonts w:ascii="Arial" w:hAnsi="Arial" w:cs="Arial"/>
          <w:b/>
          <w:bCs/>
          <w:noProof/>
          <w:color w:val="000000" w:themeColor="text1"/>
          <w:sz w:val="22"/>
          <w:lang w:val="en-GB"/>
        </w:rPr>
        <w:t>111</w:t>
      </w:r>
      <w:r w:rsidRPr="00B6585E">
        <w:rPr>
          <w:rFonts w:ascii="Arial" w:hAnsi="Arial" w:cs="Arial"/>
          <w:noProof/>
          <w:color w:val="000000" w:themeColor="text1"/>
          <w:sz w:val="22"/>
          <w:lang w:val="en-GB"/>
        </w:rPr>
        <w:t>: 229–34 Available from: http://dx.doi.org/10.1093/bja/aet024</w:t>
      </w:r>
    </w:p>
    <w:p w14:paraId="0100613C"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en-GB"/>
        </w:rPr>
        <w:t xml:space="preserve">5. </w:t>
      </w:r>
      <w:r w:rsidRPr="00B6585E">
        <w:rPr>
          <w:rFonts w:ascii="Arial" w:hAnsi="Arial" w:cs="Arial"/>
          <w:noProof/>
          <w:color w:val="000000" w:themeColor="text1"/>
          <w:sz w:val="22"/>
          <w:lang w:val="en-GB"/>
        </w:rPr>
        <w:tab/>
        <w:t xml:space="preserve">Moore EE, Liu D, Bown CW, et al. Lower cardiac output is associated with neurodegeneration among older adults with normal cognition but not mild cognitive impairment. </w:t>
      </w:r>
      <w:r w:rsidRPr="00B6585E">
        <w:rPr>
          <w:rFonts w:ascii="Arial" w:hAnsi="Arial" w:cs="Arial"/>
          <w:i/>
          <w:iCs/>
          <w:noProof/>
          <w:color w:val="000000" w:themeColor="text1"/>
          <w:sz w:val="22"/>
          <w:lang w:val="en-GB"/>
        </w:rPr>
        <w:t>Brain Imaging Behav</w:t>
      </w:r>
      <w:r w:rsidRPr="00B6585E">
        <w:rPr>
          <w:rFonts w:ascii="Arial" w:hAnsi="Arial" w:cs="Arial"/>
          <w:noProof/>
          <w:color w:val="000000" w:themeColor="text1"/>
          <w:sz w:val="22"/>
          <w:lang w:val="en-GB"/>
        </w:rPr>
        <w:t xml:space="preserve"> Brain Imaging and Behavior; 2020; </w:t>
      </w:r>
    </w:p>
    <w:p w14:paraId="069EEFC6"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en-GB"/>
        </w:rPr>
        <w:t xml:space="preserve">6. </w:t>
      </w:r>
      <w:r w:rsidRPr="00B6585E">
        <w:rPr>
          <w:rFonts w:ascii="Arial" w:hAnsi="Arial" w:cs="Arial"/>
          <w:noProof/>
          <w:color w:val="000000" w:themeColor="text1"/>
          <w:sz w:val="22"/>
          <w:lang w:val="en-GB"/>
        </w:rPr>
        <w:tab/>
        <w:t xml:space="preserve">Sessler DI, Meyhoff CS, Zimmerman NM, et al. Period-dependent Associations between Hypotension during and for Four Days after Noncardiac Surgery and a Composite of Myocardial Infarction and Death: A Substudy of the POISE-2 Trial. </w:t>
      </w:r>
      <w:r w:rsidRPr="00B6585E">
        <w:rPr>
          <w:rFonts w:ascii="Arial" w:hAnsi="Arial" w:cs="Arial"/>
          <w:i/>
          <w:iCs/>
          <w:noProof/>
          <w:color w:val="000000" w:themeColor="text1"/>
          <w:sz w:val="22"/>
          <w:lang w:val="en-GB"/>
        </w:rPr>
        <w:t>Anesthesiology</w:t>
      </w:r>
      <w:r w:rsidRPr="00B6585E">
        <w:rPr>
          <w:rFonts w:ascii="Arial" w:hAnsi="Arial" w:cs="Arial"/>
          <w:noProof/>
          <w:color w:val="000000" w:themeColor="text1"/>
          <w:sz w:val="22"/>
          <w:lang w:val="en-GB"/>
        </w:rPr>
        <w:t xml:space="preserve"> 2018; </w:t>
      </w:r>
      <w:r w:rsidRPr="00B6585E">
        <w:rPr>
          <w:rFonts w:ascii="Arial" w:hAnsi="Arial" w:cs="Arial"/>
          <w:b/>
          <w:bCs/>
          <w:noProof/>
          <w:color w:val="000000" w:themeColor="text1"/>
          <w:sz w:val="22"/>
          <w:lang w:val="en-GB"/>
        </w:rPr>
        <w:t>128</w:t>
      </w:r>
      <w:r w:rsidRPr="00B6585E">
        <w:rPr>
          <w:rFonts w:ascii="Arial" w:hAnsi="Arial" w:cs="Arial"/>
          <w:noProof/>
          <w:color w:val="000000" w:themeColor="text1"/>
          <w:sz w:val="22"/>
          <w:lang w:val="en-GB"/>
        </w:rPr>
        <w:t xml:space="preserve">: 317–27 </w:t>
      </w:r>
    </w:p>
    <w:p w14:paraId="1A614285"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en-GB"/>
        </w:rPr>
        <w:t xml:space="preserve">7. </w:t>
      </w:r>
      <w:r w:rsidRPr="00B6585E">
        <w:rPr>
          <w:rFonts w:ascii="Arial" w:hAnsi="Arial" w:cs="Arial"/>
          <w:noProof/>
          <w:color w:val="000000" w:themeColor="text1"/>
          <w:sz w:val="22"/>
          <w:lang w:val="en-GB"/>
        </w:rPr>
        <w:tab/>
      </w:r>
      <w:r w:rsidRPr="00E86DD8">
        <w:rPr>
          <w:rFonts w:ascii="Arial" w:hAnsi="Arial" w:cs="Arial"/>
          <w:noProof/>
          <w:color w:val="000000" w:themeColor="text1"/>
          <w:sz w:val="22"/>
        </w:rPr>
        <w:t xml:space="preserve">Krishnan K, Rossetti H, Hynan LS, et al. </w:t>
      </w:r>
      <w:r w:rsidRPr="00B6585E">
        <w:rPr>
          <w:rFonts w:ascii="Arial" w:hAnsi="Arial" w:cs="Arial"/>
          <w:noProof/>
          <w:color w:val="000000" w:themeColor="text1"/>
          <w:sz w:val="22"/>
          <w:lang w:val="en-GB"/>
        </w:rPr>
        <w:t xml:space="preserve">Changes in Montreal Cognitive Assessment Scores Over Time. </w:t>
      </w:r>
      <w:r w:rsidRPr="00B6585E">
        <w:rPr>
          <w:rFonts w:ascii="Arial" w:hAnsi="Arial" w:cs="Arial"/>
          <w:i/>
          <w:iCs/>
          <w:noProof/>
          <w:color w:val="000000" w:themeColor="text1"/>
          <w:sz w:val="22"/>
          <w:lang w:val="en-GB"/>
        </w:rPr>
        <w:t>Assessment</w:t>
      </w:r>
      <w:r w:rsidRPr="00B6585E">
        <w:rPr>
          <w:rFonts w:ascii="Arial" w:hAnsi="Arial" w:cs="Arial"/>
          <w:noProof/>
          <w:color w:val="000000" w:themeColor="text1"/>
          <w:sz w:val="22"/>
          <w:lang w:val="en-GB"/>
        </w:rPr>
        <w:t xml:space="preserve"> 2017; </w:t>
      </w:r>
      <w:r w:rsidRPr="00B6585E">
        <w:rPr>
          <w:rFonts w:ascii="Arial" w:hAnsi="Arial" w:cs="Arial"/>
          <w:b/>
          <w:bCs/>
          <w:noProof/>
          <w:color w:val="000000" w:themeColor="text1"/>
          <w:sz w:val="22"/>
          <w:lang w:val="en-GB"/>
        </w:rPr>
        <w:t>24</w:t>
      </w:r>
      <w:r w:rsidRPr="00B6585E">
        <w:rPr>
          <w:rFonts w:ascii="Arial" w:hAnsi="Arial" w:cs="Arial"/>
          <w:noProof/>
          <w:color w:val="000000" w:themeColor="text1"/>
          <w:sz w:val="22"/>
          <w:lang w:val="en-GB"/>
        </w:rPr>
        <w:t xml:space="preserve">: 772–7 </w:t>
      </w:r>
    </w:p>
    <w:p w14:paraId="2041A126"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en-GB"/>
        </w:rPr>
        <w:t xml:space="preserve">8. </w:t>
      </w:r>
      <w:r w:rsidRPr="00B6585E">
        <w:rPr>
          <w:rFonts w:ascii="Arial" w:hAnsi="Arial" w:cs="Arial"/>
          <w:noProof/>
          <w:color w:val="000000" w:themeColor="text1"/>
          <w:sz w:val="22"/>
          <w:lang w:val="en-GB"/>
        </w:rPr>
        <w:tab/>
        <w:t xml:space="preserve">Tan HH, Xu J, Teoh HL, et al. Decline in changing montreal cognitive assessment (MoCA) scores is associated withpost-stroke cognitive decline determined by a formal neuropsychological evaluation. </w:t>
      </w:r>
      <w:r w:rsidRPr="00B6585E">
        <w:rPr>
          <w:rFonts w:ascii="Arial" w:hAnsi="Arial" w:cs="Arial"/>
          <w:i/>
          <w:iCs/>
          <w:noProof/>
          <w:color w:val="000000" w:themeColor="text1"/>
          <w:sz w:val="22"/>
          <w:lang w:val="en-GB"/>
        </w:rPr>
        <w:t>PLoS One</w:t>
      </w:r>
      <w:r w:rsidRPr="00B6585E">
        <w:rPr>
          <w:rFonts w:ascii="Arial" w:hAnsi="Arial" w:cs="Arial"/>
          <w:noProof/>
          <w:color w:val="000000" w:themeColor="text1"/>
          <w:sz w:val="22"/>
          <w:lang w:val="en-GB"/>
        </w:rPr>
        <w:t xml:space="preserve"> 2017; </w:t>
      </w:r>
      <w:r w:rsidRPr="00B6585E">
        <w:rPr>
          <w:rFonts w:ascii="Arial" w:hAnsi="Arial" w:cs="Arial"/>
          <w:b/>
          <w:bCs/>
          <w:noProof/>
          <w:color w:val="000000" w:themeColor="text1"/>
          <w:sz w:val="22"/>
          <w:lang w:val="en-GB"/>
        </w:rPr>
        <w:t>12</w:t>
      </w:r>
      <w:r w:rsidRPr="00B6585E">
        <w:rPr>
          <w:rFonts w:ascii="Arial" w:hAnsi="Arial" w:cs="Arial"/>
          <w:noProof/>
          <w:color w:val="000000" w:themeColor="text1"/>
          <w:sz w:val="22"/>
          <w:lang w:val="en-GB"/>
        </w:rPr>
        <w:t xml:space="preserve">: 3–6 </w:t>
      </w:r>
    </w:p>
    <w:p w14:paraId="10CFE530"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lang w:val="en-GB"/>
        </w:rPr>
      </w:pPr>
      <w:r w:rsidRPr="00B6585E">
        <w:rPr>
          <w:rFonts w:ascii="Arial" w:hAnsi="Arial" w:cs="Arial"/>
          <w:noProof/>
          <w:color w:val="000000" w:themeColor="text1"/>
          <w:sz w:val="22"/>
          <w:lang w:val="en-GB"/>
        </w:rPr>
        <w:t xml:space="preserve">9. </w:t>
      </w:r>
      <w:r w:rsidRPr="00B6585E">
        <w:rPr>
          <w:rFonts w:ascii="Arial" w:hAnsi="Arial" w:cs="Arial"/>
          <w:noProof/>
          <w:color w:val="000000" w:themeColor="text1"/>
          <w:sz w:val="22"/>
          <w:lang w:val="en-GB"/>
        </w:rPr>
        <w:tab/>
        <w:t xml:space="preserve">Pendlebury ST, Welch SJV, Cuthbertson FC, Mariz J, Mehta Z, Rothwell PM. Telephone assessment of cognition after transient ischemic attack and stroke: Modified telephone interview of cognitive status and telephone montreal cognitive assessment versus face-to-face montreal cognitive assessment and neuropsychological battery. </w:t>
      </w:r>
      <w:r w:rsidRPr="00B6585E">
        <w:rPr>
          <w:rFonts w:ascii="Arial" w:hAnsi="Arial" w:cs="Arial"/>
          <w:i/>
          <w:iCs/>
          <w:noProof/>
          <w:color w:val="000000" w:themeColor="text1"/>
          <w:sz w:val="22"/>
          <w:lang w:val="en-GB"/>
        </w:rPr>
        <w:t>Stroke</w:t>
      </w:r>
      <w:r w:rsidRPr="00B6585E">
        <w:rPr>
          <w:rFonts w:ascii="Arial" w:hAnsi="Arial" w:cs="Arial"/>
          <w:noProof/>
          <w:color w:val="000000" w:themeColor="text1"/>
          <w:sz w:val="22"/>
          <w:lang w:val="en-GB"/>
        </w:rPr>
        <w:t xml:space="preserve"> 2013; </w:t>
      </w:r>
      <w:r w:rsidRPr="00B6585E">
        <w:rPr>
          <w:rFonts w:ascii="Arial" w:hAnsi="Arial" w:cs="Arial"/>
          <w:b/>
          <w:bCs/>
          <w:noProof/>
          <w:color w:val="000000" w:themeColor="text1"/>
          <w:sz w:val="22"/>
          <w:lang w:val="en-GB"/>
        </w:rPr>
        <w:t>44</w:t>
      </w:r>
      <w:r w:rsidRPr="00B6585E">
        <w:rPr>
          <w:rFonts w:ascii="Arial" w:hAnsi="Arial" w:cs="Arial"/>
          <w:noProof/>
          <w:color w:val="000000" w:themeColor="text1"/>
          <w:sz w:val="22"/>
          <w:lang w:val="en-GB"/>
        </w:rPr>
        <w:t xml:space="preserve">: 227–9 </w:t>
      </w:r>
    </w:p>
    <w:p w14:paraId="129818D7" w14:textId="77777777" w:rsidR="00EF7AD5" w:rsidRPr="00B6585E" w:rsidRDefault="00EF7AD5" w:rsidP="001D162A">
      <w:pPr>
        <w:widowControl w:val="0"/>
        <w:autoSpaceDE w:val="0"/>
        <w:autoSpaceDN w:val="0"/>
        <w:adjustRightInd w:val="0"/>
        <w:ind w:left="640" w:hanging="640"/>
        <w:rPr>
          <w:rFonts w:ascii="Arial" w:hAnsi="Arial" w:cs="Arial"/>
          <w:noProof/>
          <w:color w:val="000000" w:themeColor="text1"/>
          <w:sz w:val="22"/>
        </w:rPr>
      </w:pPr>
      <w:r w:rsidRPr="00B6585E">
        <w:rPr>
          <w:rFonts w:ascii="Arial" w:hAnsi="Arial" w:cs="Arial"/>
          <w:noProof/>
          <w:color w:val="000000" w:themeColor="text1"/>
          <w:sz w:val="22"/>
          <w:lang w:val="en-GB"/>
        </w:rPr>
        <w:t xml:space="preserve">10. </w:t>
      </w:r>
      <w:r w:rsidRPr="00B6585E">
        <w:rPr>
          <w:rFonts w:ascii="Arial" w:hAnsi="Arial" w:cs="Arial"/>
          <w:noProof/>
          <w:color w:val="000000" w:themeColor="text1"/>
          <w:sz w:val="22"/>
          <w:lang w:val="en-GB"/>
        </w:rPr>
        <w:tab/>
        <w:t xml:space="preserve">Zietemann V, Kopczak A, Müller C, Wollenweber FA, Dichgans M. Validation of the telephone interview of cognitive status and telephone montreal cognitive assessment against detailed cognitive testing and clinical diagnosis of mild cognitive impairment after stroke. </w:t>
      </w:r>
      <w:r w:rsidRPr="00B6585E">
        <w:rPr>
          <w:rFonts w:ascii="Arial" w:hAnsi="Arial" w:cs="Arial"/>
          <w:i/>
          <w:iCs/>
          <w:noProof/>
          <w:color w:val="000000" w:themeColor="text1"/>
          <w:sz w:val="22"/>
          <w:lang w:val="en-GB"/>
        </w:rPr>
        <w:t>Stroke</w:t>
      </w:r>
      <w:r w:rsidRPr="00B6585E">
        <w:rPr>
          <w:rFonts w:ascii="Arial" w:hAnsi="Arial" w:cs="Arial"/>
          <w:noProof/>
          <w:color w:val="000000" w:themeColor="text1"/>
          <w:sz w:val="22"/>
          <w:lang w:val="en-GB"/>
        </w:rPr>
        <w:t xml:space="preserve"> 2017; </w:t>
      </w:r>
      <w:r w:rsidRPr="00B6585E">
        <w:rPr>
          <w:rFonts w:ascii="Arial" w:hAnsi="Arial" w:cs="Arial"/>
          <w:b/>
          <w:bCs/>
          <w:noProof/>
          <w:color w:val="000000" w:themeColor="text1"/>
          <w:sz w:val="22"/>
          <w:lang w:val="en-GB"/>
        </w:rPr>
        <w:t>48</w:t>
      </w:r>
      <w:r w:rsidRPr="00B6585E">
        <w:rPr>
          <w:rFonts w:ascii="Arial" w:hAnsi="Arial" w:cs="Arial"/>
          <w:noProof/>
          <w:color w:val="000000" w:themeColor="text1"/>
          <w:sz w:val="22"/>
          <w:lang w:val="en-GB"/>
        </w:rPr>
        <w:t xml:space="preserve">: 2952–7 </w:t>
      </w:r>
    </w:p>
    <w:p w14:paraId="6FFD9EA2" w14:textId="77777777" w:rsidR="00EF7AD5" w:rsidRPr="00B6585E" w:rsidRDefault="00EF7AD5" w:rsidP="001D162A">
      <w:pPr>
        <w:widowControl w:val="0"/>
        <w:autoSpaceDE w:val="0"/>
        <w:autoSpaceDN w:val="0"/>
        <w:adjustRightInd w:val="0"/>
        <w:ind w:left="640" w:hanging="640"/>
        <w:rPr>
          <w:rFonts w:ascii="Arial" w:hAnsi="Arial" w:cs="Arial"/>
          <w:b/>
          <w:bCs/>
          <w:color w:val="000000" w:themeColor="text1"/>
          <w:sz w:val="22"/>
          <w:szCs w:val="22"/>
        </w:rPr>
      </w:pPr>
      <w:r w:rsidRPr="00B6585E">
        <w:rPr>
          <w:rFonts w:ascii="Arial" w:hAnsi="Arial" w:cs="Arial"/>
          <w:b/>
          <w:bCs/>
          <w:color w:val="000000" w:themeColor="text1"/>
          <w:sz w:val="22"/>
          <w:szCs w:val="22"/>
        </w:rPr>
        <w:fldChar w:fldCharType="end"/>
      </w:r>
    </w:p>
    <w:p w14:paraId="1F61B526" w14:textId="28D9DD42" w:rsidR="00816FA9" w:rsidRPr="00B6585E" w:rsidRDefault="00816FA9">
      <w:pPr>
        <w:rPr>
          <w:rFonts w:ascii="Arial" w:hAnsi="Arial" w:cs="Arial"/>
          <w:color w:val="000000" w:themeColor="text1"/>
          <w:sz w:val="22"/>
          <w:szCs w:val="22"/>
        </w:rPr>
      </w:pPr>
      <w:r w:rsidRPr="00B6585E">
        <w:rPr>
          <w:rFonts w:ascii="Arial" w:hAnsi="Arial" w:cs="Arial"/>
          <w:color w:val="000000" w:themeColor="text1"/>
          <w:sz w:val="22"/>
          <w:szCs w:val="22"/>
        </w:rPr>
        <w:br w:type="page"/>
      </w:r>
    </w:p>
    <w:p w14:paraId="75E88896" w14:textId="34643F6E" w:rsidR="00816FA9" w:rsidRPr="00B6585E" w:rsidRDefault="00CC1777" w:rsidP="001D162A">
      <w:pPr>
        <w:pStyle w:val="BodyText"/>
        <w:spacing w:before="6"/>
        <w:rPr>
          <w:rFonts w:ascii="Arial" w:hAnsi="Arial" w:cs="Arial"/>
          <w:b/>
          <w:bCs/>
          <w:color w:val="000000" w:themeColor="text1"/>
          <w:szCs w:val="22"/>
        </w:rPr>
      </w:pPr>
      <w:r w:rsidRPr="00B6585E">
        <w:rPr>
          <w:rFonts w:ascii="Arial" w:hAnsi="Arial" w:cs="Arial"/>
          <w:b/>
          <w:bCs/>
          <w:color w:val="000000" w:themeColor="text1"/>
          <w:szCs w:val="22"/>
        </w:rPr>
        <w:lastRenderedPageBreak/>
        <w:t xml:space="preserve">15.10 </w:t>
      </w:r>
      <w:r w:rsidR="00816FA9" w:rsidRPr="00B6585E">
        <w:rPr>
          <w:rFonts w:ascii="Arial" w:hAnsi="Arial" w:cs="Arial"/>
          <w:b/>
          <w:bCs/>
          <w:color w:val="000000" w:themeColor="text1"/>
          <w:szCs w:val="22"/>
        </w:rPr>
        <w:t>Appendix VII: Substudy Perioperative Echocardiography</w:t>
      </w:r>
    </w:p>
    <w:p w14:paraId="74CCD56E" w14:textId="77777777" w:rsidR="00816FA9" w:rsidRPr="00B6585E" w:rsidRDefault="00816FA9" w:rsidP="001D162A">
      <w:pPr>
        <w:pStyle w:val="BodyText"/>
        <w:spacing w:before="6"/>
        <w:rPr>
          <w:rFonts w:ascii="Arial" w:hAnsi="Arial" w:cs="Arial"/>
          <w:b/>
          <w:bCs/>
          <w:color w:val="000000" w:themeColor="text1"/>
          <w:sz w:val="34"/>
        </w:rPr>
      </w:pPr>
    </w:p>
    <w:p w14:paraId="7124CF60" w14:textId="77777777" w:rsidR="00816FA9" w:rsidRPr="00B6585E" w:rsidRDefault="00816FA9" w:rsidP="00816FA9">
      <w:pPr>
        <w:pStyle w:val="Heading3"/>
        <w:numPr>
          <w:ilvl w:val="0"/>
          <w:numId w:val="0"/>
        </w:numPr>
      </w:pPr>
      <w:bookmarkStart w:id="353" w:name="_Toc96925049"/>
      <w:r w:rsidRPr="00B6585E">
        <w:t>Background</w:t>
      </w:r>
      <w:bookmarkEnd w:id="353"/>
    </w:p>
    <w:p w14:paraId="2C347DCD" w14:textId="77777777" w:rsidR="00816FA9" w:rsidRPr="00B6585E" w:rsidRDefault="00816FA9" w:rsidP="001D162A">
      <w:pPr>
        <w:pStyle w:val="BodyText"/>
        <w:rPr>
          <w:rFonts w:ascii="Arial" w:hAnsi="Arial" w:cs="Arial"/>
          <w:b/>
          <w:bCs/>
          <w:color w:val="000000" w:themeColor="text1"/>
          <w:szCs w:val="22"/>
        </w:rPr>
      </w:pPr>
    </w:p>
    <w:p w14:paraId="74CAF8E9" w14:textId="77777777" w:rsidR="00816FA9" w:rsidRPr="00B6585E" w:rsidRDefault="00816FA9" w:rsidP="001D162A">
      <w:pPr>
        <w:pStyle w:val="BodyText"/>
        <w:spacing w:before="161"/>
        <w:ind w:left="155" w:right="155"/>
        <w:jc w:val="both"/>
        <w:rPr>
          <w:rFonts w:ascii="Arial" w:hAnsi="Arial" w:cs="Arial"/>
          <w:color w:val="000000" w:themeColor="text1"/>
          <w:spacing w:val="-1"/>
          <w:szCs w:val="22"/>
        </w:rPr>
      </w:pPr>
      <w:r w:rsidRPr="00B6585E">
        <w:rPr>
          <w:rFonts w:ascii="Arial" w:hAnsi="Arial" w:cs="Arial"/>
          <w:color w:val="000000" w:themeColor="text1"/>
          <w:spacing w:val="-1"/>
          <w:szCs w:val="22"/>
        </w:rPr>
        <w:t xml:space="preserve">Echocardiography is an established tool for evaluating heart function, cardiac morphology, and further to diagnose heart diseases. The heart cycle can be divided into a systolic phase, which starts with the beginning of ventricular muscle contraction and closure of the tricuspid and mitral valves and ends after ejection of part of the filling volume, ventricular muscle relaxation and closure of the pulmonary and aortic valve. Systolic function is evaluated by evaluating the ability of the heart to overcome afterload and eject blood into the systemic circulation. The ability of the heart muscle to relax and allow filling of the ventricles is signified by diastolic function. Diastolic function is important for the overall performance of the heart and thus influences perioperative outcomes. </w:t>
      </w:r>
    </w:p>
    <w:p w14:paraId="29BC01E0" w14:textId="77777777" w:rsidR="00816FA9" w:rsidRPr="00B6585E" w:rsidRDefault="00816FA9" w:rsidP="001D162A">
      <w:pPr>
        <w:pStyle w:val="BodyText"/>
        <w:spacing w:before="161"/>
        <w:ind w:left="155" w:right="155"/>
        <w:jc w:val="both"/>
        <w:rPr>
          <w:rFonts w:ascii="Arial" w:hAnsi="Arial" w:cs="Arial"/>
          <w:color w:val="000000" w:themeColor="text1"/>
          <w:spacing w:val="-1"/>
          <w:szCs w:val="22"/>
        </w:rPr>
      </w:pPr>
      <w:r w:rsidRPr="00B6585E">
        <w:rPr>
          <w:rFonts w:ascii="Arial" w:hAnsi="Arial" w:cs="Arial"/>
          <w:color w:val="000000" w:themeColor="text1"/>
          <w:spacing w:val="-1"/>
          <w:szCs w:val="22"/>
        </w:rPr>
        <w:t>Two relatively small studies, with an overall patient population of approximately 900 patients, have shown that a preoperative low ejection fraction measured by resting echocardiography was a significant independent predictor for cardiovascular complications within 30 days after surgery.</w:t>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XxpvJHYy","properties":{"formattedCitation":"(1)","plainCitation":"(1)","noteIndex":0},"citationItems":[{"id":736,"uris":["http://zotero.org/users/local/uSpBNMns/items/VT6NGRAZ"],"uri":["http://zotero.org/users/local/uSpBNMns/items/VT6NGRAZ"],"itemData":{"id":736,"type":"article-journal","abstract":"Transthoracic echocardiography (TTE) is frequently ordered before noncardiac surgery, although its ability to predict perioperative cardiac complications is  uncertain. To evaluate the incremental information provided by TTE after  consideration of clinical data for prediction of cardiac complications after  noncardiac surgery, 570 patients who underwent TTE before major noncardiac surgery  at a university hospital were studied. Preoperative clinical data and clinical  outcomes were collected prospectively according to a structured protocol. TTE data  included left ventricular (LV) function, hypertrophy indexes, and Doppler-derived  measurements. In univariate analyses, preoperative systolic dysfunction was  associated with postoperative myocardial infarction (odds ratio [OR] 2.8, 95%  confidence interval [CI] 1.1 to 7.0), cardiogenic pulmonary edema (OR 3.2, 95% CI  1.4 to 7.0), and major cardiac complications (OR 2.4, 95% Cl 1.3 to 4.5). Moderate  to severe LV hypertrophy, moderate to severe mitral regurgitation, and increased  aortic valve gradient were also associated with major cardiac events (OR 2.3, 95% CI  1.2 to 4.6; OR 2.2, 95% CI 1.1 to 4.3; OR 2.1, 95% CI 1.0 to 4.5, respectively). In  logistic regression analysis, models with echocardiographic variables predicted  major cardiac complications significantly better than those that included only  clinical variables (c statistic 0.73 vs 0.68; p &lt;0.05). Echocardiographic data added  significant information for patients at increased risk for cardiac complications by  clinical criteria, but not in otherwise low-risk patients. In conclusion,  preoperative TTE before noncardiac surgery can provide independent information about  the risk of postoperative cardiac complications in selected patients.","container-title":"The American journal of cardiology","DOI":"10.1016/s0002-9149(00)01421-1","ISSN":"0002-9149","issue":"5","journalAbbreviation":"Am J Cardiol","language":"eng","note":"publisher-place: United States\nPMID: 11230829","page":"505-509","title":"Usefulness of transthoracic echocardiography as a tool for risk stratification of patients undergoing major noncardiac surgery.","volume":"87","author":[{"family":"Rohde","given":"L. E."},{"family":"Polanczyk","given":"C. A."},{"family":"Goldman","given":"L."},{"family":"Cook","given":"E. F."},{"family":"Lee","given":"R. T."},{"family":"Lee","given":"T. H."}],"issued":{"date-parts":[["2001",3,1]]}}}],"schema":"https://github.com/citation-style-language/schema/raw/master/csl-citation.json"}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(1)</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Bny5Kb0y","properties":{"formattedCitation":"(2)","plainCitation":"(2)","noteIndex":0},"citationItems":[{"id":734,"uris":["http://zotero.org/users/local/uSpBNMns/items/GXA2S6PS"],"uri":["http://zotero.org/users/local/uSpBNMns/items/GXA2S6PS"],"itemData":{"id":734,"type":"article-journal","abstract":"BACKGROUND: Cardiac complications after noncardiac surgery are a serious cause of illness and death. Echocardiography is being used before noncardiac surgery to  assess risk for cardiac complications, but its role remains undefined. OBJECTIVE: To  examine the prognostic value and operating characteristics of transthoracic  echocardiography for assessing cardiac risk before noncardiac surgery. DESIGN:  Prospective cohort study. SETTING: University-affiliated Veterans Affairs medical  center. PATIENTS: 339 consecutive men who were known to have or were suspected of  having coronary artery disease and were scheduled for major noncardiac surgery.  MEASUREMENTS: Information from detailed histories, physical examinations, and  electrocardiographic and laboratory studies was routinely collected. Transthoracic  echocardiography was done before surgery to assess ejection fraction, wall motion  abnormalities (reported as the wall motion score [range, 5 to 25 points]), and left  ventricular hypertrophy. MAIN OUTCOME MEASURES: Postoperative ischemic events  (cardiac-related death, nonfatal myocardial infarction, and unstable angina),  congestive heart failure, and ventricular tachycardia. RESULTS: 10 patients (3%) had  ischemic events; 26 (8%) had congestive heart failure; and 29 (8%) had ventricular  tachycardia. No echocardiographic measurements were associated with ischemic events.  In univariate analyses, an ejection fraction less than 40% was associated with all  cardiac outcomes combined (odds ratio, 3.5 [95% CI, 1.8 to 6.7]), congestive heart  failure (odds ratio, 3.0 [CI, 1.2 to 7.4]), and ventricular tachycardia (odds ratio,  2.6 [CI, 1.1 to 6.2]). In multivariable analyses that adjusted for known clinical  risk factors, an ejection fraction less than 40% was a significant predictor of all  outcomes combined (odds ratio, 2.5 [CI, 1.2 to 5.0]) but not congestive heart  failure (odds ratio, 2.1 [CI, 0.7 to 6.0]) and ventricular tachycardia [corrected]  (odds ratio, 1.8 [CI, 0.7 to 4.7]). Wall motion score was a univariate predictor of  all cardiac outcomes (odds ratio for each 3-unit increase, 1.6 [CI, 1.3 to 2.1]) and  ventricular tachycardia (odds ratio, 1.6 [CI, 1.2 to 2.2]) but was only a  multivariable risk factor for all events (odds ratio, 1.3 [CI, 1.0 to 1.7]). An  ejection fraction less than 40% had a sensitivity of 0.28 to 0.31 and a specificity  of 0.87 to 0.89 for all categories of adverse outcomes. Likelihood ratios for  ejection fraction had poor operating characteristics. Adding echocardiographic  information to predictive models that contained known clinical risk factors did not  alter sensitivity, specificity, or predictive values in clincally important ways.  CONCLUSIONS: The data did not support the use of transthoracic echocardiography for  the assessment of cardiac risk before noncardiac surgery. Echocardiographic  measurements had limited prognostic value and suboptimal operating characteristics.","container-title":"Annals of internal medicine","DOI":"10.7326/0003-4819-125-6-199609150-00001","ISSN":"0003-4819","issue":"6","journalAbbreviation":"Ann Intern Med","language":"eng","note":"publisher-place: United States\nPMID: 8779454","page":"433-441","title":"Echocardiography for assessing cardiac risk in patients having noncardiac surgery. Study of Perioperative Ischemia Research Group.","volume":"125","author":[{"family":"Halm","given":"E. A."},{"family":"Browner","given":"W. S."},{"family":"Tubau","given":"J. F."},{"family":"Tateo","given":"I. M."},{"family":"Mangano","given":"D. T."}],"issued":{"date-parts":[["1996",9,15]]}}}],"schema":"https://github.com/citation-style-language/schema/raw/master/csl-citation.json"}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(2)</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t xml:space="preserve"> The largest study including 1923 patients undergoing noncardiac surgery have shown that preoperative echocardiographic parameters were significantly associated with postoperative major cardiovascular complications.</w:t>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OLPRtPBI","properties":{"formattedCitation":"(3)","plainCitation":"(3)","noteIndex":0},"citationItems":[{"id":735,"uris":["http://zotero.org/users/local/uSpBNMns/items/VFD8F4ZB"],"uri":["http://zotero.org/users/local/uSpBNMns/items/VFD8F4ZB"],"itemData":{"id":735,"type":"article-journal","abstract":"BACKGROUND AND OBJECTIVES: The role of preoperative transthoracic echocardiography (TTE) for the risk stratification has not been well investigated yet. We compared  the predictive power of TTE with N-terminal pro-brain natriuretic peptide  (NT-proBNP), a representative biomarker that predicts perioperative cardiovascular  risk, and investigated whether these tests have incremental value to the clinically  determined risk. SUBJECTS AND METHODS: We evaluated the Revised Cardiac Risk Index  (RCRI), TTE, and NT-proBNP in 1,923 noncardiac surgery cases. The primary endpoint  was a perioperative major cardiovascular event (PMCE), which was defined by any  single or combined event of secondary endpoints including myocardial infarction,  development of pulmonary edema, or primary cardiovascular death within 30 days after  surgery. RESULTS: All echocardiographic parameters including left ventricular  ejection fraction, regional wall motion score index, and transmitral early diastolic  velocity/tissue Doppler mitral annular early diastolic velocity (E/E') were  predictive of PMCE (c-statistics=0.579±0.019 to 0.589±0.015), but none of these  parameters were better than the clinically determined RCRI  (c-statistics=0.594±0.019) and were inferior to NT-proBNP (c-statistics=0.748±0.019,  p&lt;0.001). The predictive power of RCRI {adjusted relative risk (RR)=1.4} could be  improved by addition of echocardiographic parameters (adjusted RR=1.8, p&lt;0.001), but  not to that extent as by addition of NT-proBNP to RCRI (adjusted RR=3.7, p&lt;0.001).  CONCLUSION: TTE was modestly predictive of perioperative cardiovascular events but  was not superior to NT-proBNP. Moreover, it did not have incremental value to the  clinically determined risk. The results of our study did not support the use of  routine echocardiography before noncardiac surgery.","container-title":"Korean circulation journal","DOI":"10.4070/kcj.2011.41.9.505","ISSN":"1738-5555 1738-5520","issue":"9","journalAbbreviation":"Korean Circ J","language":"eng","note":"PMID: 22022325 \nPMCID: PMC3193041","page":"505-511","title":"Comparison of transthoracic echocardiography with N-terminal pro-brain natriuretic Peptide as a tool for risk stratification of patients undergoing major noncardiac  surgery.","volume":"41","author":[{"family":"Park","given":"Sung-Ji"},{"family":"Choi","given":"Jin-Ho"},{"family":"Cho","given":"Soo-Jin"},{"family":"Chang","given":"Sung-A."},{"family":"Choi","given":"Jin-Oh"},{"family":"Lee","given":"Sang-Cheol"},{"family":"Park","given":"Seung Woo"},{"family":"Oh","given":"Jae K."},{"family":"Kim","given":"Duk-Kyung"},{"family":"Jeon","given":"Eun-Seok"}],"issued":{"date-parts":[["2011",9]]}}}],"schema":"https://github.com/citation-style-language/schema/raw/master/csl-citation.json"}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(3)</w:t>
      </w:r>
      <w:r w:rsidRPr="00B6585E">
        <w:rPr>
          <w:rFonts w:ascii="Arial" w:hAnsi="Arial" w:cs="Arial"/>
          <w:color w:val="000000" w:themeColor="text1"/>
          <w:spacing w:val="-1"/>
          <w:szCs w:val="22"/>
        </w:rPr>
        <w:fldChar w:fldCharType="end"/>
      </w:r>
    </w:p>
    <w:p w14:paraId="2CA0B256" w14:textId="77777777" w:rsidR="00816FA9" w:rsidRPr="00B6585E" w:rsidRDefault="00816FA9" w:rsidP="001D162A">
      <w:pPr>
        <w:pStyle w:val="BodyText"/>
        <w:spacing w:before="161"/>
        <w:ind w:left="155" w:right="155"/>
        <w:jc w:val="both"/>
        <w:rPr>
          <w:rFonts w:ascii="Arial" w:hAnsi="Arial" w:cs="Arial"/>
          <w:color w:val="000000" w:themeColor="text1"/>
          <w:spacing w:val="-1"/>
          <w:szCs w:val="22"/>
        </w:rPr>
      </w:pPr>
      <w:r w:rsidRPr="00B6585E">
        <w:rPr>
          <w:rFonts w:ascii="Arial" w:hAnsi="Arial" w:cs="Arial"/>
          <w:color w:val="000000" w:themeColor="text1"/>
          <w:spacing w:val="-1"/>
          <w:szCs w:val="22"/>
        </w:rPr>
        <w:t>Many studies evaluated the association between perioperative administration of Levosimendan and the effect on heart function by using echocardiography.</w:t>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gFh5ua5v","properties":{"formattedCitation":"(4)","plainCitation":"(4)","noteIndex":0},"citationItems":[{"id":722,"uris":["http://zotero.org/users/local/uSpBNMns/items/LLBN98JD"],"uri":["http://zotero.org/users/local/uSpBNMns/items/LLBN98JD"],"itemData":{"id":722,"type":"article-journal","abstract":"BACKGROUND: We compared the direct inotropic and lusitropic effects of two inodilators, milrinone and levosimendan in patients after aortic valve replacement for aortic stenosis. METHODS: In this randomised, blinded study, 31 patients with normal LV function, were randomised to either levosimendan (0.1 and 0.2 mug/kg/min, n = 15) or milrinone (0.4 and 0.8 mug/kg/min, n = 16) after aortic valve replacement. The effects on LV performance, LV strain, systolic (SR-S) and early diastolic (SR-E) strain rate were assessed by a pulmonary artery catheter and transoesophageal two-dimensional speckle tracking echocardiography of the LV inferior wall. To circumvent the inodilator-induced hemodynamic changes on LV systolic and diastolic deformation, central venous pressure (CVP), systolic artery pressure (SAP), and heart rate were maintained constant by colloid infusion, phenylephrine-induced vasoconstriction and atrial pacing, respectively, during drug infusion. RESULTS: Both inotropic agents induced a dose-dependent increase in cardiac index and stroke volume index by approximately 20% at the highest infusion rates with no differences between groups (P = .139 and .249, respectively). CVP, pulmonary capillary wedge pressure, SAP and heart rate were maintained constant in both groups. LV strain and SR-S increased with both agents, dose-dependently, by 17%-18% and 25%-30%, respectively, at the highest infusion rates, with no difference between groups (P = .434 and .284, respectively). Both agents improved early LV relaxation with no differences between groups (P = .637). At the higher doses, both agents increased SR-E by 30%. CONCLUSIONS: At clinically relevant infusion rates and a certain increase in LV performance the direct inotropic and lusitropic of milrinone and levosimendan were comparable.","archive_location":"29926912","container-title":"Acta Anaesthesiol Scand","DOI":"10.1111/aas.13170","ISSN":"1399-6576 (Electronic) 0001-5172 (Linking)","issue":"9","note":"edition: 2018/06/22","page":"1246-1254","title":"Inotropic and lusitropic effects of levosimendan and milrinone assessed by strain echocardiography-A randomised trial","volume":"62","author":[{"family":"Fredholm","given":"M."},{"family":"Jorgensen","given":"K."},{"family":"Houltz","given":"E."},{"family":"Ricksten","given":"S. E."}],"issued":{"date-parts":[["2018",10]]}}}],"schema":"https://github.com/citation-style-language/schema/raw/master/csl-citation.json"}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(4)</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MQ0JZGkF","properties":{"formattedCitation":"(5)","plainCitation":"(5)","noteIndex":0},"citationItems":[{"id":730,"uris":["http://zotero.org/users/local/uSpBNMns/items/NNQF8N7Q"],"uri":["http://zotero.org/users/local/uSpBNMns/items/NNQF8N7Q"],"itemData":{"id":730,"type":"article-journal","abstract":"OBJECTIVE: To compare the effects of levosimendan with milrinone in cardiac surgical patients with pulmonary hypertension and left ventricular dysfunction. DESIGN: A prospective, randomized study. SETTING: Tertiary care teaching hospital. PARTICIPANTS: The study included patients with valvular heart disease and pulmonary artery hypertension undergoing valve surgery. INTERVENTIONS: Forty patients were allocated randomly to receive either milrinone, 50 microg/kg bolus followed by infusion at a rate of 0.5 microg/kg/min (group 1), or levosimendan, 10 microg/kg bolus followed by infusion at a rate of 0.1 microg/kg/min (group 2) for 24 hours after surgery. MEASUREMENTS AND MAIN RESULTS: Hemodynamic parameters were measured using a pulmonary artery catheter, and biventricular functions were assessed using echocardiography. Mean pulmonary artery pressures and the pulmonary vascular resistance index were comparable between the 2 groups at several time points in the intensive care unit. Biventricular function was comparable between both groups. Postcardiopulmonary bypass right ventricular systolic and diastolic functions decreased in both groups compared with baseline, whereas 6 hours postbypass left ventricular ejection fraction improved in patients with stenotic valvular lesions. Levosimendan use was associated with higher heart rate, increased cardiac index, decreased systemic vascular resistance index, and increased requirement of norepinephrine infusion compared with milrinone. CONCLUSIONS: The results of this study demonstrated that levosimendan was not clinically better than milrinone. Levosimendan therapy resulted in a greater increase in heart rate, decrease in systemic vascular resistance, and a greater need for norepinephrine than in patients who received milrinone.","archive_location":"27321790","container-title":"J Cardiothorac Vasc Anesth","DOI":"10.1053/j.jvca.2016.01.015","ISSN":"1532-8422 (Electronic) 1053-0770 (Linking)","issue":"3","note":"edition: 2016/06/21","page":"639-46","title":"Comparative Effect of Levosimendan and Milrinone in Cardiac Surgery Patients With Pulmonary Hypertension and Left Ventricular Dysfunction","volume":"30","author":[{"family":"Mishra","given":"A."},{"family":"Kumar","given":"B."},{"family":"Dutta","given":"V."},{"family":"Arya","given":"V. K."},{"family":"Mishra","given":"A. K."}],"issued":{"date-parts":[["2016",6]]}}}],"schema":"https://github.com/citation-style-language/schema/raw/master/csl-citation.json"}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(5)</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djvf0y2G","properties":{"formattedCitation":"(6)","plainCitation":"(6)","noteIndex":0},"citationItems":[{"id":732,"uris":["http://zotero.org/users/local/uSpBNMns/items/6JYJVBY4"],"uri":["http://zotero.org/users/local/uSpBNMns/items/6JYJVBY4"],"itemData":{"id":732,"type":"article-journal","abstract":"BACKGROUND: The objective was to evaluate the effect of epinephrine and levosimendan on the left ventricle myocardial performance index in patients undergoing on-pump coronary artery by-pass grafting (CABG). METHODS: In a double-blind, randomized clinical trial, 81 patients (age: 45-65 years) of both genders were randomly divided to receive either epinephrine at a dosage of 0.06 mcg.kg(1).min(-1) (epinephrine group, 39 patients) or levosimendan at 0.2 mcg.kg(1).min(-1) (levosimendan group, 42 patients) during the rewarming of cardiopulmonary by-pass (CPB). Hemodynamic data were collected 30 minutes after tracheal intubation, before chest open (pre-CPB) and 10 minutes after termination of protamine (post-CPB). As the primary outcome, we evaluated the left ventricle myocardial performance index by the Doppler echocardiography. The myocardial performance index is the sum of the isovolumetric contraction time and the isovolumetric relaxation time, divided by the ejection time. Secondary outcomes were systolic and diastolic evaluations of the left ventricle and postoperative troponin I and MB-CK levels. RESULTS: Of the 81 patients allocated to the research, we excluded 2 patients in the epinephrine group and 6 patients in the levosimendan group because they didn't wean from CPB in the first attempt. There was no statistical difference between the groups in terms of patient characteristics, risk factors, or CPB time. The epinephrine group had a lower left ventricle myocardial performance index (p = 0.0013), higher cardiac index (p = 0.03), lower systemic vascular resistance index (p = 0.01), and higher heart rate (p = 0.04) than the levosimendan group at the post-CPB period. There were no differences between the groups in diastolic dysfunction. The epinephrine group showed higher incidence of weaning from CPB in the first attempt (95% vs 85%, p = 0.0001) when compared to the levosimendan group and the norepinephrine requirement was higher in the levosimenandan group than epinephrine group (16% vs. 47%; p = 0.005) in post-CPB period. Twenty-four hours after surgery, the plasma levels of troponin I (epinephrine group: 4.5 +/- 5.7 vs. levosimendan group: 2.5 +/- 3.2 g/dl; p = 0.09) and MB-CK (epinephrine group: 50.7 +/- 31 vs. levosimendan group: 37 +/- 17.6 g/dl; p = 0.08) were not significantly different between the two groups. CONCLUSION: When compared to levosimendan, patients treated with epinephrine had a lower left ventricle myocardial performance index in the immediate post-CPB period, encouraging an efficient weaning from CPB in patients undergoing on-pump CABG. TRIAL REGISTRATION: ClinicalTrials.gov NCT01616069.","archive_location":"26655803","container-title":"PLoS One","DOI":"10.1371/journal.pone.0143315","ISSN":"1932-6203 (Electronic) 1932-6203 (Linking)","issue":"12","note":"edition: 2015/12/15","page":"e0143315","title":"A Randomized Blinded Study of the Left Ventricular Myocardial Performance Index Comparing Epinephrine to Levosimendan following Cardiopulmonary Bypass","volume":"10","author":[{"family":"Salgado Filho","given":"M. F."},{"family":"Barral","given":"M."},{"family":"Barrucand","given":"L."},{"family":"Cavalcanti","given":"I. L."},{"family":"Vercosa","given":"N."}],"issued":{"date-parts":[["2015"]]}}}],"schema":"https://github.com/citation-style-language/schema/raw/master/csl-citation.json"}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(6)</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JsO8I5t8","properties":{"formattedCitation":"(7)","plainCitation":"(7)","noteIndex":0},"citationItems":[{"id":720,"uris":["http://zotero.org/users/local/uSpBNMns/items/IQ8PDWJE"],"uri":["http://zotero.org/users/local/uSpBNMns/items/IQ8PDWJE"],"itemData":{"id":720,"type":"article-journal","abstract":"OBJECTIVES: Perioperative low cardiac output syndrome occurs in 3-14% of patients undergoing isolated coronary artery bypass grafting (CABG), leading to significant increase in major morbidity and mortality. Considering the unique pharmacological and pharmacokinetic properties of levosimendan, we conducted a prospective, double-blind, randomized pilot study to evaluate the effectiveness of prophylactic levosimendan in patients with impaired left ventricular function undergoing CABG. METHODS: Thirty-two patients undergoing CABG with low left ventricular ejection fraction (LVEF &lt;/= 40%) were randomized to receive either a continuous infusion of levosimendan at a dose of 0.1 mug/kg/min for 24 h without a loading dose or a placebo. The primary outcome of the study was the change in the LVEF assessed with transthoracic echocardiography on the seventh postoperative day. Secondary outcomes included the physiological and clinical effects of levosimendan. RESULTS: All patients tolerated preoperative infusion of levosimendan well. The LVEF improved in both groups; this increase was statistically significant in the levosimendan group (from 35.8 +/- 5% preoperatively to 42.8 +/- 7.8%, P = 0.001) compared with the control group (from 37.5 +/- 3.4% preoperatively to 41.2 +/- 8.3%, P = 0.1). The cardiac index, SvO2, pulmonary capillary wedge pressure and right ventricular stroke work index showed a similar trend, which was optimized in patients treated with levosimendan. Moreover, an increase in extravascular lung water was noticed in this group during the first 24 h after surgery. CONCLUSIONS: This pilot study shows that prophylactic levosimendan infusion is safe and effective in increasing the LVEF postoperatively in patients with impaired cardiac function undergoing coronary surgery. This finding may be translated to 'optimizing' patients' status before surgery.","archive_location":"27378790","container-title":"Interact Cardiovasc Thorac Surg","DOI":"10.1093/icvts/ivw213","ISSN":"1569-9285 (Electronic) 1569-9285 (Linking)","issue":"5","note":"edition: 2016/07/06","page":"740-747","title":"Effectiveness of prophylactic levosimendan in patients with impaired left ventricular function undergoing coronary artery bypass grafting: a randomized pilot study","volume":"23","author":[{"family":"Anastasiadis","given":"K."},{"family":"Antonitsis","given":"P."},{"family":"Vranis","given":"K."},{"family":"Kleontas","given":"A."},{"family":"Asteriou","given":"C."},{"family":"Grosomanidis","given":"V."},{"family":"Tossios","given":"P."},{"family":"Argiriadou","given":"H."}],"issued":{"date-parts":[["2016",11]]}}}],"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(7)</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jFW7RYhd","properties":{"formattedCitation":"(8)","plainCitation":"(8)","noteIndex":0},"citationItems":[{"id":728,"uris":["http://zotero.org/users/local/uSpBNMns/items/PIUDRR3F"],"uri":["http://zotero.org/users/local/uSpBNMns/items/PIUDRR3F"],"itemData":{"id":728,"type":"article-journal","abstract":"PURPOSE: To compare the efficacy of levosimendan with nitroglycerin in patients with isolated diastolic dysfunction undergoing coronary artery bypass grafting. PROCEDURE: Thirty patients with isolated diastolic dysfunction undergoing on-pump coronary artery bypass grafting were randomized into 2 groups receiving levosimendan or nitroglycerin infusion. The infusion was started before sternotomy and continued in the postoperative period. Perioperatively, diastolic function was serially evaluated at 3 different time points using echocardiography. N-terminal fragment of pro-B-natriuretic peptide (NT-proBNP) levels were measured in both the groups. RESULTS: There was a significant improvement in diastolic function as measured by isovolumic relaxation time (P = 0.0001, P = 0.001) and deceleration time (P = 0.0001, P = 0.0001) in the levosimendan group from the baseline in patients with impaired relaxation. Similarly, tissue Doppler imaging also revealed an improvement from the baseline in patients with a pseudonormal pattern (P = 0.018, P = 0.001). Furthermore, there was a significant improvement in the above parameters when compared with the nitroglycerin group. The NT-proBNP levels also demonstrated a similar pattern between the 2 groups (P = 0.03, P = 0.02) when levosimendan was compared with nitroglycerin in patients with a pseudonormal pattern on echocardiography. CONCLUSIONS: Levosimendan is superior to nitroglycerin in improving diastolic function irrespective of coronary revascularization.","archive_location":"25919118","container-title":"J Cardiovasc Pharmacol","DOI":"10.1097/FJC.0000000000000256","ISSN":"1533-4023 (Electronic) 0160-2446 (Linking)","issue":"2","note":"edition: 2015/04/29","page":"141-7","title":"Effect of Levosimendan on Diastolic Function in Patients Undergoing Coronary Artery Bypass Grafting: A Comparative Study","volume":"66","author":[{"family":"Malik","given":"V."},{"family":"Subramanian","given":"A."},{"family":"Hote","given":"M."},{"family":"Kiran","given":"U."}],"issued":{"date-parts":[["2015",8]]}}}],"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(8)</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t xml:space="preserve"> However, only a relatively small number of patients have been enrolled in these studies.</w:t>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8Spu6RxA","properties":{"formattedCitation":"(9)","plainCitation":"(9)","noteIndex":0},"citationItems":[{"id":726,"uris":["http://zotero.org/users/local/uSpBNMns/items/LWRKXGCX"],"uri":["http://zotero.org/users/local/uSpBNMns/items/LWRKXGCX"],"itemData":{"id":726,"type":"article-journal","abstract":"BACKGROUND: Heart failure (HF) is a major cause of perioperative morbidity and mortality in noncardiac surgery. Preoperative optimisation of these patients is, thus, of utmost importance. Levosimendan seems promising for patients undergoing cardiac surgery; however, its safety and efficacy in HF patients undergoing noncardiac surgery have not been evaluated. OBJECTIVE: To evaluate the effects of prophylactic preoperative levosimendan administration on left ventricular function in HF patients undergoing noncardiac surgery. METHODS: HF patients with ejection fraction &lt;30%undergoing elective noncardiac surgery in 2005 were included in this prospective study. Patients were admitted to our surgical intensive care unit one day preoperatively. Under continuous haemodynamic monitoring, the treatment protocol consisted of an initial loading dose (24 microg/kg) for ten minutes followed by a continuous 24-hour infusion (0.1 microg/kg/min) at the end of which patients underwent surgery. Echocardiography was performed before infusion (day 0) and on the 7th postinfusion day (day 7). Measurements included left ventricular ejection fraction (LVEF), velocity time integral(VTI), pre-ejection period (PEP), ejection time (ET),maximum (Pmax) and minimum P(min) transvalvular aortic pressure gradient, and maximum (Vmax) and minimum V(min) aortic velocity. RESULTS: Twelve consecutive patients were enrolled. Levosimendan resulted in a significant increase in LVEF,VTI, P(max), P(min), V(max), and V(min) (p&lt;0.01) and, moreover, a significant reduction in PEP, ET, and PEP/ET (p=0.04) on day 7 compared with day 0 values. No adverse reactions,complications or mortality occurred during 30-day follow-up. CONCLUSION: Prophylactic preoperative levosimendan treatment may be safe and efficient for perioperative optimisation of heart failure patients undergoing noncardiac surgery.","archive_location":"18424862","container-title":"Neth J Med","ISSN":"0300-2977 (Print) 0300-2977 (Linking)","issue":"4","note":"edition: 2008/04/22","page":"154-9","title":"Preoperative levosimendan in heart failure patients undergoing noncardiac surgery","volume":"66","author":[{"family":"Katsaragakis","given":"S."},{"family":"Kapralou","given":"A."},{"family":"Markogiannakis","given":"H."},{"family":"Kofinas","given":"G."},{"family":"Theodoraki","given":"E. M."},{"family":"Larentzakis","given":"A."},{"family":"Menenakos","given":"E."},{"family":"Theodorou","given":"D."}],"issued":{"date-parts":[["2008",4]]}}}],"schema":"https://github.com/citation-style-language/schema/raw/master/csl-citation.json"}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(9)</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fldChar w:fldCharType="begin"/>
      </w:r>
      <w:r w:rsidRPr="00B6585E">
        <w:rPr>
          <w:rFonts w:ascii="Arial" w:hAnsi="Arial" w:cs="Arial"/>
          <w:color w:val="000000" w:themeColor="text1"/>
          <w:spacing w:val="-1"/>
          <w:szCs w:val="22"/>
        </w:rPr>
        <w:instrText xml:space="preserve"> ADDIN ZOTERO_ITEM CSL_CITATION {"citationID":"h3OoaiNK","properties":{"formattedCitation":"(10)","plainCitation":"(10)","noteIndex":0},"citationItems":[{"id":724,"uris":["http://zotero.org/users/local/uSpBNMns/items/W4GIASX8"],"uri":["http://zotero.org/users/local/uSpBNMns/items/W4GIASX8"],"itemData":{"id":724,"type":"article-journal","abstract":"INTRODUCTION: Preoperative optimization of cardiac failure (CF) patients undergoing non-cardiac surgery is of utmost importance. Levosimendan is a promising adjunct in our therapeutic repertoire for the treatment of CF; however, it has not been evaluated in CF patients undergoing non-cardiac surgery. Our objective was to evaluate the safety and efficacy of prophylactic preoperative levosimendan administration in these patients. METHODS: CF patients with ejection fraction &lt;35% undergoing elective non-cardiac (abdominal) surgery during a 6-month-period were included in this prospective study. All patients, admitted to the Surgical Intensive Care Unit (SICU) one day preoperatively for levosimendan administration, received a bolus infusion (2.4 Ig/kg) for 10 min followed by a 24-hour continuous infusion (0.1 Ig/kg/min) at the end of which they were operated. Patients were under continuous hemodynamic monitoring in the SICU during levosimendan infusion and for 24 h post-infusion. Hemodynamic parameters, including heart rate, arterial pressure and pulmonary artery catheter data, were recorded before treatment, 10 min after drug initiation, and at 3-hour intervals to 24 h post-infusion. Echocardiography was performed before infusion and on the 7th post-infusion day. RESULTS: Nine patients were enrolled. Cardiac index (0-48 h, 95% CI: -2.790-0.432, p&lt;0.001) and stroke volume index (0-48 h, 95% CI: -32.53-0.91, p=0.01) increased significantly at 24 h after drug initiation and remained increased for 24 h post-infusion. Systemic vascular resistance index decreased at 10 min and remained reduced during the whole observation period (0-48 h, 95% CI: 875.64-2378.14, p&lt;0.001). Ejection fraction was significantly increased on the 7th post-infusion day (32.65 +/- 7.32 vs. 20.89 +/- 6.24, p&lt;0.05). No adverse reactions, complications or deaths occurred during 30 days' follow up. CONCLUSION: Prophylactic preoperative levosimendan treatment may be safe and efficient for the perioperative optimization of heart failure patients undergoing non-cardiac surgery.","archive_location":"19465359","container-title":"Hellenic J Cardiol","ISSN":"1109-9666 (Print) 1109-9666 (Linking)","issue":"3","note":"edition: 2009/05/26","page":"185-92","title":"Prophylactic preoperative levosimendan administration in heart failure patients undergoing elective non-cardiac surgery: a preliminary report","volume":"50","author":[{"family":"Katsaragakis","given":"S."},{"family":"Kapralou","given":"A."},{"family":"Drimousis","given":"P."},{"family":"Markogiannakis","given":"H."},{"family":"Larentzakis","given":"A."},{"family":"Kofinas","given":"G."},{"family":"Misthos","given":"P."},{"family":"Filis","given":"K."},{"family":"Theodorou","given":"D."}],"issued":{"date-parts":[["2009",5]]}}}],"schema":"https://github.com/citation-style-language/schema/raw/master/csl-citation.json"} </w:instrText>
      </w:r>
      <w:r w:rsidRPr="00B6585E">
        <w:rPr>
          <w:rFonts w:ascii="Arial" w:hAnsi="Arial" w:cs="Arial"/>
          <w:color w:val="000000" w:themeColor="text1"/>
          <w:spacing w:val="-1"/>
          <w:szCs w:val="22"/>
        </w:rPr>
        <w:fldChar w:fldCharType="separate"/>
      </w:r>
      <w:r w:rsidRPr="00B6585E">
        <w:rPr>
          <w:rFonts w:ascii="Arial" w:hAnsi="Arial" w:cs="Arial"/>
          <w:color w:val="000000" w:themeColor="text1"/>
          <w:szCs w:val="22"/>
        </w:rPr>
        <w:t>(10)</w:t>
      </w:r>
      <w:r w:rsidRPr="00B6585E">
        <w:rPr>
          <w:rFonts w:ascii="Arial" w:hAnsi="Arial" w:cs="Arial"/>
          <w:color w:val="000000" w:themeColor="text1"/>
          <w:spacing w:val="-1"/>
          <w:szCs w:val="22"/>
        </w:rPr>
        <w:fldChar w:fldCharType="end"/>
      </w:r>
      <w:r w:rsidRPr="00B6585E">
        <w:rPr>
          <w:rFonts w:ascii="Arial" w:hAnsi="Arial" w:cs="Arial"/>
          <w:color w:val="000000" w:themeColor="text1"/>
          <w:spacing w:val="-1"/>
          <w:szCs w:val="22"/>
        </w:rPr>
        <w:t xml:space="preserve"> Therefore, the effect of a perioperative administration of Levosimendan on cardiac function has been not entirely cleared yet, specifically in patients undergoing non-cardiac surgery. Thus we will evaluate in this sub-study of the IMPROVE trial the effect of a perioperative single-dose administration of levosimendan on postoperative cardiac function in patients at-risk for cardiovascular complications undergoing non-cardiac surgery as compared to placebo. We will evaluate cardiac function by using transthoracic echocardiography. </w:t>
      </w:r>
    </w:p>
    <w:p w14:paraId="2BE65D6B" w14:textId="77777777" w:rsidR="00816FA9" w:rsidRPr="00B6585E" w:rsidRDefault="00816FA9" w:rsidP="001D162A">
      <w:pPr>
        <w:pStyle w:val="BodyText"/>
        <w:spacing w:before="161"/>
        <w:ind w:left="155" w:right="155"/>
        <w:jc w:val="both"/>
        <w:rPr>
          <w:rFonts w:ascii="Arial" w:hAnsi="Arial" w:cs="Arial"/>
          <w:color w:val="000000" w:themeColor="text1"/>
          <w:spacing w:val="-1"/>
          <w:szCs w:val="22"/>
        </w:rPr>
      </w:pPr>
    </w:p>
    <w:p w14:paraId="2805A178" w14:textId="00A98276" w:rsidR="00816FA9" w:rsidRPr="00B6585E" w:rsidRDefault="00816FA9" w:rsidP="00D93F4E">
      <w:pPr>
        <w:pStyle w:val="Heading3"/>
        <w:numPr>
          <w:ilvl w:val="0"/>
          <w:numId w:val="0"/>
        </w:numPr>
      </w:pPr>
      <w:bookmarkStart w:id="354" w:name="_Toc96925050"/>
      <w:r w:rsidRPr="00B6585E">
        <w:t>Measurements</w:t>
      </w:r>
      <w:bookmarkEnd w:id="354"/>
    </w:p>
    <w:p w14:paraId="01FE9168" w14:textId="77777777" w:rsidR="00D93F4E" w:rsidRPr="00B6585E" w:rsidRDefault="00D93F4E" w:rsidP="00D93F4E">
      <w:pPr>
        <w:rPr>
          <w:color w:val="000000" w:themeColor="text1"/>
          <w:sz w:val="22"/>
          <w:szCs w:val="22"/>
        </w:rPr>
      </w:pPr>
    </w:p>
    <w:p w14:paraId="7B103CDA" w14:textId="77777777" w:rsidR="00816FA9" w:rsidRPr="00B6585E" w:rsidRDefault="00816FA9" w:rsidP="001D162A">
      <w:pPr>
        <w:pStyle w:val="BodyText"/>
        <w:ind w:left="155" w:right="140"/>
        <w:jc w:val="both"/>
        <w:rPr>
          <w:rFonts w:ascii="Arial" w:hAnsi="Arial" w:cs="Arial"/>
          <w:color w:val="000000" w:themeColor="text1"/>
          <w:szCs w:val="22"/>
        </w:rPr>
      </w:pPr>
      <w:r w:rsidRPr="00B6585E">
        <w:rPr>
          <w:rFonts w:ascii="Arial" w:hAnsi="Arial" w:cs="Arial"/>
          <w:color w:val="000000" w:themeColor="text1"/>
          <w:szCs w:val="22"/>
        </w:rPr>
        <w:t>Systolic function will be evaluated according to left ventricular ejection fraction, using biplane Simpson method, and stroke volume, according to the formula Stroke volume = π*LVOT</w:t>
      </w:r>
      <w:r w:rsidRPr="00B6585E">
        <w:rPr>
          <w:rFonts w:ascii="Arial" w:hAnsi="Arial" w:cs="Arial"/>
          <w:color w:val="000000" w:themeColor="text1"/>
          <w:szCs w:val="22"/>
          <w:vertAlign w:val="superscript"/>
        </w:rPr>
        <w:t>2</w:t>
      </w:r>
      <w:r w:rsidRPr="00B6585E">
        <w:rPr>
          <w:rFonts w:ascii="Arial" w:hAnsi="Arial" w:cs="Arial"/>
          <w:color w:val="000000" w:themeColor="text1"/>
          <w:szCs w:val="22"/>
        </w:rPr>
        <w:t>/2*LVOT VTI. Diastolic function is evaluated using E/A ratio, E/é, TI velocity, LA volume as well as mitral valve deceleration time as describe in the guidelines. Diastolic dysfunction when observable will also be classified into normal function or dysfunction grades 1-3, according to current guidelines.</w:t>
      </w:r>
    </w:p>
    <w:p w14:paraId="38FB633E" w14:textId="77777777" w:rsidR="00816FA9" w:rsidRPr="00B6585E" w:rsidRDefault="00816FA9" w:rsidP="001D162A">
      <w:pPr>
        <w:pStyle w:val="BodyText"/>
        <w:ind w:left="155" w:right="140"/>
        <w:jc w:val="both"/>
        <w:rPr>
          <w:rFonts w:ascii="Arial" w:hAnsi="Arial" w:cs="Arial"/>
          <w:color w:val="000000" w:themeColor="text1"/>
          <w:szCs w:val="22"/>
        </w:rPr>
      </w:pPr>
    </w:p>
    <w:p w14:paraId="1F1B18AB" w14:textId="77777777" w:rsidR="00816FA9" w:rsidRPr="00B6585E" w:rsidRDefault="00816FA9" w:rsidP="001D162A">
      <w:pPr>
        <w:pStyle w:val="BodyText"/>
        <w:spacing w:line="237" w:lineRule="auto"/>
        <w:ind w:left="155" w:right="140"/>
        <w:jc w:val="both"/>
        <w:rPr>
          <w:rFonts w:ascii="Arial" w:hAnsi="Arial" w:cs="Arial"/>
          <w:color w:val="000000" w:themeColor="text1"/>
          <w:szCs w:val="22"/>
        </w:rPr>
      </w:pPr>
      <w:r w:rsidRPr="00B6585E">
        <w:rPr>
          <w:rFonts w:ascii="Arial" w:hAnsi="Arial" w:cs="Arial"/>
          <w:color w:val="000000" w:themeColor="text1"/>
          <w:szCs w:val="22"/>
        </w:rPr>
        <w:t xml:space="preserve">Right ventricular function will be estimated by using Tricuspid annular plane systolic excursion (TAPSE), right ventricular S´, and right ventricular fractional area change. Finally, heart chamber sizes and vena cava inferior size and variability will be measured according to the latest guideline published by the American Heart Association (AHA). Measurements will be done in the preoperative phase in the wake room before application of the study medication on postoperative day 1, 3, and 5. </w:t>
      </w:r>
    </w:p>
    <w:p w14:paraId="6D8E151C" w14:textId="77777777" w:rsidR="00816FA9" w:rsidRPr="00B6585E" w:rsidRDefault="00816FA9" w:rsidP="001D162A">
      <w:pPr>
        <w:pStyle w:val="BodyText"/>
        <w:spacing w:line="237" w:lineRule="auto"/>
        <w:ind w:left="155" w:right="140"/>
        <w:jc w:val="both"/>
        <w:rPr>
          <w:rFonts w:ascii="Arial" w:hAnsi="Arial" w:cs="Arial"/>
          <w:color w:val="000000" w:themeColor="text1"/>
          <w:szCs w:val="22"/>
        </w:rPr>
      </w:pPr>
    </w:p>
    <w:p w14:paraId="7ECCCDD3" w14:textId="77777777" w:rsidR="00816FA9" w:rsidRPr="00B6585E" w:rsidRDefault="00816FA9" w:rsidP="00816FA9">
      <w:pPr>
        <w:pStyle w:val="Heading3"/>
        <w:numPr>
          <w:ilvl w:val="0"/>
          <w:numId w:val="0"/>
        </w:numPr>
      </w:pPr>
      <w:bookmarkStart w:id="355" w:name="_Toc96925051"/>
      <w:r w:rsidRPr="00B6585E">
        <w:t>Statistical</w:t>
      </w:r>
      <w:r w:rsidRPr="00B6585E">
        <w:rPr>
          <w:spacing w:val="-12"/>
        </w:rPr>
        <w:t xml:space="preserve"> </w:t>
      </w:r>
      <w:r w:rsidRPr="00B6585E">
        <w:t>Analysis</w:t>
      </w:r>
      <w:bookmarkEnd w:id="355"/>
    </w:p>
    <w:p w14:paraId="12012532" w14:textId="77777777" w:rsidR="00816FA9" w:rsidRPr="00B6585E" w:rsidRDefault="00816FA9" w:rsidP="001D162A">
      <w:pPr>
        <w:pStyle w:val="BodyText"/>
        <w:spacing w:before="4"/>
        <w:rPr>
          <w:rFonts w:ascii="Arial" w:hAnsi="Arial" w:cs="Arial"/>
          <w:b/>
          <w:color w:val="000000" w:themeColor="text1"/>
          <w:szCs w:val="22"/>
        </w:rPr>
      </w:pPr>
    </w:p>
    <w:p w14:paraId="50FCA749" w14:textId="77777777" w:rsidR="00816FA9" w:rsidRPr="00B6585E" w:rsidRDefault="00816FA9" w:rsidP="001D162A">
      <w:pPr>
        <w:pStyle w:val="BodyText"/>
        <w:spacing w:line="242" w:lineRule="auto"/>
        <w:ind w:left="155" w:right="143"/>
        <w:jc w:val="both"/>
        <w:rPr>
          <w:rFonts w:ascii="Arial" w:hAnsi="Arial" w:cs="Arial"/>
          <w:color w:val="000000" w:themeColor="text1"/>
          <w:szCs w:val="22"/>
        </w:rPr>
      </w:pPr>
      <w:r w:rsidRPr="00B6585E">
        <w:rPr>
          <w:rFonts w:ascii="Arial" w:hAnsi="Arial" w:cs="Arial"/>
          <w:color w:val="000000" w:themeColor="text1"/>
          <w:szCs w:val="22"/>
        </w:rPr>
        <w:t xml:space="preserve">We will use two-tailed students T-test for comparison of echocardiography baseline parameters. We will use two-tailed paired students T-test and Wilcoxon signed-rank test as appropriate for comparison of study medication related changes to diastolic and systolic function parameters between groups. To further analyze the effect on diastolic function by the study medication we </w:t>
      </w:r>
      <w:r w:rsidRPr="00B6585E">
        <w:rPr>
          <w:rFonts w:ascii="Arial" w:hAnsi="Arial" w:cs="Arial"/>
          <w:color w:val="000000" w:themeColor="text1"/>
          <w:szCs w:val="22"/>
        </w:rPr>
        <w:lastRenderedPageBreak/>
        <w:t>will also use a multivariate linear regression model using study medication and other baseline variables that will show significant effect in univariate linear regression. Change in the primary outcome LVEF (EF/SV) of 25% relative to the control group was used for sample size calculation. Sample size analysis was conducted using G*Power 3.1. with an 80% power and a type I error of 0.05, leading to a necessary sample size of 101 subjects.</w:t>
      </w:r>
    </w:p>
    <w:p w14:paraId="07AA773C" w14:textId="77777777" w:rsidR="00816FA9" w:rsidRPr="00B6585E" w:rsidRDefault="00816FA9" w:rsidP="001D162A">
      <w:pPr>
        <w:pStyle w:val="BodyText"/>
        <w:spacing w:line="242" w:lineRule="auto"/>
        <w:ind w:left="155" w:right="143"/>
        <w:jc w:val="both"/>
        <w:rPr>
          <w:rFonts w:ascii="Arial" w:hAnsi="Arial" w:cs="Arial"/>
          <w:color w:val="000000" w:themeColor="text1"/>
          <w:szCs w:val="22"/>
        </w:rPr>
      </w:pPr>
    </w:p>
    <w:p w14:paraId="53D3F560" w14:textId="1CCF2242" w:rsidR="00816FA9" w:rsidRPr="00B6585E" w:rsidRDefault="00816FA9" w:rsidP="00D93F4E">
      <w:pPr>
        <w:pStyle w:val="Heading3"/>
        <w:numPr>
          <w:ilvl w:val="0"/>
          <w:numId w:val="0"/>
        </w:numPr>
      </w:pPr>
      <w:bookmarkStart w:id="356" w:name="_Toc96925052"/>
      <w:r w:rsidRPr="00B6585E">
        <w:t>Investigators</w:t>
      </w:r>
      <w:bookmarkEnd w:id="356"/>
    </w:p>
    <w:p w14:paraId="05793B78" w14:textId="77777777" w:rsidR="00816FA9" w:rsidRPr="00B6585E" w:rsidRDefault="00816FA9" w:rsidP="001D162A">
      <w:pPr>
        <w:pStyle w:val="BodyText"/>
        <w:spacing w:before="161"/>
        <w:ind w:left="155" w:right="155"/>
        <w:jc w:val="both"/>
        <w:rPr>
          <w:rFonts w:ascii="Arial" w:hAnsi="Arial" w:cs="Arial"/>
          <w:color w:val="000000" w:themeColor="text1"/>
          <w:spacing w:val="-1"/>
          <w:szCs w:val="22"/>
        </w:rPr>
      </w:pPr>
      <w:r w:rsidRPr="00B6585E">
        <w:rPr>
          <w:rFonts w:ascii="Arial" w:hAnsi="Arial" w:cs="Arial"/>
          <w:color w:val="000000" w:themeColor="text1"/>
          <w:spacing w:val="-1"/>
          <w:szCs w:val="22"/>
        </w:rPr>
        <w:t>Each examination will be carried out by 1 of 3 investigators. The senior investigator is an experienced user of echocardiography with extensive knowledge and multiple certifications (European Association of Cardiovascular Imaging diploma for transthoracic echocardiography / European Diploma in advanced critical care Echocardiography). All investigators have completed echocardiography trainings and have many years of experience with the use of echocardiography in a clinical setting. The two junior investigators will be accompanied by the senior investigator up to a point where examinations have reached a satisfiable degree of competence and can be performed without supervision.</w:t>
      </w:r>
    </w:p>
    <w:p w14:paraId="16EB2B09" w14:textId="77777777" w:rsidR="00816FA9" w:rsidRPr="00B6585E" w:rsidRDefault="00816FA9" w:rsidP="001D162A">
      <w:pPr>
        <w:pStyle w:val="BodyText"/>
        <w:spacing w:before="161"/>
        <w:ind w:right="155"/>
        <w:jc w:val="both"/>
        <w:rPr>
          <w:rFonts w:ascii="Arial" w:hAnsi="Arial" w:cs="Arial"/>
          <w:color w:val="000000" w:themeColor="text1"/>
          <w:spacing w:val="-1"/>
          <w:szCs w:val="22"/>
        </w:rPr>
      </w:pPr>
    </w:p>
    <w:p w14:paraId="38A60218" w14:textId="3B7E9278" w:rsidR="00816FA9" w:rsidRPr="00B6585E" w:rsidRDefault="00816FA9" w:rsidP="00816FA9">
      <w:pPr>
        <w:pStyle w:val="Heading3"/>
        <w:numPr>
          <w:ilvl w:val="0"/>
          <w:numId w:val="0"/>
        </w:numPr>
      </w:pPr>
      <w:bookmarkStart w:id="357" w:name="_Toc96925053"/>
      <w:r w:rsidRPr="00B6585E">
        <w:t>Location</w:t>
      </w:r>
      <w:bookmarkEnd w:id="357"/>
    </w:p>
    <w:p w14:paraId="53AB1508" w14:textId="77777777" w:rsidR="00816FA9" w:rsidRPr="00B6585E" w:rsidRDefault="00816FA9" w:rsidP="001D162A">
      <w:pPr>
        <w:pStyle w:val="BodyText"/>
        <w:spacing w:before="161"/>
        <w:ind w:left="155" w:right="155"/>
        <w:jc w:val="both"/>
        <w:rPr>
          <w:rFonts w:ascii="Arial" w:hAnsi="Arial" w:cs="Arial"/>
          <w:color w:val="000000" w:themeColor="text1"/>
          <w:spacing w:val="-1"/>
          <w:szCs w:val="22"/>
        </w:rPr>
      </w:pPr>
      <w:r w:rsidRPr="00B6585E">
        <w:rPr>
          <w:rFonts w:ascii="Arial" w:hAnsi="Arial" w:cs="Arial"/>
          <w:color w:val="000000" w:themeColor="text1"/>
          <w:spacing w:val="-1"/>
          <w:szCs w:val="22"/>
        </w:rPr>
        <w:t>Echocardiography examinations will only be carried out at the Medical University of Vienna.</w:t>
      </w:r>
    </w:p>
    <w:p w14:paraId="6552A43A" w14:textId="77777777" w:rsidR="00816FA9" w:rsidRPr="00B6585E" w:rsidRDefault="00816FA9" w:rsidP="001D162A">
      <w:pPr>
        <w:spacing w:line="360" w:lineRule="auto"/>
        <w:jc w:val="both"/>
        <w:rPr>
          <w:rFonts w:ascii="Arial" w:hAnsi="Arial" w:cs="Arial"/>
          <w:color w:val="000000" w:themeColor="text1"/>
          <w:sz w:val="22"/>
          <w:szCs w:val="22"/>
        </w:rPr>
      </w:pPr>
    </w:p>
    <w:p w14:paraId="159772BA" w14:textId="0246F91C" w:rsidR="00816FA9" w:rsidRPr="00B6585E" w:rsidRDefault="00816FA9" w:rsidP="00816FA9">
      <w:pPr>
        <w:pStyle w:val="Heading3"/>
        <w:numPr>
          <w:ilvl w:val="0"/>
          <w:numId w:val="0"/>
        </w:numPr>
      </w:pPr>
      <w:bookmarkStart w:id="358" w:name="_Toc96925054"/>
      <w:r w:rsidRPr="00B6585E">
        <w:t>Communication of echocardiography findings</w:t>
      </w:r>
      <w:bookmarkEnd w:id="358"/>
    </w:p>
    <w:p w14:paraId="77CF6968" w14:textId="77777777" w:rsidR="00816FA9" w:rsidRPr="00B6585E" w:rsidRDefault="00816FA9" w:rsidP="00816FA9">
      <w:pPr>
        <w:rPr>
          <w:rFonts w:ascii="Arial" w:hAnsi="Arial" w:cs="Arial"/>
          <w:color w:val="000000" w:themeColor="text1"/>
          <w:sz w:val="22"/>
          <w:szCs w:val="22"/>
        </w:rPr>
      </w:pPr>
    </w:p>
    <w:p w14:paraId="6E190E94" w14:textId="77777777" w:rsidR="00816FA9" w:rsidRPr="00B6585E" w:rsidRDefault="00816FA9" w:rsidP="001D162A">
      <w:pPr>
        <w:ind w:left="120"/>
        <w:jc w:val="both"/>
        <w:rPr>
          <w:rFonts w:ascii="Arial" w:hAnsi="Arial" w:cs="Arial"/>
          <w:color w:val="000000" w:themeColor="text1"/>
          <w:spacing w:val="-1"/>
          <w:sz w:val="22"/>
          <w:szCs w:val="22"/>
        </w:rPr>
      </w:pPr>
      <w:r w:rsidRPr="00B6585E">
        <w:rPr>
          <w:rFonts w:ascii="Arial" w:hAnsi="Arial" w:cs="Arial"/>
          <w:color w:val="000000" w:themeColor="text1"/>
          <w:spacing w:val="-1"/>
          <w:sz w:val="22"/>
          <w:szCs w:val="22"/>
        </w:rPr>
        <w:t xml:space="preserve">To reduce the risk introducing confounders to the original study protocol and results, echocardiography findings will not be shared with the treating physicians. This procedure only applies to echocardiography done solely for study purposes and not for echocardiography done by the treatment team as part of routine care. </w:t>
      </w:r>
    </w:p>
    <w:p w14:paraId="525128C5" w14:textId="77777777" w:rsidR="00816FA9" w:rsidRPr="00B6585E" w:rsidRDefault="00816FA9" w:rsidP="001D162A">
      <w:pPr>
        <w:jc w:val="center"/>
        <w:rPr>
          <w:rFonts w:ascii="Arial" w:hAnsi="Arial" w:cs="Arial"/>
          <w:color w:val="000000" w:themeColor="text1"/>
          <w:spacing w:val="-1"/>
          <w:sz w:val="22"/>
          <w:szCs w:val="22"/>
        </w:rPr>
      </w:pPr>
    </w:p>
    <w:p w14:paraId="2700DC49" w14:textId="661E3771" w:rsidR="00816FA9" w:rsidRPr="00B6585E" w:rsidRDefault="00816FA9" w:rsidP="00816FA9">
      <w:pPr>
        <w:pStyle w:val="Heading3"/>
        <w:numPr>
          <w:ilvl w:val="0"/>
          <w:numId w:val="0"/>
        </w:numPr>
      </w:pPr>
      <w:bookmarkStart w:id="359" w:name="_Toc96925055"/>
      <w:r w:rsidRPr="00B6585E">
        <w:t>Primary Aim</w:t>
      </w:r>
      <w:bookmarkEnd w:id="359"/>
    </w:p>
    <w:p w14:paraId="670F95D6" w14:textId="77777777" w:rsidR="00816FA9" w:rsidRPr="00B6585E" w:rsidRDefault="00816FA9" w:rsidP="001D162A">
      <w:pPr>
        <w:pStyle w:val="BodyText"/>
        <w:spacing w:before="157" w:line="242" w:lineRule="auto"/>
        <w:ind w:left="155" w:right="142"/>
        <w:jc w:val="both"/>
        <w:rPr>
          <w:rFonts w:ascii="Arial" w:hAnsi="Arial" w:cs="Arial"/>
          <w:color w:val="000000" w:themeColor="text1"/>
          <w:szCs w:val="22"/>
        </w:rPr>
      </w:pPr>
      <w:r w:rsidRPr="00B6585E">
        <w:rPr>
          <w:rFonts w:ascii="Arial" w:hAnsi="Arial" w:cs="Arial"/>
          <w:color w:val="000000" w:themeColor="text1"/>
          <w:szCs w:val="22"/>
        </w:rPr>
        <w:t xml:space="preserve">Our primary outcome is the effect of Levosimendan on systolic and diastolic function as observed in echocardiography. Systolic ejection fraction, stroke volume and diastolic function grade respectively will function as markers for systolic and diastolic function. Measurements will be taken preoperatively and on postoperative day 1, 3 and 5. </w:t>
      </w:r>
    </w:p>
    <w:p w14:paraId="5BF43138" w14:textId="77777777" w:rsidR="00816FA9" w:rsidRPr="00B6585E" w:rsidRDefault="00816FA9" w:rsidP="001D162A">
      <w:pPr>
        <w:pStyle w:val="BodyText"/>
        <w:spacing w:before="7"/>
        <w:rPr>
          <w:rFonts w:ascii="Arial" w:hAnsi="Arial" w:cs="Arial"/>
          <w:color w:val="000000" w:themeColor="text1"/>
          <w:szCs w:val="22"/>
        </w:rPr>
      </w:pPr>
    </w:p>
    <w:p w14:paraId="2667B366" w14:textId="19B8195F" w:rsidR="00816FA9" w:rsidRPr="00B6585E" w:rsidRDefault="00816FA9" w:rsidP="00816FA9">
      <w:pPr>
        <w:pStyle w:val="Heading3"/>
        <w:numPr>
          <w:ilvl w:val="0"/>
          <w:numId w:val="0"/>
        </w:numPr>
      </w:pPr>
      <w:bookmarkStart w:id="360" w:name="_Toc96925056"/>
      <w:r w:rsidRPr="00B6585E">
        <w:t>Secondary Aim I</w:t>
      </w:r>
      <w:bookmarkEnd w:id="360"/>
    </w:p>
    <w:p w14:paraId="6524D432" w14:textId="3CDE29E3" w:rsidR="00816FA9" w:rsidRPr="00B6585E" w:rsidRDefault="00816FA9" w:rsidP="00816FA9">
      <w:pPr>
        <w:pStyle w:val="BodyText"/>
        <w:spacing w:before="7"/>
        <w:ind w:left="120"/>
        <w:jc w:val="both"/>
        <w:rPr>
          <w:rFonts w:ascii="Arial" w:hAnsi="Arial" w:cs="Arial"/>
          <w:color w:val="000000" w:themeColor="text1"/>
          <w:szCs w:val="22"/>
        </w:rPr>
      </w:pPr>
      <w:r w:rsidRPr="00B6585E">
        <w:rPr>
          <w:rFonts w:ascii="Arial" w:hAnsi="Arial" w:cs="Arial"/>
          <w:color w:val="000000" w:themeColor="text1"/>
          <w:szCs w:val="22"/>
        </w:rPr>
        <w:t>Our secondary outcome will be the change in heart chamber sizes pre- and postoperatively, with and without Levosimendan.</w:t>
      </w:r>
    </w:p>
    <w:p w14:paraId="31F9C481" w14:textId="77777777" w:rsidR="00816FA9" w:rsidRPr="00B6585E" w:rsidRDefault="00816FA9" w:rsidP="00816FA9">
      <w:pPr>
        <w:pStyle w:val="BodyText"/>
        <w:spacing w:before="7"/>
        <w:ind w:left="120"/>
        <w:jc w:val="both"/>
        <w:rPr>
          <w:rFonts w:ascii="Arial" w:hAnsi="Arial" w:cs="Arial"/>
          <w:color w:val="000000" w:themeColor="text1"/>
          <w:szCs w:val="22"/>
        </w:rPr>
      </w:pPr>
    </w:p>
    <w:p w14:paraId="50ED5E53" w14:textId="33CC92D6" w:rsidR="00816FA9" w:rsidRPr="00B6585E" w:rsidRDefault="00816FA9" w:rsidP="00816FA9">
      <w:pPr>
        <w:pStyle w:val="Heading3"/>
        <w:numPr>
          <w:ilvl w:val="0"/>
          <w:numId w:val="0"/>
        </w:numPr>
      </w:pPr>
      <w:bookmarkStart w:id="361" w:name="_Toc96925057"/>
      <w:r w:rsidRPr="00B6585E">
        <w:t>Risk &amp; Benefit</w:t>
      </w:r>
      <w:bookmarkEnd w:id="361"/>
    </w:p>
    <w:p w14:paraId="3D488007" w14:textId="77777777" w:rsidR="00816FA9" w:rsidRPr="00B6585E" w:rsidRDefault="00816FA9" w:rsidP="001D162A">
      <w:pPr>
        <w:pStyle w:val="BodyText"/>
        <w:spacing w:before="161"/>
        <w:ind w:right="155"/>
        <w:jc w:val="both"/>
        <w:rPr>
          <w:rFonts w:ascii="Arial" w:hAnsi="Arial" w:cs="Arial"/>
          <w:color w:val="000000" w:themeColor="text1"/>
          <w:spacing w:val="-1"/>
          <w:szCs w:val="22"/>
        </w:rPr>
      </w:pPr>
      <w:r w:rsidRPr="00B6585E">
        <w:rPr>
          <w:rFonts w:ascii="Arial" w:hAnsi="Arial" w:cs="Arial"/>
          <w:color w:val="000000" w:themeColor="text1"/>
          <w:spacing w:val="-1"/>
          <w:szCs w:val="22"/>
        </w:rPr>
        <w:t xml:space="preserve">There is no inherent risk involved for the patients with the addition echocardiography to the study. </w:t>
      </w:r>
    </w:p>
    <w:p w14:paraId="183AE6F5" w14:textId="77777777" w:rsidR="00816FA9" w:rsidRPr="00B6585E" w:rsidRDefault="00816FA9" w:rsidP="001D162A">
      <w:pPr>
        <w:pStyle w:val="BodyText"/>
        <w:spacing w:before="8"/>
        <w:rPr>
          <w:rFonts w:ascii="Arial" w:hAnsi="Arial" w:cs="Arial"/>
          <w:color w:val="000000" w:themeColor="text1"/>
          <w:szCs w:val="22"/>
        </w:rPr>
      </w:pPr>
    </w:p>
    <w:p w14:paraId="26BAF808" w14:textId="77777777" w:rsidR="00816FA9" w:rsidRPr="00B6585E" w:rsidRDefault="00816FA9" w:rsidP="00816FA9">
      <w:pPr>
        <w:pStyle w:val="Heading3"/>
        <w:numPr>
          <w:ilvl w:val="0"/>
          <w:numId w:val="0"/>
        </w:numPr>
      </w:pPr>
      <w:bookmarkStart w:id="362" w:name="_Toc96925058"/>
      <w:r w:rsidRPr="00B6585E">
        <w:t>Abbreviations</w:t>
      </w:r>
      <w:bookmarkEnd w:id="362"/>
    </w:p>
    <w:p w14:paraId="6DCA1921" w14:textId="77777777" w:rsidR="00816FA9" w:rsidRPr="00B6585E" w:rsidRDefault="00816FA9" w:rsidP="001D162A">
      <w:pPr>
        <w:pStyle w:val="BodyText"/>
        <w:spacing w:before="4"/>
        <w:rPr>
          <w:rFonts w:ascii="Arial" w:hAnsi="Arial" w:cs="Arial"/>
          <w:b/>
          <w:color w:val="000000" w:themeColor="text1"/>
          <w:szCs w:val="22"/>
        </w:rPr>
      </w:pPr>
    </w:p>
    <w:p w14:paraId="7D32F91A"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t xml:space="preserve">   E/A</w:t>
      </w:r>
      <w:r w:rsidRPr="00B6585E">
        <w:rPr>
          <w:rFonts w:ascii="Arial" w:hAnsi="Arial" w:cs="Arial"/>
          <w:color w:val="000000" w:themeColor="text1"/>
          <w:szCs w:val="22"/>
        </w:rPr>
        <w:tab/>
      </w:r>
      <w:r w:rsidRPr="00B6585E">
        <w:rPr>
          <w:rFonts w:ascii="Arial" w:hAnsi="Arial" w:cs="Arial"/>
          <w:color w:val="000000" w:themeColor="text1"/>
          <w:szCs w:val="22"/>
        </w:rPr>
        <w:tab/>
      </w:r>
      <w:r w:rsidRPr="00B6585E">
        <w:rPr>
          <w:rFonts w:ascii="Arial" w:hAnsi="Arial" w:cs="Arial"/>
          <w:color w:val="000000" w:themeColor="text1"/>
          <w:szCs w:val="22"/>
        </w:rPr>
        <w:tab/>
        <w:t>Early to late diastolic transmitral flow velocity</w:t>
      </w:r>
    </w:p>
    <w:p w14:paraId="278B4CDD"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t xml:space="preserve">   E/é</w:t>
      </w:r>
      <w:r w:rsidRPr="00B6585E">
        <w:rPr>
          <w:rFonts w:ascii="Arial" w:hAnsi="Arial" w:cs="Arial"/>
          <w:color w:val="000000" w:themeColor="text1"/>
          <w:szCs w:val="22"/>
        </w:rPr>
        <w:tab/>
      </w:r>
      <w:r w:rsidRPr="00B6585E">
        <w:rPr>
          <w:rFonts w:ascii="Arial" w:hAnsi="Arial" w:cs="Arial"/>
          <w:color w:val="000000" w:themeColor="text1"/>
          <w:szCs w:val="22"/>
        </w:rPr>
        <w:tab/>
      </w:r>
      <w:r w:rsidRPr="00B6585E">
        <w:rPr>
          <w:rFonts w:ascii="Arial" w:hAnsi="Arial" w:cs="Arial"/>
          <w:color w:val="000000" w:themeColor="text1"/>
          <w:szCs w:val="22"/>
        </w:rPr>
        <w:tab/>
        <w:t>E (see above) to early diastolic mitral annular tissue velocity</w:t>
      </w:r>
    </w:p>
    <w:p w14:paraId="26107BD9"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t xml:space="preserve">   EF</w:t>
      </w:r>
      <w:r w:rsidRPr="00B6585E">
        <w:rPr>
          <w:rFonts w:ascii="Arial" w:hAnsi="Arial" w:cs="Arial"/>
          <w:color w:val="000000" w:themeColor="text1"/>
          <w:szCs w:val="22"/>
        </w:rPr>
        <w:tab/>
      </w:r>
      <w:r w:rsidRPr="00B6585E">
        <w:rPr>
          <w:rFonts w:ascii="Arial" w:hAnsi="Arial" w:cs="Arial"/>
          <w:color w:val="000000" w:themeColor="text1"/>
          <w:szCs w:val="22"/>
        </w:rPr>
        <w:tab/>
      </w:r>
      <w:r w:rsidRPr="00B6585E">
        <w:rPr>
          <w:rFonts w:ascii="Arial" w:hAnsi="Arial" w:cs="Arial"/>
          <w:color w:val="000000" w:themeColor="text1"/>
          <w:szCs w:val="22"/>
        </w:rPr>
        <w:tab/>
        <w:t>Ejection fraction</w:t>
      </w:r>
    </w:p>
    <w:p w14:paraId="616C0B32"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t xml:space="preserve">   LVOT</w:t>
      </w:r>
      <w:r w:rsidRPr="00B6585E">
        <w:rPr>
          <w:rFonts w:ascii="Arial" w:hAnsi="Arial" w:cs="Arial"/>
          <w:color w:val="000000" w:themeColor="text1"/>
          <w:szCs w:val="22"/>
        </w:rPr>
        <w:tab/>
      </w:r>
      <w:r w:rsidRPr="00B6585E">
        <w:rPr>
          <w:rFonts w:ascii="Arial" w:hAnsi="Arial" w:cs="Arial"/>
          <w:color w:val="000000" w:themeColor="text1"/>
          <w:szCs w:val="22"/>
        </w:rPr>
        <w:tab/>
        <w:t xml:space="preserve">Left ventricular outflow tract </w:t>
      </w:r>
    </w:p>
    <w:p w14:paraId="08F6756D"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lastRenderedPageBreak/>
        <w:t xml:space="preserve">   TI</w:t>
      </w:r>
      <w:r w:rsidRPr="00B6585E">
        <w:rPr>
          <w:rFonts w:ascii="Arial" w:hAnsi="Arial" w:cs="Arial"/>
          <w:color w:val="000000" w:themeColor="text1"/>
          <w:szCs w:val="22"/>
        </w:rPr>
        <w:tab/>
      </w:r>
      <w:r w:rsidRPr="00B6585E">
        <w:rPr>
          <w:rFonts w:ascii="Arial" w:hAnsi="Arial" w:cs="Arial"/>
          <w:color w:val="000000" w:themeColor="text1"/>
          <w:szCs w:val="22"/>
        </w:rPr>
        <w:tab/>
      </w:r>
      <w:r w:rsidRPr="00B6585E">
        <w:rPr>
          <w:rFonts w:ascii="Arial" w:hAnsi="Arial" w:cs="Arial"/>
          <w:color w:val="000000" w:themeColor="text1"/>
          <w:szCs w:val="22"/>
        </w:rPr>
        <w:tab/>
        <w:t>Tricuspid insufficiency</w:t>
      </w:r>
    </w:p>
    <w:p w14:paraId="72039E87"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t xml:space="preserve">   VTI</w:t>
      </w:r>
      <w:r w:rsidRPr="00B6585E">
        <w:rPr>
          <w:rFonts w:ascii="Arial" w:hAnsi="Arial" w:cs="Arial"/>
          <w:color w:val="000000" w:themeColor="text1"/>
          <w:szCs w:val="22"/>
        </w:rPr>
        <w:tab/>
      </w:r>
      <w:r w:rsidRPr="00B6585E">
        <w:rPr>
          <w:rFonts w:ascii="Arial" w:hAnsi="Arial" w:cs="Arial"/>
          <w:color w:val="000000" w:themeColor="text1"/>
          <w:szCs w:val="22"/>
        </w:rPr>
        <w:tab/>
      </w:r>
      <w:r w:rsidRPr="00B6585E">
        <w:rPr>
          <w:rFonts w:ascii="Arial" w:hAnsi="Arial" w:cs="Arial"/>
          <w:color w:val="000000" w:themeColor="text1"/>
          <w:szCs w:val="22"/>
        </w:rPr>
        <w:tab/>
        <w:t>Velocity time integral</w:t>
      </w:r>
    </w:p>
    <w:p w14:paraId="0FE58946" w14:textId="77777777" w:rsidR="00816FA9" w:rsidRPr="00B6585E" w:rsidRDefault="00816FA9" w:rsidP="001D162A">
      <w:pPr>
        <w:pStyle w:val="BodyText"/>
        <w:spacing w:before="8"/>
        <w:rPr>
          <w:rFonts w:ascii="Arial" w:hAnsi="Arial" w:cs="Arial"/>
          <w:color w:val="000000" w:themeColor="text1"/>
          <w:szCs w:val="22"/>
        </w:rPr>
      </w:pPr>
      <w:r w:rsidRPr="00B6585E">
        <w:rPr>
          <w:rFonts w:ascii="Arial" w:hAnsi="Arial" w:cs="Arial"/>
          <w:color w:val="000000" w:themeColor="text1"/>
          <w:szCs w:val="22"/>
        </w:rPr>
        <w:t xml:space="preserve">   SV</w:t>
      </w:r>
      <w:r w:rsidRPr="00B6585E">
        <w:rPr>
          <w:rFonts w:ascii="Arial" w:hAnsi="Arial" w:cs="Arial"/>
          <w:color w:val="000000" w:themeColor="text1"/>
          <w:szCs w:val="22"/>
        </w:rPr>
        <w:tab/>
      </w:r>
      <w:r w:rsidRPr="00B6585E">
        <w:rPr>
          <w:rFonts w:ascii="Arial" w:hAnsi="Arial" w:cs="Arial"/>
          <w:color w:val="000000" w:themeColor="text1"/>
          <w:szCs w:val="22"/>
        </w:rPr>
        <w:tab/>
      </w:r>
      <w:r w:rsidRPr="00B6585E">
        <w:rPr>
          <w:rFonts w:ascii="Arial" w:hAnsi="Arial" w:cs="Arial"/>
          <w:color w:val="000000" w:themeColor="text1"/>
          <w:szCs w:val="22"/>
        </w:rPr>
        <w:tab/>
        <w:t>Stroke volume</w:t>
      </w:r>
    </w:p>
    <w:p w14:paraId="73CFE904" w14:textId="77777777" w:rsidR="00816FA9" w:rsidRPr="00B6585E" w:rsidRDefault="00816FA9">
      <w:pPr>
        <w:rPr>
          <w:rFonts w:ascii="Arial" w:hAnsi="Arial" w:cs="Arial"/>
          <w:color w:val="000000" w:themeColor="text1"/>
          <w:sz w:val="22"/>
          <w:szCs w:val="22"/>
        </w:rPr>
      </w:pPr>
    </w:p>
    <w:p w14:paraId="0A2B2D33" w14:textId="77777777" w:rsidR="00816FA9" w:rsidRPr="00B6585E" w:rsidRDefault="00816FA9">
      <w:pPr>
        <w:rPr>
          <w:rFonts w:ascii="Arial" w:eastAsia="Arial" w:hAnsi="Arial" w:cs="Arial"/>
          <w:color w:val="000000" w:themeColor="text1"/>
          <w:sz w:val="22"/>
          <w:szCs w:val="22"/>
        </w:rPr>
      </w:pPr>
      <w:r w:rsidRPr="00B6585E">
        <w:rPr>
          <w:rFonts w:ascii="Arial" w:eastAsia="Arial" w:hAnsi="Arial" w:cs="Arial"/>
          <w:color w:val="000000" w:themeColor="text1"/>
          <w:sz w:val="22"/>
          <w:szCs w:val="22"/>
        </w:rPr>
        <w:br w:type="page"/>
      </w:r>
    </w:p>
    <w:p w14:paraId="3571C2FD" w14:textId="77777777" w:rsidR="00816FA9" w:rsidRPr="00B6585E" w:rsidRDefault="00816FA9">
      <w:pPr>
        <w:rPr>
          <w:rFonts w:ascii="Arial" w:eastAsia="Arial" w:hAnsi="Arial" w:cs="Arial"/>
          <w:color w:val="000000" w:themeColor="text1"/>
          <w:sz w:val="22"/>
          <w:szCs w:val="22"/>
        </w:rPr>
      </w:pPr>
    </w:p>
    <w:p w14:paraId="685225FF" w14:textId="77777777" w:rsidR="00816FA9" w:rsidRPr="00B6585E" w:rsidRDefault="00816FA9" w:rsidP="001D162A">
      <w:pPr>
        <w:pStyle w:val="BodyText"/>
        <w:spacing w:before="8"/>
        <w:rPr>
          <w:color w:val="000000" w:themeColor="text1"/>
          <w:szCs w:val="22"/>
        </w:rPr>
      </w:pPr>
    </w:p>
    <w:p w14:paraId="3288896B" w14:textId="77777777" w:rsidR="00816FA9" w:rsidRPr="00B6585E" w:rsidRDefault="00816FA9" w:rsidP="00D93F4E">
      <w:pPr>
        <w:pStyle w:val="Heading3"/>
        <w:numPr>
          <w:ilvl w:val="0"/>
          <w:numId w:val="0"/>
        </w:numPr>
      </w:pPr>
      <w:bookmarkStart w:id="363" w:name="_Toc96925059"/>
      <w:r w:rsidRPr="00B6585E">
        <w:t>References</w:t>
      </w:r>
      <w:bookmarkEnd w:id="363"/>
    </w:p>
    <w:p w14:paraId="3B0CA949" w14:textId="77777777" w:rsidR="00816FA9" w:rsidRPr="00B6585E" w:rsidRDefault="00816FA9" w:rsidP="001D162A">
      <w:pPr>
        <w:pStyle w:val="BodyText"/>
        <w:spacing w:line="242" w:lineRule="auto"/>
        <w:ind w:right="143"/>
        <w:jc w:val="both"/>
        <w:rPr>
          <w:color w:val="000000" w:themeColor="text1"/>
          <w:szCs w:val="22"/>
        </w:rPr>
      </w:pPr>
    </w:p>
    <w:p w14:paraId="6FC72012" w14:textId="77777777" w:rsidR="00816FA9" w:rsidRPr="00B6585E" w:rsidRDefault="00816FA9" w:rsidP="001D162A">
      <w:pPr>
        <w:pStyle w:val="BodyText"/>
        <w:spacing w:line="242" w:lineRule="auto"/>
        <w:ind w:right="143"/>
        <w:jc w:val="both"/>
        <w:rPr>
          <w:color w:val="000000" w:themeColor="text1"/>
          <w:szCs w:val="22"/>
        </w:rPr>
      </w:pPr>
    </w:p>
    <w:p w14:paraId="4526487A" w14:textId="77777777" w:rsidR="00816FA9" w:rsidRPr="00B6585E" w:rsidRDefault="00816FA9" w:rsidP="001D162A">
      <w:pPr>
        <w:pStyle w:val="Bibliography1"/>
        <w:rPr>
          <w:rFonts w:ascii="Arial" w:hAnsi="Arial" w:cs="Arial"/>
          <w:color w:val="000000" w:themeColor="text1"/>
          <w:lang w:val="de-AT"/>
        </w:rPr>
      </w:pPr>
      <w:r w:rsidRPr="00B6585E">
        <w:rPr>
          <w:rFonts w:cs="Times New Roman"/>
          <w:color w:val="000000" w:themeColor="text1"/>
        </w:rPr>
        <w:fldChar w:fldCharType="begin"/>
      </w:r>
      <w:r w:rsidRPr="00B6585E">
        <w:rPr>
          <w:color w:val="000000" w:themeColor="text1"/>
        </w:rPr>
        <w:instrText xml:space="preserve"> ADDIN ZOTERO_BIBL {"uncited":[],"omitted":[],"custom":[]} CSL_BIBLIOGRAPHY </w:instrText>
      </w:r>
      <w:r w:rsidRPr="00B6585E">
        <w:rPr>
          <w:rFonts w:cs="Times New Roman"/>
          <w:color w:val="000000" w:themeColor="text1"/>
        </w:rPr>
        <w:fldChar w:fldCharType="separate"/>
      </w:r>
      <w:r w:rsidRPr="00B6585E">
        <w:rPr>
          <w:rFonts w:ascii="Arial" w:hAnsi="Arial" w:cs="Arial"/>
          <w:color w:val="000000" w:themeColor="text1"/>
        </w:rPr>
        <w:t xml:space="preserve">1. </w:t>
      </w:r>
      <w:r w:rsidRPr="00B6585E">
        <w:rPr>
          <w:rFonts w:ascii="Arial" w:hAnsi="Arial" w:cs="Arial"/>
          <w:color w:val="000000" w:themeColor="text1"/>
        </w:rPr>
        <w:tab/>
        <w:t xml:space="preserve">Rohde LE, Polanczyk CA, Goldman L, Cook EF, Lee RT, Lee TH. Usefulness of transthoracic echocardiography as a tool for risk stratification of patients undergoing major noncardiac surgery. </w:t>
      </w:r>
      <w:r w:rsidRPr="00B6585E">
        <w:rPr>
          <w:rFonts w:ascii="Arial" w:hAnsi="Arial" w:cs="Arial"/>
          <w:color w:val="000000" w:themeColor="text1"/>
          <w:lang w:val="de-AT"/>
        </w:rPr>
        <w:t xml:space="preserve">Am J Cardiol. 1. März 2001;87(5):505–9. </w:t>
      </w:r>
    </w:p>
    <w:p w14:paraId="68B74690"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lang w:val="de-AT"/>
        </w:rPr>
        <w:t xml:space="preserve">2. </w:t>
      </w:r>
      <w:r w:rsidRPr="00B6585E">
        <w:rPr>
          <w:rFonts w:ascii="Arial" w:hAnsi="Arial" w:cs="Arial"/>
          <w:color w:val="000000" w:themeColor="text1"/>
          <w:lang w:val="de-AT"/>
        </w:rPr>
        <w:tab/>
        <w:t xml:space="preserve">Halm EA, Browner WS, Tubau JF, Tateo IM, Mangano DT. </w:t>
      </w:r>
      <w:r w:rsidRPr="00B6585E">
        <w:rPr>
          <w:rFonts w:ascii="Arial" w:hAnsi="Arial" w:cs="Arial"/>
          <w:color w:val="000000" w:themeColor="text1"/>
        </w:rPr>
        <w:t xml:space="preserve">Echocardiography for assessing cardiac risk in patients having noncardiac surgery. Study of Perioperative Ischemia Research Group. Ann Intern Med. 15. September 1996;125(6):433–41. </w:t>
      </w:r>
    </w:p>
    <w:p w14:paraId="5A1ADEC6"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3. </w:t>
      </w:r>
      <w:r w:rsidRPr="00B6585E">
        <w:rPr>
          <w:rFonts w:ascii="Arial" w:hAnsi="Arial" w:cs="Arial"/>
          <w:color w:val="000000" w:themeColor="text1"/>
        </w:rPr>
        <w:tab/>
        <w:t xml:space="preserve">Park S-J, Choi J-H, Cho S-J, Chang S-A, Choi J-O, Lee S-C, u. a. Comparison of transthoracic echocardiography with N-terminal pro-brain natriuretic Peptide as a tool for risk stratification of patients undergoing major noncardiac  surgery. Korean Circ J. September 2011;41(9):505–11. </w:t>
      </w:r>
    </w:p>
    <w:p w14:paraId="53E13150"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4. </w:t>
      </w:r>
      <w:r w:rsidRPr="00B6585E">
        <w:rPr>
          <w:rFonts w:ascii="Arial" w:hAnsi="Arial" w:cs="Arial"/>
          <w:color w:val="000000" w:themeColor="text1"/>
        </w:rPr>
        <w:tab/>
        <w:t xml:space="preserve">Fredholm M, Jorgensen K, Houltz E, Ricksten SE. Inotropic and lusitropic effects of levosimendan and milrinone assessed by strain echocardiography-A randomised trial. Acta Anaesthesiol Scand. 2018/06/22 Aufl. Oktober 2018;62(9):1246–54. </w:t>
      </w:r>
    </w:p>
    <w:p w14:paraId="012DACAC"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5. </w:t>
      </w:r>
      <w:r w:rsidRPr="00B6585E">
        <w:rPr>
          <w:rFonts w:ascii="Arial" w:hAnsi="Arial" w:cs="Arial"/>
          <w:color w:val="000000" w:themeColor="text1"/>
        </w:rPr>
        <w:tab/>
        <w:t xml:space="preserve">Mishra A, Kumar B, Dutta V, Arya VK, Mishra AK. Comparative Effect of Levosimendan and Milrinone in Cardiac Surgery Patients With Pulmonary Hypertension and Left Ventricular Dysfunction. J Cardiothorac Vasc Anesth. 2016/06/21 Aufl. Juni 2016;30(3):639–46. </w:t>
      </w:r>
    </w:p>
    <w:p w14:paraId="5045F775"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6. </w:t>
      </w:r>
      <w:r w:rsidRPr="00B6585E">
        <w:rPr>
          <w:rFonts w:ascii="Arial" w:hAnsi="Arial" w:cs="Arial"/>
          <w:color w:val="000000" w:themeColor="text1"/>
        </w:rPr>
        <w:tab/>
        <w:t xml:space="preserve">Salgado Filho MF, Barral M, Barrucand L, Cavalcanti IL, Vercosa N. A Randomized Blinded Study of the Left Ventricular Myocardial Performance Index Comparing Epinephrine to Levosimendan following Cardiopulmonary Bypass. PLoS One. 2015/12/15 Aufl. 2015;10(12):e0143315. </w:t>
      </w:r>
    </w:p>
    <w:p w14:paraId="27332D75"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7. </w:t>
      </w:r>
      <w:r w:rsidRPr="00B6585E">
        <w:rPr>
          <w:rFonts w:ascii="Arial" w:hAnsi="Arial" w:cs="Arial"/>
          <w:color w:val="000000" w:themeColor="text1"/>
        </w:rPr>
        <w:tab/>
        <w:t xml:space="preserve">Anastasiadis K, Antonitsis P, Vranis K, Kleontas A, Asteriou C, Grosomanidis V, u. a. Effectiveness of prophylactic levosimendan in patients with impaired left ventricular function undergoing coronary artery bypass grafting: a randomized pilot study. Interact Cardiovasc Thorac Surg. 2016/07/06 Aufl. November 2016;23(5):740–7. </w:t>
      </w:r>
    </w:p>
    <w:p w14:paraId="71639A4C"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8. </w:t>
      </w:r>
      <w:r w:rsidRPr="00B6585E">
        <w:rPr>
          <w:rFonts w:ascii="Arial" w:hAnsi="Arial" w:cs="Arial"/>
          <w:color w:val="000000" w:themeColor="text1"/>
        </w:rPr>
        <w:tab/>
        <w:t xml:space="preserve">Malik V, Subramanian A, Hote M, Kiran U. Effect of Levosimendan on Diastolic Function in Patients Undergoing Coronary Artery Bypass Grafting: A Comparative Study. J Cardiovasc Pharmacol. 2015/04/29 Aufl. August 2015;66(2):141–7. </w:t>
      </w:r>
    </w:p>
    <w:p w14:paraId="152349AD"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9. </w:t>
      </w:r>
      <w:r w:rsidRPr="00B6585E">
        <w:rPr>
          <w:rFonts w:ascii="Arial" w:hAnsi="Arial" w:cs="Arial"/>
          <w:color w:val="000000" w:themeColor="text1"/>
        </w:rPr>
        <w:tab/>
        <w:t xml:space="preserve">Katsaragakis S, Kapralou A, Markogiannakis H, Kofinas G, Theodoraki EM, Larentzakis A, u. a. Preoperative levosimendan in heart failure patients undergoing noncardiac surgery. Neth J Med. 2008/04/22 Aufl. April 2008;66(4):154–9. </w:t>
      </w:r>
    </w:p>
    <w:p w14:paraId="05CE3344" w14:textId="77777777" w:rsidR="00816FA9" w:rsidRPr="00B6585E" w:rsidRDefault="00816FA9" w:rsidP="001D162A">
      <w:pPr>
        <w:pStyle w:val="Bibliography1"/>
        <w:rPr>
          <w:rFonts w:ascii="Arial" w:hAnsi="Arial" w:cs="Arial"/>
          <w:color w:val="000000" w:themeColor="text1"/>
        </w:rPr>
      </w:pPr>
      <w:r w:rsidRPr="00B6585E">
        <w:rPr>
          <w:rFonts w:ascii="Arial" w:hAnsi="Arial" w:cs="Arial"/>
          <w:color w:val="000000" w:themeColor="text1"/>
        </w:rPr>
        <w:t xml:space="preserve">10. </w:t>
      </w:r>
      <w:r w:rsidRPr="00B6585E">
        <w:rPr>
          <w:rFonts w:ascii="Arial" w:hAnsi="Arial" w:cs="Arial"/>
          <w:color w:val="000000" w:themeColor="text1"/>
        </w:rPr>
        <w:tab/>
        <w:t xml:space="preserve">Katsaragakis S, Kapralou A, Drimousis P, Markogiannakis H, Larentzakis A, Kofinas G, u. a. Prophylactic preoperative levosimendan administration in heart failure patients undergoing elective non-cardiac surgery: a preliminary report. Hellenic J Cardiol. 2009/05/26 Aufl. Mai 2009;50(3):185–92. </w:t>
      </w:r>
    </w:p>
    <w:p w14:paraId="52915AC5" w14:textId="77777777" w:rsidR="00816FA9" w:rsidRPr="00B6585E" w:rsidRDefault="00816FA9" w:rsidP="001D162A">
      <w:pPr>
        <w:pStyle w:val="BodyText"/>
        <w:spacing w:line="242" w:lineRule="auto"/>
        <w:ind w:right="143"/>
        <w:jc w:val="both"/>
        <w:rPr>
          <w:color w:val="000000" w:themeColor="text1"/>
        </w:rPr>
      </w:pPr>
      <w:r w:rsidRPr="00B6585E">
        <w:rPr>
          <w:color w:val="000000" w:themeColor="text1"/>
          <w:szCs w:val="22"/>
        </w:rPr>
        <w:fldChar w:fldCharType="end"/>
      </w:r>
    </w:p>
    <w:p w14:paraId="2D5411B5" w14:textId="77777777" w:rsidR="00816FA9" w:rsidRPr="00B6585E" w:rsidRDefault="00816FA9" w:rsidP="001D162A">
      <w:pPr>
        <w:rPr>
          <w:color w:val="000000" w:themeColor="text1"/>
        </w:rPr>
      </w:pPr>
    </w:p>
    <w:p w14:paraId="4909E566" w14:textId="77777777" w:rsidR="00937A9D" w:rsidRPr="00B6585E" w:rsidRDefault="00937A9D" w:rsidP="00037C03">
      <w:pPr>
        <w:tabs>
          <w:tab w:val="left" w:pos="1190"/>
        </w:tabs>
        <w:rPr>
          <w:rFonts w:ascii="Arial" w:hAnsi="Arial" w:cs="Arial"/>
          <w:color w:val="000000" w:themeColor="text1"/>
          <w:sz w:val="22"/>
          <w:szCs w:val="22"/>
        </w:rPr>
      </w:pPr>
    </w:p>
    <w:sectPr w:rsidR="00937A9D" w:rsidRPr="00B6585E" w:rsidSect="00037C03">
      <w:headerReference w:type="first" r:id="rId36"/>
      <w:footerReference w:type="first" r:id="rId37"/>
      <w:pgSz w:w="11906" w:h="16838"/>
      <w:pgMar w:top="1418" w:right="1134" w:bottom="1134" w:left="1134"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58B62" w14:textId="77777777" w:rsidR="0079403F" w:rsidRDefault="0079403F">
      <w:r>
        <w:separator/>
      </w:r>
    </w:p>
  </w:endnote>
  <w:endnote w:type="continuationSeparator" w:id="0">
    <w:p w14:paraId="40C3BF7C" w14:textId="77777777" w:rsidR="0079403F" w:rsidRDefault="00794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OpenSymbol">
    <w:altName w:val="Arial Unicode MS"/>
    <w:panose1 w:val="020B0604020202020204"/>
    <w:charset w:val="02"/>
    <w:family w:val="auto"/>
    <w:pitch w:val="variable"/>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DejaVu Sans">
    <w:altName w:val="Verdana"/>
    <w:panose1 w:val="020B0604020202020204"/>
    <w:charset w:val="00"/>
    <w:family w:val="roman"/>
    <w:pitch w:val="default"/>
  </w:font>
  <w:font w:name="FreeSans">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ArialMT">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A3A0A" w14:textId="0DACC168" w:rsidR="001D162A" w:rsidRPr="0043348C" w:rsidRDefault="00AC1DD0" w:rsidP="0043348C">
    <w:pPr>
      <w:pStyle w:val="Footer"/>
      <w:pBdr>
        <w:top w:val="single" w:sz="4" w:space="1" w:color="000000"/>
      </w:pBdr>
      <w:tabs>
        <w:tab w:val="center" w:pos="4678"/>
        <w:tab w:val="right" w:pos="9632"/>
      </w:tabs>
    </w:pPr>
    <w:r>
      <w:rPr>
        <w:rFonts w:ascii="Arial" w:hAnsi="Arial" w:cs="Arial"/>
        <w:sz w:val="22"/>
        <w:szCs w:val="22"/>
        <w:lang w:val="en-US"/>
      </w:rPr>
      <w:t>January</w:t>
    </w:r>
    <w:r w:rsidR="001D162A">
      <w:rPr>
        <w:rFonts w:ascii="Arial" w:hAnsi="Arial" w:cs="Arial"/>
        <w:sz w:val="22"/>
        <w:szCs w:val="22"/>
        <w:lang w:val="en-US"/>
      </w:rPr>
      <w:t xml:space="preserve"> </w:t>
    </w:r>
    <w:r>
      <w:rPr>
        <w:rFonts w:ascii="Arial" w:hAnsi="Arial" w:cs="Arial"/>
        <w:sz w:val="22"/>
        <w:szCs w:val="22"/>
        <w:lang w:val="en-US"/>
      </w:rPr>
      <w:t>31</w:t>
    </w:r>
    <w:r>
      <w:rPr>
        <w:rFonts w:ascii="Arial" w:hAnsi="Arial" w:cs="Arial"/>
        <w:sz w:val="22"/>
        <w:szCs w:val="22"/>
        <w:vertAlign w:val="superscript"/>
        <w:lang w:val="en-US"/>
      </w:rPr>
      <w:t>st</w:t>
    </w:r>
    <w:r w:rsidR="001D162A" w:rsidRPr="004C60FB">
      <w:rPr>
        <w:rFonts w:ascii="Arial" w:hAnsi="Arial" w:cs="Arial"/>
        <w:sz w:val="22"/>
        <w:szCs w:val="22"/>
        <w:lang w:val="en-US"/>
      </w:rPr>
      <w:t>, 202</w:t>
    </w:r>
    <w:r>
      <w:rPr>
        <w:rFonts w:ascii="Arial" w:hAnsi="Arial" w:cs="Arial"/>
        <w:sz w:val="22"/>
        <w:szCs w:val="22"/>
        <w:lang w:val="en-US"/>
      </w:rPr>
      <w:t>3</w:t>
    </w:r>
    <w:r w:rsidR="001D162A">
      <w:rPr>
        <w:rFonts w:ascii="Arial" w:hAnsi="Arial" w:cs="Arial"/>
        <w:sz w:val="22"/>
        <w:szCs w:val="22"/>
        <w:lang w:val="en-US"/>
      </w:rPr>
      <w:tab/>
      <w:t>Version 2.</w:t>
    </w:r>
    <w:r w:rsidR="00C277C3">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noProof/>
        <w:sz w:val="22"/>
        <w:szCs w:val="22"/>
      </w:rPr>
      <w:t>1</w:t>
    </w:r>
    <w:r w:rsidR="001D162A">
      <w:rPr>
        <w:rFonts w:ascii="Arial" w:hAnsi="Arial" w:cs="Arial"/>
        <w:sz w:val="22"/>
        <w:szCs w:val="22"/>
      </w:rPr>
      <w:fldChar w:fldCharType="end"/>
    </w:r>
    <w:r w:rsidR="001D162A">
      <w:rPr>
        <w:rFonts w:ascii="Arial" w:hAnsi="Arial" w:cs="Arial"/>
        <w:sz w:val="22"/>
        <w:szCs w:val="22"/>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ED39C" w14:textId="2D047126" w:rsidR="001D162A" w:rsidRPr="007F1F8B" w:rsidRDefault="00C277C3" w:rsidP="007F1F8B">
    <w:pPr>
      <w:pStyle w:val="Footer"/>
      <w:pBdr>
        <w:top w:val="single" w:sz="4" w:space="1" w:color="000000"/>
      </w:pBdr>
      <w:tabs>
        <w:tab w:val="center" w:pos="4678"/>
        <w:tab w:val="right" w:pos="9632"/>
      </w:tabs>
    </w:pPr>
    <w:r>
      <w:rPr>
        <w:rFonts w:ascii="Arial" w:hAnsi="Arial" w:cs="Arial"/>
        <w:sz w:val="22"/>
        <w:szCs w:val="22"/>
        <w:lang w:val="en-US"/>
      </w:rPr>
      <w:t>January 31</w:t>
    </w:r>
    <w:r>
      <w:rPr>
        <w:rFonts w:ascii="Arial" w:hAnsi="Arial" w:cs="Arial"/>
        <w:sz w:val="22"/>
        <w:szCs w:val="22"/>
        <w:vertAlign w:val="superscript"/>
        <w:lang w:val="en-US"/>
      </w:rPr>
      <w:t>st</w:t>
    </w:r>
    <w:r w:rsidRPr="004C60FB">
      <w:rPr>
        <w:rFonts w:ascii="Arial" w:hAnsi="Arial" w:cs="Arial"/>
        <w:sz w:val="22"/>
        <w:szCs w:val="22"/>
        <w:lang w:val="en-US"/>
      </w:rPr>
      <w:t>, 202</w:t>
    </w:r>
    <w:r>
      <w:rPr>
        <w:rFonts w:ascii="Arial" w:hAnsi="Arial" w:cs="Arial"/>
        <w:sz w:val="22"/>
        <w:szCs w:val="22"/>
        <w:lang w:val="en-US"/>
      </w:rPr>
      <w:t>3</w:t>
    </w:r>
    <w:r w:rsidR="001D162A">
      <w:rPr>
        <w:rFonts w:ascii="Arial" w:hAnsi="Arial" w:cs="Arial"/>
        <w:sz w:val="22"/>
        <w:szCs w:val="22"/>
        <w:lang w:val="en-US"/>
      </w:rPr>
      <w:tab/>
      <w:t>Version 2.</w:t>
    </w:r>
    <w:r>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2</w:t>
    </w:r>
    <w:r w:rsidR="001D162A">
      <w:rPr>
        <w:rFonts w:ascii="Arial" w:hAnsi="Arial" w:cs="Arial"/>
        <w:sz w:val="22"/>
        <w:szCs w:val="22"/>
      </w:rPr>
      <w:fldChar w:fldCharType="end"/>
    </w:r>
    <w:r w:rsidR="001D162A">
      <w:rPr>
        <w:rFonts w:ascii="Arial" w:hAnsi="Arial" w:cs="Arial"/>
        <w:sz w:val="22"/>
        <w:szCs w:val="22"/>
        <w:lang w:val="en-US"/>
      </w:rPr>
      <w:t xml:space="preserve"> </w:t>
    </w:r>
  </w:p>
  <w:p w14:paraId="697921A8" w14:textId="1A9B26DE" w:rsidR="001D162A" w:rsidRPr="007F1F8B" w:rsidRDefault="001D162A" w:rsidP="007F1F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13890" w14:textId="2349EAB7" w:rsidR="001D162A" w:rsidRPr="007F1F8B" w:rsidRDefault="00C277C3" w:rsidP="007F1F8B">
    <w:pPr>
      <w:pStyle w:val="Footer"/>
      <w:pBdr>
        <w:top w:val="single" w:sz="4" w:space="1" w:color="000000"/>
      </w:pBdr>
      <w:tabs>
        <w:tab w:val="center" w:pos="4678"/>
        <w:tab w:val="right" w:pos="9632"/>
      </w:tabs>
    </w:pPr>
    <w:r>
      <w:rPr>
        <w:rFonts w:ascii="Arial" w:hAnsi="Arial" w:cs="Arial"/>
        <w:sz w:val="22"/>
        <w:szCs w:val="22"/>
        <w:lang w:val="en-US"/>
      </w:rPr>
      <w:t>January 31</w:t>
    </w:r>
    <w:r>
      <w:rPr>
        <w:rFonts w:ascii="Arial" w:hAnsi="Arial" w:cs="Arial"/>
        <w:sz w:val="22"/>
        <w:szCs w:val="22"/>
        <w:vertAlign w:val="superscript"/>
        <w:lang w:val="en-US"/>
      </w:rPr>
      <w:t>st</w:t>
    </w:r>
    <w:r w:rsidRPr="004C60FB">
      <w:rPr>
        <w:rFonts w:ascii="Arial" w:hAnsi="Arial" w:cs="Arial"/>
        <w:sz w:val="22"/>
        <w:szCs w:val="22"/>
        <w:lang w:val="en-US"/>
      </w:rPr>
      <w:t>, 202</w:t>
    </w:r>
    <w:r>
      <w:rPr>
        <w:rFonts w:ascii="Arial" w:hAnsi="Arial" w:cs="Arial"/>
        <w:sz w:val="22"/>
        <w:szCs w:val="22"/>
        <w:lang w:val="en-US"/>
      </w:rPr>
      <w:t>3</w:t>
    </w:r>
    <w:r>
      <w:rPr>
        <w:rFonts w:ascii="Arial" w:hAnsi="Arial" w:cs="Arial"/>
        <w:sz w:val="22"/>
        <w:szCs w:val="22"/>
        <w:lang w:val="en-US"/>
      </w:rPr>
      <w:tab/>
    </w:r>
    <w:r w:rsidR="001D162A">
      <w:rPr>
        <w:rFonts w:ascii="Arial" w:hAnsi="Arial" w:cs="Arial"/>
        <w:sz w:val="22"/>
        <w:szCs w:val="22"/>
        <w:lang w:val="en-US"/>
      </w:rPr>
      <w:t>Version 2.</w:t>
    </w:r>
    <w:r>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1</w:t>
    </w:r>
    <w:r w:rsidR="001D162A">
      <w:rPr>
        <w:rFonts w:ascii="Arial" w:hAnsi="Arial" w:cs="Arial"/>
        <w:sz w:val="22"/>
        <w:szCs w:val="22"/>
      </w:rPr>
      <w:fldChar w:fldCharType="end"/>
    </w:r>
    <w:r w:rsidR="001D162A">
      <w:rPr>
        <w:rFonts w:ascii="Arial" w:hAnsi="Arial" w:cs="Arial"/>
        <w:sz w:val="22"/>
        <w:szCs w:val="22"/>
        <w:lang w:val="en-U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F72BF" w14:textId="60F9DF4A" w:rsidR="001D162A" w:rsidRPr="007F1F8B" w:rsidRDefault="00C277C3" w:rsidP="007F1F8B">
    <w:pPr>
      <w:pStyle w:val="Footer"/>
      <w:pBdr>
        <w:top w:val="single" w:sz="4" w:space="1" w:color="000000"/>
      </w:pBdr>
      <w:tabs>
        <w:tab w:val="center" w:pos="4678"/>
        <w:tab w:val="right" w:pos="9632"/>
      </w:tabs>
    </w:pPr>
    <w:r>
      <w:rPr>
        <w:rFonts w:ascii="Arial" w:hAnsi="Arial" w:cs="Arial"/>
        <w:sz w:val="22"/>
        <w:szCs w:val="22"/>
        <w:lang w:val="en-US"/>
      </w:rPr>
      <w:t>January 31</w:t>
    </w:r>
    <w:r>
      <w:rPr>
        <w:rFonts w:ascii="Arial" w:hAnsi="Arial" w:cs="Arial"/>
        <w:sz w:val="22"/>
        <w:szCs w:val="22"/>
        <w:vertAlign w:val="superscript"/>
        <w:lang w:val="en-US"/>
      </w:rPr>
      <w:t>st</w:t>
    </w:r>
    <w:r w:rsidRPr="004C60FB">
      <w:rPr>
        <w:rFonts w:ascii="Arial" w:hAnsi="Arial" w:cs="Arial"/>
        <w:sz w:val="22"/>
        <w:szCs w:val="22"/>
        <w:lang w:val="en-US"/>
      </w:rPr>
      <w:t>, 202</w:t>
    </w:r>
    <w:r>
      <w:rPr>
        <w:rFonts w:ascii="Arial" w:hAnsi="Arial" w:cs="Arial"/>
        <w:sz w:val="22"/>
        <w:szCs w:val="22"/>
        <w:lang w:val="en-US"/>
      </w:rPr>
      <w:t>3</w:t>
    </w:r>
    <w:r w:rsidR="001D162A">
      <w:rPr>
        <w:rFonts w:ascii="Arial" w:hAnsi="Arial" w:cs="Arial"/>
        <w:sz w:val="22"/>
        <w:szCs w:val="22"/>
        <w:lang w:val="en-US"/>
      </w:rPr>
      <w:tab/>
      <w:t>Version 2.</w:t>
    </w:r>
    <w:r>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2</w:t>
    </w:r>
    <w:r w:rsidR="001D162A">
      <w:rPr>
        <w:rFonts w:ascii="Arial" w:hAnsi="Arial" w:cs="Arial"/>
        <w:sz w:val="22"/>
        <w:szCs w:val="22"/>
      </w:rPr>
      <w:fldChar w:fldCharType="end"/>
    </w:r>
    <w:r w:rsidR="001D162A">
      <w:rPr>
        <w:rFonts w:ascii="Arial" w:hAnsi="Arial" w:cs="Arial"/>
        <w:sz w:val="22"/>
        <w:szCs w:val="22"/>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E7487" w14:textId="58A3E7AB" w:rsidR="001D162A" w:rsidRPr="007F1F8B" w:rsidRDefault="00C277C3" w:rsidP="007F1F8B">
    <w:pPr>
      <w:pStyle w:val="Footer"/>
      <w:pBdr>
        <w:top w:val="single" w:sz="4" w:space="1" w:color="000000"/>
      </w:pBdr>
      <w:tabs>
        <w:tab w:val="center" w:pos="4678"/>
        <w:tab w:val="right" w:pos="9632"/>
      </w:tabs>
    </w:pPr>
    <w:r>
      <w:rPr>
        <w:rFonts w:ascii="Arial" w:hAnsi="Arial" w:cs="Arial"/>
        <w:sz w:val="22"/>
        <w:szCs w:val="22"/>
        <w:lang w:val="en-US"/>
      </w:rPr>
      <w:t>January 31</w:t>
    </w:r>
    <w:r>
      <w:rPr>
        <w:rFonts w:ascii="Arial" w:hAnsi="Arial" w:cs="Arial"/>
        <w:sz w:val="22"/>
        <w:szCs w:val="22"/>
        <w:vertAlign w:val="superscript"/>
        <w:lang w:val="en-US"/>
      </w:rPr>
      <w:t>st</w:t>
    </w:r>
    <w:r w:rsidRPr="004C60FB">
      <w:rPr>
        <w:rFonts w:ascii="Arial" w:hAnsi="Arial" w:cs="Arial"/>
        <w:sz w:val="22"/>
        <w:szCs w:val="22"/>
        <w:lang w:val="en-US"/>
      </w:rPr>
      <w:t>, 202</w:t>
    </w:r>
    <w:r>
      <w:rPr>
        <w:rFonts w:ascii="Arial" w:hAnsi="Arial" w:cs="Arial"/>
        <w:sz w:val="22"/>
        <w:szCs w:val="22"/>
        <w:lang w:val="en-US"/>
      </w:rPr>
      <w:t>3</w:t>
    </w:r>
    <w:r w:rsidR="001D162A">
      <w:rPr>
        <w:rFonts w:ascii="Arial" w:hAnsi="Arial" w:cs="Arial"/>
        <w:sz w:val="22"/>
        <w:szCs w:val="22"/>
        <w:lang w:val="en-US"/>
      </w:rPr>
      <w:tab/>
      <w:t>Version 2.</w:t>
    </w:r>
    <w:r>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2</w:t>
    </w:r>
    <w:r w:rsidR="001D162A">
      <w:rPr>
        <w:rFonts w:ascii="Arial" w:hAnsi="Arial" w:cs="Arial"/>
        <w:sz w:val="22"/>
        <w:szCs w:val="22"/>
      </w:rPr>
      <w:fldChar w:fldCharType="end"/>
    </w:r>
    <w:r w:rsidR="001D162A">
      <w:rPr>
        <w:rFonts w:ascii="Arial" w:hAnsi="Arial" w:cs="Arial"/>
        <w:sz w:val="22"/>
        <w:szCs w:val="22"/>
        <w:lang w:val="en-U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A98D0" w14:textId="1678BB32" w:rsidR="001D162A" w:rsidRPr="007F1F8B" w:rsidRDefault="00C277C3" w:rsidP="007F1F8B">
    <w:pPr>
      <w:pStyle w:val="Footer"/>
      <w:pBdr>
        <w:top w:val="single" w:sz="4" w:space="1" w:color="000000"/>
      </w:pBdr>
      <w:tabs>
        <w:tab w:val="center" w:pos="4678"/>
        <w:tab w:val="right" w:pos="9632"/>
      </w:tabs>
    </w:pPr>
    <w:r>
      <w:rPr>
        <w:rFonts w:ascii="Arial" w:hAnsi="Arial" w:cs="Arial"/>
        <w:sz w:val="22"/>
        <w:szCs w:val="22"/>
        <w:lang w:val="en-US"/>
      </w:rPr>
      <w:t>January 31</w:t>
    </w:r>
    <w:r>
      <w:rPr>
        <w:rFonts w:ascii="Arial" w:hAnsi="Arial" w:cs="Arial"/>
        <w:sz w:val="22"/>
        <w:szCs w:val="22"/>
        <w:vertAlign w:val="superscript"/>
        <w:lang w:val="en-US"/>
      </w:rPr>
      <w:t>st</w:t>
    </w:r>
    <w:r w:rsidRPr="004C60FB">
      <w:rPr>
        <w:rFonts w:ascii="Arial" w:hAnsi="Arial" w:cs="Arial"/>
        <w:sz w:val="22"/>
        <w:szCs w:val="22"/>
        <w:lang w:val="en-US"/>
      </w:rPr>
      <w:t>, 202</w:t>
    </w:r>
    <w:r>
      <w:rPr>
        <w:rFonts w:ascii="Arial" w:hAnsi="Arial" w:cs="Arial"/>
        <w:sz w:val="22"/>
        <w:szCs w:val="22"/>
        <w:lang w:val="en-US"/>
      </w:rPr>
      <w:t>3</w:t>
    </w:r>
    <w:r w:rsidR="001D162A">
      <w:rPr>
        <w:rFonts w:ascii="Arial" w:hAnsi="Arial" w:cs="Arial"/>
        <w:sz w:val="22"/>
        <w:szCs w:val="22"/>
        <w:lang w:val="en-US"/>
      </w:rPr>
      <w:tab/>
      <w:t>Version 2.</w:t>
    </w:r>
    <w:r>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8</w:t>
    </w:r>
    <w:r w:rsidR="001D162A">
      <w:rPr>
        <w:rFonts w:ascii="Arial" w:hAnsi="Arial" w:cs="Arial"/>
        <w:sz w:val="22"/>
        <w:szCs w:val="22"/>
      </w:rPr>
      <w:fldChar w:fldCharType="end"/>
    </w:r>
    <w:r w:rsidR="001D162A">
      <w:rPr>
        <w:rFonts w:ascii="Arial" w:hAnsi="Arial" w:cs="Arial"/>
        <w:sz w:val="22"/>
        <w:szCs w:val="22"/>
        <w:lang w:val="en-US"/>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19A65" w14:textId="6EFD8927" w:rsidR="001D162A" w:rsidRPr="007F1F8B" w:rsidRDefault="00602E51" w:rsidP="007F1F8B">
    <w:pPr>
      <w:pStyle w:val="Footer"/>
      <w:pBdr>
        <w:top w:val="single" w:sz="4" w:space="1" w:color="000000"/>
      </w:pBdr>
      <w:tabs>
        <w:tab w:val="center" w:pos="4678"/>
        <w:tab w:val="right" w:pos="9632"/>
      </w:tabs>
    </w:pPr>
    <w:r>
      <w:rPr>
        <w:rFonts w:ascii="Arial" w:hAnsi="Arial" w:cs="Arial"/>
        <w:sz w:val="22"/>
        <w:szCs w:val="22"/>
        <w:lang w:val="en-US"/>
      </w:rPr>
      <w:t>February</w:t>
    </w:r>
    <w:r w:rsidR="001D162A">
      <w:rPr>
        <w:rFonts w:ascii="Arial" w:hAnsi="Arial" w:cs="Arial"/>
        <w:sz w:val="22"/>
        <w:szCs w:val="22"/>
        <w:lang w:val="en-US"/>
      </w:rPr>
      <w:t xml:space="preserve"> </w:t>
    </w:r>
    <w:r>
      <w:rPr>
        <w:rFonts w:ascii="Arial" w:hAnsi="Arial" w:cs="Arial"/>
        <w:sz w:val="22"/>
        <w:szCs w:val="22"/>
        <w:lang w:val="en-US"/>
      </w:rPr>
      <w:t>28</w:t>
    </w:r>
    <w:r w:rsidR="001D162A" w:rsidRPr="004C60FB">
      <w:rPr>
        <w:rFonts w:ascii="Arial" w:hAnsi="Arial" w:cs="Arial"/>
        <w:sz w:val="22"/>
        <w:szCs w:val="22"/>
        <w:vertAlign w:val="superscript"/>
        <w:lang w:val="en-US"/>
      </w:rPr>
      <w:t>th</w:t>
    </w:r>
    <w:r w:rsidR="001D162A" w:rsidRPr="004C60FB">
      <w:rPr>
        <w:rFonts w:ascii="Arial" w:hAnsi="Arial" w:cs="Arial"/>
        <w:sz w:val="22"/>
        <w:szCs w:val="22"/>
        <w:lang w:val="en-US"/>
      </w:rPr>
      <w:t>, 202</w:t>
    </w:r>
    <w:r w:rsidR="001D162A">
      <w:rPr>
        <w:rFonts w:ascii="Arial" w:hAnsi="Arial" w:cs="Arial"/>
        <w:sz w:val="22"/>
        <w:szCs w:val="22"/>
        <w:lang w:val="en-US"/>
      </w:rPr>
      <w:t>1</w:t>
    </w:r>
    <w:r w:rsidR="001D162A">
      <w:rPr>
        <w:rFonts w:ascii="Arial" w:hAnsi="Arial" w:cs="Arial"/>
        <w:sz w:val="22"/>
        <w:szCs w:val="22"/>
        <w:lang w:val="en-US"/>
      </w:rPr>
      <w:tab/>
    </w:r>
    <w:r w:rsidR="001D162A">
      <w:rPr>
        <w:rFonts w:ascii="Arial" w:hAnsi="Arial" w:cs="Arial"/>
        <w:sz w:val="22"/>
        <w:szCs w:val="22"/>
        <w:lang w:val="en-US"/>
      </w:rPr>
      <w:tab/>
      <w:t>Version 2.</w:t>
    </w:r>
    <w:r>
      <w:rPr>
        <w:rFonts w:ascii="Arial" w:hAnsi="Arial" w:cs="Arial"/>
        <w:sz w:val="22"/>
        <w:szCs w:val="22"/>
        <w:lang w:val="en-US"/>
      </w:rPr>
      <w:t>5</w:t>
    </w:r>
    <w:r w:rsidR="001D162A">
      <w:rPr>
        <w:rFonts w:ascii="Arial" w:hAnsi="Arial" w:cs="Arial"/>
        <w:sz w:val="22"/>
        <w:szCs w:val="22"/>
        <w:lang w:val="en-US"/>
      </w:rPr>
      <w:tab/>
    </w:r>
    <w:r w:rsidR="001D162A">
      <w:rPr>
        <w:rFonts w:ascii="Arial" w:hAnsi="Arial" w:cs="Arial"/>
        <w:sz w:val="22"/>
        <w:szCs w:val="22"/>
        <w:lang w:val="en-US"/>
      </w:rPr>
      <w:tab/>
    </w:r>
    <w:r w:rsidR="001D162A">
      <w:rPr>
        <w:rFonts w:ascii="Arial" w:hAnsi="Arial" w:cs="Arial"/>
        <w:sz w:val="22"/>
        <w:szCs w:val="22"/>
        <w:lang w:val="en-US"/>
      </w:rPr>
      <w:tab/>
    </w:r>
    <w:r w:rsidR="001D162A">
      <w:rPr>
        <w:rFonts w:ascii="Arial" w:hAnsi="Arial" w:cs="Arial"/>
        <w:sz w:val="22"/>
        <w:szCs w:val="22"/>
        <w:lang w:val="en-US"/>
      </w:rPr>
      <w:tab/>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8</w:t>
    </w:r>
    <w:r w:rsidR="001D162A">
      <w:rPr>
        <w:rFonts w:ascii="Arial" w:hAnsi="Arial" w:cs="Arial"/>
        <w:sz w:val="22"/>
        <w:szCs w:val="22"/>
      </w:rPr>
      <w:fldChar w:fldCharType="end"/>
    </w:r>
    <w:r w:rsidR="001D162A">
      <w:rPr>
        <w:rFonts w:ascii="Arial" w:hAnsi="Arial" w:cs="Arial"/>
        <w:sz w:val="22"/>
        <w:szCs w:val="22"/>
        <w:lang w:val="en-US"/>
      </w:rPr>
      <w:t xml:space="preserve"> </w:t>
    </w:r>
  </w:p>
  <w:p w14:paraId="3BB9E93F" w14:textId="392783A1" w:rsidR="001D162A" w:rsidRPr="007F1F8B" w:rsidRDefault="001D162A" w:rsidP="007F1F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0908" w14:textId="35341171" w:rsidR="001D162A" w:rsidRPr="007F1F8B" w:rsidRDefault="00C277C3" w:rsidP="007F1F8B">
    <w:pPr>
      <w:pStyle w:val="Footer"/>
      <w:pBdr>
        <w:top w:val="single" w:sz="4" w:space="1" w:color="000000"/>
      </w:pBdr>
      <w:tabs>
        <w:tab w:val="center" w:pos="4678"/>
        <w:tab w:val="right" w:pos="9632"/>
      </w:tabs>
    </w:pPr>
    <w:r>
      <w:rPr>
        <w:rFonts w:ascii="Arial" w:hAnsi="Arial" w:cs="Arial"/>
        <w:sz w:val="22"/>
        <w:szCs w:val="22"/>
        <w:lang w:val="en-US"/>
      </w:rPr>
      <w:t>January 31</w:t>
    </w:r>
    <w:r>
      <w:rPr>
        <w:rFonts w:ascii="Arial" w:hAnsi="Arial" w:cs="Arial"/>
        <w:sz w:val="22"/>
        <w:szCs w:val="22"/>
        <w:vertAlign w:val="superscript"/>
        <w:lang w:val="en-US"/>
      </w:rPr>
      <w:t>st</w:t>
    </w:r>
    <w:r w:rsidRPr="004C60FB">
      <w:rPr>
        <w:rFonts w:ascii="Arial" w:hAnsi="Arial" w:cs="Arial"/>
        <w:sz w:val="22"/>
        <w:szCs w:val="22"/>
        <w:lang w:val="en-US"/>
      </w:rPr>
      <w:t>, 202</w:t>
    </w:r>
    <w:r>
      <w:rPr>
        <w:rFonts w:ascii="Arial" w:hAnsi="Arial" w:cs="Arial"/>
        <w:sz w:val="22"/>
        <w:szCs w:val="22"/>
        <w:lang w:val="en-US"/>
      </w:rPr>
      <w:t>3</w:t>
    </w:r>
    <w:r w:rsidR="001D162A">
      <w:rPr>
        <w:rFonts w:ascii="Arial" w:hAnsi="Arial" w:cs="Arial"/>
        <w:sz w:val="22"/>
        <w:szCs w:val="22"/>
        <w:lang w:val="en-US"/>
      </w:rPr>
      <w:tab/>
      <w:t>Version 2.</w:t>
    </w:r>
    <w:r>
      <w:rPr>
        <w:rFonts w:ascii="Arial" w:hAnsi="Arial" w:cs="Arial"/>
        <w:sz w:val="22"/>
        <w:szCs w:val="22"/>
        <w:lang w:val="en-US"/>
      </w:rPr>
      <w:t>6</w:t>
    </w:r>
    <w:r w:rsidR="001D162A">
      <w:rPr>
        <w:rFonts w:ascii="Arial" w:hAnsi="Arial" w:cs="Arial"/>
        <w:sz w:val="22"/>
        <w:szCs w:val="22"/>
        <w:lang w:val="en-US"/>
      </w:rPr>
      <w:tab/>
      <w:t xml:space="preserve">Page </w:t>
    </w:r>
    <w:r w:rsidR="001D162A">
      <w:rPr>
        <w:rFonts w:ascii="Arial" w:hAnsi="Arial" w:cs="Arial"/>
        <w:sz w:val="22"/>
        <w:szCs w:val="22"/>
      </w:rPr>
      <w:fldChar w:fldCharType="begin"/>
    </w:r>
    <w:r w:rsidR="001D162A">
      <w:rPr>
        <w:rFonts w:ascii="Arial" w:hAnsi="Arial" w:cs="Arial"/>
        <w:sz w:val="22"/>
        <w:szCs w:val="22"/>
      </w:rPr>
      <w:instrText>PAGE</w:instrText>
    </w:r>
    <w:r w:rsidR="001D162A">
      <w:rPr>
        <w:rFonts w:ascii="Arial" w:hAnsi="Arial" w:cs="Arial"/>
        <w:sz w:val="22"/>
        <w:szCs w:val="22"/>
      </w:rPr>
      <w:fldChar w:fldCharType="separate"/>
    </w:r>
    <w:r w:rsidR="001D162A">
      <w:rPr>
        <w:rFonts w:ascii="Arial" w:hAnsi="Arial" w:cs="Arial"/>
        <w:sz w:val="22"/>
        <w:szCs w:val="22"/>
      </w:rPr>
      <w:t>8</w:t>
    </w:r>
    <w:r w:rsidR="001D162A">
      <w:rPr>
        <w:rFonts w:ascii="Arial" w:hAnsi="Arial" w:cs="Arial"/>
        <w:sz w:val="22"/>
        <w:szCs w:val="22"/>
      </w:rPr>
      <w:fldChar w:fldCharType="end"/>
    </w:r>
    <w:r w:rsidR="001D162A">
      <w:rPr>
        <w:rFonts w:ascii="Arial" w:hAnsi="Arial" w:cs="Arial"/>
        <w:sz w:val="22"/>
        <w:szCs w:val="22"/>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18B6C" w14:textId="77777777" w:rsidR="0079403F" w:rsidRDefault="0079403F">
      <w:r>
        <w:separator/>
      </w:r>
    </w:p>
  </w:footnote>
  <w:footnote w:type="continuationSeparator" w:id="0">
    <w:p w14:paraId="192188C0" w14:textId="77777777" w:rsidR="0079403F" w:rsidRDefault="00794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512B3" w14:textId="77777777" w:rsidR="001D162A" w:rsidRDefault="001D162A">
    <w:pPr>
      <w:jc w:val="both"/>
      <w:rPr>
        <w:rFonts w:ascii="Arial" w:hAnsi="Arial" w:cs="Arial"/>
        <w:color w:val="000000"/>
      </w:rPr>
    </w:pPr>
    <w:r>
      <w:rPr>
        <w:noProof/>
        <w:lang w:val="de-DE" w:eastAsia="de-DE"/>
      </w:rPr>
      <w:drawing>
        <wp:inline distT="0" distB="4445" distL="0" distR="0" wp14:anchorId="4884B50B" wp14:editId="26223539">
          <wp:extent cx="803275" cy="630555"/>
          <wp:effectExtent l="0" t="0" r="0" b="0"/>
          <wp:docPr id="4"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A close up of a logo&#10;&#10;Description automatically generated"/>
                  <pic:cNvPicPr>
                    <a:picLocks noChangeAspect="1" noChangeArrowheads="1"/>
                  </pic:cNvPicPr>
                </pic:nvPicPr>
                <pic:blipFill>
                  <a:blip r:embed="rId1"/>
                  <a:stretch>
                    <a:fillRect/>
                  </a:stretch>
                </pic:blipFill>
                <pic:spPr bwMode="auto">
                  <a:xfrm>
                    <a:off x="0" y="0"/>
                    <a:ext cx="803275" cy="630555"/>
                  </a:xfrm>
                  <a:prstGeom prst="rect">
                    <a:avLst/>
                  </a:prstGeom>
                </pic:spPr>
              </pic:pic>
            </a:graphicData>
          </a:graphic>
        </wp:inline>
      </w:drawing>
    </w:r>
    <w:r>
      <w:rPr>
        <w:noProof/>
        <w:lang w:val="de-DE" w:eastAsia="de-DE"/>
      </w:rPr>
      <w:drawing>
        <wp:anchor distT="0" distB="0" distL="114300" distR="114300" simplePos="0" relativeHeight="2" behindDoc="1" locked="0" layoutInCell="1" allowOverlap="1" wp14:anchorId="09609777" wp14:editId="599F55D8">
          <wp:simplePos x="0" y="0"/>
          <wp:positionH relativeFrom="column">
            <wp:posOffset>4377055</wp:posOffset>
          </wp:positionH>
          <wp:positionV relativeFrom="paragraph">
            <wp:posOffset>101600</wp:posOffset>
          </wp:positionV>
          <wp:extent cx="1684020" cy="389890"/>
          <wp:effectExtent l="0" t="0" r="0" b="0"/>
          <wp:wrapNone/>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r>
      <w:rPr>
        <w:noProof/>
        <w:lang w:val="de-DE" w:eastAsia="de-DE"/>
      </w:rPr>
      <w:drawing>
        <wp:anchor distT="0" distB="0" distL="114300" distR="114300" simplePos="0" relativeHeight="33" behindDoc="1" locked="0" layoutInCell="1" allowOverlap="1" wp14:anchorId="50AD205A" wp14:editId="1CBEF138">
          <wp:simplePos x="0" y="0"/>
          <wp:positionH relativeFrom="column">
            <wp:posOffset>4342765</wp:posOffset>
          </wp:positionH>
          <wp:positionV relativeFrom="paragraph">
            <wp:posOffset>101600</wp:posOffset>
          </wp:positionV>
          <wp:extent cx="1684020" cy="389890"/>
          <wp:effectExtent l="0" t="0" r="0" b="0"/>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p>
  <w:p w14:paraId="186B4EC5" w14:textId="77777777" w:rsidR="001D162A" w:rsidRDefault="001D162A">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38654" w14:textId="77777777" w:rsidR="001D162A" w:rsidRDefault="001D162A">
    <w:pPr>
      <w:jc w:val="both"/>
    </w:pPr>
    <w:r>
      <w:rPr>
        <w:noProof/>
        <w:lang w:val="de-DE" w:eastAsia="de-DE"/>
      </w:rPr>
      <w:drawing>
        <wp:anchor distT="0" distB="4445" distL="114300" distR="114300" simplePos="0" relativeHeight="5" behindDoc="1" locked="0" layoutInCell="1" allowOverlap="1" wp14:anchorId="0B220863" wp14:editId="33A8642E">
          <wp:simplePos x="0" y="0"/>
          <wp:positionH relativeFrom="column">
            <wp:posOffset>55880</wp:posOffset>
          </wp:positionH>
          <wp:positionV relativeFrom="paragraph">
            <wp:posOffset>-160020</wp:posOffset>
          </wp:positionV>
          <wp:extent cx="802640" cy="630555"/>
          <wp:effectExtent l="0" t="0" r="0" b="0"/>
          <wp:wrapNone/>
          <wp:docPr id="8"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ogo&#10;&#10;Description automatically generated"/>
                  <pic:cNvPicPr>
                    <a:picLocks noChangeAspect="1" noChangeArrowheads="1"/>
                  </pic:cNvPicPr>
                </pic:nvPicPr>
                <pic:blipFill>
                  <a:blip r:embed="rId1"/>
                  <a:stretch>
                    <a:fillRect/>
                  </a:stretch>
                </pic:blipFill>
                <pic:spPr bwMode="auto">
                  <a:xfrm>
                    <a:off x="0" y="0"/>
                    <a:ext cx="802640" cy="630555"/>
                  </a:xfrm>
                  <a:prstGeom prst="rect">
                    <a:avLst/>
                  </a:prstGeom>
                </pic:spPr>
              </pic:pic>
            </a:graphicData>
          </a:graphic>
        </wp:anchor>
      </w:drawing>
    </w:r>
    <w:r>
      <w:rPr>
        <w:noProof/>
        <w:lang w:val="de-DE" w:eastAsia="de-DE"/>
      </w:rPr>
      <w:drawing>
        <wp:anchor distT="0" distB="0" distL="114300" distR="114300" simplePos="0" relativeHeight="8" behindDoc="1" locked="0" layoutInCell="1" allowOverlap="1" wp14:anchorId="5E18049D" wp14:editId="5A75D4F3">
          <wp:simplePos x="0" y="0"/>
          <wp:positionH relativeFrom="column">
            <wp:posOffset>4301490</wp:posOffset>
          </wp:positionH>
          <wp:positionV relativeFrom="paragraph">
            <wp:posOffset>-635</wp:posOffset>
          </wp:positionV>
          <wp:extent cx="1684020" cy="389890"/>
          <wp:effectExtent l="0" t="0" r="0" b="0"/>
          <wp:wrapNone/>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49E57" w14:textId="77777777" w:rsidR="001D162A" w:rsidRDefault="001D162A">
    <w:pPr>
      <w:jc w:val="both"/>
      <w:rPr>
        <w:rFonts w:ascii="Arial" w:hAnsi="Arial" w:cs="Arial"/>
        <w:color w:val="000000"/>
      </w:rPr>
    </w:pPr>
    <w:r>
      <w:rPr>
        <w:rFonts w:ascii="Arial" w:hAnsi="Arial" w:cs="Arial"/>
        <w:noProof/>
        <w:color w:val="000000"/>
        <w:lang w:val="de-DE" w:eastAsia="de-DE"/>
      </w:rPr>
      <w:drawing>
        <wp:anchor distT="0" distB="0" distL="114300" distR="114300" simplePos="0" relativeHeight="3" behindDoc="1" locked="0" layoutInCell="1" allowOverlap="1" wp14:anchorId="757746EA" wp14:editId="7BE87AA3">
          <wp:simplePos x="0" y="0"/>
          <wp:positionH relativeFrom="column">
            <wp:posOffset>4462780</wp:posOffset>
          </wp:positionH>
          <wp:positionV relativeFrom="paragraph">
            <wp:posOffset>-57785</wp:posOffset>
          </wp:positionV>
          <wp:extent cx="1684020" cy="389890"/>
          <wp:effectExtent l="0" t="0" r="0" b="0"/>
          <wp:wrapNone/>
          <wp:docPr id="10"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3"/>
                  <pic:cNvPicPr>
                    <a:picLocks noChangeAspect="1" noChangeArrowheads="1"/>
                  </pic:cNvPicPr>
                </pic:nvPicPr>
                <pic:blipFill>
                  <a:blip r:embed="rId1"/>
                  <a:stretch>
                    <a:fillRect/>
                  </a:stretch>
                </pic:blipFill>
                <pic:spPr bwMode="auto">
                  <a:xfrm>
                    <a:off x="0" y="0"/>
                    <a:ext cx="1684020" cy="389890"/>
                  </a:xfrm>
                  <a:prstGeom prst="rect">
                    <a:avLst/>
                  </a:prstGeom>
                </pic:spPr>
              </pic:pic>
            </a:graphicData>
          </a:graphic>
        </wp:anchor>
      </w:drawing>
    </w:r>
    <w:r>
      <w:rPr>
        <w:rFonts w:ascii="Arial" w:hAnsi="Arial" w:cs="Arial"/>
        <w:noProof/>
        <w:color w:val="000000"/>
        <w:lang w:val="de-DE" w:eastAsia="de-DE"/>
      </w:rPr>
      <w:drawing>
        <wp:anchor distT="0" distB="4445" distL="114300" distR="114300" simplePos="0" relativeHeight="18" behindDoc="1" locked="0" layoutInCell="1" allowOverlap="1" wp14:anchorId="20B5B454" wp14:editId="75D3D0C1">
          <wp:simplePos x="0" y="0"/>
          <wp:positionH relativeFrom="column">
            <wp:posOffset>74930</wp:posOffset>
          </wp:positionH>
          <wp:positionV relativeFrom="paragraph">
            <wp:posOffset>-163830</wp:posOffset>
          </wp:positionV>
          <wp:extent cx="802640" cy="630555"/>
          <wp:effectExtent l="0" t="0" r="0" b="0"/>
          <wp:wrapNone/>
          <wp:docPr id="11"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A close up of a logo&#10;&#10;Description automatically generated"/>
                  <pic:cNvPicPr>
                    <a:picLocks noChangeAspect="1" noChangeArrowheads="1"/>
                  </pic:cNvPicPr>
                </pic:nvPicPr>
                <pic:blipFill>
                  <a:blip r:embed="rId2"/>
                  <a:stretch>
                    <a:fillRect/>
                  </a:stretch>
                </pic:blipFill>
                <pic:spPr bwMode="auto">
                  <a:xfrm>
                    <a:off x="0" y="0"/>
                    <a:ext cx="802640" cy="6305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EB51" w14:textId="15885706" w:rsidR="001D162A" w:rsidRDefault="001D162A">
    <w:pPr>
      <w:pStyle w:val="Header"/>
    </w:pPr>
    <w:r>
      <w:rPr>
        <w:noProof/>
        <w:lang w:eastAsia="de-DE"/>
      </w:rPr>
      <w:drawing>
        <wp:anchor distT="0" distB="0" distL="114300" distR="114300" simplePos="0" relativeHeight="251668480" behindDoc="1" locked="0" layoutInCell="1" allowOverlap="1" wp14:anchorId="2A7F4DAF" wp14:editId="7C021765">
          <wp:simplePos x="0" y="0"/>
          <wp:positionH relativeFrom="column">
            <wp:posOffset>4468633</wp:posOffset>
          </wp:positionH>
          <wp:positionV relativeFrom="paragraph">
            <wp:posOffset>70927</wp:posOffset>
          </wp:positionV>
          <wp:extent cx="1684020" cy="389890"/>
          <wp:effectExtent l="0" t="0" r="0" b="0"/>
          <wp:wrapNone/>
          <wp:docPr id="27" name="Image2" descr="A picture containing objec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
                  <a:stretch>
                    <a:fillRect/>
                  </a:stretch>
                </pic:blipFill>
                <pic:spPr bwMode="auto">
                  <a:xfrm>
                    <a:off x="0" y="0"/>
                    <a:ext cx="1684020" cy="389890"/>
                  </a:xfrm>
                  <a:prstGeom prst="rect">
                    <a:avLst/>
                  </a:prstGeom>
                </pic:spPr>
              </pic:pic>
            </a:graphicData>
          </a:graphic>
        </wp:anchor>
      </w:drawing>
    </w:r>
    <w:r>
      <w:rPr>
        <w:noProof/>
        <w:lang w:eastAsia="de-DE"/>
      </w:rPr>
      <w:drawing>
        <wp:anchor distT="0" distB="4445" distL="114300" distR="114300" simplePos="0" relativeHeight="251666432" behindDoc="1" locked="0" layoutInCell="1" allowOverlap="1" wp14:anchorId="7A5126E8" wp14:editId="164E7903">
          <wp:simplePos x="0" y="0"/>
          <wp:positionH relativeFrom="column">
            <wp:posOffset>0</wp:posOffset>
          </wp:positionH>
          <wp:positionV relativeFrom="paragraph">
            <wp:posOffset>-635</wp:posOffset>
          </wp:positionV>
          <wp:extent cx="802640" cy="630555"/>
          <wp:effectExtent l="0" t="0" r="0" b="0"/>
          <wp:wrapNone/>
          <wp:docPr id="28"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ogo&#10;&#10;Description automatically generated"/>
                  <pic:cNvPicPr>
                    <a:picLocks noChangeAspect="1" noChangeArrowheads="1"/>
                  </pic:cNvPicPr>
                </pic:nvPicPr>
                <pic:blipFill>
                  <a:blip r:embed="rId2"/>
                  <a:stretch>
                    <a:fillRect/>
                  </a:stretch>
                </pic:blipFill>
                <pic:spPr bwMode="auto">
                  <a:xfrm>
                    <a:off x="0" y="0"/>
                    <a:ext cx="802640" cy="63055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305E9" w14:textId="326359F1" w:rsidR="001D162A" w:rsidRDefault="001D162A">
    <w:pPr>
      <w:pStyle w:val="Header"/>
    </w:pPr>
    <w:r>
      <w:rPr>
        <w:noProof/>
        <w:lang w:eastAsia="de-DE"/>
      </w:rPr>
      <w:drawing>
        <wp:anchor distT="0" distB="0" distL="114300" distR="114300" simplePos="0" relativeHeight="251679744" behindDoc="1" locked="0" layoutInCell="1" allowOverlap="1" wp14:anchorId="287E3DDB" wp14:editId="1B44F7A3">
          <wp:simplePos x="0" y="0"/>
          <wp:positionH relativeFrom="column">
            <wp:posOffset>4326467</wp:posOffset>
          </wp:positionH>
          <wp:positionV relativeFrom="paragraph">
            <wp:posOffset>-136102</wp:posOffset>
          </wp:positionV>
          <wp:extent cx="1684020" cy="389890"/>
          <wp:effectExtent l="0" t="0" r="0" b="0"/>
          <wp:wrapNone/>
          <wp:docPr id="12" name="Picture 12" descr="A picture containing objec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
                  <a:stretch>
                    <a:fillRect/>
                  </a:stretch>
                </pic:blipFill>
                <pic:spPr bwMode="auto">
                  <a:xfrm>
                    <a:off x="0" y="0"/>
                    <a:ext cx="1684020" cy="389890"/>
                  </a:xfrm>
                  <a:prstGeom prst="rect">
                    <a:avLst/>
                  </a:prstGeom>
                </pic:spPr>
              </pic:pic>
            </a:graphicData>
          </a:graphic>
        </wp:anchor>
      </w:drawing>
    </w:r>
    <w:r>
      <w:rPr>
        <w:noProof/>
        <w:lang w:eastAsia="de-DE"/>
      </w:rPr>
      <w:drawing>
        <wp:anchor distT="0" distB="0" distL="114300" distR="114300" simplePos="0" relativeHeight="251672576" behindDoc="1" locked="0" layoutInCell="1" allowOverlap="1" wp14:anchorId="3DA1A4F6" wp14:editId="2C39171E">
          <wp:simplePos x="0" y="0"/>
          <wp:positionH relativeFrom="column">
            <wp:posOffset>7812184</wp:posOffset>
          </wp:positionH>
          <wp:positionV relativeFrom="paragraph">
            <wp:posOffset>-215514</wp:posOffset>
          </wp:positionV>
          <wp:extent cx="1684020" cy="389890"/>
          <wp:effectExtent l="0" t="0" r="0" b="0"/>
          <wp:wrapNone/>
          <wp:docPr id="7" name="Picture 7" descr="A picture containing objec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
                  <a:stretch>
                    <a:fillRect/>
                  </a:stretch>
                </pic:blipFill>
                <pic:spPr bwMode="auto">
                  <a:xfrm>
                    <a:off x="0" y="0"/>
                    <a:ext cx="1684020" cy="389890"/>
                  </a:xfrm>
                  <a:prstGeom prst="rect">
                    <a:avLst/>
                  </a:prstGeom>
                </pic:spPr>
              </pic:pic>
            </a:graphicData>
          </a:graphic>
        </wp:anchor>
      </w:drawing>
    </w:r>
    <w:r>
      <w:rPr>
        <w:noProof/>
        <w:lang w:eastAsia="de-DE"/>
      </w:rPr>
      <w:drawing>
        <wp:anchor distT="0" distB="3175" distL="114300" distR="114300" simplePos="0" relativeHeight="251670528" behindDoc="1" locked="0" layoutInCell="1" allowOverlap="1" wp14:anchorId="45BC4A08" wp14:editId="13FF5FEB">
          <wp:simplePos x="0" y="0"/>
          <wp:positionH relativeFrom="column">
            <wp:posOffset>0</wp:posOffset>
          </wp:positionH>
          <wp:positionV relativeFrom="paragraph">
            <wp:posOffset>-209183</wp:posOffset>
          </wp:positionV>
          <wp:extent cx="802640" cy="606425"/>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descr="A close up of a logo&#10;&#10;Description automatically generated"/>
                  <pic:cNvPicPr>
                    <a:picLocks noChangeAspect="1" noChangeArrowheads="1"/>
                  </pic:cNvPicPr>
                </pic:nvPicPr>
                <pic:blipFill>
                  <a:blip r:embed="rId2"/>
                  <a:stretch>
                    <a:fillRect/>
                  </a:stretch>
                </pic:blipFill>
                <pic:spPr bwMode="auto">
                  <a:xfrm>
                    <a:off x="0" y="0"/>
                    <a:ext cx="802640" cy="6064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D635F" w14:textId="77777777" w:rsidR="001D162A" w:rsidRDefault="001D162A">
    <w:pPr>
      <w:jc w:val="both"/>
    </w:pPr>
    <w:r>
      <w:rPr>
        <w:noProof/>
        <w:lang w:val="de-DE" w:eastAsia="de-DE"/>
      </w:rPr>
      <w:drawing>
        <wp:anchor distT="0" distB="3175" distL="114300" distR="114300" simplePos="0" relativeHeight="46" behindDoc="1" locked="0" layoutInCell="1" allowOverlap="1" wp14:anchorId="0A985655" wp14:editId="1134C06A">
          <wp:simplePos x="0" y="0"/>
          <wp:positionH relativeFrom="column">
            <wp:posOffset>74930</wp:posOffset>
          </wp:positionH>
          <wp:positionV relativeFrom="paragraph">
            <wp:posOffset>-84455</wp:posOffset>
          </wp:positionV>
          <wp:extent cx="802640" cy="606425"/>
          <wp:effectExtent l="0" t="0" r="0" b="0"/>
          <wp:wrapNone/>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descr="A close up of a logo&#10;&#10;Description automatically generated"/>
                  <pic:cNvPicPr>
                    <a:picLocks noChangeAspect="1" noChangeArrowheads="1"/>
                  </pic:cNvPicPr>
                </pic:nvPicPr>
                <pic:blipFill>
                  <a:blip r:embed="rId1"/>
                  <a:stretch>
                    <a:fillRect/>
                  </a:stretch>
                </pic:blipFill>
                <pic:spPr bwMode="auto">
                  <a:xfrm>
                    <a:off x="0" y="0"/>
                    <a:ext cx="802640" cy="606425"/>
                  </a:xfrm>
                  <a:prstGeom prst="rect">
                    <a:avLst/>
                  </a:prstGeom>
                </pic:spPr>
              </pic:pic>
            </a:graphicData>
          </a:graphic>
        </wp:anchor>
      </w:drawing>
    </w:r>
    <w:r>
      <w:rPr>
        <w:noProof/>
        <w:lang w:val="de-DE" w:eastAsia="de-DE"/>
      </w:rPr>
      <w:drawing>
        <wp:anchor distT="0" distB="0" distL="114300" distR="114300" simplePos="0" relativeHeight="47" behindDoc="1" locked="0" layoutInCell="1" allowOverlap="1" wp14:anchorId="2FC66B90" wp14:editId="6A1950F8">
          <wp:simplePos x="0" y="0"/>
          <wp:positionH relativeFrom="column">
            <wp:posOffset>4375150</wp:posOffset>
          </wp:positionH>
          <wp:positionV relativeFrom="paragraph">
            <wp:posOffset>29210</wp:posOffset>
          </wp:positionV>
          <wp:extent cx="1684020" cy="3898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p>
  <w:p w14:paraId="044A184B" w14:textId="77777777" w:rsidR="001D162A" w:rsidRDefault="001D162A">
    <w:pP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78AF9" w14:textId="68F72B42" w:rsidR="001D162A" w:rsidRDefault="001D162A" w:rsidP="00A5257C">
    <w:pPr>
      <w:tabs>
        <w:tab w:val="left" w:pos="11381"/>
      </w:tabs>
      <w:jc w:val="both"/>
    </w:pPr>
    <w:r>
      <w:rPr>
        <w:noProof/>
        <w:lang w:val="de-DE" w:eastAsia="de-DE"/>
      </w:rPr>
      <w:drawing>
        <wp:anchor distT="0" distB="3175" distL="114300" distR="114300" simplePos="0" relativeHeight="48" behindDoc="1" locked="0" layoutInCell="1" allowOverlap="1" wp14:anchorId="68443C3E" wp14:editId="1CC803EC">
          <wp:simplePos x="0" y="0"/>
          <wp:positionH relativeFrom="column">
            <wp:posOffset>74930</wp:posOffset>
          </wp:positionH>
          <wp:positionV relativeFrom="paragraph">
            <wp:posOffset>-84455</wp:posOffset>
          </wp:positionV>
          <wp:extent cx="802640" cy="606425"/>
          <wp:effectExtent l="0" t="0" r="0" b="0"/>
          <wp:wrapNone/>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descr="A close up of a logo&#10;&#10;Description automatically generated"/>
                  <pic:cNvPicPr>
                    <a:picLocks noChangeAspect="1" noChangeArrowheads="1"/>
                  </pic:cNvPicPr>
                </pic:nvPicPr>
                <pic:blipFill>
                  <a:blip r:embed="rId1"/>
                  <a:stretch>
                    <a:fillRect/>
                  </a:stretch>
                </pic:blipFill>
                <pic:spPr bwMode="auto">
                  <a:xfrm>
                    <a:off x="0" y="0"/>
                    <a:ext cx="802640" cy="606425"/>
                  </a:xfrm>
                  <a:prstGeom prst="rect">
                    <a:avLst/>
                  </a:prstGeom>
                </pic:spPr>
              </pic:pic>
            </a:graphicData>
          </a:graphic>
        </wp:anchor>
      </w:drawing>
    </w:r>
    <w:r>
      <w:rPr>
        <w:noProof/>
        <w:lang w:val="de-DE" w:eastAsia="de-DE"/>
      </w:rPr>
      <w:drawing>
        <wp:anchor distT="0" distB="0" distL="114300" distR="114300" simplePos="0" relativeHeight="49" behindDoc="1" locked="0" layoutInCell="1" allowOverlap="1" wp14:anchorId="404B2FB4" wp14:editId="1F71E45C">
          <wp:simplePos x="0" y="0"/>
          <wp:positionH relativeFrom="column">
            <wp:posOffset>4375150</wp:posOffset>
          </wp:positionH>
          <wp:positionV relativeFrom="paragraph">
            <wp:posOffset>29210</wp:posOffset>
          </wp:positionV>
          <wp:extent cx="1684020" cy="389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r>
      <w:tab/>
    </w:r>
  </w:p>
  <w:p w14:paraId="579B5716" w14:textId="77777777" w:rsidR="001D162A" w:rsidRDefault="001D162A">
    <w:pPr>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315B2" w14:textId="75A7166A" w:rsidR="001D162A" w:rsidRDefault="001D162A" w:rsidP="00A5257C">
    <w:pPr>
      <w:tabs>
        <w:tab w:val="left" w:pos="11381"/>
      </w:tabs>
      <w:jc w:val="both"/>
    </w:pPr>
    <w:r>
      <w:rPr>
        <w:noProof/>
        <w:lang w:val="de-DE" w:eastAsia="de-DE"/>
      </w:rPr>
      <w:drawing>
        <wp:anchor distT="0" distB="0" distL="114300" distR="114300" simplePos="0" relativeHeight="251660288" behindDoc="1" locked="0" layoutInCell="1" allowOverlap="1" wp14:anchorId="35B6195B" wp14:editId="66B67C20">
          <wp:simplePos x="0" y="0"/>
          <wp:positionH relativeFrom="column">
            <wp:posOffset>7503361</wp:posOffset>
          </wp:positionH>
          <wp:positionV relativeFrom="paragraph">
            <wp:posOffset>-123190</wp:posOffset>
          </wp:positionV>
          <wp:extent cx="1684020" cy="3898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
                  <a:stretch>
                    <a:fillRect/>
                  </a:stretch>
                </pic:blipFill>
                <pic:spPr bwMode="auto">
                  <a:xfrm>
                    <a:off x="0" y="0"/>
                    <a:ext cx="1684020" cy="389890"/>
                  </a:xfrm>
                  <a:prstGeom prst="rect">
                    <a:avLst/>
                  </a:prstGeom>
                </pic:spPr>
              </pic:pic>
            </a:graphicData>
          </a:graphic>
        </wp:anchor>
      </w:drawing>
    </w:r>
    <w:r>
      <w:rPr>
        <w:noProof/>
        <w:lang w:val="de-DE" w:eastAsia="de-DE"/>
      </w:rPr>
      <w:drawing>
        <wp:anchor distT="0" distB="3175" distL="114300" distR="114300" simplePos="0" relativeHeight="251659264" behindDoc="1" locked="0" layoutInCell="1" allowOverlap="1" wp14:anchorId="72D5106D" wp14:editId="78F20ADF">
          <wp:simplePos x="0" y="0"/>
          <wp:positionH relativeFrom="column">
            <wp:posOffset>74930</wp:posOffset>
          </wp:positionH>
          <wp:positionV relativeFrom="paragraph">
            <wp:posOffset>-84455</wp:posOffset>
          </wp:positionV>
          <wp:extent cx="802640" cy="606425"/>
          <wp:effectExtent l="0" t="0" r="0" b="0"/>
          <wp:wrapNone/>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descr="A close up of a logo&#10;&#10;Description automatically generated"/>
                  <pic:cNvPicPr>
                    <a:picLocks noChangeAspect="1" noChangeArrowheads="1"/>
                  </pic:cNvPicPr>
                </pic:nvPicPr>
                <pic:blipFill>
                  <a:blip r:embed="rId2"/>
                  <a:stretch>
                    <a:fillRect/>
                  </a:stretch>
                </pic:blipFill>
                <pic:spPr bwMode="auto">
                  <a:xfrm>
                    <a:off x="0" y="0"/>
                    <a:ext cx="802640" cy="606425"/>
                  </a:xfrm>
                  <a:prstGeom prst="rect">
                    <a:avLst/>
                  </a:prstGeom>
                </pic:spPr>
              </pic:pic>
            </a:graphicData>
          </a:graphic>
        </wp:anchor>
      </w:drawing>
    </w:r>
    <w:r>
      <w:tab/>
    </w:r>
  </w:p>
  <w:p w14:paraId="51C44D44" w14:textId="77777777" w:rsidR="001D162A" w:rsidRDefault="001D162A">
    <w:pP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026E7" w14:textId="31CD3E2B" w:rsidR="001D162A" w:rsidRDefault="001D162A" w:rsidP="00A5257C">
    <w:pPr>
      <w:tabs>
        <w:tab w:val="left" w:pos="11381"/>
      </w:tabs>
      <w:jc w:val="both"/>
    </w:pPr>
    <w:r>
      <w:rPr>
        <w:noProof/>
        <w:lang w:val="de-DE" w:eastAsia="de-DE"/>
      </w:rPr>
      <w:drawing>
        <wp:anchor distT="0" distB="3175" distL="114300" distR="114300" simplePos="0" relativeHeight="251674624" behindDoc="1" locked="0" layoutInCell="1" allowOverlap="1" wp14:anchorId="7E67C674" wp14:editId="7D911F00">
          <wp:simplePos x="0" y="0"/>
          <wp:positionH relativeFrom="column">
            <wp:posOffset>74930</wp:posOffset>
          </wp:positionH>
          <wp:positionV relativeFrom="paragraph">
            <wp:posOffset>-124460</wp:posOffset>
          </wp:positionV>
          <wp:extent cx="802640" cy="606425"/>
          <wp:effectExtent l="0" t="0" r="0" b="0"/>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descr="A close up of a logo&#10;&#10;Description automatically generated"/>
                  <pic:cNvPicPr>
                    <a:picLocks noChangeAspect="1" noChangeArrowheads="1"/>
                  </pic:cNvPicPr>
                </pic:nvPicPr>
                <pic:blipFill>
                  <a:blip r:embed="rId1"/>
                  <a:stretch>
                    <a:fillRect/>
                  </a:stretch>
                </pic:blipFill>
                <pic:spPr bwMode="auto">
                  <a:xfrm>
                    <a:off x="0" y="0"/>
                    <a:ext cx="802640" cy="606425"/>
                  </a:xfrm>
                  <a:prstGeom prst="rect">
                    <a:avLst/>
                  </a:prstGeom>
                </pic:spPr>
              </pic:pic>
            </a:graphicData>
          </a:graphic>
        </wp:anchor>
      </w:drawing>
    </w:r>
    <w:r>
      <w:rPr>
        <w:noProof/>
        <w:lang w:val="de-DE" w:eastAsia="de-DE"/>
      </w:rPr>
      <w:drawing>
        <wp:anchor distT="0" distB="0" distL="114300" distR="114300" simplePos="0" relativeHeight="251677696" behindDoc="1" locked="0" layoutInCell="1" allowOverlap="1" wp14:anchorId="4493CA3A" wp14:editId="755A14B8">
          <wp:simplePos x="0" y="0"/>
          <wp:positionH relativeFrom="column">
            <wp:posOffset>4484370</wp:posOffset>
          </wp:positionH>
          <wp:positionV relativeFrom="paragraph">
            <wp:posOffset>-16703</wp:posOffset>
          </wp:positionV>
          <wp:extent cx="1684020" cy="389890"/>
          <wp:effectExtent l="0" t="0" r="0" b="0"/>
          <wp:wrapNone/>
          <wp:docPr id="20" name="Picture 20" descr="A picture containing objec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r>
      <w:rPr>
        <w:noProof/>
        <w:lang w:val="de-DE" w:eastAsia="de-DE"/>
      </w:rPr>
      <w:drawing>
        <wp:anchor distT="0" distB="0" distL="114300" distR="114300" simplePos="0" relativeHeight="251675648" behindDoc="1" locked="0" layoutInCell="1" allowOverlap="1" wp14:anchorId="7707F517" wp14:editId="4206B9D7">
          <wp:simplePos x="0" y="0"/>
          <wp:positionH relativeFrom="column">
            <wp:posOffset>7503361</wp:posOffset>
          </wp:positionH>
          <wp:positionV relativeFrom="paragraph">
            <wp:posOffset>-123190</wp:posOffset>
          </wp:positionV>
          <wp:extent cx="1684020" cy="389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
                  <a:stretch>
                    <a:fillRect/>
                  </a:stretch>
                </pic:blipFill>
                <pic:spPr bwMode="auto">
                  <a:xfrm>
                    <a:off x="0" y="0"/>
                    <a:ext cx="1684020" cy="389890"/>
                  </a:xfrm>
                  <a:prstGeom prst="rect">
                    <a:avLst/>
                  </a:prstGeom>
                </pic:spPr>
              </pic:pic>
            </a:graphicData>
          </a:graphic>
        </wp:anchor>
      </w:drawing>
    </w:r>
    <w:r>
      <w:tab/>
    </w:r>
  </w:p>
  <w:p w14:paraId="26B13340" w14:textId="69D3E2B6" w:rsidR="001D162A" w:rsidRDefault="001D162A">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555C6"/>
    <w:multiLevelType w:val="hybridMultilevel"/>
    <w:tmpl w:val="7FA0B56E"/>
    <w:lvl w:ilvl="0" w:tplc="E0D4C8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 w15:restartNumberingAfterBreak="0">
    <w:nsid w:val="04DA61F3"/>
    <w:multiLevelType w:val="hybridMultilevel"/>
    <w:tmpl w:val="95B0007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FE7257"/>
    <w:multiLevelType w:val="multilevel"/>
    <w:tmpl w:val="EDF21FF6"/>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3" w15:restartNumberingAfterBreak="0">
    <w:nsid w:val="07032399"/>
    <w:multiLevelType w:val="hybridMultilevel"/>
    <w:tmpl w:val="26CEEFA4"/>
    <w:lvl w:ilvl="0" w:tplc="0E80BC8E">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9A3607"/>
    <w:multiLevelType w:val="multilevel"/>
    <w:tmpl w:val="EAF2DDF8"/>
    <w:lvl w:ilvl="0">
      <w:start w:val="14"/>
      <w:numFmt w:val="decimal"/>
      <w:lvlText w:val="%1."/>
      <w:lvlJc w:val="left"/>
      <w:pPr>
        <w:ind w:left="800" w:hanging="800"/>
      </w:pPr>
      <w:rPr>
        <w:rFonts w:hint="default"/>
      </w:rPr>
    </w:lvl>
    <w:lvl w:ilvl="1">
      <w:start w:val="10"/>
      <w:numFmt w:val="decimal"/>
      <w:lvlText w:val="%1.%2."/>
      <w:lvlJc w:val="left"/>
      <w:pPr>
        <w:ind w:left="1200" w:hanging="800"/>
      </w:pPr>
      <w:rPr>
        <w:rFonts w:hint="default"/>
      </w:rPr>
    </w:lvl>
    <w:lvl w:ilvl="2">
      <w:start w:val="5"/>
      <w:numFmt w:val="decimal"/>
      <w:lvlText w:val="%1.%2.%3."/>
      <w:lvlJc w:val="left"/>
      <w:pPr>
        <w:ind w:left="1600" w:hanging="80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5" w15:restartNumberingAfterBreak="0">
    <w:nsid w:val="0A9B1D66"/>
    <w:multiLevelType w:val="hybridMultilevel"/>
    <w:tmpl w:val="01A8C3AA"/>
    <w:lvl w:ilvl="0" w:tplc="96EA36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7700F"/>
    <w:multiLevelType w:val="hybridMultilevel"/>
    <w:tmpl w:val="9392DD40"/>
    <w:lvl w:ilvl="0" w:tplc="9B36052C">
      <w:start w:val="9"/>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11220CC"/>
    <w:multiLevelType w:val="multilevel"/>
    <w:tmpl w:val="DA5A3834"/>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26D0C80"/>
    <w:multiLevelType w:val="multilevel"/>
    <w:tmpl w:val="42EE24D4"/>
    <w:lvl w:ilvl="0">
      <w:start w:val="1"/>
      <w:numFmt w:val="decimal"/>
      <w:lvlText w:val="%1."/>
      <w:lvlJc w:val="left"/>
      <w:pPr>
        <w:ind w:left="720" w:hanging="360"/>
      </w:pPr>
      <w:rPr>
        <w:lang w:val="en-US"/>
      </w:rPr>
    </w:lvl>
    <w:lvl w:ilvl="1">
      <w:start w:val="2"/>
      <w:numFmt w:val="decimal"/>
      <w:lvlText w:val="%2."/>
      <w:lvlJc w:val="left"/>
      <w:pPr>
        <w:tabs>
          <w:tab w:val="num" w:pos="1440"/>
        </w:tabs>
        <w:ind w:left="1440" w:hanging="360"/>
      </w:pPr>
    </w:lvl>
    <w:lvl w:ilvl="2">
      <w:start w:val="1"/>
      <w:numFmt w:val="upp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A340475"/>
    <w:multiLevelType w:val="multilevel"/>
    <w:tmpl w:val="1A6E76C2"/>
    <w:lvl w:ilvl="0">
      <w:start w:val="14"/>
      <w:numFmt w:val="decimal"/>
      <w:lvlText w:val="%1."/>
      <w:lvlJc w:val="left"/>
      <w:pPr>
        <w:ind w:left="800" w:hanging="800"/>
      </w:pPr>
      <w:rPr>
        <w:rFonts w:hint="default"/>
      </w:rPr>
    </w:lvl>
    <w:lvl w:ilvl="1">
      <w:start w:val="10"/>
      <w:numFmt w:val="decimal"/>
      <w:lvlText w:val="%1.%2."/>
      <w:lvlJc w:val="left"/>
      <w:pPr>
        <w:ind w:left="1200" w:hanging="800"/>
      </w:pPr>
      <w:rPr>
        <w:rFonts w:hint="default"/>
      </w:rPr>
    </w:lvl>
    <w:lvl w:ilvl="2">
      <w:start w:val="5"/>
      <w:numFmt w:val="decimal"/>
      <w:pStyle w:val="Heading3"/>
      <w:lvlText w:val="%1.%2.%3."/>
      <w:lvlJc w:val="left"/>
      <w:pPr>
        <w:ind w:left="1600" w:hanging="80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0" w15:restartNumberingAfterBreak="0">
    <w:nsid w:val="1A351E49"/>
    <w:multiLevelType w:val="hybridMultilevel"/>
    <w:tmpl w:val="24CA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1237A"/>
    <w:multiLevelType w:val="hybridMultilevel"/>
    <w:tmpl w:val="C2C0DE7C"/>
    <w:lvl w:ilvl="0" w:tplc="D0BC66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D1BB8"/>
    <w:multiLevelType w:val="multilevel"/>
    <w:tmpl w:val="986CDA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592F95"/>
    <w:multiLevelType w:val="hybridMultilevel"/>
    <w:tmpl w:val="6D36358E"/>
    <w:lvl w:ilvl="0" w:tplc="A080C3CE">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375694"/>
    <w:multiLevelType w:val="hybridMultilevel"/>
    <w:tmpl w:val="29367F1A"/>
    <w:lvl w:ilvl="0" w:tplc="BC488CF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583828"/>
    <w:multiLevelType w:val="multilevel"/>
    <w:tmpl w:val="1708F8F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upp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E0F2FE5"/>
    <w:multiLevelType w:val="hybridMultilevel"/>
    <w:tmpl w:val="1D50F18E"/>
    <w:lvl w:ilvl="0" w:tplc="926CCD7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925B08"/>
    <w:multiLevelType w:val="multilevel"/>
    <w:tmpl w:val="2D080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E53A6A"/>
    <w:multiLevelType w:val="hybridMultilevel"/>
    <w:tmpl w:val="4268EE40"/>
    <w:lvl w:ilvl="0" w:tplc="4A7852D6">
      <w:start w:val="2"/>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7721A6"/>
    <w:multiLevelType w:val="multilevel"/>
    <w:tmpl w:val="4DC01450"/>
    <w:lvl w:ilvl="0">
      <w:start w:val="1"/>
      <w:numFmt w:val="decimal"/>
      <w:lvlText w:val="%1."/>
      <w:lvlJc w:val="left"/>
      <w:pPr>
        <w:ind w:left="720" w:hanging="360"/>
      </w:pPr>
      <w:rPr>
        <w:rFonts w:ascii="Arial" w:eastAsia="Times New Roman" w:hAnsi="Arial" w:cs="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EDE0002"/>
    <w:multiLevelType w:val="multilevel"/>
    <w:tmpl w:val="85B6026C"/>
    <w:lvl w:ilvl="0">
      <w:start w:val="1"/>
      <w:numFmt w:val="upperLetter"/>
      <w:lvlText w:val="%1)"/>
      <w:lvlJc w:val="left"/>
      <w:pPr>
        <w:ind w:left="720" w:hanging="360"/>
      </w:pPr>
      <w:rPr>
        <w:rFonts w:ascii="Arial" w:eastAsia="Times New Roman" w:hAnsi="Arial" w:cs="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A4B5F11"/>
    <w:multiLevelType w:val="multilevel"/>
    <w:tmpl w:val="9D1CA5C8"/>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C1B66D4"/>
    <w:multiLevelType w:val="hybridMultilevel"/>
    <w:tmpl w:val="8F60B722"/>
    <w:lvl w:ilvl="0" w:tplc="C17A0978">
      <w:start w:val="5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CA4335"/>
    <w:multiLevelType w:val="multilevel"/>
    <w:tmpl w:val="1E0AC9A2"/>
    <w:lvl w:ilvl="0">
      <w:start w:val="1"/>
      <w:numFmt w:val="bullet"/>
      <w:lvlText w:val=""/>
      <w:lvlJc w:val="left"/>
      <w:pPr>
        <w:ind w:left="720" w:hanging="360"/>
      </w:pPr>
      <w:rPr>
        <w:rFonts w:ascii="OpenSymbol" w:hAnsi="OpenSymbol" w:cs="OpenSymbol" w:hint="default"/>
        <w:sz w:val="2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07021E4"/>
    <w:multiLevelType w:val="multilevel"/>
    <w:tmpl w:val="DA9AEAD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0E9491C"/>
    <w:multiLevelType w:val="multilevel"/>
    <w:tmpl w:val="EA8A74F8"/>
    <w:lvl w:ilvl="0">
      <w:start w:val="1"/>
      <w:numFmt w:val="decimal"/>
      <w:lvlText w:val="%1"/>
      <w:lvlJc w:val="left"/>
      <w:pPr>
        <w:ind w:left="964" w:hanging="964"/>
      </w:pPr>
    </w:lvl>
    <w:lvl w:ilvl="1">
      <w:start w:val="1"/>
      <w:numFmt w:val="decimal"/>
      <w:lvlText w:val="%1.%2"/>
      <w:lvlJc w:val="left"/>
      <w:pPr>
        <w:ind w:left="964" w:hanging="964"/>
      </w:pPr>
    </w:lvl>
    <w:lvl w:ilvl="2">
      <w:start w:val="1"/>
      <w:numFmt w:val="decimal"/>
      <w:lvlText w:val="%1.%2.%3"/>
      <w:lvlJc w:val="left"/>
      <w:pPr>
        <w:ind w:left="964" w:hanging="964"/>
      </w:pPr>
      <w:rPr>
        <w:sz w:val="22"/>
        <w:szCs w:val="22"/>
      </w:rPr>
    </w:lvl>
    <w:lvl w:ilvl="3">
      <w:start w:val="1"/>
      <w:numFmt w:val="decimal"/>
      <w:pStyle w:val="Heading4"/>
      <w:lvlText w:val="%1.%2.%3.%4"/>
      <w:lvlJc w:val="left"/>
      <w:pPr>
        <w:ind w:left="964" w:hanging="964"/>
      </w:pPr>
    </w:lvl>
    <w:lvl w:ilvl="4">
      <w:start w:val="1"/>
      <w:numFmt w:val="decimal"/>
      <w:pStyle w:val="Heading5"/>
      <w:lvlText w:val="%1.%2.%3.%4.%5"/>
      <w:lvlJc w:val="left"/>
      <w:pPr>
        <w:ind w:left="964" w:hanging="964"/>
      </w:pPr>
    </w:lvl>
    <w:lvl w:ilvl="5">
      <w:start w:val="1"/>
      <w:numFmt w:val="decimal"/>
      <w:pStyle w:val="Heading6"/>
      <w:lvlText w:val="%1.%2.%3.%4.%5.%6"/>
      <w:lvlJc w:val="left"/>
      <w:pPr>
        <w:ind w:left="964" w:hanging="964"/>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41D339B"/>
    <w:multiLevelType w:val="multilevel"/>
    <w:tmpl w:val="05EE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966CD8"/>
    <w:multiLevelType w:val="multilevel"/>
    <w:tmpl w:val="C06A125E"/>
    <w:lvl w:ilvl="0">
      <w:start w:val="2"/>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Roman"/>
      <w:lvlText w:val="%3)"/>
      <w:lvlJc w:val="left"/>
      <w:pPr>
        <w:ind w:left="2520" w:hanging="720"/>
      </w:pPr>
    </w:lvl>
    <w:lvl w:ilvl="3">
      <w:start w:val="1"/>
      <w:numFmt w:val="upp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60E75CE"/>
    <w:multiLevelType w:val="multilevel"/>
    <w:tmpl w:val="86D05B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9C73715"/>
    <w:multiLevelType w:val="hybridMultilevel"/>
    <w:tmpl w:val="F75082D0"/>
    <w:lvl w:ilvl="0" w:tplc="DD6C33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D661AD"/>
    <w:multiLevelType w:val="hybridMultilevel"/>
    <w:tmpl w:val="5F269B90"/>
    <w:lvl w:ilvl="0" w:tplc="BBD44C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CF1677"/>
    <w:multiLevelType w:val="multilevel"/>
    <w:tmpl w:val="B18CB60C"/>
    <w:lvl w:ilvl="0">
      <w:start w:val="1"/>
      <w:numFmt w:val="decimal"/>
      <w:pStyle w:val="Heading1"/>
      <w:lvlText w:val="%1"/>
      <w:lvlJc w:val="left"/>
      <w:pPr>
        <w:ind w:left="964" w:hanging="964"/>
      </w:pPr>
    </w:lvl>
    <w:lvl w:ilvl="1">
      <w:start w:val="1"/>
      <w:numFmt w:val="decimal"/>
      <w:pStyle w:val="Heading2"/>
      <w:lvlText w:val="%1.%2"/>
      <w:lvlJc w:val="left"/>
      <w:pPr>
        <w:ind w:left="964" w:hanging="964"/>
      </w:pPr>
    </w:lvl>
    <w:lvl w:ilvl="2">
      <w:start w:val="1"/>
      <w:numFmt w:val="decimal"/>
      <w:lvlText w:val="%1.%2.%3"/>
      <w:lvlJc w:val="left"/>
      <w:pPr>
        <w:ind w:left="1106" w:hanging="964"/>
      </w:pPr>
      <w:rPr>
        <w:sz w:val="22"/>
        <w:szCs w:val="22"/>
      </w:rPr>
    </w:lvl>
    <w:lvl w:ilvl="3">
      <w:start w:val="1"/>
      <w:numFmt w:val="decimal"/>
      <w:lvlText w:val="%1.%2.%3.%4"/>
      <w:lvlJc w:val="left"/>
      <w:pPr>
        <w:ind w:left="964" w:hanging="964"/>
      </w:pPr>
    </w:lvl>
    <w:lvl w:ilvl="4">
      <w:start w:val="1"/>
      <w:numFmt w:val="decimal"/>
      <w:lvlText w:val="%1.%2.%3.%4.%5"/>
      <w:lvlJc w:val="left"/>
      <w:pPr>
        <w:ind w:left="964" w:hanging="964"/>
      </w:pPr>
    </w:lvl>
    <w:lvl w:ilvl="5">
      <w:start w:val="1"/>
      <w:numFmt w:val="decimal"/>
      <w:lvlText w:val="%1.%2.%3.%4.%5.%6"/>
      <w:lvlJc w:val="left"/>
      <w:pPr>
        <w:ind w:left="964" w:hanging="964"/>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EEE6BFD"/>
    <w:multiLevelType w:val="hybridMultilevel"/>
    <w:tmpl w:val="F0BC1ECA"/>
    <w:lvl w:ilvl="0" w:tplc="EEC0FD5A">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ED5150"/>
    <w:multiLevelType w:val="hybridMultilevel"/>
    <w:tmpl w:val="85628AEC"/>
    <w:lvl w:ilvl="0" w:tplc="250E072C">
      <w:start w:val="9"/>
      <w:numFmt w:val="upperLetter"/>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34" w15:restartNumberingAfterBreak="0">
    <w:nsid w:val="72E220DF"/>
    <w:multiLevelType w:val="multilevel"/>
    <w:tmpl w:val="8FAC3BC2"/>
    <w:lvl w:ilvl="0">
      <w:start w:val="1"/>
      <w:numFmt w:val="decimal"/>
      <w:lvlText w:val="%1"/>
      <w:lvlJc w:val="left"/>
      <w:pPr>
        <w:ind w:left="964" w:hanging="964"/>
      </w:pPr>
    </w:lvl>
    <w:lvl w:ilvl="1">
      <w:start w:val="1"/>
      <w:numFmt w:val="decimal"/>
      <w:lvlText w:val="%1.%2"/>
      <w:lvlJc w:val="left"/>
      <w:pPr>
        <w:ind w:left="964" w:hanging="964"/>
      </w:pPr>
    </w:lvl>
    <w:lvl w:ilvl="2">
      <w:start w:val="1"/>
      <w:numFmt w:val="decimal"/>
      <w:lvlText w:val="%1.%2.%3"/>
      <w:lvlJc w:val="left"/>
      <w:pPr>
        <w:ind w:left="964" w:hanging="964"/>
      </w:pPr>
      <w:rPr>
        <w:sz w:val="22"/>
        <w:szCs w:val="22"/>
      </w:rPr>
    </w:lvl>
    <w:lvl w:ilvl="3">
      <w:start w:val="1"/>
      <w:numFmt w:val="decimal"/>
      <w:lvlText w:val="%1.%2.%3.%4"/>
      <w:lvlJc w:val="left"/>
      <w:pPr>
        <w:ind w:left="964" w:hanging="964"/>
      </w:pPr>
    </w:lvl>
    <w:lvl w:ilvl="4">
      <w:start w:val="1"/>
      <w:numFmt w:val="decimal"/>
      <w:lvlText w:val="%1.%2.%3.%4.%5"/>
      <w:lvlJc w:val="left"/>
      <w:pPr>
        <w:ind w:left="964" w:hanging="964"/>
      </w:pPr>
    </w:lvl>
    <w:lvl w:ilvl="5">
      <w:start w:val="1"/>
      <w:numFmt w:val="decimal"/>
      <w:lvlText w:val="%1.%2.%3.%4.%5.%6"/>
      <w:lvlJc w:val="left"/>
      <w:pPr>
        <w:ind w:left="964" w:hanging="964"/>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89C4E1E"/>
    <w:multiLevelType w:val="multilevel"/>
    <w:tmpl w:val="37E23404"/>
    <w:lvl w:ilvl="0">
      <w:start w:val="14"/>
      <w:numFmt w:val="decimal"/>
      <w:lvlText w:val="%1."/>
      <w:lvlJc w:val="left"/>
      <w:pPr>
        <w:ind w:left="800" w:hanging="800"/>
      </w:pPr>
      <w:rPr>
        <w:rFonts w:hint="default"/>
      </w:rPr>
    </w:lvl>
    <w:lvl w:ilvl="1">
      <w:start w:val="10"/>
      <w:numFmt w:val="decimal"/>
      <w:lvlText w:val="%1.%2."/>
      <w:lvlJc w:val="left"/>
      <w:pPr>
        <w:ind w:left="1170" w:hanging="800"/>
      </w:pPr>
      <w:rPr>
        <w:rFonts w:hint="default"/>
      </w:rPr>
    </w:lvl>
    <w:lvl w:ilvl="2">
      <w:start w:val="1"/>
      <w:numFmt w:val="decimal"/>
      <w:lvlText w:val="%1.%2.%3."/>
      <w:lvlJc w:val="left"/>
      <w:pPr>
        <w:ind w:left="1540" w:hanging="80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36" w15:restartNumberingAfterBreak="0">
    <w:nsid w:val="79F75D1C"/>
    <w:multiLevelType w:val="multilevel"/>
    <w:tmpl w:val="835278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E616F"/>
    <w:multiLevelType w:val="hybridMultilevel"/>
    <w:tmpl w:val="B84CC256"/>
    <w:lvl w:ilvl="0" w:tplc="C0CCCC86">
      <w:start w:val="2"/>
      <w:numFmt w:val="upp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967007941">
    <w:abstractNumId w:val="25"/>
  </w:num>
  <w:num w:numId="2" w16cid:durableId="1859732325">
    <w:abstractNumId w:val="34"/>
  </w:num>
  <w:num w:numId="3" w16cid:durableId="2059039231">
    <w:abstractNumId w:val="31"/>
  </w:num>
  <w:num w:numId="4" w16cid:durableId="1161626997">
    <w:abstractNumId w:val="24"/>
  </w:num>
  <w:num w:numId="5" w16cid:durableId="1635789421">
    <w:abstractNumId w:val="21"/>
  </w:num>
  <w:num w:numId="6" w16cid:durableId="377317794">
    <w:abstractNumId w:val="17"/>
  </w:num>
  <w:num w:numId="7" w16cid:durableId="1455054089">
    <w:abstractNumId w:val="27"/>
  </w:num>
  <w:num w:numId="8" w16cid:durableId="579173283">
    <w:abstractNumId w:val="36"/>
  </w:num>
  <w:num w:numId="9" w16cid:durableId="171846043">
    <w:abstractNumId w:val="7"/>
  </w:num>
  <w:num w:numId="10" w16cid:durableId="2071609869">
    <w:abstractNumId w:val="20"/>
  </w:num>
  <w:num w:numId="11" w16cid:durableId="948708285">
    <w:abstractNumId w:val="19"/>
  </w:num>
  <w:num w:numId="12" w16cid:durableId="585765969">
    <w:abstractNumId w:val="23"/>
  </w:num>
  <w:num w:numId="13" w16cid:durableId="320738735">
    <w:abstractNumId w:val="28"/>
  </w:num>
  <w:num w:numId="14" w16cid:durableId="1160461656">
    <w:abstractNumId w:val="15"/>
  </w:num>
  <w:num w:numId="15" w16cid:durableId="859196600">
    <w:abstractNumId w:val="8"/>
  </w:num>
  <w:num w:numId="16" w16cid:durableId="132480602">
    <w:abstractNumId w:val="30"/>
  </w:num>
  <w:num w:numId="17" w16cid:durableId="1410738021">
    <w:abstractNumId w:val="11"/>
  </w:num>
  <w:num w:numId="18" w16cid:durableId="914781280">
    <w:abstractNumId w:val="12"/>
  </w:num>
  <w:num w:numId="19" w16cid:durableId="1978145706">
    <w:abstractNumId w:val="1"/>
  </w:num>
  <w:num w:numId="20" w16cid:durableId="1036271736">
    <w:abstractNumId w:val="26"/>
  </w:num>
  <w:num w:numId="21" w16cid:durableId="323364161">
    <w:abstractNumId w:val="10"/>
  </w:num>
  <w:num w:numId="22" w16cid:durableId="111562543">
    <w:abstractNumId w:val="32"/>
  </w:num>
  <w:num w:numId="23" w16cid:durableId="446387131">
    <w:abstractNumId w:val="18"/>
  </w:num>
  <w:num w:numId="24" w16cid:durableId="1672248599">
    <w:abstractNumId w:val="22"/>
  </w:num>
  <w:num w:numId="25" w16cid:durableId="1582325358">
    <w:abstractNumId w:val="5"/>
  </w:num>
  <w:num w:numId="26" w16cid:durableId="2043894778">
    <w:abstractNumId w:val="16"/>
  </w:num>
  <w:num w:numId="27" w16cid:durableId="262425314">
    <w:abstractNumId w:val="14"/>
  </w:num>
  <w:num w:numId="28" w16cid:durableId="107773504">
    <w:abstractNumId w:val="3"/>
  </w:num>
  <w:num w:numId="29" w16cid:durableId="739399996">
    <w:abstractNumId w:val="13"/>
  </w:num>
  <w:num w:numId="30" w16cid:durableId="1873616251">
    <w:abstractNumId w:val="29"/>
  </w:num>
  <w:num w:numId="31" w16cid:durableId="504587373">
    <w:abstractNumId w:val="6"/>
  </w:num>
  <w:num w:numId="32" w16cid:durableId="1759059808">
    <w:abstractNumId w:val="0"/>
  </w:num>
  <w:num w:numId="33" w16cid:durableId="101415841">
    <w:abstractNumId w:val="33"/>
  </w:num>
  <w:num w:numId="34" w16cid:durableId="988747935">
    <w:abstractNumId w:val="37"/>
  </w:num>
  <w:num w:numId="35" w16cid:durableId="540900073">
    <w:abstractNumId w:val="2"/>
  </w:num>
  <w:num w:numId="36" w16cid:durableId="97876689">
    <w:abstractNumId w:val="35"/>
  </w:num>
  <w:num w:numId="37" w16cid:durableId="1333600756">
    <w:abstractNumId w:val="4"/>
  </w:num>
  <w:num w:numId="38" w16cid:durableId="16386840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60"/>
    <w:rsid w:val="00005EF8"/>
    <w:rsid w:val="00015028"/>
    <w:rsid w:val="000245D6"/>
    <w:rsid w:val="00026897"/>
    <w:rsid w:val="000307DD"/>
    <w:rsid w:val="00037C03"/>
    <w:rsid w:val="00042071"/>
    <w:rsid w:val="000577B8"/>
    <w:rsid w:val="0006101E"/>
    <w:rsid w:val="00064D46"/>
    <w:rsid w:val="00073B4F"/>
    <w:rsid w:val="00083CD2"/>
    <w:rsid w:val="000853A2"/>
    <w:rsid w:val="00091B2B"/>
    <w:rsid w:val="000B3F66"/>
    <w:rsid w:val="000C0CAA"/>
    <w:rsid w:val="000C4086"/>
    <w:rsid w:val="000C4A8E"/>
    <w:rsid w:val="000C7315"/>
    <w:rsid w:val="000E015E"/>
    <w:rsid w:val="000E27EC"/>
    <w:rsid w:val="000E6EE1"/>
    <w:rsid w:val="000F44EA"/>
    <w:rsid w:val="000F6112"/>
    <w:rsid w:val="000F747C"/>
    <w:rsid w:val="000F7AE1"/>
    <w:rsid w:val="0011036A"/>
    <w:rsid w:val="001112B5"/>
    <w:rsid w:val="00111ACC"/>
    <w:rsid w:val="0011394F"/>
    <w:rsid w:val="00122E13"/>
    <w:rsid w:val="0012402E"/>
    <w:rsid w:val="00131C69"/>
    <w:rsid w:val="001327D2"/>
    <w:rsid w:val="00136B48"/>
    <w:rsid w:val="00152B93"/>
    <w:rsid w:val="00152D39"/>
    <w:rsid w:val="001539D0"/>
    <w:rsid w:val="00157359"/>
    <w:rsid w:val="0016075F"/>
    <w:rsid w:val="00161F10"/>
    <w:rsid w:val="00162262"/>
    <w:rsid w:val="00166C8D"/>
    <w:rsid w:val="001701F6"/>
    <w:rsid w:val="001737F8"/>
    <w:rsid w:val="00173E81"/>
    <w:rsid w:val="00174878"/>
    <w:rsid w:val="00175E49"/>
    <w:rsid w:val="00177E1C"/>
    <w:rsid w:val="00180D8B"/>
    <w:rsid w:val="00191142"/>
    <w:rsid w:val="00192D50"/>
    <w:rsid w:val="00193EDD"/>
    <w:rsid w:val="001A295A"/>
    <w:rsid w:val="001B4CC4"/>
    <w:rsid w:val="001B6E3A"/>
    <w:rsid w:val="001C3430"/>
    <w:rsid w:val="001C4791"/>
    <w:rsid w:val="001C5E63"/>
    <w:rsid w:val="001D0536"/>
    <w:rsid w:val="001D162A"/>
    <w:rsid w:val="001D54C7"/>
    <w:rsid w:val="001E1302"/>
    <w:rsid w:val="001E1660"/>
    <w:rsid w:val="001E4418"/>
    <w:rsid w:val="001F5D7E"/>
    <w:rsid w:val="00202177"/>
    <w:rsid w:val="00202ED0"/>
    <w:rsid w:val="00204A92"/>
    <w:rsid w:val="00205401"/>
    <w:rsid w:val="0020579E"/>
    <w:rsid w:val="00210B49"/>
    <w:rsid w:val="00230C55"/>
    <w:rsid w:val="00237FAE"/>
    <w:rsid w:val="00241753"/>
    <w:rsid w:val="00243E70"/>
    <w:rsid w:val="00252574"/>
    <w:rsid w:val="002603A7"/>
    <w:rsid w:val="00281D60"/>
    <w:rsid w:val="00282B03"/>
    <w:rsid w:val="00286E18"/>
    <w:rsid w:val="002A00D1"/>
    <w:rsid w:val="002A3F81"/>
    <w:rsid w:val="002B32BD"/>
    <w:rsid w:val="002C38AF"/>
    <w:rsid w:val="002C64CD"/>
    <w:rsid w:val="002C7ECC"/>
    <w:rsid w:val="002D38ED"/>
    <w:rsid w:val="002D3F57"/>
    <w:rsid w:val="002E211D"/>
    <w:rsid w:val="002E4A5B"/>
    <w:rsid w:val="002E6167"/>
    <w:rsid w:val="002E6874"/>
    <w:rsid w:val="002E6C6E"/>
    <w:rsid w:val="002F055B"/>
    <w:rsid w:val="002F326F"/>
    <w:rsid w:val="002F5D16"/>
    <w:rsid w:val="00304B9F"/>
    <w:rsid w:val="00304D11"/>
    <w:rsid w:val="0030520E"/>
    <w:rsid w:val="003207D7"/>
    <w:rsid w:val="003260A8"/>
    <w:rsid w:val="00333F96"/>
    <w:rsid w:val="0034306C"/>
    <w:rsid w:val="00343505"/>
    <w:rsid w:val="003450A1"/>
    <w:rsid w:val="0034559B"/>
    <w:rsid w:val="00352FFA"/>
    <w:rsid w:val="00354D4E"/>
    <w:rsid w:val="00356D26"/>
    <w:rsid w:val="00365F3E"/>
    <w:rsid w:val="00370DD5"/>
    <w:rsid w:val="00371BBC"/>
    <w:rsid w:val="0037588B"/>
    <w:rsid w:val="00377EFA"/>
    <w:rsid w:val="003804EF"/>
    <w:rsid w:val="003A039B"/>
    <w:rsid w:val="003A3BCD"/>
    <w:rsid w:val="003A4140"/>
    <w:rsid w:val="003C0865"/>
    <w:rsid w:val="003C7423"/>
    <w:rsid w:val="003D2DB9"/>
    <w:rsid w:val="003F7316"/>
    <w:rsid w:val="003F7EC4"/>
    <w:rsid w:val="00401FEF"/>
    <w:rsid w:val="0040470B"/>
    <w:rsid w:val="004073A5"/>
    <w:rsid w:val="0042361B"/>
    <w:rsid w:val="0043348C"/>
    <w:rsid w:val="0043569B"/>
    <w:rsid w:val="00437FFE"/>
    <w:rsid w:val="00442E44"/>
    <w:rsid w:val="00445D98"/>
    <w:rsid w:val="004602BB"/>
    <w:rsid w:val="004602EF"/>
    <w:rsid w:val="0046414F"/>
    <w:rsid w:val="00466415"/>
    <w:rsid w:val="00466747"/>
    <w:rsid w:val="004669FF"/>
    <w:rsid w:val="0047246D"/>
    <w:rsid w:val="004740C3"/>
    <w:rsid w:val="00475245"/>
    <w:rsid w:val="004836D5"/>
    <w:rsid w:val="00484929"/>
    <w:rsid w:val="00484D24"/>
    <w:rsid w:val="0048530B"/>
    <w:rsid w:val="00485865"/>
    <w:rsid w:val="004862CC"/>
    <w:rsid w:val="004A1AD5"/>
    <w:rsid w:val="004A2226"/>
    <w:rsid w:val="004A37BC"/>
    <w:rsid w:val="004B65CC"/>
    <w:rsid w:val="004B737C"/>
    <w:rsid w:val="004B7666"/>
    <w:rsid w:val="004C60FB"/>
    <w:rsid w:val="004D552B"/>
    <w:rsid w:val="004E2CF1"/>
    <w:rsid w:val="004E4089"/>
    <w:rsid w:val="004E40B2"/>
    <w:rsid w:val="004E699E"/>
    <w:rsid w:val="004F26BB"/>
    <w:rsid w:val="005029EF"/>
    <w:rsid w:val="00510AD0"/>
    <w:rsid w:val="00512CF4"/>
    <w:rsid w:val="00516532"/>
    <w:rsid w:val="005179EB"/>
    <w:rsid w:val="00522B3C"/>
    <w:rsid w:val="00525213"/>
    <w:rsid w:val="00526CF2"/>
    <w:rsid w:val="0052725A"/>
    <w:rsid w:val="005316AD"/>
    <w:rsid w:val="00535B96"/>
    <w:rsid w:val="00541B03"/>
    <w:rsid w:val="00542FEC"/>
    <w:rsid w:val="00543111"/>
    <w:rsid w:val="00547452"/>
    <w:rsid w:val="00557F91"/>
    <w:rsid w:val="005615C5"/>
    <w:rsid w:val="00565046"/>
    <w:rsid w:val="005700EB"/>
    <w:rsid w:val="00577205"/>
    <w:rsid w:val="00581A28"/>
    <w:rsid w:val="0058354C"/>
    <w:rsid w:val="00585621"/>
    <w:rsid w:val="00592CF2"/>
    <w:rsid w:val="005A40F6"/>
    <w:rsid w:val="005A6494"/>
    <w:rsid w:val="005A6E79"/>
    <w:rsid w:val="005B0C40"/>
    <w:rsid w:val="005B26A9"/>
    <w:rsid w:val="005C68EA"/>
    <w:rsid w:val="005D4922"/>
    <w:rsid w:val="005E0496"/>
    <w:rsid w:val="005E4A18"/>
    <w:rsid w:val="005F2992"/>
    <w:rsid w:val="005F60F3"/>
    <w:rsid w:val="005F7010"/>
    <w:rsid w:val="005F7101"/>
    <w:rsid w:val="00602457"/>
    <w:rsid w:val="00602E51"/>
    <w:rsid w:val="00607C87"/>
    <w:rsid w:val="006156C5"/>
    <w:rsid w:val="00621488"/>
    <w:rsid w:val="00625687"/>
    <w:rsid w:val="006310C9"/>
    <w:rsid w:val="00635D97"/>
    <w:rsid w:val="00637261"/>
    <w:rsid w:val="006400C0"/>
    <w:rsid w:val="00640E56"/>
    <w:rsid w:val="00643DDA"/>
    <w:rsid w:val="00643ED4"/>
    <w:rsid w:val="00646915"/>
    <w:rsid w:val="00646A72"/>
    <w:rsid w:val="006475E2"/>
    <w:rsid w:val="00650709"/>
    <w:rsid w:val="006622FB"/>
    <w:rsid w:val="0066544D"/>
    <w:rsid w:val="00667A99"/>
    <w:rsid w:val="00681C64"/>
    <w:rsid w:val="006821B5"/>
    <w:rsid w:val="00683F5A"/>
    <w:rsid w:val="00687021"/>
    <w:rsid w:val="00691FBD"/>
    <w:rsid w:val="00693112"/>
    <w:rsid w:val="00695C36"/>
    <w:rsid w:val="006A112C"/>
    <w:rsid w:val="006A691A"/>
    <w:rsid w:val="006B1C20"/>
    <w:rsid w:val="006B1EF3"/>
    <w:rsid w:val="006B4CE5"/>
    <w:rsid w:val="006B561A"/>
    <w:rsid w:val="006B71CA"/>
    <w:rsid w:val="006C18E5"/>
    <w:rsid w:val="006C7DF9"/>
    <w:rsid w:val="006D1912"/>
    <w:rsid w:val="006D5AB0"/>
    <w:rsid w:val="006D678A"/>
    <w:rsid w:val="006E51D9"/>
    <w:rsid w:val="006E5EC5"/>
    <w:rsid w:val="006F007D"/>
    <w:rsid w:val="0070423B"/>
    <w:rsid w:val="007108A1"/>
    <w:rsid w:val="007127C0"/>
    <w:rsid w:val="0071663C"/>
    <w:rsid w:val="00716CB0"/>
    <w:rsid w:val="00716F8F"/>
    <w:rsid w:val="00717992"/>
    <w:rsid w:val="0072526A"/>
    <w:rsid w:val="0072790E"/>
    <w:rsid w:val="0072797B"/>
    <w:rsid w:val="00727E60"/>
    <w:rsid w:val="00734DC5"/>
    <w:rsid w:val="00737E10"/>
    <w:rsid w:val="00741164"/>
    <w:rsid w:val="00741B25"/>
    <w:rsid w:val="00743930"/>
    <w:rsid w:val="007447EC"/>
    <w:rsid w:val="00746BD3"/>
    <w:rsid w:val="0074722F"/>
    <w:rsid w:val="00750214"/>
    <w:rsid w:val="00751A3C"/>
    <w:rsid w:val="00752A6B"/>
    <w:rsid w:val="00752B53"/>
    <w:rsid w:val="00755057"/>
    <w:rsid w:val="0076347A"/>
    <w:rsid w:val="00764EC7"/>
    <w:rsid w:val="007651A1"/>
    <w:rsid w:val="00770C43"/>
    <w:rsid w:val="00773EC9"/>
    <w:rsid w:val="007766AA"/>
    <w:rsid w:val="00777E48"/>
    <w:rsid w:val="00780DB4"/>
    <w:rsid w:val="00784951"/>
    <w:rsid w:val="00787DFB"/>
    <w:rsid w:val="0079403F"/>
    <w:rsid w:val="007A17E2"/>
    <w:rsid w:val="007B2A01"/>
    <w:rsid w:val="007B5039"/>
    <w:rsid w:val="007B7CD9"/>
    <w:rsid w:val="007B7D93"/>
    <w:rsid w:val="007C1F19"/>
    <w:rsid w:val="007C2CF6"/>
    <w:rsid w:val="007C37E5"/>
    <w:rsid w:val="007C5633"/>
    <w:rsid w:val="007D1DE4"/>
    <w:rsid w:val="007D3977"/>
    <w:rsid w:val="007D5FE4"/>
    <w:rsid w:val="007E16E8"/>
    <w:rsid w:val="007E2740"/>
    <w:rsid w:val="007F1AEE"/>
    <w:rsid w:val="007F1F8B"/>
    <w:rsid w:val="007F44D3"/>
    <w:rsid w:val="007F6A18"/>
    <w:rsid w:val="00805866"/>
    <w:rsid w:val="00816FA9"/>
    <w:rsid w:val="00821F30"/>
    <w:rsid w:val="00830ED5"/>
    <w:rsid w:val="008324F7"/>
    <w:rsid w:val="00834757"/>
    <w:rsid w:val="0084111A"/>
    <w:rsid w:val="008414B3"/>
    <w:rsid w:val="0084422A"/>
    <w:rsid w:val="00844D70"/>
    <w:rsid w:val="00850767"/>
    <w:rsid w:val="008521A8"/>
    <w:rsid w:val="008522DB"/>
    <w:rsid w:val="00852906"/>
    <w:rsid w:val="00852A38"/>
    <w:rsid w:val="0085522D"/>
    <w:rsid w:val="008626F0"/>
    <w:rsid w:val="00871661"/>
    <w:rsid w:val="00880FCE"/>
    <w:rsid w:val="00884D3F"/>
    <w:rsid w:val="00896F61"/>
    <w:rsid w:val="008A4648"/>
    <w:rsid w:val="008A5E75"/>
    <w:rsid w:val="008B252F"/>
    <w:rsid w:val="008B4ABF"/>
    <w:rsid w:val="008B619A"/>
    <w:rsid w:val="008B668F"/>
    <w:rsid w:val="008C038C"/>
    <w:rsid w:val="008C26B3"/>
    <w:rsid w:val="008C5C7A"/>
    <w:rsid w:val="008D6C39"/>
    <w:rsid w:val="008D7187"/>
    <w:rsid w:val="008E2E58"/>
    <w:rsid w:val="008F03DD"/>
    <w:rsid w:val="008F3A70"/>
    <w:rsid w:val="009021D4"/>
    <w:rsid w:val="009038AF"/>
    <w:rsid w:val="00912313"/>
    <w:rsid w:val="009152C3"/>
    <w:rsid w:val="009261E8"/>
    <w:rsid w:val="00931A60"/>
    <w:rsid w:val="00934622"/>
    <w:rsid w:val="00937440"/>
    <w:rsid w:val="00937A9D"/>
    <w:rsid w:val="009427B1"/>
    <w:rsid w:val="009427C5"/>
    <w:rsid w:val="00942958"/>
    <w:rsid w:val="00952F57"/>
    <w:rsid w:val="00957003"/>
    <w:rsid w:val="0096562F"/>
    <w:rsid w:val="009662D7"/>
    <w:rsid w:val="00971C80"/>
    <w:rsid w:val="00976AE9"/>
    <w:rsid w:val="009845FE"/>
    <w:rsid w:val="0099402A"/>
    <w:rsid w:val="009A2DFC"/>
    <w:rsid w:val="009A3582"/>
    <w:rsid w:val="009B2AC3"/>
    <w:rsid w:val="009C4391"/>
    <w:rsid w:val="009C4811"/>
    <w:rsid w:val="009C4816"/>
    <w:rsid w:val="009D43C9"/>
    <w:rsid w:val="009E0648"/>
    <w:rsid w:val="009E14F7"/>
    <w:rsid w:val="009E4FD7"/>
    <w:rsid w:val="009E5E31"/>
    <w:rsid w:val="009E6987"/>
    <w:rsid w:val="009F262D"/>
    <w:rsid w:val="009F3C5F"/>
    <w:rsid w:val="00A01E5A"/>
    <w:rsid w:val="00A11069"/>
    <w:rsid w:val="00A11077"/>
    <w:rsid w:val="00A15F66"/>
    <w:rsid w:val="00A221DB"/>
    <w:rsid w:val="00A34DF2"/>
    <w:rsid w:val="00A40BBE"/>
    <w:rsid w:val="00A42316"/>
    <w:rsid w:val="00A47684"/>
    <w:rsid w:val="00A5257C"/>
    <w:rsid w:val="00A63B0E"/>
    <w:rsid w:val="00A71F3C"/>
    <w:rsid w:val="00A81FDD"/>
    <w:rsid w:val="00A82196"/>
    <w:rsid w:val="00A86DC6"/>
    <w:rsid w:val="00A92BC6"/>
    <w:rsid w:val="00A96672"/>
    <w:rsid w:val="00A96724"/>
    <w:rsid w:val="00AA0B4C"/>
    <w:rsid w:val="00AB2FF9"/>
    <w:rsid w:val="00AB326A"/>
    <w:rsid w:val="00AB339B"/>
    <w:rsid w:val="00AB5E45"/>
    <w:rsid w:val="00AC0988"/>
    <w:rsid w:val="00AC1DD0"/>
    <w:rsid w:val="00AD5166"/>
    <w:rsid w:val="00AE0EAD"/>
    <w:rsid w:val="00AE44E0"/>
    <w:rsid w:val="00AE46A8"/>
    <w:rsid w:val="00AE58BB"/>
    <w:rsid w:val="00AE656A"/>
    <w:rsid w:val="00AF778D"/>
    <w:rsid w:val="00B05181"/>
    <w:rsid w:val="00B07BB9"/>
    <w:rsid w:val="00B117D2"/>
    <w:rsid w:val="00B20589"/>
    <w:rsid w:val="00B271AA"/>
    <w:rsid w:val="00B27874"/>
    <w:rsid w:val="00B31D48"/>
    <w:rsid w:val="00B33D4C"/>
    <w:rsid w:val="00B346D7"/>
    <w:rsid w:val="00B34F27"/>
    <w:rsid w:val="00B36096"/>
    <w:rsid w:val="00B36C77"/>
    <w:rsid w:val="00B61439"/>
    <w:rsid w:val="00B62FCE"/>
    <w:rsid w:val="00B6585E"/>
    <w:rsid w:val="00B67A05"/>
    <w:rsid w:val="00B67A26"/>
    <w:rsid w:val="00B67A29"/>
    <w:rsid w:val="00B70F5F"/>
    <w:rsid w:val="00B71779"/>
    <w:rsid w:val="00B80A81"/>
    <w:rsid w:val="00B81EC9"/>
    <w:rsid w:val="00B85C77"/>
    <w:rsid w:val="00B901D9"/>
    <w:rsid w:val="00B90651"/>
    <w:rsid w:val="00B90900"/>
    <w:rsid w:val="00BA31BE"/>
    <w:rsid w:val="00BA6045"/>
    <w:rsid w:val="00BB0079"/>
    <w:rsid w:val="00BC5A44"/>
    <w:rsid w:val="00BD46FF"/>
    <w:rsid w:val="00BD4D70"/>
    <w:rsid w:val="00BD76CC"/>
    <w:rsid w:val="00BF5109"/>
    <w:rsid w:val="00BF671D"/>
    <w:rsid w:val="00C14932"/>
    <w:rsid w:val="00C167F4"/>
    <w:rsid w:val="00C16AB5"/>
    <w:rsid w:val="00C21D9C"/>
    <w:rsid w:val="00C226B4"/>
    <w:rsid w:val="00C26251"/>
    <w:rsid w:val="00C277C3"/>
    <w:rsid w:val="00C315C4"/>
    <w:rsid w:val="00C372DB"/>
    <w:rsid w:val="00C37B2B"/>
    <w:rsid w:val="00C40C0A"/>
    <w:rsid w:val="00C428FE"/>
    <w:rsid w:val="00C4593F"/>
    <w:rsid w:val="00C524A8"/>
    <w:rsid w:val="00C613D6"/>
    <w:rsid w:val="00C6268D"/>
    <w:rsid w:val="00C628A4"/>
    <w:rsid w:val="00C63121"/>
    <w:rsid w:val="00C63804"/>
    <w:rsid w:val="00C709D6"/>
    <w:rsid w:val="00C71AD8"/>
    <w:rsid w:val="00C85F39"/>
    <w:rsid w:val="00C87A24"/>
    <w:rsid w:val="00C87F37"/>
    <w:rsid w:val="00C90B74"/>
    <w:rsid w:val="00C91F25"/>
    <w:rsid w:val="00CA03F7"/>
    <w:rsid w:val="00CC1777"/>
    <w:rsid w:val="00CC2CAC"/>
    <w:rsid w:val="00CD344F"/>
    <w:rsid w:val="00CD42D9"/>
    <w:rsid w:val="00CD4799"/>
    <w:rsid w:val="00CE4AB1"/>
    <w:rsid w:val="00CF5524"/>
    <w:rsid w:val="00CF5CD2"/>
    <w:rsid w:val="00CF797E"/>
    <w:rsid w:val="00D022C8"/>
    <w:rsid w:val="00D02927"/>
    <w:rsid w:val="00D033B7"/>
    <w:rsid w:val="00D23A06"/>
    <w:rsid w:val="00D33402"/>
    <w:rsid w:val="00D33DE3"/>
    <w:rsid w:val="00D364E0"/>
    <w:rsid w:val="00D416E7"/>
    <w:rsid w:val="00D42B80"/>
    <w:rsid w:val="00D56BBA"/>
    <w:rsid w:val="00D642D8"/>
    <w:rsid w:val="00D7377A"/>
    <w:rsid w:val="00D86D65"/>
    <w:rsid w:val="00D93F4E"/>
    <w:rsid w:val="00D947C2"/>
    <w:rsid w:val="00D95FA9"/>
    <w:rsid w:val="00DA0FF9"/>
    <w:rsid w:val="00DA3784"/>
    <w:rsid w:val="00DD118F"/>
    <w:rsid w:val="00DD15AD"/>
    <w:rsid w:val="00DE12EF"/>
    <w:rsid w:val="00E21641"/>
    <w:rsid w:val="00E24032"/>
    <w:rsid w:val="00E247CE"/>
    <w:rsid w:val="00E30A93"/>
    <w:rsid w:val="00E338D3"/>
    <w:rsid w:val="00E36B64"/>
    <w:rsid w:val="00E37CB6"/>
    <w:rsid w:val="00E40B08"/>
    <w:rsid w:val="00E40E1E"/>
    <w:rsid w:val="00E44251"/>
    <w:rsid w:val="00E462FB"/>
    <w:rsid w:val="00E46772"/>
    <w:rsid w:val="00E54CC3"/>
    <w:rsid w:val="00E54ED3"/>
    <w:rsid w:val="00E560B6"/>
    <w:rsid w:val="00E6363B"/>
    <w:rsid w:val="00E63D90"/>
    <w:rsid w:val="00E641E9"/>
    <w:rsid w:val="00E67D0A"/>
    <w:rsid w:val="00E739D9"/>
    <w:rsid w:val="00E73D9C"/>
    <w:rsid w:val="00E77C65"/>
    <w:rsid w:val="00E80F7F"/>
    <w:rsid w:val="00E82D75"/>
    <w:rsid w:val="00E865EC"/>
    <w:rsid w:val="00E86DD8"/>
    <w:rsid w:val="00E87E8E"/>
    <w:rsid w:val="00EA06B0"/>
    <w:rsid w:val="00EA6B0D"/>
    <w:rsid w:val="00EB6065"/>
    <w:rsid w:val="00EB666E"/>
    <w:rsid w:val="00EB6B13"/>
    <w:rsid w:val="00EE0048"/>
    <w:rsid w:val="00EE37C3"/>
    <w:rsid w:val="00EE3BF2"/>
    <w:rsid w:val="00EE4EB4"/>
    <w:rsid w:val="00EF1036"/>
    <w:rsid w:val="00EF7AD5"/>
    <w:rsid w:val="00F2380F"/>
    <w:rsid w:val="00F264BB"/>
    <w:rsid w:val="00F3510F"/>
    <w:rsid w:val="00F3744F"/>
    <w:rsid w:val="00F37F12"/>
    <w:rsid w:val="00F41E7D"/>
    <w:rsid w:val="00F42476"/>
    <w:rsid w:val="00F441AD"/>
    <w:rsid w:val="00F542CB"/>
    <w:rsid w:val="00F554E3"/>
    <w:rsid w:val="00F5619C"/>
    <w:rsid w:val="00F6182A"/>
    <w:rsid w:val="00F64673"/>
    <w:rsid w:val="00F741CD"/>
    <w:rsid w:val="00F80160"/>
    <w:rsid w:val="00F84D9A"/>
    <w:rsid w:val="00F91E02"/>
    <w:rsid w:val="00F977C0"/>
    <w:rsid w:val="00FA4CF0"/>
    <w:rsid w:val="00FA75B7"/>
    <w:rsid w:val="00FB10E3"/>
    <w:rsid w:val="00FB1259"/>
    <w:rsid w:val="00FB1351"/>
    <w:rsid w:val="00FB388E"/>
    <w:rsid w:val="00FC6CC3"/>
    <w:rsid w:val="00FC7757"/>
    <w:rsid w:val="00FD581C"/>
    <w:rsid w:val="00FE1769"/>
    <w:rsid w:val="00FE4AD8"/>
    <w:rsid w:val="00FF1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5EE696"/>
  <w15:docId w15:val="{E2342EB5-2D4A-8B4A-8891-81F24421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2CC"/>
    <w:rPr>
      <w:rFonts w:ascii="Times New Roman" w:eastAsia="Times New Roman" w:hAnsi="Times New Roman"/>
      <w:sz w:val="24"/>
      <w:szCs w:val="24"/>
    </w:rPr>
  </w:style>
  <w:style w:type="paragraph" w:styleId="Heading1">
    <w:name w:val="heading 1"/>
    <w:basedOn w:val="Normal"/>
    <w:next w:val="Normal"/>
    <w:link w:val="Heading1Char"/>
    <w:autoRedefine/>
    <w:uiPriority w:val="99"/>
    <w:qFormat/>
    <w:rsid w:val="00304D11"/>
    <w:pPr>
      <w:keepNext/>
      <w:keepLines/>
      <w:pageBreakBefore/>
      <w:numPr>
        <w:numId w:val="3"/>
      </w:numPr>
      <w:spacing w:before="240" w:after="120"/>
      <w:ind w:right="-6"/>
      <w:jc w:val="both"/>
      <w:outlineLvl w:val="0"/>
    </w:pPr>
    <w:rPr>
      <w:rFonts w:ascii="Arial" w:eastAsia="MS Gothic" w:hAnsi="Arial" w:cs="Arial"/>
      <w:b/>
      <w:bCs/>
      <w:color w:val="000000" w:themeColor="text1"/>
      <w:lang w:val="de-AT"/>
    </w:rPr>
  </w:style>
  <w:style w:type="paragraph" w:styleId="Heading2">
    <w:name w:val="heading 2"/>
    <w:basedOn w:val="Normal"/>
    <w:next w:val="Normal"/>
    <w:link w:val="Heading2Char"/>
    <w:autoRedefine/>
    <w:uiPriority w:val="99"/>
    <w:qFormat/>
    <w:rsid w:val="000B3F66"/>
    <w:pPr>
      <w:keepNext/>
      <w:keepLines/>
      <w:numPr>
        <w:ilvl w:val="1"/>
        <w:numId w:val="3"/>
      </w:numPr>
      <w:spacing w:before="120" w:after="120"/>
      <w:ind w:right="-6"/>
      <w:outlineLvl w:val="1"/>
    </w:pPr>
    <w:rPr>
      <w:rFonts w:ascii="Arial" w:eastAsia="MS Gothic" w:hAnsi="Arial" w:cs="Arial"/>
      <w:b/>
      <w:bCs/>
      <w:color w:val="FFC000" w:themeColor="accent4"/>
      <w:sz w:val="22"/>
      <w:szCs w:val="22"/>
    </w:rPr>
  </w:style>
  <w:style w:type="paragraph" w:styleId="Heading3">
    <w:name w:val="heading 3"/>
    <w:basedOn w:val="Normal"/>
    <w:next w:val="Normal"/>
    <w:link w:val="Heading3Char"/>
    <w:autoRedefine/>
    <w:uiPriority w:val="9"/>
    <w:qFormat/>
    <w:rsid w:val="00816FA9"/>
    <w:pPr>
      <w:widowControl w:val="0"/>
      <w:numPr>
        <w:ilvl w:val="2"/>
        <w:numId w:val="38"/>
      </w:numPr>
      <w:tabs>
        <w:tab w:val="left" w:pos="1260"/>
        <w:tab w:val="left" w:pos="1261"/>
      </w:tabs>
      <w:autoSpaceDE w:val="0"/>
      <w:autoSpaceDN w:val="0"/>
      <w:spacing w:before="4"/>
      <w:jc w:val="both"/>
      <w:outlineLvl w:val="2"/>
    </w:pPr>
    <w:rPr>
      <w:rFonts w:ascii="Arial" w:eastAsia="MS Gothic" w:hAnsi="Arial" w:cs="Arial"/>
      <w:b/>
      <w:bCs/>
      <w:color w:val="000000" w:themeColor="text1"/>
      <w:sz w:val="22"/>
      <w:szCs w:val="22"/>
    </w:rPr>
  </w:style>
  <w:style w:type="paragraph" w:styleId="Heading4">
    <w:name w:val="heading 4"/>
    <w:basedOn w:val="Normal"/>
    <w:next w:val="Normal"/>
    <w:link w:val="Heading4Char"/>
    <w:uiPriority w:val="99"/>
    <w:qFormat/>
    <w:rsid w:val="00823CDF"/>
    <w:pPr>
      <w:keepNext/>
      <w:keepLines/>
      <w:numPr>
        <w:ilvl w:val="3"/>
        <w:numId w:val="1"/>
      </w:numPr>
      <w:spacing w:before="200" w:after="240"/>
      <w:jc w:val="both"/>
      <w:outlineLvl w:val="3"/>
    </w:pPr>
    <w:rPr>
      <w:rFonts w:ascii="Cambria" w:eastAsia="MS Gothic" w:hAnsi="Cambria"/>
      <w:b/>
      <w:bCs/>
      <w:i/>
      <w:iCs/>
      <w:color w:val="FFC000" w:themeColor="accent4"/>
      <w:sz w:val="28"/>
      <w:szCs w:val="22"/>
      <w:lang w:val="de-DE"/>
    </w:rPr>
  </w:style>
  <w:style w:type="paragraph" w:styleId="Heading5">
    <w:name w:val="heading 5"/>
    <w:basedOn w:val="Normal"/>
    <w:next w:val="Normal"/>
    <w:link w:val="Heading5Char"/>
    <w:uiPriority w:val="99"/>
    <w:qFormat/>
    <w:rsid w:val="009F0C78"/>
    <w:pPr>
      <w:keepNext/>
      <w:keepLines/>
      <w:numPr>
        <w:ilvl w:val="4"/>
        <w:numId w:val="1"/>
      </w:numPr>
      <w:spacing w:before="200" w:after="240"/>
      <w:jc w:val="both"/>
      <w:outlineLvl w:val="4"/>
    </w:pPr>
    <w:rPr>
      <w:rFonts w:ascii="Cambria" w:eastAsia="MS Gothic" w:hAnsi="Cambria"/>
      <w:color w:val="243F60"/>
      <w:szCs w:val="22"/>
      <w:lang w:val="de-DE"/>
    </w:rPr>
  </w:style>
  <w:style w:type="paragraph" w:styleId="Heading6">
    <w:name w:val="heading 6"/>
    <w:basedOn w:val="Normal"/>
    <w:next w:val="Normal"/>
    <w:link w:val="Heading6Char"/>
    <w:uiPriority w:val="99"/>
    <w:qFormat/>
    <w:rsid w:val="009F0C78"/>
    <w:pPr>
      <w:keepNext/>
      <w:keepLines/>
      <w:numPr>
        <w:ilvl w:val="5"/>
        <w:numId w:val="1"/>
      </w:numPr>
      <w:spacing w:before="200" w:line="360" w:lineRule="auto"/>
      <w:jc w:val="both"/>
      <w:outlineLvl w:val="5"/>
    </w:pPr>
    <w:rPr>
      <w:rFonts w:ascii="Cambria" w:eastAsia="MS Gothic" w:hAnsi="Cambria"/>
      <w:i/>
      <w:iCs/>
      <w:color w:val="243F60"/>
      <w:szCs w:val="22"/>
      <w:lang w:val="de-DE"/>
    </w:rPr>
  </w:style>
  <w:style w:type="paragraph" w:styleId="Heading7">
    <w:name w:val="heading 7"/>
    <w:basedOn w:val="Normal"/>
    <w:next w:val="Normal"/>
    <w:link w:val="Heading7Char"/>
    <w:uiPriority w:val="99"/>
    <w:qFormat/>
    <w:rsid w:val="009F0C78"/>
    <w:pPr>
      <w:keepNext/>
      <w:keepLines/>
      <w:numPr>
        <w:ilvl w:val="6"/>
        <w:numId w:val="1"/>
      </w:numPr>
      <w:spacing w:before="200" w:line="360" w:lineRule="auto"/>
      <w:jc w:val="both"/>
      <w:outlineLvl w:val="6"/>
    </w:pPr>
    <w:rPr>
      <w:rFonts w:ascii="Cambria" w:eastAsia="MS Gothic" w:hAnsi="Cambria"/>
      <w:i/>
      <w:iCs/>
      <w:color w:val="404040"/>
      <w:szCs w:val="22"/>
      <w:lang w:val="de-DE"/>
    </w:rPr>
  </w:style>
  <w:style w:type="paragraph" w:styleId="Heading8">
    <w:name w:val="heading 8"/>
    <w:basedOn w:val="Normal"/>
    <w:next w:val="Normal"/>
    <w:link w:val="Heading8Char"/>
    <w:uiPriority w:val="99"/>
    <w:qFormat/>
    <w:rsid w:val="009F0C78"/>
    <w:pPr>
      <w:keepNext/>
      <w:keepLines/>
      <w:numPr>
        <w:ilvl w:val="7"/>
        <w:numId w:val="1"/>
      </w:numPr>
      <w:spacing w:before="200" w:line="360" w:lineRule="auto"/>
      <w:jc w:val="both"/>
      <w:outlineLvl w:val="7"/>
    </w:pPr>
    <w:rPr>
      <w:rFonts w:ascii="Cambria" w:eastAsia="MS Gothic" w:hAnsi="Cambria"/>
      <w:color w:val="404040"/>
      <w:sz w:val="20"/>
      <w:szCs w:val="20"/>
      <w:lang w:val="de-DE"/>
    </w:rPr>
  </w:style>
  <w:style w:type="paragraph" w:styleId="Heading9">
    <w:name w:val="heading 9"/>
    <w:basedOn w:val="Normal"/>
    <w:next w:val="Normal"/>
    <w:link w:val="Heading9Char"/>
    <w:uiPriority w:val="99"/>
    <w:qFormat/>
    <w:rsid w:val="009F0C78"/>
    <w:pPr>
      <w:keepNext/>
      <w:keepLines/>
      <w:numPr>
        <w:ilvl w:val="8"/>
        <w:numId w:val="1"/>
      </w:numPr>
      <w:spacing w:before="200" w:line="360" w:lineRule="auto"/>
      <w:jc w:val="both"/>
      <w:outlineLvl w:val="8"/>
    </w:pPr>
    <w:rPr>
      <w:rFonts w:ascii="Cambria" w:eastAsia="MS Gothic" w:hAnsi="Cambria"/>
      <w:i/>
      <w:iCs/>
      <w:color w:val="404040"/>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rsid w:val="00304D11"/>
    <w:rPr>
      <w:rFonts w:ascii="Arial" w:eastAsia="MS Gothic" w:hAnsi="Arial" w:cs="Arial"/>
      <w:b/>
      <w:bCs/>
      <w:color w:val="000000" w:themeColor="text1"/>
      <w:sz w:val="24"/>
      <w:szCs w:val="24"/>
      <w:lang w:val="de-AT"/>
    </w:rPr>
  </w:style>
  <w:style w:type="character" w:customStyle="1" w:styleId="Heading2Char">
    <w:name w:val="Heading 2 Char"/>
    <w:link w:val="Heading2"/>
    <w:uiPriority w:val="99"/>
    <w:qFormat/>
    <w:rsid w:val="000B3F66"/>
    <w:rPr>
      <w:rFonts w:ascii="Arial" w:eastAsia="MS Gothic" w:hAnsi="Arial" w:cs="Arial"/>
      <w:b/>
      <w:bCs/>
      <w:color w:val="FFC000" w:themeColor="accent4"/>
      <w:sz w:val="22"/>
      <w:szCs w:val="22"/>
    </w:rPr>
  </w:style>
  <w:style w:type="character" w:customStyle="1" w:styleId="Heading3Char">
    <w:name w:val="Heading 3 Char"/>
    <w:link w:val="Heading3"/>
    <w:uiPriority w:val="9"/>
    <w:qFormat/>
    <w:rsid w:val="00816FA9"/>
    <w:rPr>
      <w:rFonts w:ascii="Arial" w:eastAsia="MS Gothic" w:hAnsi="Arial" w:cs="Arial"/>
      <w:b/>
      <w:bCs/>
      <w:color w:val="000000" w:themeColor="text1"/>
      <w:sz w:val="22"/>
      <w:szCs w:val="22"/>
    </w:rPr>
  </w:style>
  <w:style w:type="character" w:customStyle="1" w:styleId="Heading4Char">
    <w:name w:val="Heading 4 Char"/>
    <w:link w:val="Heading4"/>
    <w:uiPriority w:val="99"/>
    <w:qFormat/>
    <w:rsid w:val="00823CDF"/>
    <w:rPr>
      <w:rFonts w:ascii="Cambria" w:eastAsia="MS Gothic" w:hAnsi="Cambria"/>
      <w:b/>
      <w:bCs/>
      <w:i/>
      <w:iCs/>
      <w:color w:val="FFC000" w:themeColor="accent4"/>
      <w:sz w:val="28"/>
      <w:szCs w:val="22"/>
      <w:lang w:val="de-DE"/>
    </w:rPr>
  </w:style>
  <w:style w:type="character" w:customStyle="1" w:styleId="Heading5Char">
    <w:name w:val="Heading 5 Char"/>
    <w:link w:val="Heading5"/>
    <w:uiPriority w:val="9"/>
    <w:qFormat/>
    <w:rsid w:val="009F0C78"/>
    <w:rPr>
      <w:rFonts w:ascii="Cambria" w:eastAsia="MS Gothic" w:hAnsi="Cambria" w:cs="Times New Roman"/>
      <w:color w:val="243F60"/>
      <w:szCs w:val="22"/>
    </w:rPr>
  </w:style>
  <w:style w:type="character" w:customStyle="1" w:styleId="Heading6Char">
    <w:name w:val="Heading 6 Char"/>
    <w:link w:val="Heading6"/>
    <w:uiPriority w:val="9"/>
    <w:qFormat/>
    <w:rsid w:val="009F0C78"/>
    <w:rPr>
      <w:rFonts w:ascii="Cambria" w:eastAsia="MS Gothic" w:hAnsi="Cambria" w:cs="Times New Roman"/>
      <w:i/>
      <w:iCs/>
      <w:color w:val="243F60"/>
      <w:szCs w:val="22"/>
    </w:rPr>
  </w:style>
  <w:style w:type="character" w:customStyle="1" w:styleId="Heading7Char">
    <w:name w:val="Heading 7 Char"/>
    <w:link w:val="Heading7"/>
    <w:uiPriority w:val="9"/>
    <w:semiHidden/>
    <w:qFormat/>
    <w:rsid w:val="009F0C78"/>
    <w:rPr>
      <w:rFonts w:ascii="Cambria" w:eastAsia="MS Gothic" w:hAnsi="Cambria" w:cs="Times New Roman"/>
      <w:i/>
      <w:iCs/>
      <w:color w:val="404040"/>
      <w:szCs w:val="22"/>
    </w:rPr>
  </w:style>
  <w:style w:type="character" w:customStyle="1" w:styleId="Heading8Char">
    <w:name w:val="Heading 8 Char"/>
    <w:link w:val="Heading8"/>
    <w:uiPriority w:val="9"/>
    <w:semiHidden/>
    <w:qFormat/>
    <w:rsid w:val="009F0C78"/>
    <w:rPr>
      <w:rFonts w:ascii="Cambria" w:eastAsia="MS Gothic" w:hAnsi="Cambria" w:cs="Times New Roman"/>
      <w:color w:val="404040"/>
      <w:sz w:val="20"/>
      <w:szCs w:val="20"/>
    </w:rPr>
  </w:style>
  <w:style w:type="character" w:customStyle="1" w:styleId="Heading9Char">
    <w:name w:val="Heading 9 Char"/>
    <w:link w:val="Heading9"/>
    <w:uiPriority w:val="9"/>
    <w:semiHidden/>
    <w:qFormat/>
    <w:rsid w:val="009F0C78"/>
    <w:rPr>
      <w:rFonts w:ascii="Cambria" w:eastAsia="MS Gothic" w:hAnsi="Cambria" w:cs="Times New Roman"/>
      <w:i/>
      <w:iCs/>
      <w:color w:val="404040"/>
      <w:sz w:val="20"/>
      <w:szCs w:val="20"/>
    </w:rPr>
  </w:style>
  <w:style w:type="character" w:customStyle="1" w:styleId="berschrift2Zchn">
    <w:name w:val="Überschrift 2 Zchn"/>
    <w:uiPriority w:val="9"/>
    <w:semiHidden/>
    <w:qFormat/>
    <w:rsid w:val="009F0C78"/>
    <w:rPr>
      <w:rFonts w:ascii="Calibri Light" w:eastAsia="DengXian Light" w:hAnsi="Calibri Light" w:cs="Times New Roman"/>
      <w:color w:val="2E74B5"/>
      <w:sz w:val="26"/>
      <w:szCs w:val="26"/>
    </w:rPr>
  </w:style>
  <w:style w:type="character" w:customStyle="1" w:styleId="berschrift3Zchn">
    <w:name w:val="Überschrift 3 Zchn"/>
    <w:uiPriority w:val="9"/>
    <w:semiHidden/>
    <w:qFormat/>
    <w:rsid w:val="009F0C78"/>
    <w:rPr>
      <w:rFonts w:ascii="Calibri Light" w:eastAsia="DengXian Light" w:hAnsi="Calibri Light" w:cs="Times New Roman"/>
      <w:color w:val="1F4D78"/>
    </w:rPr>
  </w:style>
  <w:style w:type="character" w:customStyle="1" w:styleId="BodyTextChar">
    <w:name w:val="Body Text Char"/>
    <w:link w:val="BodyText"/>
    <w:uiPriority w:val="1"/>
    <w:qFormat/>
    <w:rsid w:val="00F30FF1"/>
    <w:rPr>
      <w:rFonts w:ascii="Times" w:eastAsia="Times New Roman" w:hAnsi="Times" w:cs="Times"/>
      <w:sz w:val="22"/>
      <w:lang w:val="en-US"/>
    </w:rPr>
  </w:style>
  <w:style w:type="paragraph" w:styleId="BodyText">
    <w:name w:val="Body Text"/>
    <w:basedOn w:val="Normal"/>
    <w:link w:val="BodyTextChar"/>
    <w:uiPriority w:val="1"/>
    <w:qFormat/>
    <w:rsid w:val="00F30FF1"/>
    <w:pPr>
      <w:spacing w:after="120"/>
    </w:pPr>
    <w:rPr>
      <w:rFonts w:ascii="Times" w:hAnsi="Times" w:cs="Times"/>
      <w:sz w:val="22"/>
    </w:rPr>
  </w:style>
  <w:style w:type="character" w:customStyle="1" w:styleId="HeaderChar">
    <w:name w:val="Header Char"/>
    <w:basedOn w:val="DefaultParagraphFont"/>
    <w:link w:val="Header"/>
    <w:uiPriority w:val="99"/>
    <w:qFormat/>
    <w:rsid w:val="007E727D"/>
  </w:style>
  <w:style w:type="paragraph" w:styleId="Header">
    <w:name w:val="header"/>
    <w:basedOn w:val="Normal"/>
    <w:link w:val="HeaderChar"/>
    <w:uiPriority w:val="99"/>
    <w:unhideWhenUsed/>
    <w:rsid w:val="007E727D"/>
    <w:pPr>
      <w:tabs>
        <w:tab w:val="center" w:pos="4536"/>
        <w:tab w:val="right" w:pos="9072"/>
      </w:tabs>
    </w:pPr>
    <w:rPr>
      <w:rFonts w:ascii="Calibri" w:eastAsia="Calibri" w:hAnsi="Calibri"/>
      <w:lang w:val="de-DE"/>
    </w:rPr>
  </w:style>
  <w:style w:type="character" w:customStyle="1" w:styleId="FooterChar">
    <w:name w:val="Footer Char"/>
    <w:basedOn w:val="DefaultParagraphFont"/>
    <w:link w:val="Footer"/>
    <w:uiPriority w:val="99"/>
    <w:qFormat/>
    <w:rsid w:val="007E727D"/>
  </w:style>
  <w:style w:type="paragraph" w:styleId="Footer">
    <w:name w:val="footer"/>
    <w:basedOn w:val="Normal"/>
    <w:link w:val="FooterChar"/>
    <w:uiPriority w:val="99"/>
    <w:unhideWhenUsed/>
    <w:rsid w:val="007E727D"/>
    <w:pPr>
      <w:tabs>
        <w:tab w:val="center" w:pos="4536"/>
        <w:tab w:val="right" w:pos="9072"/>
      </w:tabs>
    </w:pPr>
    <w:rPr>
      <w:rFonts w:ascii="Calibri" w:eastAsia="Calibri" w:hAnsi="Calibri"/>
      <w:lang w:val="de-DE"/>
    </w:rPr>
  </w:style>
  <w:style w:type="character" w:styleId="PageNumber">
    <w:name w:val="page number"/>
    <w:basedOn w:val="DefaultParagraphFont"/>
    <w:uiPriority w:val="99"/>
    <w:semiHidden/>
    <w:unhideWhenUsed/>
    <w:qFormat/>
    <w:rsid w:val="009973D8"/>
  </w:style>
  <w:style w:type="character" w:customStyle="1" w:styleId="BalloonTextChar">
    <w:name w:val="Balloon Text Char"/>
    <w:link w:val="BalloonText"/>
    <w:uiPriority w:val="99"/>
    <w:semiHidden/>
    <w:qFormat/>
    <w:rsid w:val="00CD2348"/>
    <w:rPr>
      <w:rFonts w:ascii="Times New Roman" w:hAnsi="Times New Roman" w:cs="Times New Roman"/>
      <w:sz w:val="18"/>
      <w:szCs w:val="18"/>
    </w:rPr>
  </w:style>
  <w:style w:type="paragraph" w:styleId="BalloonText">
    <w:name w:val="Balloon Text"/>
    <w:basedOn w:val="Normal"/>
    <w:link w:val="BalloonTextChar"/>
    <w:uiPriority w:val="99"/>
    <w:semiHidden/>
    <w:unhideWhenUsed/>
    <w:qFormat/>
    <w:rsid w:val="00CD2348"/>
    <w:rPr>
      <w:rFonts w:eastAsia="Calibri"/>
      <w:sz w:val="18"/>
      <w:szCs w:val="18"/>
      <w:lang w:val="de-DE"/>
    </w:rPr>
  </w:style>
  <w:style w:type="character" w:styleId="CommentReference">
    <w:name w:val="annotation reference"/>
    <w:uiPriority w:val="99"/>
    <w:semiHidden/>
    <w:unhideWhenUsed/>
    <w:qFormat/>
    <w:rsid w:val="002063B5"/>
    <w:rPr>
      <w:sz w:val="18"/>
      <w:szCs w:val="18"/>
    </w:rPr>
  </w:style>
  <w:style w:type="character" w:customStyle="1" w:styleId="CommentTextChar">
    <w:name w:val="Comment Text Char"/>
    <w:basedOn w:val="DefaultParagraphFont"/>
    <w:link w:val="CommentText"/>
    <w:uiPriority w:val="99"/>
    <w:semiHidden/>
    <w:qFormat/>
    <w:rsid w:val="002063B5"/>
  </w:style>
  <w:style w:type="paragraph" w:styleId="CommentText">
    <w:name w:val="annotation text"/>
    <w:basedOn w:val="Normal"/>
    <w:link w:val="CommentTextChar"/>
    <w:uiPriority w:val="99"/>
    <w:semiHidden/>
    <w:unhideWhenUsed/>
    <w:qFormat/>
    <w:rsid w:val="002063B5"/>
    <w:rPr>
      <w:rFonts w:ascii="Calibri" w:eastAsia="Calibri" w:hAnsi="Calibri"/>
      <w:lang w:val="de-DE"/>
    </w:rPr>
  </w:style>
  <w:style w:type="character" w:customStyle="1" w:styleId="CommentSubjectChar">
    <w:name w:val="Comment Subject Char"/>
    <w:link w:val="CommentSubject"/>
    <w:uiPriority w:val="99"/>
    <w:semiHidden/>
    <w:qFormat/>
    <w:rsid w:val="002063B5"/>
    <w:rPr>
      <w:b/>
      <w:bCs/>
      <w:sz w:val="20"/>
      <w:szCs w:val="20"/>
    </w:rPr>
  </w:style>
  <w:style w:type="paragraph" w:styleId="CommentSubject">
    <w:name w:val="annotation subject"/>
    <w:basedOn w:val="CommentText"/>
    <w:link w:val="CommentSubjectChar"/>
    <w:uiPriority w:val="99"/>
    <w:semiHidden/>
    <w:unhideWhenUsed/>
    <w:qFormat/>
    <w:rsid w:val="002063B5"/>
    <w:rPr>
      <w:b/>
      <w:bCs/>
      <w:sz w:val="20"/>
      <w:szCs w:val="20"/>
    </w:rPr>
  </w:style>
  <w:style w:type="character" w:customStyle="1" w:styleId="InternetLink">
    <w:name w:val="Internet Link"/>
    <w:basedOn w:val="DefaultParagraphFont"/>
    <w:uiPriority w:val="99"/>
    <w:semiHidden/>
    <w:unhideWhenUsed/>
    <w:qFormat/>
    <w:rsid w:val="0024101D"/>
    <w:rPr>
      <w:color w:val="0000FF"/>
      <w:u w:val="single"/>
    </w:rPr>
  </w:style>
  <w:style w:type="character" w:styleId="FollowedHyperlink">
    <w:name w:val="FollowedHyperlink"/>
    <w:uiPriority w:val="99"/>
    <w:semiHidden/>
    <w:unhideWhenUsed/>
    <w:qFormat/>
    <w:rsid w:val="00E5184D"/>
    <w:rPr>
      <w:color w:val="954F72"/>
      <w:u w:val="single"/>
    </w:rPr>
  </w:style>
  <w:style w:type="character" w:customStyle="1" w:styleId="ListParagraphChar">
    <w:name w:val="List Paragraph Char"/>
    <w:link w:val="ListParagraph"/>
    <w:uiPriority w:val="34"/>
    <w:qFormat/>
    <w:rsid w:val="00AF5DA2"/>
    <w:rPr>
      <w:sz w:val="24"/>
      <w:szCs w:val="24"/>
      <w:lang w:val="de-DE"/>
    </w:rPr>
  </w:style>
  <w:style w:type="paragraph" w:styleId="ListParagraph">
    <w:name w:val="List Paragraph"/>
    <w:basedOn w:val="Normal"/>
    <w:link w:val="ListParagraphChar"/>
    <w:uiPriority w:val="34"/>
    <w:qFormat/>
    <w:rsid w:val="00AF5DA2"/>
    <w:pPr>
      <w:ind w:left="720"/>
    </w:pPr>
    <w:rPr>
      <w:rFonts w:ascii="Calibri" w:eastAsia="Calibri" w:hAnsi="Calibri"/>
      <w:lang w:val="de-DE"/>
    </w:rPr>
  </w:style>
  <w:style w:type="character" w:customStyle="1" w:styleId="ListLabel1">
    <w:name w:val="ListLabel 1"/>
    <w:qFormat/>
    <w:rPr>
      <w:sz w:val="22"/>
      <w:szCs w:val="22"/>
    </w:rPr>
  </w:style>
  <w:style w:type="character" w:customStyle="1" w:styleId="ListLabel2">
    <w:name w:val="ListLabel 2"/>
    <w:qFormat/>
    <w:rPr>
      <w:sz w:val="32"/>
      <w:szCs w:val="32"/>
    </w:rPr>
  </w:style>
  <w:style w:type="character" w:customStyle="1" w:styleId="ListLabel3">
    <w:name w:val="ListLabel 3"/>
    <w:qFormat/>
    <w:rPr>
      <w:rFonts w:eastAsia="Calibri" w:cs="Arial"/>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cs="Arial"/>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sz w:val="22"/>
      <w:szCs w:val="22"/>
    </w:rPr>
  </w:style>
  <w:style w:type="character" w:customStyle="1" w:styleId="ListLabel24">
    <w:name w:val="ListLabel 24"/>
    <w:qFormat/>
    <w:rPr>
      <w:rFonts w:ascii="Arial" w:eastAsia="Times New Roman" w:hAnsi="Arial" w:cs="Arial"/>
      <w:sz w:val="22"/>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ascii="Arial" w:eastAsia="Times New Roman" w:hAnsi="Arial" w:cs="Arial"/>
      <w:sz w:val="22"/>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Times New Roman"/>
      <w:b w:val="0"/>
      <w:bCs w:val="0"/>
      <w:i w:val="0"/>
      <w:iCs w:val="0"/>
      <w:caps w:val="0"/>
      <w:smallCaps w:val="0"/>
      <w:strike w:val="0"/>
      <w:dstrike w:val="0"/>
      <w:vanish w:val="0"/>
      <w:color w:val="000000"/>
      <w:spacing w:val="0"/>
      <w:w w:val="100"/>
      <w:kern w:val="0"/>
      <w:position w:val="0"/>
      <w:sz w:val="0"/>
      <w:szCs w:val="0"/>
      <w:highlight w:val="black"/>
      <w:u w:val="none" w:color="000000"/>
      <w:effect w:val="none"/>
      <w:vertAlign w:val="baseline"/>
      <w:em w:val="none"/>
      <w:lang w:val="x-none" w:eastAsia="x-none" w:bidi="x-none"/>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eastAsia="Calibri"/>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eastAsia="Calibri"/>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6"/>
      <w:szCs w:val="26"/>
    </w:rPr>
  </w:style>
  <w:style w:type="character" w:customStyle="1" w:styleId="ListLabel81">
    <w:name w:val="ListLabel 81"/>
    <w:qFormat/>
    <w:rPr>
      <w:sz w:val="22"/>
      <w:szCs w:val="22"/>
    </w:rPr>
  </w:style>
  <w:style w:type="character" w:customStyle="1" w:styleId="ListLabel82">
    <w:name w:val="ListLabel 82"/>
    <w:qFormat/>
    <w:rPr>
      <w:sz w:val="22"/>
      <w:szCs w:val="22"/>
    </w:rPr>
  </w:style>
  <w:style w:type="character" w:customStyle="1" w:styleId="ListLabel83">
    <w:name w:val="ListLabel 83"/>
    <w:qFormat/>
    <w:rPr>
      <w:rFonts w:ascii="Arial" w:hAnsi="Arial" w:cs="Symbol"/>
      <w:sz w:val="22"/>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Arial" w:hAnsi="Arial" w:cs="Symbol"/>
      <w:sz w:val="22"/>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ascii="Arial" w:eastAsia="Times New Roman" w:hAnsi="Arial" w:cs="Arial"/>
      <w:sz w:val="22"/>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Arial" w:eastAsia="Times New Roman" w:hAnsi="Arial" w:cs="Arial"/>
      <w:sz w:val="22"/>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ascii="Arial" w:hAnsi="Arial" w:cs="OpenSymbol"/>
      <w:sz w:val="22"/>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rFonts w:ascii="Arial" w:eastAsia="Times New Roman" w:hAnsi="Arial" w:cs="Arial"/>
      <w:color w:val="0000FF"/>
      <w:sz w:val="22"/>
      <w:szCs w:val="22"/>
      <w:shd w:val="clear" w:color="auto" w:fill="FFFFFF"/>
      <w:lang w:val="en-US"/>
    </w:rPr>
  </w:style>
  <w:style w:type="character" w:customStyle="1" w:styleId="Internetverknpfung">
    <w:name w:val="Internetverknüpfung"/>
    <w:basedOn w:val="DefaultParagraphFont"/>
    <w:uiPriority w:val="99"/>
    <w:unhideWhenUsed/>
    <w:rsid w:val="008978B0"/>
    <w:rPr>
      <w:color w:val="0563C1" w:themeColor="hyperlink"/>
      <w:u w:val="single"/>
    </w:rPr>
  </w:style>
  <w:style w:type="character" w:customStyle="1" w:styleId="ListLabel130">
    <w:name w:val="ListLabel 130"/>
    <w:qFormat/>
    <w:rPr>
      <w:sz w:val="22"/>
      <w:szCs w:val="22"/>
    </w:rPr>
  </w:style>
  <w:style w:type="character" w:customStyle="1" w:styleId="ListLabel131">
    <w:name w:val="ListLabel 131"/>
    <w:qFormat/>
    <w:rPr>
      <w:sz w:val="22"/>
      <w:szCs w:val="22"/>
    </w:rPr>
  </w:style>
  <w:style w:type="character" w:customStyle="1" w:styleId="ListLabel132">
    <w:name w:val="ListLabel 132"/>
    <w:qFormat/>
    <w:rPr>
      <w:rFonts w:ascii="Arial" w:hAnsi="Arial" w:cs="Symbol"/>
      <w:sz w:val="22"/>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ascii="Arial" w:hAnsi="Arial" w:cs="Symbol"/>
      <w:sz w:val="22"/>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ascii="Arial" w:eastAsia="Times New Roman" w:hAnsi="Arial" w:cs="Arial"/>
      <w:sz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eastAsia="Times New Roman" w:hAnsi="Arial" w:cs="Arial"/>
      <w:sz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ascii="Arial" w:hAnsi="Arial" w:cs="OpenSymbol"/>
      <w:sz w:val="22"/>
    </w:rPr>
  </w:style>
  <w:style w:type="character" w:customStyle="1" w:styleId="ListLabel169">
    <w:name w:val="ListLabel 169"/>
    <w:qFormat/>
    <w:rPr>
      <w:rFonts w:eastAsia="Calibri"/>
    </w:rPr>
  </w:style>
  <w:style w:type="character" w:customStyle="1" w:styleId="Verzeichnissprung">
    <w:name w:val="Verzeichnissprung"/>
    <w:qFormat/>
  </w:style>
  <w:style w:type="paragraph" w:customStyle="1" w:styleId="berschrift">
    <w:name w:val="Überschrift"/>
    <w:basedOn w:val="Normal"/>
    <w:next w:val="BodyText"/>
    <w:qFormat/>
    <w:pPr>
      <w:keepNext/>
      <w:spacing w:before="240" w:after="120"/>
    </w:pPr>
    <w:rPr>
      <w:rFonts w:ascii="Liberation Sans" w:eastAsia="DejaVu Sans" w:hAnsi="Liberation Sans" w:cs="FreeSans"/>
      <w:sz w:val="28"/>
      <w:szCs w:val="28"/>
      <w:lang w:val="de-DE"/>
    </w:rPr>
  </w:style>
  <w:style w:type="paragraph" w:styleId="List">
    <w:name w:val="List"/>
    <w:basedOn w:val="BodyText"/>
    <w:rPr>
      <w:rFonts w:cs="FreeSans"/>
    </w:rPr>
  </w:style>
  <w:style w:type="paragraph" w:styleId="Caption">
    <w:name w:val="caption"/>
    <w:basedOn w:val="Normal"/>
    <w:uiPriority w:val="35"/>
    <w:qFormat/>
    <w:pPr>
      <w:suppressLineNumbers/>
      <w:spacing w:before="120" w:after="120"/>
    </w:pPr>
    <w:rPr>
      <w:rFonts w:ascii="Calibri" w:eastAsia="Calibri" w:hAnsi="Calibri" w:cs="FreeSans"/>
      <w:i/>
      <w:iCs/>
      <w:lang w:val="de-DE"/>
    </w:rPr>
  </w:style>
  <w:style w:type="paragraph" w:customStyle="1" w:styleId="Verzeichnis">
    <w:name w:val="Verzeichnis"/>
    <w:basedOn w:val="Normal"/>
    <w:qFormat/>
    <w:pPr>
      <w:suppressLineNumbers/>
    </w:pPr>
    <w:rPr>
      <w:rFonts w:ascii="Calibri" w:eastAsia="Calibri" w:hAnsi="Calibri" w:cs="FreeSans"/>
      <w:lang w:val="de-DE"/>
    </w:rPr>
  </w:style>
  <w:style w:type="paragraph" w:customStyle="1" w:styleId="ColorfulList-Accent11">
    <w:name w:val="Colorful List - Accent 11"/>
    <w:basedOn w:val="Normal"/>
    <w:uiPriority w:val="34"/>
    <w:qFormat/>
    <w:rsid w:val="004848C9"/>
    <w:pPr>
      <w:ind w:left="720"/>
      <w:contextualSpacing/>
    </w:pPr>
    <w:rPr>
      <w:rFonts w:ascii="Calibri" w:eastAsia="Calibri" w:hAnsi="Calibri"/>
      <w:lang w:val="de-DE"/>
    </w:rPr>
  </w:style>
  <w:style w:type="paragraph" w:styleId="TOC1">
    <w:name w:val="toc 1"/>
    <w:basedOn w:val="Normal"/>
    <w:next w:val="Normal"/>
    <w:autoRedefine/>
    <w:uiPriority w:val="39"/>
    <w:unhideWhenUsed/>
    <w:rsid w:val="008978B0"/>
    <w:pPr>
      <w:tabs>
        <w:tab w:val="left" w:pos="480"/>
        <w:tab w:val="right" w:pos="9056"/>
      </w:tabs>
      <w:spacing w:after="120"/>
      <w:ind w:right="-7"/>
      <w:jc w:val="both"/>
    </w:pPr>
    <w:rPr>
      <w:rFonts w:ascii="Arial" w:eastAsia="Calibri" w:hAnsi="Arial" w:cs="Arial"/>
      <w:b/>
      <w:bCs/>
      <w:caps/>
      <w:color w:val="FFC000"/>
      <w:sz w:val="28"/>
      <w:szCs w:val="28"/>
    </w:rPr>
  </w:style>
  <w:style w:type="paragraph" w:styleId="TOC2">
    <w:name w:val="toc 2"/>
    <w:basedOn w:val="Normal"/>
    <w:next w:val="Normal"/>
    <w:autoRedefine/>
    <w:uiPriority w:val="39"/>
    <w:unhideWhenUsed/>
    <w:rsid w:val="007E727D"/>
    <w:pPr>
      <w:spacing w:before="240"/>
    </w:pPr>
    <w:rPr>
      <w:rFonts w:ascii="Calibri" w:eastAsia="Calibri" w:hAnsi="Calibri"/>
      <w:b/>
      <w:bCs/>
      <w:sz w:val="20"/>
      <w:szCs w:val="20"/>
      <w:lang w:val="de-DE"/>
    </w:rPr>
  </w:style>
  <w:style w:type="paragraph" w:styleId="TOC3">
    <w:name w:val="toc 3"/>
    <w:basedOn w:val="Normal"/>
    <w:next w:val="Normal"/>
    <w:autoRedefine/>
    <w:uiPriority w:val="39"/>
    <w:unhideWhenUsed/>
    <w:rsid w:val="007E727D"/>
    <w:pPr>
      <w:ind w:left="240"/>
    </w:pPr>
    <w:rPr>
      <w:rFonts w:ascii="Calibri" w:eastAsia="Calibri" w:hAnsi="Calibri"/>
      <w:sz w:val="20"/>
      <w:szCs w:val="20"/>
      <w:lang w:val="de-DE"/>
    </w:rPr>
  </w:style>
  <w:style w:type="paragraph" w:styleId="TOC4">
    <w:name w:val="toc 4"/>
    <w:basedOn w:val="Normal"/>
    <w:next w:val="Normal"/>
    <w:autoRedefine/>
    <w:uiPriority w:val="39"/>
    <w:unhideWhenUsed/>
    <w:rsid w:val="007E727D"/>
    <w:pPr>
      <w:ind w:left="480"/>
    </w:pPr>
    <w:rPr>
      <w:rFonts w:ascii="Calibri" w:eastAsia="Calibri" w:hAnsi="Calibri"/>
      <w:sz w:val="20"/>
      <w:szCs w:val="20"/>
      <w:lang w:val="de-DE"/>
    </w:rPr>
  </w:style>
  <w:style w:type="paragraph" w:styleId="TOC5">
    <w:name w:val="toc 5"/>
    <w:basedOn w:val="Normal"/>
    <w:next w:val="Normal"/>
    <w:autoRedefine/>
    <w:uiPriority w:val="39"/>
    <w:unhideWhenUsed/>
    <w:rsid w:val="007E727D"/>
    <w:pPr>
      <w:ind w:left="720"/>
    </w:pPr>
    <w:rPr>
      <w:rFonts w:ascii="Calibri" w:eastAsia="Calibri" w:hAnsi="Calibri"/>
      <w:sz w:val="20"/>
      <w:szCs w:val="20"/>
      <w:lang w:val="de-DE"/>
    </w:rPr>
  </w:style>
  <w:style w:type="paragraph" w:styleId="TOC6">
    <w:name w:val="toc 6"/>
    <w:basedOn w:val="Normal"/>
    <w:next w:val="Normal"/>
    <w:autoRedefine/>
    <w:uiPriority w:val="39"/>
    <w:unhideWhenUsed/>
    <w:rsid w:val="007E727D"/>
    <w:pPr>
      <w:ind w:left="960"/>
    </w:pPr>
    <w:rPr>
      <w:rFonts w:ascii="Calibri" w:eastAsia="Calibri" w:hAnsi="Calibri"/>
      <w:sz w:val="20"/>
      <w:szCs w:val="20"/>
      <w:lang w:val="de-DE"/>
    </w:rPr>
  </w:style>
  <w:style w:type="paragraph" w:styleId="TOC7">
    <w:name w:val="toc 7"/>
    <w:basedOn w:val="Normal"/>
    <w:next w:val="Normal"/>
    <w:autoRedefine/>
    <w:uiPriority w:val="39"/>
    <w:unhideWhenUsed/>
    <w:rsid w:val="007E727D"/>
    <w:pPr>
      <w:ind w:left="1200"/>
    </w:pPr>
    <w:rPr>
      <w:rFonts w:ascii="Calibri" w:eastAsia="Calibri" w:hAnsi="Calibri"/>
      <w:sz w:val="20"/>
      <w:szCs w:val="20"/>
      <w:lang w:val="de-DE"/>
    </w:rPr>
  </w:style>
  <w:style w:type="paragraph" w:styleId="TOC8">
    <w:name w:val="toc 8"/>
    <w:basedOn w:val="Normal"/>
    <w:next w:val="Normal"/>
    <w:autoRedefine/>
    <w:uiPriority w:val="39"/>
    <w:unhideWhenUsed/>
    <w:rsid w:val="007E727D"/>
    <w:pPr>
      <w:ind w:left="1440"/>
    </w:pPr>
    <w:rPr>
      <w:rFonts w:ascii="Calibri" w:eastAsia="Calibri" w:hAnsi="Calibri"/>
      <w:sz w:val="20"/>
      <w:szCs w:val="20"/>
      <w:lang w:val="de-DE"/>
    </w:rPr>
  </w:style>
  <w:style w:type="paragraph" w:styleId="TOC9">
    <w:name w:val="toc 9"/>
    <w:basedOn w:val="Normal"/>
    <w:next w:val="Normal"/>
    <w:autoRedefine/>
    <w:uiPriority w:val="39"/>
    <w:unhideWhenUsed/>
    <w:rsid w:val="007E727D"/>
    <w:pPr>
      <w:ind w:left="1680"/>
    </w:pPr>
    <w:rPr>
      <w:rFonts w:ascii="Calibri" w:eastAsia="Calibri" w:hAnsi="Calibri"/>
      <w:sz w:val="20"/>
      <w:szCs w:val="20"/>
      <w:lang w:val="de-DE"/>
    </w:rPr>
  </w:style>
  <w:style w:type="paragraph" w:customStyle="1" w:styleId="Default">
    <w:name w:val="Default"/>
    <w:qFormat/>
    <w:rsid w:val="007D67AF"/>
    <w:pPr>
      <w:widowControl w:val="0"/>
    </w:pPr>
    <w:rPr>
      <w:rFonts w:ascii="Cambria Math" w:hAnsi="Cambria Math" w:cs="Cambria Math"/>
      <w:color w:val="000000"/>
      <w:sz w:val="24"/>
      <w:szCs w:val="24"/>
      <w:lang w:val="de-DE"/>
    </w:rPr>
  </w:style>
  <w:style w:type="paragraph" w:styleId="NormalWeb">
    <w:name w:val="Normal (Web)"/>
    <w:basedOn w:val="Normal"/>
    <w:uiPriority w:val="99"/>
    <w:unhideWhenUsed/>
    <w:qFormat/>
    <w:rsid w:val="00E779DA"/>
    <w:pPr>
      <w:spacing w:beforeAutospacing="1" w:afterAutospacing="1"/>
    </w:pPr>
    <w:rPr>
      <w:rFonts w:eastAsia="Calibri"/>
      <w:lang w:val="de-DE" w:eastAsia="de-DE"/>
    </w:rPr>
  </w:style>
  <w:style w:type="paragraph" w:customStyle="1" w:styleId="Normalwoutindent">
    <w:name w:val="Normal w/out indent"/>
    <w:basedOn w:val="Normal"/>
    <w:qFormat/>
    <w:rsid w:val="00F05D98"/>
    <w:pPr>
      <w:spacing w:after="60"/>
      <w:ind w:firstLine="720"/>
      <w:jc w:val="both"/>
    </w:pPr>
    <w:rPr>
      <w:rFonts w:ascii="Arial" w:hAnsi="Arial"/>
      <w:kern w:val="2"/>
      <w:sz w:val="22"/>
      <w:szCs w:val="20"/>
    </w:rPr>
  </w:style>
  <w:style w:type="paragraph" w:customStyle="1" w:styleId="MediumGrid21">
    <w:name w:val="Medium Grid 21"/>
    <w:uiPriority w:val="1"/>
    <w:qFormat/>
    <w:rsid w:val="00333D76"/>
    <w:rPr>
      <w:sz w:val="24"/>
      <w:szCs w:val="24"/>
      <w:lang w:val="de-DE"/>
    </w:rPr>
  </w:style>
  <w:style w:type="paragraph" w:customStyle="1" w:styleId="Protokoll2">
    <w:name w:val="Protokoll 2"/>
    <w:basedOn w:val="ListParagraph"/>
    <w:next w:val="Normal"/>
    <w:qFormat/>
    <w:rsid w:val="00AF5DA2"/>
    <w:pPr>
      <w:tabs>
        <w:tab w:val="left" w:pos="1080"/>
      </w:tabs>
      <w:ind w:left="1080" w:hanging="360"/>
      <w:contextualSpacing/>
    </w:pPr>
    <w:rPr>
      <w:rFonts w:ascii="Arial" w:hAnsi="Arial" w:cs="Arial"/>
      <w:color w:val="222A35"/>
      <w:sz w:val="32"/>
      <w:szCs w:val="32"/>
      <w:lang w:val="de-AT"/>
    </w:rPr>
  </w:style>
  <w:style w:type="paragraph" w:customStyle="1" w:styleId="Protokoll3">
    <w:name w:val="Protokoll 3"/>
    <w:basedOn w:val="ListParagraph"/>
    <w:qFormat/>
    <w:rsid w:val="00AF5DA2"/>
    <w:pPr>
      <w:tabs>
        <w:tab w:val="left" w:pos="1800"/>
      </w:tabs>
      <w:ind w:left="1800" w:hanging="180"/>
      <w:contextualSpacing/>
    </w:pPr>
    <w:rPr>
      <w:rFonts w:ascii="Arial" w:hAnsi="Arial" w:cs="Arial"/>
      <w:color w:val="222A35"/>
      <w:sz w:val="28"/>
      <w:szCs w:val="28"/>
      <w:lang w:val="de-AT"/>
    </w:rPr>
  </w:style>
  <w:style w:type="paragraph" w:customStyle="1" w:styleId="Protokoll4">
    <w:name w:val="Protokoll 4"/>
    <w:basedOn w:val="ListParagraph"/>
    <w:qFormat/>
    <w:rsid w:val="00AF5DA2"/>
    <w:pPr>
      <w:tabs>
        <w:tab w:val="left" w:pos="2520"/>
      </w:tabs>
      <w:ind w:left="2520" w:hanging="360"/>
      <w:contextualSpacing/>
    </w:pPr>
    <w:rPr>
      <w:rFonts w:ascii="Arial" w:hAnsi="Arial" w:cs="Arial"/>
      <w:b/>
      <w:i/>
      <w:color w:val="222A35"/>
      <w:lang w:val="de-AT"/>
    </w:rPr>
  </w:style>
  <w:style w:type="paragraph" w:customStyle="1" w:styleId="Protokoll">
    <w:name w:val="Protokoll !"/>
    <w:basedOn w:val="ListParagraph"/>
    <w:next w:val="Normal"/>
    <w:qFormat/>
    <w:rsid w:val="00865A35"/>
    <w:pPr>
      <w:widowControl w:val="0"/>
      <w:tabs>
        <w:tab w:val="left" w:pos="405"/>
      </w:tabs>
      <w:spacing w:after="200" w:line="480" w:lineRule="auto"/>
      <w:ind w:left="405" w:hanging="405"/>
      <w:contextualSpacing/>
      <w:jc w:val="both"/>
    </w:pPr>
    <w:rPr>
      <w:rFonts w:ascii="Arial" w:eastAsia="MS Mincho" w:hAnsi="Arial"/>
      <w:b/>
      <w:color w:val="1F3864"/>
      <w:sz w:val="40"/>
      <w:szCs w:val="40"/>
      <w:lang w:val="en-US"/>
    </w:rPr>
  </w:style>
  <w:style w:type="paragraph" w:customStyle="1" w:styleId="Tabelleninhalt">
    <w:name w:val="Tabelleninhalt"/>
    <w:basedOn w:val="Normal"/>
    <w:qFormat/>
    <w:pPr>
      <w:suppressLineNumbers/>
    </w:pPr>
    <w:rPr>
      <w:rFonts w:ascii="Calibri" w:eastAsia="Calibri" w:hAnsi="Calibri"/>
      <w:lang w:val="de-DE"/>
    </w:rPr>
  </w:style>
  <w:style w:type="paragraph" w:customStyle="1" w:styleId="Tabellenberschrift">
    <w:name w:val="Tabellenüberschrift"/>
    <w:basedOn w:val="Tabelleninhalt"/>
    <w:qFormat/>
    <w:pPr>
      <w:jc w:val="center"/>
    </w:pPr>
    <w:rPr>
      <w:b/>
      <w:bCs/>
    </w:rPr>
  </w:style>
  <w:style w:type="table" w:styleId="TableGrid">
    <w:name w:val="Table Grid"/>
    <w:basedOn w:val="TableNormal"/>
    <w:uiPriority w:val="39"/>
    <w:rsid w:val="00C07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7315"/>
    <w:rPr>
      <w:color w:val="0563C1" w:themeColor="hyperlink"/>
      <w:u w:val="single"/>
    </w:rPr>
  </w:style>
  <w:style w:type="character" w:customStyle="1" w:styleId="UnresolvedMention1">
    <w:name w:val="Unresolved Mention1"/>
    <w:basedOn w:val="DefaultParagraphFont"/>
    <w:uiPriority w:val="99"/>
    <w:semiHidden/>
    <w:unhideWhenUsed/>
    <w:rsid w:val="000C7315"/>
    <w:rPr>
      <w:color w:val="605E5C"/>
      <w:shd w:val="clear" w:color="auto" w:fill="E1DFDD"/>
    </w:rPr>
  </w:style>
  <w:style w:type="paragraph" w:styleId="Revision">
    <w:name w:val="Revision"/>
    <w:hidden/>
    <w:uiPriority w:val="71"/>
    <w:semiHidden/>
    <w:rsid w:val="000B3F66"/>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4B7666"/>
    <w:rPr>
      <w:color w:val="605E5C"/>
      <w:shd w:val="clear" w:color="auto" w:fill="E1DFDD"/>
    </w:rPr>
  </w:style>
  <w:style w:type="paragraph" w:styleId="EndnoteText">
    <w:name w:val="endnote text"/>
    <w:basedOn w:val="Normal"/>
    <w:link w:val="EndnoteTextChar"/>
    <w:uiPriority w:val="99"/>
    <w:semiHidden/>
    <w:unhideWhenUsed/>
    <w:rsid w:val="00D33402"/>
    <w:rPr>
      <w:rFonts w:asciiTheme="minorHAnsi" w:eastAsiaTheme="minorHAnsi" w:hAnsiTheme="minorHAnsi" w:cstheme="minorBidi"/>
      <w:sz w:val="20"/>
      <w:szCs w:val="20"/>
      <w:lang w:val="de-AT"/>
    </w:rPr>
  </w:style>
  <w:style w:type="character" w:customStyle="1" w:styleId="EndnoteTextChar">
    <w:name w:val="Endnote Text Char"/>
    <w:basedOn w:val="DefaultParagraphFont"/>
    <w:link w:val="EndnoteText"/>
    <w:uiPriority w:val="99"/>
    <w:semiHidden/>
    <w:rsid w:val="00D33402"/>
    <w:rPr>
      <w:rFonts w:asciiTheme="minorHAnsi" w:eastAsiaTheme="minorHAnsi" w:hAnsiTheme="minorHAnsi" w:cstheme="minorBidi"/>
      <w:lang w:val="de-AT"/>
    </w:rPr>
  </w:style>
  <w:style w:type="character" w:styleId="EndnoteReference">
    <w:name w:val="endnote reference"/>
    <w:basedOn w:val="DefaultParagraphFont"/>
    <w:uiPriority w:val="99"/>
    <w:unhideWhenUsed/>
    <w:rsid w:val="00D33402"/>
    <w:rPr>
      <w:vertAlign w:val="superscript"/>
    </w:rPr>
  </w:style>
  <w:style w:type="character" w:customStyle="1" w:styleId="UnresolvedMention3">
    <w:name w:val="Unresolved Mention3"/>
    <w:basedOn w:val="DefaultParagraphFont"/>
    <w:uiPriority w:val="99"/>
    <w:semiHidden/>
    <w:unhideWhenUsed/>
    <w:rsid w:val="0058354C"/>
    <w:rPr>
      <w:color w:val="605E5C"/>
      <w:shd w:val="clear" w:color="auto" w:fill="E1DFDD"/>
    </w:rPr>
  </w:style>
  <w:style w:type="character" w:styleId="UnresolvedMention">
    <w:name w:val="Unresolved Mention"/>
    <w:basedOn w:val="DefaultParagraphFont"/>
    <w:uiPriority w:val="99"/>
    <w:semiHidden/>
    <w:unhideWhenUsed/>
    <w:rsid w:val="00EF7AD5"/>
    <w:rPr>
      <w:color w:val="605E5C"/>
      <w:shd w:val="clear" w:color="auto" w:fill="E1DFDD"/>
    </w:rPr>
  </w:style>
  <w:style w:type="paragraph" w:customStyle="1" w:styleId="Bibliography1">
    <w:name w:val="Bibliography1"/>
    <w:basedOn w:val="Normal"/>
    <w:link w:val="BibliographyZchn"/>
    <w:rsid w:val="00816FA9"/>
    <w:pPr>
      <w:tabs>
        <w:tab w:val="left" w:pos="380"/>
        <w:tab w:val="left" w:pos="500"/>
      </w:tabs>
      <w:spacing w:after="240"/>
      <w:ind w:left="504" w:right="143" w:hanging="504"/>
      <w:jc w:val="both"/>
    </w:pPr>
    <w:rPr>
      <w:rFonts w:cs="Times"/>
      <w:sz w:val="22"/>
      <w:szCs w:val="22"/>
      <w:lang w:eastAsia="de-DE"/>
    </w:rPr>
  </w:style>
  <w:style w:type="character" w:customStyle="1" w:styleId="BibliographyZchn">
    <w:name w:val="Bibliography Zchn"/>
    <w:basedOn w:val="BodyTextChar"/>
    <w:link w:val="Bibliography1"/>
    <w:rsid w:val="00816FA9"/>
    <w:rPr>
      <w:rFonts w:ascii="Times New Roman" w:eastAsia="Times New Roman" w:hAnsi="Times New Roman" w:cs="Times"/>
      <w:sz w:val="22"/>
      <w:szCs w:val="2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30345">
      <w:bodyDiv w:val="1"/>
      <w:marLeft w:val="0"/>
      <w:marRight w:val="0"/>
      <w:marTop w:val="0"/>
      <w:marBottom w:val="0"/>
      <w:divBdr>
        <w:top w:val="none" w:sz="0" w:space="0" w:color="auto"/>
        <w:left w:val="none" w:sz="0" w:space="0" w:color="auto"/>
        <w:bottom w:val="none" w:sz="0" w:space="0" w:color="auto"/>
        <w:right w:val="none" w:sz="0" w:space="0" w:color="auto"/>
      </w:divBdr>
    </w:div>
    <w:div w:id="276064816">
      <w:bodyDiv w:val="1"/>
      <w:marLeft w:val="0"/>
      <w:marRight w:val="0"/>
      <w:marTop w:val="0"/>
      <w:marBottom w:val="0"/>
      <w:divBdr>
        <w:top w:val="none" w:sz="0" w:space="0" w:color="auto"/>
        <w:left w:val="none" w:sz="0" w:space="0" w:color="auto"/>
        <w:bottom w:val="none" w:sz="0" w:space="0" w:color="auto"/>
        <w:right w:val="none" w:sz="0" w:space="0" w:color="auto"/>
      </w:divBdr>
    </w:div>
    <w:div w:id="324556866">
      <w:bodyDiv w:val="1"/>
      <w:marLeft w:val="0"/>
      <w:marRight w:val="0"/>
      <w:marTop w:val="0"/>
      <w:marBottom w:val="0"/>
      <w:divBdr>
        <w:top w:val="none" w:sz="0" w:space="0" w:color="auto"/>
        <w:left w:val="none" w:sz="0" w:space="0" w:color="auto"/>
        <w:bottom w:val="none" w:sz="0" w:space="0" w:color="auto"/>
        <w:right w:val="none" w:sz="0" w:space="0" w:color="auto"/>
      </w:divBdr>
      <w:divsChild>
        <w:div w:id="291712467">
          <w:marLeft w:val="0"/>
          <w:marRight w:val="0"/>
          <w:marTop w:val="0"/>
          <w:marBottom w:val="0"/>
          <w:divBdr>
            <w:top w:val="none" w:sz="0" w:space="0" w:color="auto"/>
            <w:left w:val="none" w:sz="0" w:space="0" w:color="auto"/>
            <w:bottom w:val="none" w:sz="0" w:space="0" w:color="auto"/>
            <w:right w:val="none" w:sz="0" w:space="0" w:color="auto"/>
          </w:divBdr>
          <w:divsChild>
            <w:div w:id="614602452">
              <w:marLeft w:val="0"/>
              <w:marRight w:val="0"/>
              <w:marTop w:val="0"/>
              <w:marBottom w:val="0"/>
              <w:divBdr>
                <w:top w:val="none" w:sz="0" w:space="0" w:color="auto"/>
                <w:left w:val="none" w:sz="0" w:space="0" w:color="auto"/>
                <w:bottom w:val="none" w:sz="0" w:space="0" w:color="auto"/>
                <w:right w:val="none" w:sz="0" w:space="0" w:color="auto"/>
              </w:divBdr>
              <w:divsChild>
                <w:div w:id="781850773">
                  <w:marLeft w:val="0"/>
                  <w:marRight w:val="0"/>
                  <w:marTop w:val="0"/>
                  <w:marBottom w:val="0"/>
                  <w:divBdr>
                    <w:top w:val="none" w:sz="0" w:space="0" w:color="auto"/>
                    <w:left w:val="none" w:sz="0" w:space="0" w:color="auto"/>
                    <w:bottom w:val="none" w:sz="0" w:space="0" w:color="auto"/>
                    <w:right w:val="none" w:sz="0" w:space="0" w:color="auto"/>
                  </w:divBdr>
                </w:div>
              </w:divsChild>
            </w:div>
            <w:div w:id="1791242677">
              <w:marLeft w:val="0"/>
              <w:marRight w:val="0"/>
              <w:marTop w:val="0"/>
              <w:marBottom w:val="0"/>
              <w:divBdr>
                <w:top w:val="none" w:sz="0" w:space="0" w:color="auto"/>
                <w:left w:val="none" w:sz="0" w:space="0" w:color="auto"/>
                <w:bottom w:val="none" w:sz="0" w:space="0" w:color="auto"/>
                <w:right w:val="none" w:sz="0" w:space="0" w:color="auto"/>
              </w:divBdr>
              <w:divsChild>
                <w:div w:id="10829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1062">
          <w:marLeft w:val="0"/>
          <w:marRight w:val="0"/>
          <w:marTop w:val="0"/>
          <w:marBottom w:val="0"/>
          <w:divBdr>
            <w:top w:val="none" w:sz="0" w:space="0" w:color="auto"/>
            <w:left w:val="none" w:sz="0" w:space="0" w:color="auto"/>
            <w:bottom w:val="none" w:sz="0" w:space="0" w:color="auto"/>
            <w:right w:val="none" w:sz="0" w:space="0" w:color="auto"/>
          </w:divBdr>
          <w:divsChild>
            <w:div w:id="1785466161">
              <w:marLeft w:val="0"/>
              <w:marRight w:val="0"/>
              <w:marTop w:val="0"/>
              <w:marBottom w:val="0"/>
              <w:divBdr>
                <w:top w:val="none" w:sz="0" w:space="0" w:color="auto"/>
                <w:left w:val="none" w:sz="0" w:space="0" w:color="auto"/>
                <w:bottom w:val="none" w:sz="0" w:space="0" w:color="auto"/>
                <w:right w:val="none" w:sz="0" w:space="0" w:color="auto"/>
              </w:divBdr>
              <w:divsChild>
                <w:div w:id="4972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4788">
      <w:bodyDiv w:val="1"/>
      <w:marLeft w:val="0"/>
      <w:marRight w:val="0"/>
      <w:marTop w:val="0"/>
      <w:marBottom w:val="0"/>
      <w:divBdr>
        <w:top w:val="none" w:sz="0" w:space="0" w:color="auto"/>
        <w:left w:val="none" w:sz="0" w:space="0" w:color="auto"/>
        <w:bottom w:val="none" w:sz="0" w:space="0" w:color="auto"/>
        <w:right w:val="none" w:sz="0" w:space="0" w:color="auto"/>
      </w:divBdr>
    </w:div>
    <w:div w:id="544874640">
      <w:bodyDiv w:val="1"/>
      <w:marLeft w:val="0"/>
      <w:marRight w:val="0"/>
      <w:marTop w:val="0"/>
      <w:marBottom w:val="0"/>
      <w:divBdr>
        <w:top w:val="none" w:sz="0" w:space="0" w:color="auto"/>
        <w:left w:val="none" w:sz="0" w:space="0" w:color="auto"/>
        <w:bottom w:val="none" w:sz="0" w:space="0" w:color="auto"/>
        <w:right w:val="none" w:sz="0" w:space="0" w:color="auto"/>
      </w:divBdr>
    </w:div>
    <w:div w:id="712971577">
      <w:bodyDiv w:val="1"/>
      <w:marLeft w:val="0"/>
      <w:marRight w:val="0"/>
      <w:marTop w:val="0"/>
      <w:marBottom w:val="0"/>
      <w:divBdr>
        <w:top w:val="none" w:sz="0" w:space="0" w:color="auto"/>
        <w:left w:val="none" w:sz="0" w:space="0" w:color="auto"/>
        <w:bottom w:val="none" w:sz="0" w:space="0" w:color="auto"/>
        <w:right w:val="none" w:sz="0" w:space="0" w:color="auto"/>
      </w:divBdr>
    </w:div>
    <w:div w:id="747071225">
      <w:bodyDiv w:val="1"/>
      <w:marLeft w:val="0"/>
      <w:marRight w:val="0"/>
      <w:marTop w:val="0"/>
      <w:marBottom w:val="0"/>
      <w:divBdr>
        <w:top w:val="none" w:sz="0" w:space="0" w:color="auto"/>
        <w:left w:val="none" w:sz="0" w:space="0" w:color="auto"/>
        <w:bottom w:val="none" w:sz="0" w:space="0" w:color="auto"/>
        <w:right w:val="none" w:sz="0" w:space="0" w:color="auto"/>
      </w:divBdr>
    </w:div>
    <w:div w:id="1169294518">
      <w:bodyDiv w:val="1"/>
      <w:marLeft w:val="0"/>
      <w:marRight w:val="0"/>
      <w:marTop w:val="0"/>
      <w:marBottom w:val="0"/>
      <w:divBdr>
        <w:top w:val="none" w:sz="0" w:space="0" w:color="auto"/>
        <w:left w:val="none" w:sz="0" w:space="0" w:color="auto"/>
        <w:bottom w:val="none" w:sz="0" w:space="0" w:color="auto"/>
        <w:right w:val="none" w:sz="0" w:space="0" w:color="auto"/>
      </w:divBdr>
    </w:div>
    <w:div w:id="1894461289">
      <w:bodyDiv w:val="1"/>
      <w:marLeft w:val="0"/>
      <w:marRight w:val="0"/>
      <w:marTop w:val="0"/>
      <w:marBottom w:val="0"/>
      <w:divBdr>
        <w:top w:val="none" w:sz="0" w:space="0" w:color="auto"/>
        <w:left w:val="none" w:sz="0" w:space="0" w:color="auto"/>
        <w:bottom w:val="none" w:sz="0" w:space="0" w:color="auto"/>
        <w:right w:val="none" w:sz="0" w:space="0" w:color="auto"/>
      </w:divBdr>
    </w:div>
    <w:div w:id="1923875321">
      <w:bodyDiv w:val="1"/>
      <w:marLeft w:val="0"/>
      <w:marRight w:val="0"/>
      <w:marTop w:val="0"/>
      <w:marBottom w:val="0"/>
      <w:divBdr>
        <w:top w:val="none" w:sz="0" w:space="0" w:color="auto"/>
        <w:left w:val="none" w:sz="0" w:space="0" w:color="auto"/>
        <w:bottom w:val="none" w:sz="0" w:space="0" w:color="auto"/>
        <w:right w:val="none" w:sz="0" w:space="0" w:color="auto"/>
      </w:divBdr>
    </w:div>
    <w:div w:id="2100324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diagramColors" Target="diagrams/colors1.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duniwien.ac.at/randomizer/web/login.php" TargetMode="External"/><Relationship Id="rId20" Type="http://schemas.openxmlformats.org/officeDocument/2006/relationships/diagramQuickStyle" Target="diagrams/quickStyle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header" Target="header5.xml"/><Relationship Id="rId30" Type="http://schemas.openxmlformats.org/officeDocument/2006/relationships/image" Target="media/image5.tiff"/><Relationship Id="rId35" Type="http://schemas.openxmlformats.org/officeDocument/2006/relationships/footer" Target="footer7.xml"/><Relationship Id="rId8" Type="http://schemas.openxmlformats.org/officeDocument/2006/relationships/image" Target="media/image1.ti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8.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4277D-C8EE-5741-94C3-533BA8EC16E4}" type="doc">
      <dgm:prSet loTypeId="urn:microsoft.com/office/officeart/2008/layout/HalfCircleOrganizationChart" loCatId="" qsTypeId="urn:microsoft.com/office/officeart/2005/8/quickstyle/simple1" qsCatId="simple" csTypeId="urn:microsoft.com/office/officeart/2005/8/colors/accent4_5" csCatId="accent4" phldr="1"/>
      <dgm:spPr/>
      <dgm:t>
        <a:bodyPr/>
        <a:lstStyle/>
        <a:p>
          <a:endParaRPr lang="en-GB"/>
        </a:p>
      </dgm:t>
    </dgm:pt>
    <dgm:pt modelId="{F12AC56A-AA34-C24B-AFE0-58DCCE1D9963}">
      <dgm:prSet phldrT="[Text]" custT="1"/>
      <dgm:spPr/>
      <dgm:t>
        <a:bodyPr/>
        <a:lstStyle/>
        <a:p>
          <a:r>
            <a:rPr lang="en-GB" sz="1200" b="0" dirty="0"/>
            <a:t>Blood Pressure Management</a:t>
          </a:r>
        </a:p>
      </dgm:t>
    </dgm:pt>
    <dgm:pt modelId="{33194A2E-CB23-FF47-A8F1-A138AA9A7A35}" type="parTrans" cxnId="{8F5313FB-D3D6-D64B-9E0B-0B6DEB376AFC}">
      <dgm:prSet/>
      <dgm:spPr/>
      <dgm:t>
        <a:bodyPr/>
        <a:lstStyle/>
        <a:p>
          <a:endParaRPr lang="en-GB"/>
        </a:p>
      </dgm:t>
    </dgm:pt>
    <dgm:pt modelId="{DFE96562-6893-1D4F-A24C-AB2AEE512C06}" type="sibTrans" cxnId="{8F5313FB-D3D6-D64B-9E0B-0B6DEB376AFC}">
      <dgm:prSet/>
      <dgm:spPr/>
      <dgm:t>
        <a:bodyPr/>
        <a:lstStyle/>
        <a:p>
          <a:endParaRPr lang="en-GB"/>
        </a:p>
      </dgm:t>
    </dgm:pt>
    <dgm:pt modelId="{28804D4B-4C01-6C42-9AC6-47B1621C1AEF}">
      <dgm:prSet phldrT="[Text]"/>
      <dgm:spPr/>
      <dgm:t>
        <a:bodyPr/>
        <a:lstStyle/>
        <a:p>
          <a:r>
            <a:rPr lang="en-GB" dirty="0"/>
            <a:t>MAP &gt; 65mmHg + HR &lt; 110/min + &lt; 0.1 µg/kg/min Nor.</a:t>
          </a:r>
        </a:p>
      </dgm:t>
    </dgm:pt>
    <dgm:pt modelId="{2524EB63-C77B-9A41-AC8A-C774DEA55375}" type="parTrans" cxnId="{975F8056-7DCB-6F45-A68E-21D0DE3672A7}">
      <dgm:prSet/>
      <dgm:spPr/>
      <dgm:t>
        <a:bodyPr/>
        <a:lstStyle/>
        <a:p>
          <a:endParaRPr lang="en-GB"/>
        </a:p>
      </dgm:t>
    </dgm:pt>
    <dgm:pt modelId="{61B0ACDE-0243-9545-9BDE-586738986992}" type="sibTrans" cxnId="{975F8056-7DCB-6F45-A68E-21D0DE3672A7}">
      <dgm:prSet/>
      <dgm:spPr/>
      <dgm:t>
        <a:bodyPr/>
        <a:lstStyle/>
        <a:p>
          <a:endParaRPr lang="en-GB"/>
        </a:p>
      </dgm:t>
    </dgm:pt>
    <dgm:pt modelId="{17C57CD2-20EE-3143-A932-6252C6B9E20C}">
      <dgm:prSet phldrT="[Text]"/>
      <dgm:spPr/>
      <dgm:t>
        <a:bodyPr/>
        <a:lstStyle/>
        <a:p>
          <a:r>
            <a:rPr lang="en-GB" dirty="0"/>
            <a:t>MAP &gt; 65mmHg + HR &gt; 110/min + &lt; 0.1 µg/kg/min Nor.</a:t>
          </a:r>
        </a:p>
      </dgm:t>
    </dgm:pt>
    <dgm:pt modelId="{18D4FF6E-EBB8-AA4D-98BF-DAAD886F21A6}" type="parTrans" cxnId="{35E3DC9A-CBE3-6B4A-A709-B0744FA1CDD6}">
      <dgm:prSet/>
      <dgm:spPr/>
      <dgm:t>
        <a:bodyPr/>
        <a:lstStyle/>
        <a:p>
          <a:endParaRPr lang="en-GB"/>
        </a:p>
      </dgm:t>
    </dgm:pt>
    <dgm:pt modelId="{C3D355B0-16A7-DF4B-ACD9-8FFEFE53A3FA}" type="sibTrans" cxnId="{35E3DC9A-CBE3-6B4A-A709-B0744FA1CDD6}">
      <dgm:prSet/>
      <dgm:spPr/>
      <dgm:t>
        <a:bodyPr/>
        <a:lstStyle/>
        <a:p>
          <a:endParaRPr lang="en-GB"/>
        </a:p>
      </dgm:t>
    </dgm:pt>
    <dgm:pt modelId="{F08F8CB6-EA92-4C41-BA52-F875EEE15CE4}">
      <dgm:prSet phldrT="[Text]"/>
      <dgm:spPr/>
      <dgm:t>
        <a:bodyPr/>
        <a:lstStyle/>
        <a:p>
          <a:r>
            <a:rPr lang="en-GB" dirty="0"/>
            <a:t>MAP &lt; 65mmHg + HR &lt; 110/min + &lt; 0.1 µg/kg/min Nor.</a:t>
          </a:r>
        </a:p>
      </dgm:t>
    </dgm:pt>
    <dgm:pt modelId="{D5888FFB-5C4D-5847-B851-EEC5B4DDBDB1}" type="parTrans" cxnId="{7D94BD56-83C2-1349-A38D-22CAF243C79B}">
      <dgm:prSet/>
      <dgm:spPr/>
      <dgm:t>
        <a:bodyPr/>
        <a:lstStyle/>
        <a:p>
          <a:endParaRPr lang="en-GB"/>
        </a:p>
      </dgm:t>
    </dgm:pt>
    <dgm:pt modelId="{A8474F50-5C45-3540-A452-45502E93B138}" type="sibTrans" cxnId="{7D94BD56-83C2-1349-A38D-22CAF243C79B}">
      <dgm:prSet/>
      <dgm:spPr/>
      <dgm:t>
        <a:bodyPr/>
        <a:lstStyle/>
        <a:p>
          <a:endParaRPr lang="en-GB"/>
        </a:p>
      </dgm:t>
    </dgm:pt>
    <dgm:pt modelId="{4315A164-D5FC-0941-B722-CCC4C62AD735}">
      <dgm:prSet/>
      <dgm:spPr/>
      <dgm:t>
        <a:bodyPr/>
        <a:lstStyle/>
        <a:p>
          <a:r>
            <a:rPr lang="en-GB" dirty="0"/>
            <a:t>0.2 µg/kg/min </a:t>
          </a:r>
        </a:p>
      </dgm:t>
    </dgm:pt>
    <dgm:pt modelId="{1D2A284F-C30E-7742-A659-6BE942ED6F0B}" type="parTrans" cxnId="{C89CAB04-9B99-D949-AD12-422285957FDD}">
      <dgm:prSet/>
      <dgm:spPr/>
      <dgm:t>
        <a:bodyPr/>
        <a:lstStyle/>
        <a:p>
          <a:endParaRPr lang="en-GB"/>
        </a:p>
      </dgm:t>
    </dgm:pt>
    <dgm:pt modelId="{0BC6F2C2-420A-7549-93D5-37EA129F1221}" type="sibTrans" cxnId="{C89CAB04-9B99-D949-AD12-422285957FDD}">
      <dgm:prSet/>
      <dgm:spPr/>
      <dgm:t>
        <a:bodyPr/>
        <a:lstStyle/>
        <a:p>
          <a:endParaRPr lang="en-GB"/>
        </a:p>
      </dgm:t>
    </dgm:pt>
    <dgm:pt modelId="{5B742624-29A2-7248-ABAE-83B8C062F0D7}">
      <dgm:prSet/>
      <dgm:spPr/>
      <dgm:t>
        <a:bodyPr/>
        <a:lstStyle/>
        <a:p>
          <a:r>
            <a:rPr lang="en-GB" dirty="0"/>
            <a:t>Dose reduction of 0.05 µg/kg/min</a:t>
          </a:r>
        </a:p>
      </dgm:t>
    </dgm:pt>
    <dgm:pt modelId="{D519369F-9A9A-8647-84DC-9ABF25FA0DFF}" type="parTrans" cxnId="{47A5CE80-9F52-CB4C-B4A0-5DFF108A08C1}">
      <dgm:prSet/>
      <dgm:spPr/>
      <dgm:t>
        <a:bodyPr/>
        <a:lstStyle/>
        <a:p>
          <a:endParaRPr lang="en-GB"/>
        </a:p>
      </dgm:t>
    </dgm:pt>
    <dgm:pt modelId="{A68D7E48-9596-464E-B36F-C8F35B035565}" type="sibTrans" cxnId="{47A5CE80-9F52-CB4C-B4A0-5DFF108A08C1}">
      <dgm:prSet/>
      <dgm:spPr/>
      <dgm:t>
        <a:bodyPr/>
        <a:lstStyle/>
        <a:p>
          <a:endParaRPr lang="en-GB"/>
        </a:p>
      </dgm:t>
    </dgm:pt>
    <dgm:pt modelId="{933AEF04-2F28-464F-9577-666F59D2D82C}">
      <dgm:prSet/>
      <dgm:spPr/>
      <dgm:t>
        <a:bodyPr/>
        <a:lstStyle/>
        <a:p>
          <a:r>
            <a:rPr lang="en-GB" dirty="0"/>
            <a:t>Dose reduction of 0.05 µg/kg/min</a:t>
          </a:r>
        </a:p>
      </dgm:t>
    </dgm:pt>
    <dgm:pt modelId="{16673F12-EB4E-C04B-9BFF-9F4C4B43DD6D}" type="parTrans" cxnId="{090C339A-CB4F-7F4D-B90C-55B3C68C1631}">
      <dgm:prSet/>
      <dgm:spPr/>
      <dgm:t>
        <a:bodyPr/>
        <a:lstStyle/>
        <a:p>
          <a:endParaRPr lang="en-GB"/>
        </a:p>
      </dgm:t>
    </dgm:pt>
    <dgm:pt modelId="{14F80317-7C2F-404C-869A-1F7E23E33B63}" type="sibTrans" cxnId="{090C339A-CB4F-7F4D-B90C-55B3C68C1631}">
      <dgm:prSet/>
      <dgm:spPr/>
      <dgm:t>
        <a:bodyPr/>
        <a:lstStyle/>
        <a:p>
          <a:endParaRPr lang="en-GB"/>
        </a:p>
      </dgm:t>
    </dgm:pt>
    <dgm:pt modelId="{1FAD6BE4-7A55-0745-9FB2-75CB014948B0}">
      <dgm:prSet/>
      <dgm:spPr/>
      <dgm:t>
        <a:bodyPr/>
        <a:lstStyle/>
        <a:p>
          <a:r>
            <a:rPr lang="en-GB" dirty="0"/>
            <a:t>Dose reduction of 0.1 µg/kg/min</a:t>
          </a:r>
        </a:p>
      </dgm:t>
    </dgm:pt>
    <dgm:pt modelId="{6CADB1A7-5F6D-8242-9269-4E867173B27F}" type="parTrans" cxnId="{89044766-C5EF-7844-9A1A-613EDEDCA0A2}">
      <dgm:prSet/>
      <dgm:spPr/>
      <dgm:t>
        <a:bodyPr/>
        <a:lstStyle/>
        <a:p>
          <a:endParaRPr lang="en-GB"/>
        </a:p>
      </dgm:t>
    </dgm:pt>
    <dgm:pt modelId="{2E29C9E1-F1A3-F348-833B-1A372047ACE0}" type="sibTrans" cxnId="{89044766-C5EF-7844-9A1A-613EDEDCA0A2}">
      <dgm:prSet/>
      <dgm:spPr/>
      <dgm:t>
        <a:bodyPr/>
        <a:lstStyle/>
        <a:p>
          <a:endParaRPr lang="en-GB"/>
        </a:p>
      </dgm:t>
    </dgm:pt>
    <dgm:pt modelId="{501EE726-2F54-1646-A61E-21690D889D7A}">
      <dgm:prSet phldrT="[Text]"/>
      <dgm:spPr/>
      <dgm:t>
        <a:bodyPr/>
        <a:lstStyle/>
        <a:p>
          <a:r>
            <a:rPr lang="en-GB" dirty="0"/>
            <a:t>MAP &lt; 65mmHg </a:t>
          </a:r>
          <a:r>
            <a:rPr lang="en-GB"/>
            <a:t>+ HR </a:t>
          </a:r>
          <a:r>
            <a:rPr lang="en-GB" dirty="0"/>
            <a:t>&gt; 110/min + &gt; 0.1 µg/kg/min Nor.</a:t>
          </a:r>
        </a:p>
      </dgm:t>
    </dgm:pt>
    <dgm:pt modelId="{F05ADA6C-926A-6A41-B3F1-56D5865CB83B}" type="sibTrans" cxnId="{DE368E41-3A45-EC4C-B3F4-33CE565B62C2}">
      <dgm:prSet/>
      <dgm:spPr/>
      <dgm:t>
        <a:bodyPr/>
        <a:lstStyle/>
        <a:p>
          <a:endParaRPr lang="en-GB"/>
        </a:p>
      </dgm:t>
    </dgm:pt>
    <dgm:pt modelId="{9A9B1939-CD8D-D74C-B806-E716CA426F52}" type="parTrans" cxnId="{DE368E41-3A45-EC4C-B3F4-33CE565B62C2}">
      <dgm:prSet/>
      <dgm:spPr/>
      <dgm:t>
        <a:bodyPr/>
        <a:lstStyle/>
        <a:p>
          <a:endParaRPr lang="en-GB"/>
        </a:p>
      </dgm:t>
    </dgm:pt>
    <dgm:pt modelId="{5D7C9250-F633-8749-BAE3-D964B7AB61EA}" type="pres">
      <dgm:prSet presAssocID="{4094277D-C8EE-5741-94C3-533BA8EC16E4}" presName="Name0" presStyleCnt="0">
        <dgm:presLayoutVars>
          <dgm:orgChart val="1"/>
          <dgm:chPref val="1"/>
          <dgm:dir/>
          <dgm:animOne val="branch"/>
          <dgm:animLvl val="lvl"/>
          <dgm:resizeHandles/>
        </dgm:presLayoutVars>
      </dgm:prSet>
      <dgm:spPr/>
    </dgm:pt>
    <dgm:pt modelId="{10A1CE6C-74C3-B042-8E9A-582C517D0577}" type="pres">
      <dgm:prSet presAssocID="{F12AC56A-AA34-C24B-AFE0-58DCCE1D9963}" presName="hierRoot1" presStyleCnt="0">
        <dgm:presLayoutVars>
          <dgm:hierBranch val="init"/>
        </dgm:presLayoutVars>
      </dgm:prSet>
      <dgm:spPr/>
    </dgm:pt>
    <dgm:pt modelId="{A44A2835-707A-6444-B0EE-1FDD2D1A0DD2}" type="pres">
      <dgm:prSet presAssocID="{F12AC56A-AA34-C24B-AFE0-58DCCE1D9963}" presName="rootComposite1" presStyleCnt="0"/>
      <dgm:spPr/>
    </dgm:pt>
    <dgm:pt modelId="{EDF1F7ED-FB03-A847-8853-D38386A66E1A}" type="pres">
      <dgm:prSet presAssocID="{F12AC56A-AA34-C24B-AFE0-58DCCE1D9963}" presName="rootText1" presStyleLbl="alignAcc1" presStyleIdx="0" presStyleCnt="0">
        <dgm:presLayoutVars>
          <dgm:chPref val="3"/>
        </dgm:presLayoutVars>
      </dgm:prSet>
      <dgm:spPr/>
    </dgm:pt>
    <dgm:pt modelId="{953E4CDC-95FF-984F-8704-BD315C48644A}" type="pres">
      <dgm:prSet presAssocID="{F12AC56A-AA34-C24B-AFE0-58DCCE1D9963}" presName="topArc1" presStyleLbl="parChTrans1D1" presStyleIdx="0" presStyleCnt="18"/>
      <dgm:spPr/>
    </dgm:pt>
    <dgm:pt modelId="{7E961C46-22B1-AA47-8783-285C3ED6C529}" type="pres">
      <dgm:prSet presAssocID="{F12AC56A-AA34-C24B-AFE0-58DCCE1D9963}" presName="bottomArc1" presStyleLbl="parChTrans1D1" presStyleIdx="1" presStyleCnt="18"/>
      <dgm:spPr/>
    </dgm:pt>
    <dgm:pt modelId="{514E20D2-1EDD-3747-B91C-DC6FCDF6B6F1}" type="pres">
      <dgm:prSet presAssocID="{F12AC56A-AA34-C24B-AFE0-58DCCE1D9963}" presName="topConnNode1" presStyleLbl="node1" presStyleIdx="0" presStyleCnt="0"/>
      <dgm:spPr/>
    </dgm:pt>
    <dgm:pt modelId="{69BAD618-C5C2-BF4E-AD87-40174721A2D5}" type="pres">
      <dgm:prSet presAssocID="{F12AC56A-AA34-C24B-AFE0-58DCCE1D9963}" presName="hierChild2" presStyleCnt="0"/>
      <dgm:spPr/>
    </dgm:pt>
    <dgm:pt modelId="{37B139B1-4688-0849-8C5B-A7434640A332}" type="pres">
      <dgm:prSet presAssocID="{2524EB63-C77B-9A41-AC8A-C774DEA55375}" presName="Name28" presStyleLbl="parChTrans1D2" presStyleIdx="0" presStyleCnt="4"/>
      <dgm:spPr/>
    </dgm:pt>
    <dgm:pt modelId="{335B06A6-CB06-5E44-90F3-E28C2BFA0F61}" type="pres">
      <dgm:prSet presAssocID="{28804D4B-4C01-6C42-9AC6-47B1621C1AEF}" presName="hierRoot2" presStyleCnt="0">
        <dgm:presLayoutVars>
          <dgm:hierBranch val="init"/>
        </dgm:presLayoutVars>
      </dgm:prSet>
      <dgm:spPr/>
    </dgm:pt>
    <dgm:pt modelId="{DB60615B-D58E-0E44-A405-757C766653E5}" type="pres">
      <dgm:prSet presAssocID="{28804D4B-4C01-6C42-9AC6-47B1621C1AEF}" presName="rootComposite2" presStyleCnt="0"/>
      <dgm:spPr/>
    </dgm:pt>
    <dgm:pt modelId="{EEECA2E3-8294-024C-A2AD-BBA537935680}" type="pres">
      <dgm:prSet presAssocID="{28804D4B-4C01-6C42-9AC6-47B1621C1AEF}" presName="rootText2" presStyleLbl="alignAcc1" presStyleIdx="0" presStyleCnt="0">
        <dgm:presLayoutVars>
          <dgm:chPref val="3"/>
        </dgm:presLayoutVars>
      </dgm:prSet>
      <dgm:spPr/>
    </dgm:pt>
    <dgm:pt modelId="{91C8F9FC-C4FD-6A4F-8994-B08ECA1458C7}" type="pres">
      <dgm:prSet presAssocID="{28804D4B-4C01-6C42-9AC6-47B1621C1AEF}" presName="topArc2" presStyleLbl="parChTrans1D1" presStyleIdx="2" presStyleCnt="18"/>
      <dgm:spPr/>
    </dgm:pt>
    <dgm:pt modelId="{542782BB-E058-4141-A8FF-2F89DF802C69}" type="pres">
      <dgm:prSet presAssocID="{28804D4B-4C01-6C42-9AC6-47B1621C1AEF}" presName="bottomArc2" presStyleLbl="parChTrans1D1" presStyleIdx="3" presStyleCnt="18"/>
      <dgm:spPr/>
    </dgm:pt>
    <dgm:pt modelId="{B19FB0D7-3536-EB48-AAB2-DFE9B876601D}" type="pres">
      <dgm:prSet presAssocID="{28804D4B-4C01-6C42-9AC6-47B1621C1AEF}" presName="topConnNode2" presStyleLbl="node2" presStyleIdx="0" presStyleCnt="0"/>
      <dgm:spPr/>
    </dgm:pt>
    <dgm:pt modelId="{AD5ABD5D-8748-AE4F-8051-C86CEAE593D2}" type="pres">
      <dgm:prSet presAssocID="{28804D4B-4C01-6C42-9AC6-47B1621C1AEF}" presName="hierChild4" presStyleCnt="0"/>
      <dgm:spPr/>
    </dgm:pt>
    <dgm:pt modelId="{045C4C0B-FBE1-9C4B-81DE-5E422741926F}" type="pres">
      <dgm:prSet presAssocID="{1D2A284F-C30E-7742-A659-6BE942ED6F0B}" presName="Name28" presStyleLbl="parChTrans1D3" presStyleIdx="0" presStyleCnt="4"/>
      <dgm:spPr/>
    </dgm:pt>
    <dgm:pt modelId="{03E57395-2550-A94F-91F5-197E8DDE8C3B}" type="pres">
      <dgm:prSet presAssocID="{4315A164-D5FC-0941-B722-CCC4C62AD735}" presName="hierRoot2" presStyleCnt="0">
        <dgm:presLayoutVars>
          <dgm:hierBranch val="init"/>
        </dgm:presLayoutVars>
      </dgm:prSet>
      <dgm:spPr/>
    </dgm:pt>
    <dgm:pt modelId="{6AD17EEA-67BC-F240-8B7F-72AA2BD865A9}" type="pres">
      <dgm:prSet presAssocID="{4315A164-D5FC-0941-B722-CCC4C62AD735}" presName="rootComposite2" presStyleCnt="0"/>
      <dgm:spPr/>
    </dgm:pt>
    <dgm:pt modelId="{E965A84D-54BF-2F48-951C-DDBD841E5C78}" type="pres">
      <dgm:prSet presAssocID="{4315A164-D5FC-0941-B722-CCC4C62AD735}" presName="rootText2" presStyleLbl="alignAcc1" presStyleIdx="0" presStyleCnt="0">
        <dgm:presLayoutVars>
          <dgm:chPref val="3"/>
        </dgm:presLayoutVars>
      </dgm:prSet>
      <dgm:spPr/>
    </dgm:pt>
    <dgm:pt modelId="{35880976-1074-0F45-BF13-273D7CD91988}" type="pres">
      <dgm:prSet presAssocID="{4315A164-D5FC-0941-B722-CCC4C62AD735}" presName="topArc2" presStyleLbl="parChTrans1D1" presStyleIdx="4" presStyleCnt="18"/>
      <dgm:spPr/>
    </dgm:pt>
    <dgm:pt modelId="{FD46139C-2873-A742-BC06-2BA655D0CCDF}" type="pres">
      <dgm:prSet presAssocID="{4315A164-D5FC-0941-B722-CCC4C62AD735}" presName="bottomArc2" presStyleLbl="parChTrans1D1" presStyleIdx="5" presStyleCnt="18"/>
      <dgm:spPr/>
    </dgm:pt>
    <dgm:pt modelId="{6601BD4F-3260-404B-9FC3-615164C42A84}" type="pres">
      <dgm:prSet presAssocID="{4315A164-D5FC-0941-B722-CCC4C62AD735}" presName="topConnNode2" presStyleLbl="node3" presStyleIdx="0" presStyleCnt="0"/>
      <dgm:spPr/>
    </dgm:pt>
    <dgm:pt modelId="{1876CA37-139C-3442-86E4-7E9E68C4726E}" type="pres">
      <dgm:prSet presAssocID="{4315A164-D5FC-0941-B722-CCC4C62AD735}" presName="hierChild4" presStyleCnt="0"/>
      <dgm:spPr/>
    </dgm:pt>
    <dgm:pt modelId="{331E34B4-DC85-8346-8D56-6209179098F3}" type="pres">
      <dgm:prSet presAssocID="{4315A164-D5FC-0941-B722-CCC4C62AD735}" presName="hierChild5" presStyleCnt="0"/>
      <dgm:spPr/>
    </dgm:pt>
    <dgm:pt modelId="{77C19F91-1D98-DF41-B844-E8565063B22D}" type="pres">
      <dgm:prSet presAssocID="{28804D4B-4C01-6C42-9AC6-47B1621C1AEF}" presName="hierChild5" presStyleCnt="0"/>
      <dgm:spPr/>
    </dgm:pt>
    <dgm:pt modelId="{F529775B-C752-8740-AA3A-939DF2E12E80}" type="pres">
      <dgm:prSet presAssocID="{D5888FFB-5C4D-5847-B851-EEC5B4DDBDB1}" presName="Name28" presStyleLbl="parChTrans1D2" presStyleIdx="1" presStyleCnt="4"/>
      <dgm:spPr/>
    </dgm:pt>
    <dgm:pt modelId="{18B7189C-507D-C440-9AB3-850E7DC7F23C}" type="pres">
      <dgm:prSet presAssocID="{F08F8CB6-EA92-4C41-BA52-F875EEE15CE4}" presName="hierRoot2" presStyleCnt="0">
        <dgm:presLayoutVars>
          <dgm:hierBranch val="init"/>
        </dgm:presLayoutVars>
      </dgm:prSet>
      <dgm:spPr/>
    </dgm:pt>
    <dgm:pt modelId="{9938CCEA-3C4C-6A48-ABF6-AFB3346A8541}" type="pres">
      <dgm:prSet presAssocID="{F08F8CB6-EA92-4C41-BA52-F875EEE15CE4}" presName="rootComposite2" presStyleCnt="0"/>
      <dgm:spPr/>
    </dgm:pt>
    <dgm:pt modelId="{7EC76B6B-0B80-AF4F-BFDA-4E36EF489277}" type="pres">
      <dgm:prSet presAssocID="{F08F8CB6-EA92-4C41-BA52-F875EEE15CE4}" presName="rootText2" presStyleLbl="alignAcc1" presStyleIdx="0" presStyleCnt="0">
        <dgm:presLayoutVars>
          <dgm:chPref val="3"/>
        </dgm:presLayoutVars>
      </dgm:prSet>
      <dgm:spPr/>
    </dgm:pt>
    <dgm:pt modelId="{7599A2D3-1956-1345-A583-7767CAFC9905}" type="pres">
      <dgm:prSet presAssocID="{F08F8CB6-EA92-4C41-BA52-F875EEE15CE4}" presName="topArc2" presStyleLbl="parChTrans1D1" presStyleIdx="6" presStyleCnt="18"/>
      <dgm:spPr/>
    </dgm:pt>
    <dgm:pt modelId="{C6AE1ECB-E58F-CC4D-8A06-357A3F133869}" type="pres">
      <dgm:prSet presAssocID="{F08F8CB6-EA92-4C41-BA52-F875EEE15CE4}" presName="bottomArc2" presStyleLbl="parChTrans1D1" presStyleIdx="7" presStyleCnt="18"/>
      <dgm:spPr/>
    </dgm:pt>
    <dgm:pt modelId="{58069DFF-61A7-2841-88F6-EE1D34D32406}" type="pres">
      <dgm:prSet presAssocID="{F08F8CB6-EA92-4C41-BA52-F875EEE15CE4}" presName="topConnNode2" presStyleLbl="node2" presStyleIdx="0" presStyleCnt="0"/>
      <dgm:spPr/>
    </dgm:pt>
    <dgm:pt modelId="{85D5F66C-0653-9640-BE93-376EB1C5829C}" type="pres">
      <dgm:prSet presAssocID="{F08F8CB6-EA92-4C41-BA52-F875EEE15CE4}" presName="hierChild4" presStyleCnt="0"/>
      <dgm:spPr/>
    </dgm:pt>
    <dgm:pt modelId="{5740410F-1C72-A445-A783-E261186F1C8C}" type="pres">
      <dgm:prSet presAssocID="{D519369F-9A9A-8647-84DC-9ABF25FA0DFF}" presName="Name28" presStyleLbl="parChTrans1D3" presStyleIdx="1" presStyleCnt="4"/>
      <dgm:spPr/>
    </dgm:pt>
    <dgm:pt modelId="{CE88C6FE-E5EF-3B41-837C-9E02F9078024}" type="pres">
      <dgm:prSet presAssocID="{5B742624-29A2-7248-ABAE-83B8C062F0D7}" presName="hierRoot2" presStyleCnt="0">
        <dgm:presLayoutVars>
          <dgm:hierBranch val="init"/>
        </dgm:presLayoutVars>
      </dgm:prSet>
      <dgm:spPr/>
    </dgm:pt>
    <dgm:pt modelId="{887471D3-88E6-EC43-8784-72AAFC951C48}" type="pres">
      <dgm:prSet presAssocID="{5B742624-29A2-7248-ABAE-83B8C062F0D7}" presName="rootComposite2" presStyleCnt="0"/>
      <dgm:spPr/>
    </dgm:pt>
    <dgm:pt modelId="{88C14F6B-E04D-0F41-A355-BD1FBBD5F214}" type="pres">
      <dgm:prSet presAssocID="{5B742624-29A2-7248-ABAE-83B8C062F0D7}" presName="rootText2" presStyleLbl="alignAcc1" presStyleIdx="0" presStyleCnt="0">
        <dgm:presLayoutVars>
          <dgm:chPref val="3"/>
        </dgm:presLayoutVars>
      </dgm:prSet>
      <dgm:spPr/>
    </dgm:pt>
    <dgm:pt modelId="{AD9C6AC7-2B01-2744-91AA-97B1AC68E3DB}" type="pres">
      <dgm:prSet presAssocID="{5B742624-29A2-7248-ABAE-83B8C062F0D7}" presName="topArc2" presStyleLbl="parChTrans1D1" presStyleIdx="8" presStyleCnt="18"/>
      <dgm:spPr/>
    </dgm:pt>
    <dgm:pt modelId="{DE06BEFE-9D84-1F48-8F2B-2243FD284E8B}" type="pres">
      <dgm:prSet presAssocID="{5B742624-29A2-7248-ABAE-83B8C062F0D7}" presName="bottomArc2" presStyleLbl="parChTrans1D1" presStyleIdx="9" presStyleCnt="18"/>
      <dgm:spPr/>
    </dgm:pt>
    <dgm:pt modelId="{10B1A337-FB84-084F-A991-FE8F681EBB80}" type="pres">
      <dgm:prSet presAssocID="{5B742624-29A2-7248-ABAE-83B8C062F0D7}" presName="topConnNode2" presStyleLbl="node3" presStyleIdx="0" presStyleCnt="0"/>
      <dgm:spPr/>
    </dgm:pt>
    <dgm:pt modelId="{C9D378C1-8064-0247-8F15-B8F87FAF5F5C}" type="pres">
      <dgm:prSet presAssocID="{5B742624-29A2-7248-ABAE-83B8C062F0D7}" presName="hierChild4" presStyleCnt="0"/>
      <dgm:spPr/>
    </dgm:pt>
    <dgm:pt modelId="{0CC62FAA-2144-2B47-8A9B-BA296504A93B}" type="pres">
      <dgm:prSet presAssocID="{5B742624-29A2-7248-ABAE-83B8C062F0D7}" presName="hierChild5" presStyleCnt="0"/>
      <dgm:spPr/>
    </dgm:pt>
    <dgm:pt modelId="{7226F36C-C656-6F43-A29F-F2343A29A48E}" type="pres">
      <dgm:prSet presAssocID="{F08F8CB6-EA92-4C41-BA52-F875EEE15CE4}" presName="hierChild5" presStyleCnt="0"/>
      <dgm:spPr/>
    </dgm:pt>
    <dgm:pt modelId="{40A65D8D-8E95-7E4F-BC30-AA99ECC2A919}" type="pres">
      <dgm:prSet presAssocID="{18D4FF6E-EBB8-AA4D-98BF-DAAD886F21A6}" presName="Name28" presStyleLbl="parChTrans1D2" presStyleIdx="2" presStyleCnt="4"/>
      <dgm:spPr/>
    </dgm:pt>
    <dgm:pt modelId="{783CD130-007D-EB42-949E-76F701E8B790}" type="pres">
      <dgm:prSet presAssocID="{17C57CD2-20EE-3143-A932-6252C6B9E20C}" presName="hierRoot2" presStyleCnt="0">
        <dgm:presLayoutVars>
          <dgm:hierBranch val="init"/>
        </dgm:presLayoutVars>
      </dgm:prSet>
      <dgm:spPr/>
    </dgm:pt>
    <dgm:pt modelId="{C35F39C4-0CB5-5047-9985-70BAD0A4106F}" type="pres">
      <dgm:prSet presAssocID="{17C57CD2-20EE-3143-A932-6252C6B9E20C}" presName="rootComposite2" presStyleCnt="0"/>
      <dgm:spPr/>
    </dgm:pt>
    <dgm:pt modelId="{F853B813-A054-6844-8A68-5E3295965872}" type="pres">
      <dgm:prSet presAssocID="{17C57CD2-20EE-3143-A932-6252C6B9E20C}" presName="rootText2" presStyleLbl="alignAcc1" presStyleIdx="0" presStyleCnt="0">
        <dgm:presLayoutVars>
          <dgm:chPref val="3"/>
        </dgm:presLayoutVars>
      </dgm:prSet>
      <dgm:spPr/>
    </dgm:pt>
    <dgm:pt modelId="{477EF5A1-2DCB-CA4B-A49D-4CC46617DFB8}" type="pres">
      <dgm:prSet presAssocID="{17C57CD2-20EE-3143-A932-6252C6B9E20C}" presName="topArc2" presStyleLbl="parChTrans1D1" presStyleIdx="10" presStyleCnt="18"/>
      <dgm:spPr/>
    </dgm:pt>
    <dgm:pt modelId="{E6AB68D4-B995-6240-ABFE-9FE3F992C4EC}" type="pres">
      <dgm:prSet presAssocID="{17C57CD2-20EE-3143-A932-6252C6B9E20C}" presName="bottomArc2" presStyleLbl="parChTrans1D1" presStyleIdx="11" presStyleCnt="18"/>
      <dgm:spPr/>
    </dgm:pt>
    <dgm:pt modelId="{737F8381-A42E-394F-BF2B-C5BA8FF69AB7}" type="pres">
      <dgm:prSet presAssocID="{17C57CD2-20EE-3143-A932-6252C6B9E20C}" presName="topConnNode2" presStyleLbl="node2" presStyleIdx="0" presStyleCnt="0"/>
      <dgm:spPr/>
    </dgm:pt>
    <dgm:pt modelId="{4A210511-05BF-EC47-B46A-5D9333BA8C35}" type="pres">
      <dgm:prSet presAssocID="{17C57CD2-20EE-3143-A932-6252C6B9E20C}" presName="hierChild4" presStyleCnt="0"/>
      <dgm:spPr/>
    </dgm:pt>
    <dgm:pt modelId="{2308284D-E874-1740-8D6B-8F16B19F5427}" type="pres">
      <dgm:prSet presAssocID="{16673F12-EB4E-C04B-9BFF-9F4C4B43DD6D}" presName="Name28" presStyleLbl="parChTrans1D3" presStyleIdx="2" presStyleCnt="4"/>
      <dgm:spPr/>
    </dgm:pt>
    <dgm:pt modelId="{C605C1F7-5D89-624F-A295-14966C74F2A4}" type="pres">
      <dgm:prSet presAssocID="{933AEF04-2F28-464F-9577-666F59D2D82C}" presName="hierRoot2" presStyleCnt="0">
        <dgm:presLayoutVars>
          <dgm:hierBranch val="init"/>
        </dgm:presLayoutVars>
      </dgm:prSet>
      <dgm:spPr/>
    </dgm:pt>
    <dgm:pt modelId="{9000A49C-0C57-4948-99D6-F020C8B4B41E}" type="pres">
      <dgm:prSet presAssocID="{933AEF04-2F28-464F-9577-666F59D2D82C}" presName="rootComposite2" presStyleCnt="0"/>
      <dgm:spPr/>
    </dgm:pt>
    <dgm:pt modelId="{6AB45164-2D9F-D442-9B0A-0F9AD34D9826}" type="pres">
      <dgm:prSet presAssocID="{933AEF04-2F28-464F-9577-666F59D2D82C}" presName="rootText2" presStyleLbl="alignAcc1" presStyleIdx="0" presStyleCnt="0">
        <dgm:presLayoutVars>
          <dgm:chPref val="3"/>
        </dgm:presLayoutVars>
      </dgm:prSet>
      <dgm:spPr/>
    </dgm:pt>
    <dgm:pt modelId="{845AD9DA-EDE3-934D-8A67-95524D9300C5}" type="pres">
      <dgm:prSet presAssocID="{933AEF04-2F28-464F-9577-666F59D2D82C}" presName="topArc2" presStyleLbl="parChTrans1D1" presStyleIdx="12" presStyleCnt="18"/>
      <dgm:spPr/>
    </dgm:pt>
    <dgm:pt modelId="{F22FB039-A718-C941-991B-B4C0AD1B3348}" type="pres">
      <dgm:prSet presAssocID="{933AEF04-2F28-464F-9577-666F59D2D82C}" presName="bottomArc2" presStyleLbl="parChTrans1D1" presStyleIdx="13" presStyleCnt="18"/>
      <dgm:spPr/>
    </dgm:pt>
    <dgm:pt modelId="{B60607D5-CBDC-CE47-B676-78A3CDF8BE9A}" type="pres">
      <dgm:prSet presAssocID="{933AEF04-2F28-464F-9577-666F59D2D82C}" presName="topConnNode2" presStyleLbl="node3" presStyleIdx="0" presStyleCnt="0"/>
      <dgm:spPr/>
    </dgm:pt>
    <dgm:pt modelId="{865935B0-C750-5B46-AE8D-C57C2AAFA834}" type="pres">
      <dgm:prSet presAssocID="{933AEF04-2F28-464F-9577-666F59D2D82C}" presName="hierChild4" presStyleCnt="0"/>
      <dgm:spPr/>
    </dgm:pt>
    <dgm:pt modelId="{458A3B31-1E64-B647-9156-EECB65E7C0BF}" type="pres">
      <dgm:prSet presAssocID="{933AEF04-2F28-464F-9577-666F59D2D82C}" presName="hierChild5" presStyleCnt="0"/>
      <dgm:spPr/>
    </dgm:pt>
    <dgm:pt modelId="{B392E22C-ECED-F241-B47B-E92DE27196BE}" type="pres">
      <dgm:prSet presAssocID="{17C57CD2-20EE-3143-A932-6252C6B9E20C}" presName="hierChild5" presStyleCnt="0"/>
      <dgm:spPr/>
    </dgm:pt>
    <dgm:pt modelId="{83027A95-B932-FC41-A36A-B387E541FC94}" type="pres">
      <dgm:prSet presAssocID="{9A9B1939-CD8D-D74C-B806-E716CA426F52}" presName="Name28" presStyleLbl="parChTrans1D2" presStyleIdx="3" presStyleCnt="4"/>
      <dgm:spPr/>
    </dgm:pt>
    <dgm:pt modelId="{C2298EA0-3AD3-D044-AA0C-E998D7DAF099}" type="pres">
      <dgm:prSet presAssocID="{501EE726-2F54-1646-A61E-21690D889D7A}" presName="hierRoot2" presStyleCnt="0">
        <dgm:presLayoutVars>
          <dgm:hierBranch val="init"/>
        </dgm:presLayoutVars>
      </dgm:prSet>
      <dgm:spPr/>
    </dgm:pt>
    <dgm:pt modelId="{85434C45-9CB4-8049-9499-A65E75008EDC}" type="pres">
      <dgm:prSet presAssocID="{501EE726-2F54-1646-A61E-21690D889D7A}" presName="rootComposite2" presStyleCnt="0"/>
      <dgm:spPr/>
    </dgm:pt>
    <dgm:pt modelId="{AD2B9FCA-191F-4D40-8070-18EFB5FEF750}" type="pres">
      <dgm:prSet presAssocID="{501EE726-2F54-1646-A61E-21690D889D7A}" presName="rootText2" presStyleLbl="alignAcc1" presStyleIdx="0" presStyleCnt="0">
        <dgm:presLayoutVars>
          <dgm:chPref val="3"/>
        </dgm:presLayoutVars>
      </dgm:prSet>
      <dgm:spPr/>
    </dgm:pt>
    <dgm:pt modelId="{42050EC8-D68B-D84D-8274-B41388279770}" type="pres">
      <dgm:prSet presAssocID="{501EE726-2F54-1646-A61E-21690D889D7A}" presName="topArc2" presStyleLbl="parChTrans1D1" presStyleIdx="14" presStyleCnt="18"/>
      <dgm:spPr/>
    </dgm:pt>
    <dgm:pt modelId="{373DEAE5-17A7-C34E-A272-F04205930AA2}" type="pres">
      <dgm:prSet presAssocID="{501EE726-2F54-1646-A61E-21690D889D7A}" presName="bottomArc2" presStyleLbl="parChTrans1D1" presStyleIdx="15" presStyleCnt="18"/>
      <dgm:spPr/>
    </dgm:pt>
    <dgm:pt modelId="{37209C3C-764A-674B-9D44-012737AFC62B}" type="pres">
      <dgm:prSet presAssocID="{501EE726-2F54-1646-A61E-21690D889D7A}" presName="topConnNode2" presStyleLbl="node2" presStyleIdx="0" presStyleCnt="0"/>
      <dgm:spPr/>
    </dgm:pt>
    <dgm:pt modelId="{B4AF466F-A9F1-A549-B1AD-1B8DCDF1C2B1}" type="pres">
      <dgm:prSet presAssocID="{501EE726-2F54-1646-A61E-21690D889D7A}" presName="hierChild4" presStyleCnt="0"/>
      <dgm:spPr/>
    </dgm:pt>
    <dgm:pt modelId="{265A3401-5ADE-2C46-B534-DCFA1D428FD9}" type="pres">
      <dgm:prSet presAssocID="{6CADB1A7-5F6D-8242-9269-4E867173B27F}" presName="Name28" presStyleLbl="parChTrans1D3" presStyleIdx="3" presStyleCnt="4"/>
      <dgm:spPr/>
    </dgm:pt>
    <dgm:pt modelId="{377D5E5D-C817-714F-9E5F-B49EB83110F0}" type="pres">
      <dgm:prSet presAssocID="{1FAD6BE4-7A55-0745-9FB2-75CB014948B0}" presName="hierRoot2" presStyleCnt="0">
        <dgm:presLayoutVars>
          <dgm:hierBranch val="init"/>
        </dgm:presLayoutVars>
      </dgm:prSet>
      <dgm:spPr/>
    </dgm:pt>
    <dgm:pt modelId="{BF043F8B-9B99-964A-838E-D53722C65EA1}" type="pres">
      <dgm:prSet presAssocID="{1FAD6BE4-7A55-0745-9FB2-75CB014948B0}" presName="rootComposite2" presStyleCnt="0"/>
      <dgm:spPr/>
    </dgm:pt>
    <dgm:pt modelId="{65187A8F-FB73-7C45-83BE-C4C155CEE1B8}" type="pres">
      <dgm:prSet presAssocID="{1FAD6BE4-7A55-0745-9FB2-75CB014948B0}" presName="rootText2" presStyleLbl="alignAcc1" presStyleIdx="0" presStyleCnt="0">
        <dgm:presLayoutVars>
          <dgm:chPref val="3"/>
        </dgm:presLayoutVars>
      </dgm:prSet>
      <dgm:spPr/>
    </dgm:pt>
    <dgm:pt modelId="{450A350F-8AC5-9D4A-AFE9-34F70F11BEF6}" type="pres">
      <dgm:prSet presAssocID="{1FAD6BE4-7A55-0745-9FB2-75CB014948B0}" presName="topArc2" presStyleLbl="parChTrans1D1" presStyleIdx="16" presStyleCnt="18"/>
      <dgm:spPr/>
    </dgm:pt>
    <dgm:pt modelId="{2E7B8E28-9CF3-EE4C-A3FB-9C098F2780FF}" type="pres">
      <dgm:prSet presAssocID="{1FAD6BE4-7A55-0745-9FB2-75CB014948B0}" presName="bottomArc2" presStyleLbl="parChTrans1D1" presStyleIdx="17" presStyleCnt="18"/>
      <dgm:spPr/>
    </dgm:pt>
    <dgm:pt modelId="{9CB8EFD8-A0AD-5F47-8967-3C33284038AD}" type="pres">
      <dgm:prSet presAssocID="{1FAD6BE4-7A55-0745-9FB2-75CB014948B0}" presName="topConnNode2" presStyleLbl="node3" presStyleIdx="0" presStyleCnt="0"/>
      <dgm:spPr/>
    </dgm:pt>
    <dgm:pt modelId="{B1537D69-5562-0646-8418-92454A9C7A6E}" type="pres">
      <dgm:prSet presAssocID="{1FAD6BE4-7A55-0745-9FB2-75CB014948B0}" presName="hierChild4" presStyleCnt="0"/>
      <dgm:spPr/>
    </dgm:pt>
    <dgm:pt modelId="{70EE1FA9-DE0A-1F4B-A52B-1B2DEAE5AE4B}" type="pres">
      <dgm:prSet presAssocID="{1FAD6BE4-7A55-0745-9FB2-75CB014948B0}" presName="hierChild5" presStyleCnt="0"/>
      <dgm:spPr/>
    </dgm:pt>
    <dgm:pt modelId="{32BA9DD2-BE45-4747-A54A-022A4336623E}" type="pres">
      <dgm:prSet presAssocID="{501EE726-2F54-1646-A61E-21690D889D7A}" presName="hierChild5" presStyleCnt="0"/>
      <dgm:spPr/>
    </dgm:pt>
    <dgm:pt modelId="{BA3A7A6B-F527-E643-897A-7215E63315DE}" type="pres">
      <dgm:prSet presAssocID="{F12AC56A-AA34-C24B-AFE0-58DCCE1D9963}" presName="hierChild3" presStyleCnt="0"/>
      <dgm:spPr/>
    </dgm:pt>
  </dgm:ptLst>
  <dgm:cxnLst>
    <dgm:cxn modelId="{C89CAB04-9B99-D949-AD12-422285957FDD}" srcId="{28804D4B-4C01-6C42-9AC6-47B1621C1AEF}" destId="{4315A164-D5FC-0941-B722-CCC4C62AD735}" srcOrd="0" destOrd="0" parTransId="{1D2A284F-C30E-7742-A659-6BE942ED6F0B}" sibTransId="{0BC6F2C2-420A-7549-93D5-37EA129F1221}"/>
    <dgm:cxn modelId="{F8C63A11-1D47-0E41-9494-42BBBBE59F3A}" type="presOf" srcId="{4315A164-D5FC-0941-B722-CCC4C62AD735}" destId="{6601BD4F-3260-404B-9FC3-615164C42A84}" srcOrd="1" destOrd="0" presId="urn:microsoft.com/office/officeart/2008/layout/HalfCircleOrganizationChart"/>
    <dgm:cxn modelId="{F69E3118-7DF8-0542-B0E7-CC7E5D25142D}" type="presOf" srcId="{501EE726-2F54-1646-A61E-21690D889D7A}" destId="{AD2B9FCA-191F-4D40-8070-18EFB5FEF750}" srcOrd="0" destOrd="0" presId="urn:microsoft.com/office/officeart/2008/layout/HalfCircleOrganizationChart"/>
    <dgm:cxn modelId="{2C546E25-C5B2-F449-B728-C9BF9E900162}" type="presOf" srcId="{F12AC56A-AA34-C24B-AFE0-58DCCE1D9963}" destId="{514E20D2-1EDD-3747-B91C-DC6FCDF6B6F1}" srcOrd="1" destOrd="0" presId="urn:microsoft.com/office/officeart/2008/layout/HalfCircleOrganizationChart"/>
    <dgm:cxn modelId="{A9A4642B-C2C1-504A-91BE-B1FBB3C3B582}" type="presOf" srcId="{1FAD6BE4-7A55-0745-9FB2-75CB014948B0}" destId="{65187A8F-FB73-7C45-83BE-C4C155CEE1B8}" srcOrd="0" destOrd="0" presId="urn:microsoft.com/office/officeart/2008/layout/HalfCircleOrganizationChart"/>
    <dgm:cxn modelId="{D1B21636-2C23-354E-A32B-44D81A8FE304}" type="presOf" srcId="{F12AC56A-AA34-C24B-AFE0-58DCCE1D9963}" destId="{EDF1F7ED-FB03-A847-8853-D38386A66E1A}" srcOrd="0" destOrd="0" presId="urn:microsoft.com/office/officeart/2008/layout/HalfCircleOrganizationChart"/>
    <dgm:cxn modelId="{666A5036-0B91-694B-80F0-726640F341B1}" type="presOf" srcId="{28804D4B-4C01-6C42-9AC6-47B1621C1AEF}" destId="{EEECA2E3-8294-024C-A2AD-BBA537935680}" srcOrd="0" destOrd="0" presId="urn:microsoft.com/office/officeart/2008/layout/HalfCircleOrganizationChart"/>
    <dgm:cxn modelId="{D9BE6936-A4BF-3549-92B0-4A165D15D12A}" type="presOf" srcId="{1FAD6BE4-7A55-0745-9FB2-75CB014948B0}" destId="{9CB8EFD8-A0AD-5F47-8967-3C33284038AD}" srcOrd="1" destOrd="0" presId="urn:microsoft.com/office/officeart/2008/layout/HalfCircleOrganizationChart"/>
    <dgm:cxn modelId="{E6111F3C-3C66-9848-A603-1F7C00C1A217}" type="presOf" srcId="{5B742624-29A2-7248-ABAE-83B8C062F0D7}" destId="{10B1A337-FB84-084F-A991-FE8F681EBB80}" srcOrd="1" destOrd="0" presId="urn:microsoft.com/office/officeart/2008/layout/HalfCircleOrganizationChart"/>
    <dgm:cxn modelId="{DE368E41-3A45-EC4C-B3F4-33CE565B62C2}" srcId="{F12AC56A-AA34-C24B-AFE0-58DCCE1D9963}" destId="{501EE726-2F54-1646-A61E-21690D889D7A}" srcOrd="3" destOrd="0" parTransId="{9A9B1939-CD8D-D74C-B806-E716CA426F52}" sibTransId="{F05ADA6C-926A-6A41-B3F1-56D5865CB83B}"/>
    <dgm:cxn modelId="{B5F89644-8C5F-0B43-938C-69BB52B54744}" type="presOf" srcId="{933AEF04-2F28-464F-9577-666F59D2D82C}" destId="{6AB45164-2D9F-D442-9B0A-0F9AD34D9826}" srcOrd="0" destOrd="0" presId="urn:microsoft.com/office/officeart/2008/layout/HalfCircleOrganizationChart"/>
    <dgm:cxn modelId="{EA5F344D-8444-6D48-A298-724CAD4B338D}" type="presOf" srcId="{5B742624-29A2-7248-ABAE-83B8C062F0D7}" destId="{88C14F6B-E04D-0F41-A355-BD1FBBD5F214}" srcOrd="0" destOrd="0" presId="urn:microsoft.com/office/officeart/2008/layout/HalfCircleOrganizationChart"/>
    <dgm:cxn modelId="{975F8056-7DCB-6F45-A68E-21D0DE3672A7}" srcId="{F12AC56A-AA34-C24B-AFE0-58DCCE1D9963}" destId="{28804D4B-4C01-6C42-9AC6-47B1621C1AEF}" srcOrd="0" destOrd="0" parTransId="{2524EB63-C77B-9A41-AC8A-C774DEA55375}" sibTransId="{61B0ACDE-0243-9545-9BDE-586738986992}"/>
    <dgm:cxn modelId="{7D94BD56-83C2-1349-A38D-22CAF243C79B}" srcId="{F12AC56A-AA34-C24B-AFE0-58DCCE1D9963}" destId="{F08F8CB6-EA92-4C41-BA52-F875EEE15CE4}" srcOrd="1" destOrd="0" parTransId="{D5888FFB-5C4D-5847-B851-EEC5B4DDBDB1}" sibTransId="{A8474F50-5C45-3540-A452-45502E93B138}"/>
    <dgm:cxn modelId="{25075A65-0018-B648-B96F-4281DB09AF81}" type="presOf" srcId="{4094277D-C8EE-5741-94C3-533BA8EC16E4}" destId="{5D7C9250-F633-8749-BAE3-D964B7AB61EA}" srcOrd="0" destOrd="0" presId="urn:microsoft.com/office/officeart/2008/layout/HalfCircleOrganizationChart"/>
    <dgm:cxn modelId="{89044766-C5EF-7844-9A1A-613EDEDCA0A2}" srcId="{501EE726-2F54-1646-A61E-21690D889D7A}" destId="{1FAD6BE4-7A55-0745-9FB2-75CB014948B0}" srcOrd="0" destOrd="0" parTransId="{6CADB1A7-5F6D-8242-9269-4E867173B27F}" sibTransId="{2E29C9E1-F1A3-F348-833B-1A372047ACE0}"/>
    <dgm:cxn modelId="{34F4EF6D-8F22-1A4B-AE72-D093D10067DB}" type="presOf" srcId="{D5888FFB-5C4D-5847-B851-EEC5B4DDBDB1}" destId="{F529775B-C752-8740-AA3A-939DF2E12E80}" srcOrd="0" destOrd="0" presId="urn:microsoft.com/office/officeart/2008/layout/HalfCircleOrganizationChart"/>
    <dgm:cxn modelId="{51FA4B7B-9432-2644-963C-753BAB862D97}" type="presOf" srcId="{1D2A284F-C30E-7742-A659-6BE942ED6F0B}" destId="{045C4C0B-FBE1-9C4B-81DE-5E422741926F}" srcOrd="0" destOrd="0" presId="urn:microsoft.com/office/officeart/2008/layout/HalfCircleOrganizationChart"/>
    <dgm:cxn modelId="{47A5CE80-9F52-CB4C-B4A0-5DFF108A08C1}" srcId="{F08F8CB6-EA92-4C41-BA52-F875EEE15CE4}" destId="{5B742624-29A2-7248-ABAE-83B8C062F0D7}" srcOrd="0" destOrd="0" parTransId="{D519369F-9A9A-8647-84DC-9ABF25FA0DFF}" sibTransId="{A68D7E48-9596-464E-B36F-C8F35B035565}"/>
    <dgm:cxn modelId="{1A671284-A71F-7D4B-81FA-F467EF05C7B7}" type="presOf" srcId="{18D4FF6E-EBB8-AA4D-98BF-DAAD886F21A6}" destId="{40A65D8D-8E95-7E4F-BC30-AA99ECC2A919}" srcOrd="0" destOrd="0" presId="urn:microsoft.com/office/officeart/2008/layout/HalfCircleOrganizationChart"/>
    <dgm:cxn modelId="{165E1B8A-271F-E540-BC10-A7C08BC3CB46}" type="presOf" srcId="{28804D4B-4C01-6C42-9AC6-47B1621C1AEF}" destId="{B19FB0D7-3536-EB48-AAB2-DFE9B876601D}" srcOrd="1" destOrd="0" presId="urn:microsoft.com/office/officeart/2008/layout/HalfCircleOrganizationChart"/>
    <dgm:cxn modelId="{F406748B-36CE-5A46-9BE9-7B2AB42E6581}" type="presOf" srcId="{501EE726-2F54-1646-A61E-21690D889D7A}" destId="{37209C3C-764A-674B-9D44-012737AFC62B}" srcOrd="1" destOrd="0" presId="urn:microsoft.com/office/officeart/2008/layout/HalfCircleOrganizationChart"/>
    <dgm:cxn modelId="{0F697E93-948A-384D-A17A-AE73783E00C9}" type="presOf" srcId="{2524EB63-C77B-9A41-AC8A-C774DEA55375}" destId="{37B139B1-4688-0849-8C5B-A7434640A332}" srcOrd="0" destOrd="0" presId="urn:microsoft.com/office/officeart/2008/layout/HalfCircleOrganizationChart"/>
    <dgm:cxn modelId="{090C339A-CB4F-7F4D-B90C-55B3C68C1631}" srcId="{17C57CD2-20EE-3143-A932-6252C6B9E20C}" destId="{933AEF04-2F28-464F-9577-666F59D2D82C}" srcOrd="0" destOrd="0" parTransId="{16673F12-EB4E-C04B-9BFF-9F4C4B43DD6D}" sibTransId="{14F80317-7C2F-404C-869A-1F7E23E33B63}"/>
    <dgm:cxn modelId="{35E3DC9A-CBE3-6B4A-A709-B0744FA1CDD6}" srcId="{F12AC56A-AA34-C24B-AFE0-58DCCE1D9963}" destId="{17C57CD2-20EE-3143-A932-6252C6B9E20C}" srcOrd="2" destOrd="0" parTransId="{18D4FF6E-EBB8-AA4D-98BF-DAAD886F21A6}" sibTransId="{C3D355B0-16A7-DF4B-ACD9-8FFEFE53A3FA}"/>
    <dgm:cxn modelId="{D326C19D-A68D-4940-8A50-693B554476D4}" type="presOf" srcId="{17C57CD2-20EE-3143-A932-6252C6B9E20C}" destId="{737F8381-A42E-394F-BF2B-C5BA8FF69AB7}" srcOrd="1" destOrd="0" presId="urn:microsoft.com/office/officeart/2008/layout/HalfCircleOrganizationChart"/>
    <dgm:cxn modelId="{F23BF49D-9601-6749-9FE8-CE057960DACC}" type="presOf" srcId="{4315A164-D5FC-0941-B722-CCC4C62AD735}" destId="{E965A84D-54BF-2F48-951C-DDBD841E5C78}" srcOrd="0" destOrd="0" presId="urn:microsoft.com/office/officeart/2008/layout/HalfCircleOrganizationChart"/>
    <dgm:cxn modelId="{62D6D4A0-960A-4542-A583-EFF0DB40DD71}" type="presOf" srcId="{6CADB1A7-5F6D-8242-9269-4E867173B27F}" destId="{265A3401-5ADE-2C46-B534-DCFA1D428FD9}" srcOrd="0" destOrd="0" presId="urn:microsoft.com/office/officeart/2008/layout/HalfCircleOrganizationChart"/>
    <dgm:cxn modelId="{871839C8-7638-B148-B424-59D74559F318}" type="presOf" srcId="{17C57CD2-20EE-3143-A932-6252C6B9E20C}" destId="{F853B813-A054-6844-8A68-5E3295965872}" srcOrd="0" destOrd="0" presId="urn:microsoft.com/office/officeart/2008/layout/HalfCircleOrganizationChart"/>
    <dgm:cxn modelId="{87D50FCC-AFEF-3E49-A78D-F7E944845933}" type="presOf" srcId="{9A9B1939-CD8D-D74C-B806-E716CA426F52}" destId="{83027A95-B932-FC41-A36A-B387E541FC94}" srcOrd="0" destOrd="0" presId="urn:microsoft.com/office/officeart/2008/layout/HalfCircleOrganizationChart"/>
    <dgm:cxn modelId="{AF6D8ED8-5577-E04D-A993-3BF3DEF35AB8}" type="presOf" srcId="{16673F12-EB4E-C04B-9BFF-9F4C4B43DD6D}" destId="{2308284D-E874-1740-8D6B-8F16B19F5427}" srcOrd="0" destOrd="0" presId="urn:microsoft.com/office/officeart/2008/layout/HalfCircleOrganizationChart"/>
    <dgm:cxn modelId="{D8EBE5DF-13DC-1345-9BF8-2C4EFEFD5F1D}" type="presOf" srcId="{933AEF04-2F28-464F-9577-666F59D2D82C}" destId="{B60607D5-CBDC-CE47-B676-78A3CDF8BE9A}" srcOrd="1" destOrd="0" presId="urn:microsoft.com/office/officeart/2008/layout/HalfCircleOrganizationChart"/>
    <dgm:cxn modelId="{92D26AE9-E5E5-F541-BE01-00777D61AB5A}" type="presOf" srcId="{F08F8CB6-EA92-4C41-BA52-F875EEE15CE4}" destId="{58069DFF-61A7-2841-88F6-EE1D34D32406}" srcOrd="1" destOrd="0" presId="urn:microsoft.com/office/officeart/2008/layout/HalfCircleOrganizationChart"/>
    <dgm:cxn modelId="{307C9FF6-C78E-E04E-92EC-F3DF0C2B5426}" type="presOf" srcId="{F08F8CB6-EA92-4C41-BA52-F875EEE15CE4}" destId="{7EC76B6B-0B80-AF4F-BFDA-4E36EF489277}" srcOrd="0" destOrd="0" presId="urn:microsoft.com/office/officeart/2008/layout/HalfCircleOrganizationChart"/>
    <dgm:cxn modelId="{8F5313FB-D3D6-D64B-9E0B-0B6DEB376AFC}" srcId="{4094277D-C8EE-5741-94C3-533BA8EC16E4}" destId="{F12AC56A-AA34-C24B-AFE0-58DCCE1D9963}" srcOrd="0" destOrd="0" parTransId="{33194A2E-CB23-FF47-A8F1-A138AA9A7A35}" sibTransId="{DFE96562-6893-1D4F-A24C-AB2AEE512C06}"/>
    <dgm:cxn modelId="{8150F5FC-39AB-0543-972E-D54DB5670D3E}" type="presOf" srcId="{D519369F-9A9A-8647-84DC-9ABF25FA0DFF}" destId="{5740410F-1C72-A445-A783-E261186F1C8C}" srcOrd="0" destOrd="0" presId="urn:microsoft.com/office/officeart/2008/layout/HalfCircleOrganizationChart"/>
    <dgm:cxn modelId="{BC68FF9E-B9A2-B94C-9BA6-30375CED27CA}" type="presParOf" srcId="{5D7C9250-F633-8749-BAE3-D964B7AB61EA}" destId="{10A1CE6C-74C3-B042-8E9A-582C517D0577}" srcOrd="0" destOrd="0" presId="urn:microsoft.com/office/officeart/2008/layout/HalfCircleOrganizationChart"/>
    <dgm:cxn modelId="{51B03D9E-6C86-2541-8F74-ACD2BDDFFD51}" type="presParOf" srcId="{10A1CE6C-74C3-B042-8E9A-582C517D0577}" destId="{A44A2835-707A-6444-B0EE-1FDD2D1A0DD2}" srcOrd="0" destOrd="0" presId="urn:microsoft.com/office/officeart/2008/layout/HalfCircleOrganizationChart"/>
    <dgm:cxn modelId="{698D825E-4ABB-C345-8A4D-16A53664BD9E}" type="presParOf" srcId="{A44A2835-707A-6444-B0EE-1FDD2D1A0DD2}" destId="{EDF1F7ED-FB03-A847-8853-D38386A66E1A}" srcOrd="0" destOrd="0" presId="urn:microsoft.com/office/officeart/2008/layout/HalfCircleOrganizationChart"/>
    <dgm:cxn modelId="{ACE9A1FD-6511-344D-A1CA-E3E75CA0B619}" type="presParOf" srcId="{A44A2835-707A-6444-B0EE-1FDD2D1A0DD2}" destId="{953E4CDC-95FF-984F-8704-BD315C48644A}" srcOrd="1" destOrd="0" presId="urn:microsoft.com/office/officeart/2008/layout/HalfCircleOrganizationChart"/>
    <dgm:cxn modelId="{D668F112-417B-3D4C-B958-31B80FCC6D89}" type="presParOf" srcId="{A44A2835-707A-6444-B0EE-1FDD2D1A0DD2}" destId="{7E961C46-22B1-AA47-8783-285C3ED6C529}" srcOrd="2" destOrd="0" presId="urn:microsoft.com/office/officeart/2008/layout/HalfCircleOrganizationChart"/>
    <dgm:cxn modelId="{3343F5FF-6C21-4446-99F2-77382F6F3548}" type="presParOf" srcId="{A44A2835-707A-6444-B0EE-1FDD2D1A0DD2}" destId="{514E20D2-1EDD-3747-B91C-DC6FCDF6B6F1}" srcOrd="3" destOrd="0" presId="urn:microsoft.com/office/officeart/2008/layout/HalfCircleOrganizationChart"/>
    <dgm:cxn modelId="{AC68D858-A682-C349-8BCA-3DADBC9300AF}" type="presParOf" srcId="{10A1CE6C-74C3-B042-8E9A-582C517D0577}" destId="{69BAD618-C5C2-BF4E-AD87-40174721A2D5}" srcOrd="1" destOrd="0" presId="urn:microsoft.com/office/officeart/2008/layout/HalfCircleOrganizationChart"/>
    <dgm:cxn modelId="{AC75C4E8-5D24-B446-9052-62D574BEAB8C}" type="presParOf" srcId="{69BAD618-C5C2-BF4E-AD87-40174721A2D5}" destId="{37B139B1-4688-0849-8C5B-A7434640A332}" srcOrd="0" destOrd="0" presId="urn:microsoft.com/office/officeart/2008/layout/HalfCircleOrganizationChart"/>
    <dgm:cxn modelId="{C2448ADD-D4BF-BD4D-BA25-267DDBD63265}" type="presParOf" srcId="{69BAD618-C5C2-BF4E-AD87-40174721A2D5}" destId="{335B06A6-CB06-5E44-90F3-E28C2BFA0F61}" srcOrd="1" destOrd="0" presId="urn:microsoft.com/office/officeart/2008/layout/HalfCircleOrganizationChart"/>
    <dgm:cxn modelId="{953A566D-8CBF-B74C-9775-CB966ADB4721}" type="presParOf" srcId="{335B06A6-CB06-5E44-90F3-E28C2BFA0F61}" destId="{DB60615B-D58E-0E44-A405-757C766653E5}" srcOrd="0" destOrd="0" presId="urn:microsoft.com/office/officeart/2008/layout/HalfCircleOrganizationChart"/>
    <dgm:cxn modelId="{3455EBA5-91D7-CB4A-8FE9-B5E5DA66D68A}" type="presParOf" srcId="{DB60615B-D58E-0E44-A405-757C766653E5}" destId="{EEECA2E3-8294-024C-A2AD-BBA537935680}" srcOrd="0" destOrd="0" presId="urn:microsoft.com/office/officeart/2008/layout/HalfCircleOrganizationChart"/>
    <dgm:cxn modelId="{0502D588-7B69-8843-9026-F076E04C8EEF}" type="presParOf" srcId="{DB60615B-D58E-0E44-A405-757C766653E5}" destId="{91C8F9FC-C4FD-6A4F-8994-B08ECA1458C7}" srcOrd="1" destOrd="0" presId="urn:microsoft.com/office/officeart/2008/layout/HalfCircleOrganizationChart"/>
    <dgm:cxn modelId="{B7C0AEC6-30A7-234A-B799-3674E568536A}" type="presParOf" srcId="{DB60615B-D58E-0E44-A405-757C766653E5}" destId="{542782BB-E058-4141-A8FF-2F89DF802C69}" srcOrd="2" destOrd="0" presId="urn:microsoft.com/office/officeart/2008/layout/HalfCircleOrganizationChart"/>
    <dgm:cxn modelId="{1FE319A6-FC46-F546-9B8E-47764DD38137}" type="presParOf" srcId="{DB60615B-D58E-0E44-A405-757C766653E5}" destId="{B19FB0D7-3536-EB48-AAB2-DFE9B876601D}" srcOrd="3" destOrd="0" presId="urn:microsoft.com/office/officeart/2008/layout/HalfCircleOrganizationChart"/>
    <dgm:cxn modelId="{BB22D82B-0125-484F-B470-EE3D698E8F14}" type="presParOf" srcId="{335B06A6-CB06-5E44-90F3-E28C2BFA0F61}" destId="{AD5ABD5D-8748-AE4F-8051-C86CEAE593D2}" srcOrd="1" destOrd="0" presId="urn:microsoft.com/office/officeart/2008/layout/HalfCircleOrganizationChart"/>
    <dgm:cxn modelId="{24AD0FC4-0D4C-BC46-B098-3F1DE0E6E70A}" type="presParOf" srcId="{AD5ABD5D-8748-AE4F-8051-C86CEAE593D2}" destId="{045C4C0B-FBE1-9C4B-81DE-5E422741926F}" srcOrd="0" destOrd="0" presId="urn:microsoft.com/office/officeart/2008/layout/HalfCircleOrganizationChart"/>
    <dgm:cxn modelId="{5443F8D6-F632-E043-A30E-1D3776B202F6}" type="presParOf" srcId="{AD5ABD5D-8748-AE4F-8051-C86CEAE593D2}" destId="{03E57395-2550-A94F-91F5-197E8DDE8C3B}" srcOrd="1" destOrd="0" presId="urn:microsoft.com/office/officeart/2008/layout/HalfCircleOrganizationChart"/>
    <dgm:cxn modelId="{B76ABF82-9622-AF4D-B12C-5EBDE0E9ED76}" type="presParOf" srcId="{03E57395-2550-A94F-91F5-197E8DDE8C3B}" destId="{6AD17EEA-67BC-F240-8B7F-72AA2BD865A9}" srcOrd="0" destOrd="0" presId="urn:microsoft.com/office/officeart/2008/layout/HalfCircleOrganizationChart"/>
    <dgm:cxn modelId="{388B7231-464A-E140-BEB7-C392C8474471}" type="presParOf" srcId="{6AD17EEA-67BC-F240-8B7F-72AA2BD865A9}" destId="{E965A84D-54BF-2F48-951C-DDBD841E5C78}" srcOrd="0" destOrd="0" presId="urn:microsoft.com/office/officeart/2008/layout/HalfCircleOrganizationChart"/>
    <dgm:cxn modelId="{90F07EFF-7BE4-E847-B455-788EDE68735B}" type="presParOf" srcId="{6AD17EEA-67BC-F240-8B7F-72AA2BD865A9}" destId="{35880976-1074-0F45-BF13-273D7CD91988}" srcOrd="1" destOrd="0" presId="urn:microsoft.com/office/officeart/2008/layout/HalfCircleOrganizationChart"/>
    <dgm:cxn modelId="{E17F65DB-0656-994C-BC4D-AE8E193D40F9}" type="presParOf" srcId="{6AD17EEA-67BC-F240-8B7F-72AA2BD865A9}" destId="{FD46139C-2873-A742-BC06-2BA655D0CCDF}" srcOrd="2" destOrd="0" presId="urn:microsoft.com/office/officeart/2008/layout/HalfCircleOrganizationChart"/>
    <dgm:cxn modelId="{9804B57A-1AB7-D642-BF5B-E390403CB371}" type="presParOf" srcId="{6AD17EEA-67BC-F240-8B7F-72AA2BD865A9}" destId="{6601BD4F-3260-404B-9FC3-615164C42A84}" srcOrd="3" destOrd="0" presId="urn:microsoft.com/office/officeart/2008/layout/HalfCircleOrganizationChart"/>
    <dgm:cxn modelId="{BEA08748-9589-C64E-84E6-22C485245215}" type="presParOf" srcId="{03E57395-2550-A94F-91F5-197E8DDE8C3B}" destId="{1876CA37-139C-3442-86E4-7E9E68C4726E}" srcOrd="1" destOrd="0" presId="urn:microsoft.com/office/officeart/2008/layout/HalfCircleOrganizationChart"/>
    <dgm:cxn modelId="{EFFC049D-3688-F445-8FE0-8EA71566BC77}" type="presParOf" srcId="{03E57395-2550-A94F-91F5-197E8DDE8C3B}" destId="{331E34B4-DC85-8346-8D56-6209179098F3}" srcOrd="2" destOrd="0" presId="urn:microsoft.com/office/officeart/2008/layout/HalfCircleOrganizationChart"/>
    <dgm:cxn modelId="{63E3E818-C6CB-D545-876F-C48A9C3A137F}" type="presParOf" srcId="{335B06A6-CB06-5E44-90F3-E28C2BFA0F61}" destId="{77C19F91-1D98-DF41-B844-E8565063B22D}" srcOrd="2" destOrd="0" presId="urn:microsoft.com/office/officeart/2008/layout/HalfCircleOrganizationChart"/>
    <dgm:cxn modelId="{3F824EF8-ADB8-0B4F-BA27-5A7CBB049828}" type="presParOf" srcId="{69BAD618-C5C2-BF4E-AD87-40174721A2D5}" destId="{F529775B-C752-8740-AA3A-939DF2E12E80}" srcOrd="2" destOrd="0" presId="urn:microsoft.com/office/officeart/2008/layout/HalfCircleOrganizationChart"/>
    <dgm:cxn modelId="{5F0AA73A-9EC8-774D-8F32-C9C766BBC5BE}" type="presParOf" srcId="{69BAD618-C5C2-BF4E-AD87-40174721A2D5}" destId="{18B7189C-507D-C440-9AB3-850E7DC7F23C}" srcOrd="3" destOrd="0" presId="urn:microsoft.com/office/officeart/2008/layout/HalfCircleOrganizationChart"/>
    <dgm:cxn modelId="{31C10D04-3DFB-9340-B739-EEA2FEDE9747}" type="presParOf" srcId="{18B7189C-507D-C440-9AB3-850E7DC7F23C}" destId="{9938CCEA-3C4C-6A48-ABF6-AFB3346A8541}" srcOrd="0" destOrd="0" presId="urn:microsoft.com/office/officeart/2008/layout/HalfCircleOrganizationChart"/>
    <dgm:cxn modelId="{BCB9F3D3-C078-8F4D-995F-E92B641C7191}" type="presParOf" srcId="{9938CCEA-3C4C-6A48-ABF6-AFB3346A8541}" destId="{7EC76B6B-0B80-AF4F-BFDA-4E36EF489277}" srcOrd="0" destOrd="0" presId="urn:microsoft.com/office/officeart/2008/layout/HalfCircleOrganizationChart"/>
    <dgm:cxn modelId="{14FBBDE5-B4D4-674C-BBF5-3A4C3ED1CDAA}" type="presParOf" srcId="{9938CCEA-3C4C-6A48-ABF6-AFB3346A8541}" destId="{7599A2D3-1956-1345-A583-7767CAFC9905}" srcOrd="1" destOrd="0" presId="urn:microsoft.com/office/officeart/2008/layout/HalfCircleOrganizationChart"/>
    <dgm:cxn modelId="{14CA4F83-BFCB-D94E-8EA5-24E872F48215}" type="presParOf" srcId="{9938CCEA-3C4C-6A48-ABF6-AFB3346A8541}" destId="{C6AE1ECB-E58F-CC4D-8A06-357A3F133869}" srcOrd="2" destOrd="0" presId="urn:microsoft.com/office/officeart/2008/layout/HalfCircleOrganizationChart"/>
    <dgm:cxn modelId="{E82580C0-A1B5-1444-A1E5-E6CA27D58E27}" type="presParOf" srcId="{9938CCEA-3C4C-6A48-ABF6-AFB3346A8541}" destId="{58069DFF-61A7-2841-88F6-EE1D34D32406}" srcOrd="3" destOrd="0" presId="urn:microsoft.com/office/officeart/2008/layout/HalfCircleOrganizationChart"/>
    <dgm:cxn modelId="{0744F857-C79A-4444-8B98-6C452A29D679}" type="presParOf" srcId="{18B7189C-507D-C440-9AB3-850E7DC7F23C}" destId="{85D5F66C-0653-9640-BE93-376EB1C5829C}" srcOrd="1" destOrd="0" presId="urn:microsoft.com/office/officeart/2008/layout/HalfCircleOrganizationChart"/>
    <dgm:cxn modelId="{80CED28D-30DC-9143-B9A4-AE1AF01CF10C}" type="presParOf" srcId="{85D5F66C-0653-9640-BE93-376EB1C5829C}" destId="{5740410F-1C72-A445-A783-E261186F1C8C}" srcOrd="0" destOrd="0" presId="urn:microsoft.com/office/officeart/2008/layout/HalfCircleOrganizationChart"/>
    <dgm:cxn modelId="{7E531224-961D-C14E-B443-BB137E222832}" type="presParOf" srcId="{85D5F66C-0653-9640-BE93-376EB1C5829C}" destId="{CE88C6FE-E5EF-3B41-837C-9E02F9078024}" srcOrd="1" destOrd="0" presId="urn:microsoft.com/office/officeart/2008/layout/HalfCircleOrganizationChart"/>
    <dgm:cxn modelId="{23D04866-5D75-7444-9D20-139880B3B35F}" type="presParOf" srcId="{CE88C6FE-E5EF-3B41-837C-9E02F9078024}" destId="{887471D3-88E6-EC43-8784-72AAFC951C48}" srcOrd="0" destOrd="0" presId="urn:microsoft.com/office/officeart/2008/layout/HalfCircleOrganizationChart"/>
    <dgm:cxn modelId="{8F43AA19-A605-C64D-AED4-2BEE299EE2A1}" type="presParOf" srcId="{887471D3-88E6-EC43-8784-72AAFC951C48}" destId="{88C14F6B-E04D-0F41-A355-BD1FBBD5F214}" srcOrd="0" destOrd="0" presId="urn:microsoft.com/office/officeart/2008/layout/HalfCircleOrganizationChart"/>
    <dgm:cxn modelId="{33D713EB-A1EA-6B48-B47A-35E1C703191F}" type="presParOf" srcId="{887471D3-88E6-EC43-8784-72AAFC951C48}" destId="{AD9C6AC7-2B01-2744-91AA-97B1AC68E3DB}" srcOrd="1" destOrd="0" presId="urn:microsoft.com/office/officeart/2008/layout/HalfCircleOrganizationChart"/>
    <dgm:cxn modelId="{7428DAEC-1B03-AD40-BEDB-8767D53D1296}" type="presParOf" srcId="{887471D3-88E6-EC43-8784-72AAFC951C48}" destId="{DE06BEFE-9D84-1F48-8F2B-2243FD284E8B}" srcOrd="2" destOrd="0" presId="urn:microsoft.com/office/officeart/2008/layout/HalfCircleOrganizationChart"/>
    <dgm:cxn modelId="{2B83E1B5-E08F-FE4B-B6CF-5AC4B35FBAEA}" type="presParOf" srcId="{887471D3-88E6-EC43-8784-72AAFC951C48}" destId="{10B1A337-FB84-084F-A991-FE8F681EBB80}" srcOrd="3" destOrd="0" presId="urn:microsoft.com/office/officeart/2008/layout/HalfCircleOrganizationChart"/>
    <dgm:cxn modelId="{B84F2FC6-4D13-D249-9B97-F5CBED5ACA49}" type="presParOf" srcId="{CE88C6FE-E5EF-3B41-837C-9E02F9078024}" destId="{C9D378C1-8064-0247-8F15-B8F87FAF5F5C}" srcOrd="1" destOrd="0" presId="urn:microsoft.com/office/officeart/2008/layout/HalfCircleOrganizationChart"/>
    <dgm:cxn modelId="{8A05DB96-0799-B547-B281-D08D85DF84F5}" type="presParOf" srcId="{CE88C6FE-E5EF-3B41-837C-9E02F9078024}" destId="{0CC62FAA-2144-2B47-8A9B-BA296504A93B}" srcOrd="2" destOrd="0" presId="urn:microsoft.com/office/officeart/2008/layout/HalfCircleOrganizationChart"/>
    <dgm:cxn modelId="{07CC908E-C5D5-B24E-B99B-99076132D488}" type="presParOf" srcId="{18B7189C-507D-C440-9AB3-850E7DC7F23C}" destId="{7226F36C-C656-6F43-A29F-F2343A29A48E}" srcOrd="2" destOrd="0" presId="urn:microsoft.com/office/officeart/2008/layout/HalfCircleOrganizationChart"/>
    <dgm:cxn modelId="{979A2CBD-4485-A542-A873-B949AF80E40B}" type="presParOf" srcId="{69BAD618-C5C2-BF4E-AD87-40174721A2D5}" destId="{40A65D8D-8E95-7E4F-BC30-AA99ECC2A919}" srcOrd="4" destOrd="0" presId="urn:microsoft.com/office/officeart/2008/layout/HalfCircleOrganizationChart"/>
    <dgm:cxn modelId="{20AF706F-54C7-354E-9774-35A6C144382C}" type="presParOf" srcId="{69BAD618-C5C2-BF4E-AD87-40174721A2D5}" destId="{783CD130-007D-EB42-949E-76F701E8B790}" srcOrd="5" destOrd="0" presId="urn:microsoft.com/office/officeart/2008/layout/HalfCircleOrganizationChart"/>
    <dgm:cxn modelId="{A751D72C-E5EF-E243-ADE4-5BFEC6590765}" type="presParOf" srcId="{783CD130-007D-EB42-949E-76F701E8B790}" destId="{C35F39C4-0CB5-5047-9985-70BAD0A4106F}" srcOrd="0" destOrd="0" presId="urn:microsoft.com/office/officeart/2008/layout/HalfCircleOrganizationChart"/>
    <dgm:cxn modelId="{5DC37BDE-37FC-CF46-900E-4DB98742D645}" type="presParOf" srcId="{C35F39C4-0CB5-5047-9985-70BAD0A4106F}" destId="{F853B813-A054-6844-8A68-5E3295965872}" srcOrd="0" destOrd="0" presId="urn:microsoft.com/office/officeart/2008/layout/HalfCircleOrganizationChart"/>
    <dgm:cxn modelId="{AAF8B088-5010-8F4E-98A9-F813A42F5DAB}" type="presParOf" srcId="{C35F39C4-0CB5-5047-9985-70BAD0A4106F}" destId="{477EF5A1-2DCB-CA4B-A49D-4CC46617DFB8}" srcOrd="1" destOrd="0" presId="urn:microsoft.com/office/officeart/2008/layout/HalfCircleOrganizationChart"/>
    <dgm:cxn modelId="{EDD88C2A-C1FD-224F-9A24-27B4CA455137}" type="presParOf" srcId="{C35F39C4-0CB5-5047-9985-70BAD0A4106F}" destId="{E6AB68D4-B995-6240-ABFE-9FE3F992C4EC}" srcOrd="2" destOrd="0" presId="urn:microsoft.com/office/officeart/2008/layout/HalfCircleOrganizationChart"/>
    <dgm:cxn modelId="{74F7E2C5-71B1-BB4B-AA92-C72F117F9791}" type="presParOf" srcId="{C35F39C4-0CB5-5047-9985-70BAD0A4106F}" destId="{737F8381-A42E-394F-BF2B-C5BA8FF69AB7}" srcOrd="3" destOrd="0" presId="urn:microsoft.com/office/officeart/2008/layout/HalfCircleOrganizationChart"/>
    <dgm:cxn modelId="{36A98098-5318-6B4A-B668-A7E44A580BE4}" type="presParOf" srcId="{783CD130-007D-EB42-949E-76F701E8B790}" destId="{4A210511-05BF-EC47-B46A-5D9333BA8C35}" srcOrd="1" destOrd="0" presId="urn:microsoft.com/office/officeart/2008/layout/HalfCircleOrganizationChart"/>
    <dgm:cxn modelId="{1D5245D8-7732-E64E-9A27-398D81027313}" type="presParOf" srcId="{4A210511-05BF-EC47-B46A-5D9333BA8C35}" destId="{2308284D-E874-1740-8D6B-8F16B19F5427}" srcOrd="0" destOrd="0" presId="urn:microsoft.com/office/officeart/2008/layout/HalfCircleOrganizationChart"/>
    <dgm:cxn modelId="{C40995E0-5271-8447-813D-CB1B9690C7B8}" type="presParOf" srcId="{4A210511-05BF-EC47-B46A-5D9333BA8C35}" destId="{C605C1F7-5D89-624F-A295-14966C74F2A4}" srcOrd="1" destOrd="0" presId="urn:microsoft.com/office/officeart/2008/layout/HalfCircleOrganizationChart"/>
    <dgm:cxn modelId="{DBF72F3B-EEF6-5C40-A96A-B034C1926635}" type="presParOf" srcId="{C605C1F7-5D89-624F-A295-14966C74F2A4}" destId="{9000A49C-0C57-4948-99D6-F020C8B4B41E}" srcOrd="0" destOrd="0" presId="urn:microsoft.com/office/officeart/2008/layout/HalfCircleOrganizationChart"/>
    <dgm:cxn modelId="{A362E524-ED1B-9A4F-9E46-8900C93B7DC3}" type="presParOf" srcId="{9000A49C-0C57-4948-99D6-F020C8B4B41E}" destId="{6AB45164-2D9F-D442-9B0A-0F9AD34D9826}" srcOrd="0" destOrd="0" presId="urn:microsoft.com/office/officeart/2008/layout/HalfCircleOrganizationChart"/>
    <dgm:cxn modelId="{20955678-4EA8-BF4A-BD7E-FB0469A14CED}" type="presParOf" srcId="{9000A49C-0C57-4948-99D6-F020C8B4B41E}" destId="{845AD9DA-EDE3-934D-8A67-95524D9300C5}" srcOrd="1" destOrd="0" presId="urn:microsoft.com/office/officeart/2008/layout/HalfCircleOrganizationChart"/>
    <dgm:cxn modelId="{AEF6C0FA-9266-EB49-A43F-FE6245AF099C}" type="presParOf" srcId="{9000A49C-0C57-4948-99D6-F020C8B4B41E}" destId="{F22FB039-A718-C941-991B-B4C0AD1B3348}" srcOrd="2" destOrd="0" presId="urn:microsoft.com/office/officeart/2008/layout/HalfCircleOrganizationChart"/>
    <dgm:cxn modelId="{7B01048F-519C-3D40-AD6F-5F87BAA83F1C}" type="presParOf" srcId="{9000A49C-0C57-4948-99D6-F020C8B4B41E}" destId="{B60607D5-CBDC-CE47-B676-78A3CDF8BE9A}" srcOrd="3" destOrd="0" presId="urn:microsoft.com/office/officeart/2008/layout/HalfCircleOrganizationChart"/>
    <dgm:cxn modelId="{1B34373A-600F-F04C-84A2-732A6D62E301}" type="presParOf" srcId="{C605C1F7-5D89-624F-A295-14966C74F2A4}" destId="{865935B0-C750-5B46-AE8D-C57C2AAFA834}" srcOrd="1" destOrd="0" presId="urn:microsoft.com/office/officeart/2008/layout/HalfCircleOrganizationChart"/>
    <dgm:cxn modelId="{F1C4653C-96DA-6449-86E7-6B64451EBC75}" type="presParOf" srcId="{C605C1F7-5D89-624F-A295-14966C74F2A4}" destId="{458A3B31-1E64-B647-9156-EECB65E7C0BF}" srcOrd="2" destOrd="0" presId="urn:microsoft.com/office/officeart/2008/layout/HalfCircleOrganizationChart"/>
    <dgm:cxn modelId="{6BA2E342-163B-D545-909B-748FD6DC1A3B}" type="presParOf" srcId="{783CD130-007D-EB42-949E-76F701E8B790}" destId="{B392E22C-ECED-F241-B47B-E92DE27196BE}" srcOrd="2" destOrd="0" presId="urn:microsoft.com/office/officeart/2008/layout/HalfCircleOrganizationChart"/>
    <dgm:cxn modelId="{62D7FE42-A92C-1643-A3CC-E0F4E4D5CA63}" type="presParOf" srcId="{69BAD618-C5C2-BF4E-AD87-40174721A2D5}" destId="{83027A95-B932-FC41-A36A-B387E541FC94}" srcOrd="6" destOrd="0" presId="urn:microsoft.com/office/officeart/2008/layout/HalfCircleOrganizationChart"/>
    <dgm:cxn modelId="{9D884B64-D074-DE46-9BCA-40FA82B625A2}" type="presParOf" srcId="{69BAD618-C5C2-BF4E-AD87-40174721A2D5}" destId="{C2298EA0-3AD3-D044-AA0C-E998D7DAF099}" srcOrd="7" destOrd="0" presId="urn:microsoft.com/office/officeart/2008/layout/HalfCircleOrganizationChart"/>
    <dgm:cxn modelId="{D7F687F2-4F0C-D64D-9C07-526C836CBB2A}" type="presParOf" srcId="{C2298EA0-3AD3-D044-AA0C-E998D7DAF099}" destId="{85434C45-9CB4-8049-9499-A65E75008EDC}" srcOrd="0" destOrd="0" presId="urn:microsoft.com/office/officeart/2008/layout/HalfCircleOrganizationChart"/>
    <dgm:cxn modelId="{EBB247A7-A3C7-814E-A5CE-55E7C6ABB0FD}" type="presParOf" srcId="{85434C45-9CB4-8049-9499-A65E75008EDC}" destId="{AD2B9FCA-191F-4D40-8070-18EFB5FEF750}" srcOrd="0" destOrd="0" presId="urn:microsoft.com/office/officeart/2008/layout/HalfCircleOrganizationChart"/>
    <dgm:cxn modelId="{14D83C91-22E1-B24D-88F5-F5783D88C6D0}" type="presParOf" srcId="{85434C45-9CB4-8049-9499-A65E75008EDC}" destId="{42050EC8-D68B-D84D-8274-B41388279770}" srcOrd="1" destOrd="0" presId="urn:microsoft.com/office/officeart/2008/layout/HalfCircleOrganizationChart"/>
    <dgm:cxn modelId="{DBA229D9-9B31-954C-AC7F-C133D501667F}" type="presParOf" srcId="{85434C45-9CB4-8049-9499-A65E75008EDC}" destId="{373DEAE5-17A7-C34E-A272-F04205930AA2}" srcOrd="2" destOrd="0" presId="urn:microsoft.com/office/officeart/2008/layout/HalfCircleOrganizationChart"/>
    <dgm:cxn modelId="{A54AAB73-A364-6348-B61C-C14366723F6A}" type="presParOf" srcId="{85434C45-9CB4-8049-9499-A65E75008EDC}" destId="{37209C3C-764A-674B-9D44-012737AFC62B}" srcOrd="3" destOrd="0" presId="urn:microsoft.com/office/officeart/2008/layout/HalfCircleOrganizationChart"/>
    <dgm:cxn modelId="{707D3A7D-F803-6144-8B71-9F9B6CD73857}" type="presParOf" srcId="{C2298EA0-3AD3-D044-AA0C-E998D7DAF099}" destId="{B4AF466F-A9F1-A549-B1AD-1B8DCDF1C2B1}" srcOrd="1" destOrd="0" presId="urn:microsoft.com/office/officeart/2008/layout/HalfCircleOrganizationChart"/>
    <dgm:cxn modelId="{C5087100-139B-7D46-B875-171566484BD7}" type="presParOf" srcId="{B4AF466F-A9F1-A549-B1AD-1B8DCDF1C2B1}" destId="{265A3401-5ADE-2C46-B534-DCFA1D428FD9}" srcOrd="0" destOrd="0" presId="urn:microsoft.com/office/officeart/2008/layout/HalfCircleOrganizationChart"/>
    <dgm:cxn modelId="{754AE74D-6E65-DE42-95BB-82134B874D99}" type="presParOf" srcId="{B4AF466F-A9F1-A549-B1AD-1B8DCDF1C2B1}" destId="{377D5E5D-C817-714F-9E5F-B49EB83110F0}" srcOrd="1" destOrd="0" presId="urn:microsoft.com/office/officeart/2008/layout/HalfCircleOrganizationChart"/>
    <dgm:cxn modelId="{F05D53E1-13C2-3F4F-89F8-1CECAEDC44F8}" type="presParOf" srcId="{377D5E5D-C817-714F-9E5F-B49EB83110F0}" destId="{BF043F8B-9B99-964A-838E-D53722C65EA1}" srcOrd="0" destOrd="0" presId="urn:microsoft.com/office/officeart/2008/layout/HalfCircleOrganizationChart"/>
    <dgm:cxn modelId="{7F1C68A7-510B-B744-A988-31A397D52907}" type="presParOf" srcId="{BF043F8B-9B99-964A-838E-D53722C65EA1}" destId="{65187A8F-FB73-7C45-83BE-C4C155CEE1B8}" srcOrd="0" destOrd="0" presId="urn:microsoft.com/office/officeart/2008/layout/HalfCircleOrganizationChart"/>
    <dgm:cxn modelId="{EB1E5136-8116-2F4E-8F50-FBAFD84DE78D}" type="presParOf" srcId="{BF043F8B-9B99-964A-838E-D53722C65EA1}" destId="{450A350F-8AC5-9D4A-AFE9-34F70F11BEF6}" srcOrd="1" destOrd="0" presId="urn:microsoft.com/office/officeart/2008/layout/HalfCircleOrganizationChart"/>
    <dgm:cxn modelId="{14F012CF-85AD-C14F-A2A4-0D15A1808E6E}" type="presParOf" srcId="{BF043F8B-9B99-964A-838E-D53722C65EA1}" destId="{2E7B8E28-9CF3-EE4C-A3FB-9C098F2780FF}" srcOrd="2" destOrd="0" presId="urn:microsoft.com/office/officeart/2008/layout/HalfCircleOrganizationChart"/>
    <dgm:cxn modelId="{CA26533F-DF7A-6846-BD71-F67F6ADC5576}" type="presParOf" srcId="{BF043F8B-9B99-964A-838E-D53722C65EA1}" destId="{9CB8EFD8-A0AD-5F47-8967-3C33284038AD}" srcOrd="3" destOrd="0" presId="urn:microsoft.com/office/officeart/2008/layout/HalfCircleOrganizationChart"/>
    <dgm:cxn modelId="{E13CECC4-3C81-234B-9E2D-F91FD627DD93}" type="presParOf" srcId="{377D5E5D-C817-714F-9E5F-B49EB83110F0}" destId="{B1537D69-5562-0646-8418-92454A9C7A6E}" srcOrd="1" destOrd="0" presId="urn:microsoft.com/office/officeart/2008/layout/HalfCircleOrganizationChart"/>
    <dgm:cxn modelId="{A1EB8F7E-BBEA-8143-A226-881EDA33CC0C}" type="presParOf" srcId="{377D5E5D-C817-714F-9E5F-B49EB83110F0}" destId="{70EE1FA9-DE0A-1F4B-A52B-1B2DEAE5AE4B}" srcOrd="2" destOrd="0" presId="urn:microsoft.com/office/officeart/2008/layout/HalfCircleOrganizationChart"/>
    <dgm:cxn modelId="{4C1FC761-6C05-E741-A1FD-B9C3898D2F6E}" type="presParOf" srcId="{C2298EA0-3AD3-D044-AA0C-E998D7DAF099}" destId="{32BA9DD2-BE45-4747-A54A-022A4336623E}" srcOrd="2" destOrd="0" presId="urn:microsoft.com/office/officeart/2008/layout/HalfCircleOrganizationChart"/>
    <dgm:cxn modelId="{BEDE6BA3-EC56-D64B-AA36-2402FDDE7F04}" type="presParOf" srcId="{10A1CE6C-74C3-B042-8E9A-582C517D0577}" destId="{BA3A7A6B-F527-E643-897A-7215E63315DE}" srcOrd="2" destOrd="0" presId="urn:microsoft.com/office/officeart/2008/layout/HalfCircleOrganizationChart"/>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A3401-5ADE-2C46-B534-DCFA1D428FD9}">
      <dsp:nvSpPr>
        <dsp:cNvPr id="0" name=""/>
        <dsp:cNvSpPr/>
      </dsp:nvSpPr>
      <dsp:spPr>
        <a:xfrm>
          <a:off x="4569711" y="1858753"/>
          <a:ext cx="508657" cy="331732"/>
        </a:xfrm>
        <a:custGeom>
          <a:avLst/>
          <a:gdLst/>
          <a:ahLst/>
          <a:cxnLst/>
          <a:rect l="0" t="0" r="0" b="0"/>
          <a:pathLst>
            <a:path>
              <a:moveTo>
                <a:pt x="0" y="0"/>
              </a:moveTo>
              <a:lnTo>
                <a:pt x="0" y="331732"/>
              </a:lnTo>
              <a:lnTo>
                <a:pt x="508657" y="33173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027A95-B932-FC41-A36A-B387E541FC94}">
      <dsp:nvSpPr>
        <dsp:cNvPr id="0" name=""/>
        <dsp:cNvSpPr/>
      </dsp:nvSpPr>
      <dsp:spPr>
        <a:xfrm>
          <a:off x="2562726" y="1073652"/>
          <a:ext cx="2006984" cy="232213"/>
        </a:xfrm>
        <a:custGeom>
          <a:avLst/>
          <a:gdLst/>
          <a:ahLst/>
          <a:cxnLst/>
          <a:rect l="0" t="0" r="0" b="0"/>
          <a:pathLst>
            <a:path>
              <a:moveTo>
                <a:pt x="0" y="0"/>
              </a:moveTo>
              <a:lnTo>
                <a:pt x="0" y="116106"/>
              </a:lnTo>
              <a:lnTo>
                <a:pt x="2006984" y="116106"/>
              </a:lnTo>
              <a:lnTo>
                <a:pt x="2006984" y="232213"/>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8284D-E874-1740-8D6B-8F16B19F5427}">
      <dsp:nvSpPr>
        <dsp:cNvPr id="0" name=""/>
        <dsp:cNvSpPr/>
      </dsp:nvSpPr>
      <dsp:spPr>
        <a:xfrm>
          <a:off x="3231721" y="1858753"/>
          <a:ext cx="508657" cy="331732"/>
        </a:xfrm>
        <a:custGeom>
          <a:avLst/>
          <a:gdLst/>
          <a:ahLst/>
          <a:cxnLst/>
          <a:rect l="0" t="0" r="0" b="0"/>
          <a:pathLst>
            <a:path>
              <a:moveTo>
                <a:pt x="0" y="0"/>
              </a:moveTo>
              <a:lnTo>
                <a:pt x="0" y="331732"/>
              </a:lnTo>
              <a:lnTo>
                <a:pt x="508657" y="33173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A65D8D-8E95-7E4F-BC30-AA99ECC2A919}">
      <dsp:nvSpPr>
        <dsp:cNvPr id="0" name=""/>
        <dsp:cNvSpPr/>
      </dsp:nvSpPr>
      <dsp:spPr>
        <a:xfrm>
          <a:off x="2562726" y="1073652"/>
          <a:ext cx="668994" cy="232213"/>
        </a:xfrm>
        <a:custGeom>
          <a:avLst/>
          <a:gdLst/>
          <a:ahLst/>
          <a:cxnLst/>
          <a:rect l="0" t="0" r="0" b="0"/>
          <a:pathLst>
            <a:path>
              <a:moveTo>
                <a:pt x="0" y="0"/>
              </a:moveTo>
              <a:lnTo>
                <a:pt x="0" y="116106"/>
              </a:lnTo>
              <a:lnTo>
                <a:pt x="668994" y="116106"/>
              </a:lnTo>
              <a:lnTo>
                <a:pt x="668994" y="232213"/>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40410F-1C72-A445-A783-E261186F1C8C}">
      <dsp:nvSpPr>
        <dsp:cNvPr id="0" name=""/>
        <dsp:cNvSpPr/>
      </dsp:nvSpPr>
      <dsp:spPr>
        <a:xfrm>
          <a:off x="1893731" y="1858753"/>
          <a:ext cx="508657" cy="331732"/>
        </a:xfrm>
        <a:custGeom>
          <a:avLst/>
          <a:gdLst/>
          <a:ahLst/>
          <a:cxnLst/>
          <a:rect l="0" t="0" r="0" b="0"/>
          <a:pathLst>
            <a:path>
              <a:moveTo>
                <a:pt x="0" y="0"/>
              </a:moveTo>
              <a:lnTo>
                <a:pt x="0" y="331732"/>
              </a:lnTo>
              <a:lnTo>
                <a:pt x="508657" y="33173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9775B-C752-8740-AA3A-939DF2E12E80}">
      <dsp:nvSpPr>
        <dsp:cNvPr id="0" name=""/>
        <dsp:cNvSpPr/>
      </dsp:nvSpPr>
      <dsp:spPr>
        <a:xfrm>
          <a:off x="1893731" y="1073652"/>
          <a:ext cx="668994" cy="232213"/>
        </a:xfrm>
        <a:custGeom>
          <a:avLst/>
          <a:gdLst/>
          <a:ahLst/>
          <a:cxnLst/>
          <a:rect l="0" t="0" r="0" b="0"/>
          <a:pathLst>
            <a:path>
              <a:moveTo>
                <a:pt x="668994" y="0"/>
              </a:moveTo>
              <a:lnTo>
                <a:pt x="668994" y="116106"/>
              </a:lnTo>
              <a:lnTo>
                <a:pt x="0" y="116106"/>
              </a:lnTo>
              <a:lnTo>
                <a:pt x="0" y="232213"/>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5C4C0B-FBE1-9C4B-81DE-5E422741926F}">
      <dsp:nvSpPr>
        <dsp:cNvPr id="0" name=""/>
        <dsp:cNvSpPr/>
      </dsp:nvSpPr>
      <dsp:spPr>
        <a:xfrm>
          <a:off x="555741" y="1858753"/>
          <a:ext cx="508657" cy="331732"/>
        </a:xfrm>
        <a:custGeom>
          <a:avLst/>
          <a:gdLst/>
          <a:ahLst/>
          <a:cxnLst/>
          <a:rect l="0" t="0" r="0" b="0"/>
          <a:pathLst>
            <a:path>
              <a:moveTo>
                <a:pt x="0" y="0"/>
              </a:moveTo>
              <a:lnTo>
                <a:pt x="0" y="331732"/>
              </a:lnTo>
              <a:lnTo>
                <a:pt x="508657" y="33173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139B1-4688-0849-8C5B-A7434640A332}">
      <dsp:nvSpPr>
        <dsp:cNvPr id="0" name=""/>
        <dsp:cNvSpPr/>
      </dsp:nvSpPr>
      <dsp:spPr>
        <a:xfrm>
          <a:off x="555741" y="1073652"/>
          <a:ext cx="2006984" cy="232213"/>
        </a:xfrm>
        <a:custGeom>
          <a:avLst/>
          <a:gdLst/>
          <a:ahLst/>
          <a:cxnLst/>
          <a:rect l="0" t="0" r="0" b="0"/>
          <a:pathLst>
            <a:path>
              <a:moveTo>
                <a:pt x="2006984" y="0"/>
              </a:moveTo>
              <a:lnTo>
                <a:pt x="2006984" y="116106"/>
              </a:lnTo>
              <a:lnTo>
                <a:pt x="0" y="116106"/>
              </a:lnTo>
              <a:lnTo>
                <a:pt x="0" y="232213"/>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3E4CDC-95FF-984F-8704-BD315C48644A}">
      <dsp:nvSpPr>
        <dsp:cNvPr id="0" name=""/>
        <dsp:cNvSpPr/>
      </dsp:nvSpPr>
      <dsp:spPr>
        <a:xfrm>
          <a:off x="2286282" y="520763"/>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961C46-22B1-AA47-8783-285C3ED6C529}">
      <dsp:nvSpPr>
        <dsp:cNvPr id="0" name=""/>
        <dsp:cNvSpPr/>
      </dsp:nvSpPr>
      <dsp:spPr>
        <a:xfrm>
          <a:off x="2286282" y="520763"/>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1F7ED-FB03-A847-8853-D38386A66E1A}">
      <dsp:nvSpPr>
        <dsp:cNvPr id="0" name=""/>
        <dsp:cNvSpPr/>
      </dsp:nvSpPr>
      <dsp:spPr>
        <a:xfrm>
          <a:off x="2009838" y="620283"/>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dirty="0"/>
            <a:t>Blood Pressure Management</a:t>
          </a:r>
        </a:p>
      </dsp:txBody>
      <dsp:txXfrm>
        <a:off x="2009838" y="620283"/>
        <a:ext cx="1105776" cy="353848"/>
      </dsp:txXfrm>
    </dsp:sp>
    <dsp:sp modelId="{91C8F9FC-C4FD-6A4F-8994-B08ECA1458C7}">
      <dsp:nvSpPr>
        <dsp:cNvPr id="0" name=""/>
        <dsp:cNvSpPr/>
      </dsp:nvSpPr>
      <dsp:spPr>
        <a:xfrm>
          <a:off x="279297" y="1305865"/>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2782BB-E058-4141-A8FF-2F89DF802C69}">
      <dsp:nvSpPr>
        <dsp:cNvPr id="0" name=""/>
        <dsp:cNvSpPr/>
      </dsp:nvSpPr>
      <dsp:spPr>
        <a:xfrm>
          <a:off x="279297" y="1305865"/>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ECA2E3-8294-024C-A2AD-BBA537935680}">
      <dsp:nvSpPr>
        <dsp:cNvPr id="0" name=""/>
        <dsp:cNvSpPr/>
      </dsp:nvSpPr>
      <dsp:spPr>
        <a:xfrm>
          <a:off x="2853" y="1405385"/>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MAP &gt; 65mmHg + HR &lt; 110/min + &lt; 0.1 µg/kg/min Nor.</a:t>
          </a:r>
        </a:p>
      </dsp:txBody>
      <dsp:txXfrm>
        <a:off x="2853" y="1405385"/>
        <a:ext cx="1105776" cy="353848"/>
      </dsp:txXfrm>
    </dsp:sp>
    <dsp:sp modelId="{35880976-1074-0F45-BF13-273D7CD91988}">
      <dsp:nvSpPr>
        <dsp:cNvPr id="0" name=""/>
        <dsp:cNvSpPr/>
      </dsp:nvSpPr>
      <dsp:spPr>
        <a:xfrm>
          <a:off x="998052" y="2090966"/>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46139C-2873-A742-BC06-2BA655D0CCDF}">
      <dsp:nvSpPr>
        <dsp:cNvPr id="0" name=""/>
        <dsp:cNvSpPr/>
      </dsp:nvSpPr>
      <dsp:spPr>
        <a:xfrm>
          <a:off x="998052" y="2090966"/>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65A84D-54BF-2F48-951C-DDBD841E5C78}">
      <dsp:nvSpPr>
        <dsp:cNvPr id="0" name=""/>
        <dsp:cNvSpPr/>
      </dsp:nvSpPr>
      <dsp:spPr>
        <a:xfrm>
          <a:off x="721608" y="2190486"/>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0.2 µg/kg/min </a:t>
          </a:r>
        </a:p>
      </dsp:txBody>
      <dsp:txXfrm>
        <a:off x="721608" y="2190486"/>
        <a:ext cx="1105776" cy="353848"/>
      </dsp:txXfrm>
    </dsp:sp>
    <dsp:sp modelId="{7599A2D3-1956-1345-A583-7767CAFC9905}">
      <dsp:nvSpPr>
        <dsp:cNvPr id="0" name=""/>
        <dsp:cNvSpPr/>
      </dsp:nvSpPr>
      <dsp:spPr>
        <a:xfrm>
          <a:off x="1617287" y="1305865"/>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AE1ECB-E58F-CC4D-8A06-357A3F133869}">
      <dsp:nvSpPr>
        <dsp:cNvPr id="0" name=""/>
        <dsp:cNvSpPr/>
      </dsp:nvSpPr>
      <dsp:spPr>
        <a:xfrm>
          <a:off x="1617287" y="1305865"/>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76B6B-0B80-AF4F-BFDA-4E36EF489277}">
      <dsp:nvSpPr>
        <dsp:cNvPr id="0" name=""/>
        <dsp:cNvSpPr/>
      </dsp:nvSpPr>
      <dsp:spPr>
        <a:xfrm>
          <a:off x="1340843" y="1405385"/>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MAP &lt; 65mmHg + HR &lt; 110/min + &lt; 0.1 µg/kg/min Nor.</a:t>
          </a:r>
        </a:p>
      </dsp:txBody>
      <dsp:txXfrm>
        <a:off x="1340843" y="1405385"/>
        <a:ext cx="1105776" cy="353848"/>
      </dsp:txXfrm>
    </dsp:sp>
    <dsp:sp modelId="{AD9C6AC7-2B01-2744-91AA-97B1AC68E3DB}">
      <dsp:nvSpPr>
        <dsp:cNvPr id="0" name=""/>
        <dsp:cNvSpPr/>
      </dsp:nvSpPr>
      <dsp:spPr>
        <a:xfrm>
          <a:off x="2336042" y="2090966"/>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06BEFE-9D84-1F48-8F2B-2243FD284E8B}">
      <dsp:nvSpPr>
        <dsp:cNvPr id="0" name=""/>
        <dsp:cNvSpPr/>
      </dsp:nvSpPr>
      <dsp:spPr>
        <a:xfrm>
          <a:off x="2336042" y="2090966"/>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14F6B-E04D-0F41-A355-BD1FBBD5F214}">
      <dsp:nvSpPr>
        <dsp:cNvPr id="0" name=""/>
        <dsp:cNvSpPr/>
      </dsp:nvSpPr>
      <dsp:spPr>
        <a:xfrm>
          <a:off x="2059598" y="2190486"/>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Dose reduction of 0.05 µg/kg/min</a:t>
          </a:r>
        </a:p>
      </dsp:txBody>
      <dsp:txXfrm>
        <a:off x="2059598" y="2190486"/>
        <a:ext cx="1105776" cy="353848"/>
      </dsp:txXfrm>
    </dsp:sp>
    <dsp:sp modelId="{477EF5A1-2DCB-CA4B-A49D-4CC46617DFB8}">
      <dsp:nvSpPr>
        <dsp:cNvPr id="0" name=""/>
        <dsp:cNvSpPr/>
      </dsp:nvSpPr>
      <dsp:spPr>
        <a:xfrm>
          <a:off x="2955277" y="1305865"/>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B68D4-B995-6240-ABFE-9FE3F992C4EC}">
      <dsp:nvSpPr>
        <dsp:cNvPr id="0" name=""/>
        <dsp:cNvSpPr/>
      </dsp:nvSpPr>
      <dsp:spPr>
        <a:xfrm>
          <a:off x="2955277" y="1305865"/>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3B813-A054-6844-8A68-5E3295965872}">
      <dsp:nvSpPr>
        <dsp:cNvPr id="0" name=""/>
        <dsp:cNvSpPr/>
      </dsp:nvSpPr>
      <dsp:spPr>
        <a:xfrm>
          <a:off x="2678833" y="1405385"/>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MAP &gt; 65mmHg + HR &gt; 110/min + &lt; 0.1 µg/kg/min Nor.</a:t>
          </a:r>
        </a:p>
      </dsp:txBody>
      <dsp:txXfrm>
        <a:off x="2678833" y="1405385"/>
        <a:ext cx="1105776" cy="353848"/>
      </dsp:txXfrm>
    </dsp:sp>
    <dsp:sp modelId="{845AD9DA-EDE3-934D-8A67-95524D9300C5}">
      <dsp:nvSpPr>
        <dsp:cNvPr id="0" name=""/>
        <dsp:cNvSpPr/>
      </dsp:nvSpPr>
      <dsp:spPr>
        <a:xfrm>
          <a:off x="3674032" y="2090966"/>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FB039-A718-C941-991B-B4C0AD1B3348}">
      <dsp:nvSpPr>
        <dsp:cNvPr id="0" name=""/>
        <dsp:cNvSpPr/>
      </dsp:nvSpPr>
      <dsp:spPr>
        <a:xfrm>
          <a:off x="3674032" y="2090966"/>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B45164-2D9F-D442-9B0A-0F9AD34D9826}">
      <dsp:nvSpPr>
        <dsp:cNvPr id="0" name=""/>
        <dsp:cNvSpPr/>
      </dsp:nvSpPr>
      <dsp:spPr>
        <a:xfrm>
          <a:off x="3397587" y="2190486"/>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Dose reduction of 0.05 µg/kg/min</a:t>
          </a:r>
        </a:p>
      </dsp:txBody>
      <dsp:txXfrm>
        <a:off x="3397587" y="2190486"/>
        <a:ext cx="1105776" cy="353848"/>
      </dsp:txXfrm>
    </dsp:sp>
    <dsp:sp modelId="{42050EC8-D68B-D84D-8274-B41388279770}">
      <dsp:nvSpPr>
        <dsp:cNvPr id="0" name=""/>
        <dsp:cNvSpPr/>
      </dsp:nvSpPr>
      <dsp:spPr>
        <a:xfrm>
          <a:off x="4293267" y="1305865"/>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3DEAE5-17A7-C34E-A272-F04205930AA2}">
      <dsp:nvSpPr>
        <dsp:cNvPr id="0" name=""/>
        <dsp:cNvSpPr/>
      </dsp:nvSpPr>
      <dsp:spPr>
        <a:xfrm>
          <a:off x="4293267" y="1305865"/>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2B9FCA-191F-4D40-8070-18EFB5FEF750}">
      <dsp:nvSpPr>
        <dsp:cNvPr id="0" name=""/>
        <dsp:cNvSpPr/>
      </dsp:nvSpPr>
      <dsp:spPr>
        <a:xfrm>
          <a:off x="4016822" y="1405385"/>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MAP &lt; 65mmHg </a:t>
          </a:r>
          <a:r>
            <a:rPr lang="en-GB" sz="800" kern="1200"/>
            <a:t>+ HR </a:t>
          </a:r>
          <a:r>
            <a:rPr lang="en-GB" sz="800" kern="1200" dirty="0"/>
            <a:t>&gt; 110/min + &gt; 0.1 µg/kg/min Nor.</a:t>
          </a:r>
        </a:p>
      </dsp:txBody>
      <dsp:txXfrm>
        <a:off x="4016822" y="1405385"/>
        <a:ext cx="1105776" cy="353848"/>
      </dsp:txXfrm>
    </dsp:sp>
    <dsp:sp modelId="{450A350F-8AC5-9D4A-AFE9-34F70F11BEF6}">
      <dsp:nvSpPr>
        <dsp:cNvPr id="0" name=""/>
        <dsp:cNvSpPr/>
      </dsp:nvSpPr>
      <dsp:spPr>
        <a:xfrm>
          <a:off x="5012021" y="2090966"/>
          <a:ext cx="552888" cy="552888"/>
        </a:xfrm>
        <a:prstGeom prst="arc">
          <a:avLst>
            <a:gd name="adj1" fmla="val 13200000"/>
            <a:gd name="adj2" fmla="val 192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7B8E28-9CF3-EE4C-A3FB-9C098F2780FF}">
      <dsp:nvSpPr>
        <dsp:cNvPr id="0" name=""/>
        <dsp:cNvSpPr/>
      </dsp:nvSpPr>
      <dsp:spPr>
        <a:xfrm>
          <a:off x="5012021" y="2090966"/>
          <a:ext cx="552888" cy="552888"/>
        </a:xfrm>
        <a:prstGeom prst="arc">
          <a:avLst>
            <a:gd name="adj1" fmla="val 2400000"/>
            <a:gd name="adj2" fmla="val 8400000"/>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187A8F-FB73-7C45-83BE-C4C155CEE1B8}">
      <dsp:nvSpPr>
        <dsp:cNvPr id="0" name=""/>
        <dsp:cNvSpPr/>
      </dsp:nvSpPr>
      <dsp:spPr>
        <a:xfrm>
          <a:off x="4735577" y="2190486"/>
          <a:ext cx="1105776" cy="353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Dose reduction of 0.1 µg/kg/min</a:t>
          </a:r>
        </a:p>
      </dsp:txBody>
      <dsp:txXfrm>
        <a:off x="4735577" y="2190486"/>
        <a:ext cx="1105776" cy="35384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059CCE-3F0C-49E1-A4BE-57CBE898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94400</Words>
  <Characters>538081</Characters>
  <Application>Microsoft Office Word</Application>
  <DocSecurity>0</DocSecurity>
  <Lines>4484</Lines>
  <Paragraphs>1262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Reiterer</dc:creator>
  <cp:keywords/>
  <dc:description/>
  <cp:lastModifiedBy>Christian Reiterer</cp:lastModifiedBy>
  <cp:revision>2</cp:revision>
  <cp:lastPrinted>2020-03-28T12:18:00Z</cp:lastPrinted>
  <dcterms:created xsi:type="dcterms:W3CDTF">2024-10-22T20:55:00Z</dcterms:created>
  <dcterms:modified xsi:type="dcterms:W3CDTF">2024-10-22T20:55:00Z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http://www.zotero.org/styles/british-journal-of-anaesthesia</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http://www.zotero.org/styles/apa</vt:lpwstr>
  </property>
  <property fmtid="{D5CDD505-2E9C-101B-9397-08002B2CF9AE}" pid="10" name="Mendeley Recent Style Id 2_1">
    <vt:lpwstr>http://www.zotero.org/styles/anaesthesia</vt:lpwstr>
  </property>
  <property fmtid="{D5CDD505-2E9C-101B-9397-08002B2CF9AE}" pid="11" name="Mendeley Recent Style Id 3_1">
    <vt:lpwstr>http://www.zotero.org/styles/anesthesiology</vt:lpwstr>
  </property>
  <property fmtid="{D5CDD505-2E9C-101B-9397-08002B2CF9AE}" pid="12" name="Mendeley Recent Style Id 4_1">
    <vt:lpwstr>http://www.zotero.org/styles/british-journal-of-anaesthesia</vt:lpwstr>
  </property>
  <property fmtid="{D5CDD505-2E9C-101B-9397-08002B2CF9AE}" pid="13" name="Mendeley Recent Style Id 5_1">
    <vt:lpwstr>http://www.zotero.org/styles/chicago-author-date</vt:lpwstr>
  </property>
  <property fmtid="{D5CDD505-2E9C-101B-9397-08002B2CF9AE}" pid="14" name="Mendeley Recent Style Id 6_1">
    <vt:lpwstr>http://www.zotero.org/styles/harvard1</vt:lpwstr>
  </property>
  <property fmtid="{D5CDD505-2E9C-101B-9397-08002B2CF9AE}" pid="15" name="Mendeley Recent Style Id 7_1">
    <vt:lpwstr>http://www.zotero.org/styles/ieee</vt:lpwstr>
  </property>
  <property fmtid="{D5CDD505-2E9C-101B-9397-08002B2CF9AE}" pid="16" name="Mendeley Recent Style Id 8_1">
    <vt:lpwstr>http://www.zotero.org/styles/nature</vt:lpwstr>
  </property>
  <property fmtid="{D5CDD505-2E9C-101B-9397-08002B2CF9AE}" pid="17" name="Mendeley Recent Style Id 9_1">
    <vt:lpwstr>http://www.zotero.org/styles/vancouver</vt:lpwstr>
  </property>
  <property fmtid="{D5CDD505-2E9C-101B-9397-08002B2CF9AE}" pid="18" name="Mendeley Recent Style Name 0_1">
    <vt:lpwstr>American Medical Association</vt:lpwstr>
  </property>
  <property fmtid="{D5CDD505-2E9C-101B-9397-08002B2CF9AE}" pid="19" name="Mendeley Recent Style Name 1_1">
    <vt:lpwstr>American Psychological Association 6th edition</vt:lpwstr>
  </property>
  <property fmtid="{D5CDD505-2E9C-101B-9397-08002B2CF9AE}" pid="20" name="Mendeley Recent Style Name 2_1">
    <vt:lpwstr>Anaesthesia</vt:lpwstr>
  </property>
  <property fmtid="{D5CDD505-2E9C-101B-9397-08002B2CF9AE}" pid="21" name="Mendeley Recent Style Name 3_1">
    <vt:lpwstr>Anesthesiology</vt:lpwstr>
  </property>
  <property fmtid="{D5CDD505-2E9C-101B-9397-08002B2CF9AE}" pid="22" name="Mendeley Recent Style Name 4_1">
    <vt:lpwstr>British Journal of Anaesthesia</vt:lpwstr>
  </property>
  <property fmtid="{D5CDD505-2E9C-101B-9397-08002B2CF9AE}" pid="23" name="Mendeley Recent Style Name 5_1">
    <vt:lpwstr>Chicago Manual of Style 17th edition (author-date)</vt:lpwstr>
  </property>
  <property fmtid="{D5CDD505-2E9C-101B-9397-08002B2CF9AE}" pid="24" name="Mendeley Recent Style Name 6_1">
    <vt:lpwstr>Harvard reference format 1 (deprecated)</vt:lpwstr>
  </property>
  <property fmtid="{D5CDD505-2E9C-101B-9397-08002B2CF9AE}" pid="25" name="Mendeley Recent Style Name 7_1">
    <vt:lpwstr>IEEE</vt:lpwstr>
  </property>
  <property fmtid="{D5CDD505-2E9C-101B-9397-08002B2CF9AE}" pid="26" name="Mendeley Recent Style Name 8_1">
    <vt:lpwstr>Nature</vt:lpwstr>
  </property>
  <property fmtid="{D5CDD505-2E9C-101B-9397-08002B2CF9AE}" pid="27" name="Mendeley Recent Style Name 9_1">
    <vt:lpwstr>Vancouver</vt:lpwstr>
  </property>
  <property fmtid="{D5CDD505-2E9C-101B-9397-08002B2CF9AE}" pid="28" name="Mendeley Unique User Id_1">
    <vt:lpwstr>b39e42fc-e5a3-366d-8313-ce2367358c92</vt:lpwstr>
  </property>
  <property fmtid="{D5CDD505-2E9C-101B-9397-08002B2CF9AE}" pid="29" name="ScaleCrop">
    <vt:bool>false</vt:bool>
  </property>
  <property fmtid="{D5CDD505-2E9C-101B-9397-08002B2CF9AE}" pid="30" name="ShareDoc">
    <vt:bool>false</vt:bool>
  </property>
</Properties>
</file>