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F5147F" w14:textId="77777777" w:rsidR="00645517" w:rsidRDefault="00645517" w:rsidP="00645517">
      <w:pPr>
        <w:spacing w:line="360" w:lineRule="auto"/>
        <w:jc w:val="both"/>
        <w:rPr>
          <w:b/>
          <w:color w:val="0D0D0D" w:themeColor="text1" w:themeTint="F2"/>
          <w:sz w:val="28"/>
          <w:szCs w:val="28"/>
        </w:rPr>
      </w:pPr>
      <w:r>
        <w:rPr>
          <w:b/>
          <w:color w:val="0D0D0D" w:themeColor="text1" w:themeTint="F2"/>
          <w:sz w:val="28"/>
          <w:szCs w:val="28"/>
        </w:rPr>
        <w:t xml:space="preserve">Extended Data Figures: </w:t>
      </w:r>
    </w:p>
    <w:p w14:paraId="6A1FFCEA" w14:textId="77777777" w:rsidR="00645517" w:rsidRDefault="00645517" w:rsidP="00645517">
      <w:pPr>
        <w:spacing w:line="360" w:lineRule="auto"/>
        <w:jc w:val="both"/>
        <w:rPr>
          <w:b/>
          <w:color w:val="0D0D0D" w:themeColor="text1" w:themeTint="F2"/>
          <w:sz w:val="28"/>
          <w:szCs w:val="28"/>
        </w:rPr>
      </w:pPr>
    </w:p>
    <w:p w14:paraId="6836805C" w14:textId="77777777" w:rsidR="00645517" w:rsidRDefault="00645517" w:rsidP="00645517">
      <w:pPr>
        <w:spacing w:line="360" w:lineRule="auto"/>
        <w:jc w:val="both"/>
        <w:rPr>
          <w:b/>
          <w:color w:val="0D0D0D" w:themeColor="text1" w:themeTint="F2"/>
          <w:sz w:val="28"/>
          <w:szCs w:val="28"/>
        </w:rPr>
      </w:pPr>
      <w:r>
        <w:rPr>
          <w:b/>
          <w:noProof/>
          <w:color w:val="0D0D0D" w:themeColor="text1" w:themeTint="F2"/>
          <w:sz w:val="28"/>
          <w:szCs w:val="28"/>
        </w:rPr>
        <w:drawing>
          <wp:inline distT="0" distB="0" distL="0" distR="0" wp14:anchorId="783EECC9" wp14:editId="210EC785">
            <wp:extent cx="3073400" cy="3086100"/>
            <wp:effectExtent l="0" t="0" r="0" b="0"/>
            <wp:docPr id="941228820" name="Picture 3" descr="A diagram of a bra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1228820" name="Picture 3" descr="A diagram of a brain&#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3073400" cy="3086100"/>
                    </a:xfrm>
                    <a:prstGeom prst="rect">
                      <a:avLst/>
                    </a:prstGeom>
                  </pic:spPr>
                </pic:pic>
              </a:graphicData>
            </a:graphic>
          </wp:inline>
        </w:drawing>
      </w:r>
    </w:p>
    <w:p w14:paraId="0DE74415" w14:textId="77777777" w:rsidR="00645517" w:rsidRPr="00A76594" w:rsidRDefault="00645517" w:rsidP="00645517">
      <w:pPr>
        <w:jc w:val="both"/>
        <w:rPr>
          <w:b/>
          <w:color w:val="0D0D0D" w:themeColor="text1" w:themeTint="F2"/>
          <w:sz w:val="28"/>
          <w:szCs w:val="28"/>
        </w:rPr>
      </w:pPr>
      <w:r>
        <w:rPr>
          <w:b/>
        </w:rPr>
        <w:t xml:space="preserve">Extended Data Figure 1: CM nucleus connectivity for generalized epilepsy | </w:t>
      </w:r>
      <w:r>
        <w:t>(</w:t>
      </w:r>
      <w:r>
        <w:rPr>
          <w:b/>
        </w:rPr>
        <w:t>a-b</w:t>
      </w:r>
      <w:r>
        <w:t>): structural connectivity of the CM. (</w:t>
      </w:r>
      <w:r>
        <w:rPr>
          <w:b/>
        </w:rPr>
        <w:t>a</w:t>
      </w:r>
      <w:r>
        <w:t>): representative example (S01) of fiber tracts of the CM. (</w:t>
      </w:r>
      <w:r>
        <w:rPr>
          <w:b/>
        </w:rPr>
        <w:t>b</w:t>
      </w:r>
      <w:r>
        <w:t>): Volume of thalamocortical projections (mean ± standard error over 8 patients) from CM to each cortical lobe normalized by the total volume of fibers. (</w:t>
      </w:r>
      <w:r>
        <w:rPr>
          <w:b/>
        </w:rPr>
        <w:t>c-d</w:t>
      </w:r>
      <w:r>
        <w:t>): functional connectivity of the CM in generalized epilepsy. (</w:t>
      </w:r>
      <w:r>
        <w:rPr>
          <w:b/>
        </w:rPr>
        <w:t>c</w:t>
      </w:r>
      <w:r>
        <w:t>): mean h2 coefficient averaged across 24 seizures, for n=13 bipolar channels and the CM, PUL, ANT and VIM/VOP. (</w:t>
      </w:r>
      <w:r>
        <w:rPr>
          <w:b/>
        </w:rPr>
        <w:t>d</w:t>
      </w:r>
      <w:r>
        <w:t xml:space="preserve">): example of h2 coefficient between the CM, ANT, PUL and VIM/VOP and an epileptogenic zone contact over the course of a seizure. For visualization, we report the h2 envelope to reduce noise. </w:t>
      </w:r>
    </w:p>
    <w:p w14:paraId="7C2B9A5D" w14:textId="77777777" w:rsidR="00645517" w:rsidRDefault="00645517" w:rsidP="00645517">
      <w:pPr>
        <w:pStyle w:val="Heading3"/>
        <w:rPr>
          <w:sz w:val="24"/>
          <w:szCs w:val="24"/>
        </w:rPr>
      </w:pPr>
      <w:bookmarkStart w:id="0" w:name="_heading=h.pdgklvr8bzw4" w:colFirst="0" w:colLast="0"/>
      <w:bookmarkEnd w:id="0"/>
      <w:r>
        <w:rPr>
          <w:b/>
          <w:noProof/>
          <w:color w:val="0D0D0D" w:themeColor="text1" w:themeTint="F2"/>
          <w:sz w:val="22"/>
          <w:szCs w:val="22"/>
        </w:rPr>
        <w:lastRenderedPageBreak/>
        <w:drawing>
          <wp:inline distT="0" distB="0" distL="0" distR="0" wp14:anchorId="4F08ED64" wp14:editId="2487F863">
            <wp:extent cx="5733415" cy="5973445"/>
            <wp:effectExtent l="0" t="0" r="0" b="0"/>
            <wp:docPr id="1704379272" name="Picture 6" descr="A screenshot of a medical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4379272" name="Picture 6" descr="A screenshot of a medical chart&#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3415" cy="5973445"/>
                    </a:xfrm>
                    <a:prstGeom prst="rect">
                      <a:avLst/>
                    </a:prstGeom>
                  </pic:spPr>
                </pic:pic>
              </a:graphicData>
            </a:graphic>
          </wp:inline>
        </w:drawing>
      </w:r>
      <w:bookmarkStart w:id="1" w:name="_heading=h.c7v1ovhjddxo" w:colFirst="0" w:colLast="0"/>
      <w:bookmarkEnd w:id="1"/>
    </w:p>
    <w:p w14:paraId="2FCDDF97" w14:textId="77777777" w:rsidR="00645517" w:rsidRPr="003A34C9" w:rsidRDefault="00645517" w:rsidP="00645517">
      <w:pPr>
        <w:pStyle w:val="Heading3"/>
        <w:jc w:val="both"/>
        <w:rPr>
          <w:b/>
          <w:color w:val="0D0D0D" w:themeColor="text1" w:themeTint="F2"/>
          <w:sz w:val="20"/>
          <w:szCs w:val="20"/>
        </w:rPr>
      </w:pPr>
      <w:bookmarkStart w:id="2" w:name="_heading=h.uu3bcb15jtzr" w:colFirst="0" w:colLast="0"/>
      <w:bookmarkEnd w:id="2"/>
      <w:r w:rsidRPr="00A76594">
        <w:rPr>
          <w:b/>
          <w:color w:val="0D0D0D" w:themeColor="text1" w:themeTint="F2"/>
          <w:sz w:val="22"/>
          <w:szCs w:val="22"/>
        </w:rPr>
        <w:t>Extended Data Figure 2: Thalamocortical evoked potentials in all subjects</w:t>
      </w:r>
      <w:r>
        <w:rPr>
          <w:b/>
          <w:color w:val="0D0D0D" w:themeColor="text1" w:themeTint="F2"/>
          <w:sz w:val="22"/>
          <w:szCs w:val="22"/>
        </w:rPr>
        <w:t xml:space="preserve">| </w:t>
      </w:r>
      <w:r w:rsidRPr="003A34C9">
        <w:rPr>
          <w:color w:val="0D0D0D" w:themeColor="text1" w:themeTint="F2"/>
          <w:sz w:val="22"/>
          <w:szCs w:val="22"/>
        </w:rPr>
        <w:t>For each patient, we report the SEEG localization overlapped with the MRI (</w:t>
      </w:r>
      <w:r w:rsidRPr="003A34C9">
        <w:rPr>
          <w:i/>
          <w:color w:val="0D0D0D" w:themeColor="text1" w:themeTint="F2"/>
          <w:sz w:val="22"/>
          <w:szCs w:val="22"/>
        </w:rPr>
        <w:t>left</w:t>
      </w:r>
      <w:r w:rsidRPr="003A34C9">
        <w:rPr>
          <w:color w:val="0D0D0D" w:themeColor="text1" w:themeTint="F2"/>
          <w:sz w:val="22"/>
          <w:szCs w:val="22"/>
        </w:rPr>
        <w:t>). Stimulation triggered averages for each contact, color coded as medial to lateral (light gray to black) and brain structures involved below each plot (</w:t>
      </w:r>
      <w:r w:rsidRPr="003A34C9">
        <w:rPr>
          <w:i/>
          <w:color w:val="0D0D0D" w:themeColor="text1" w:themeTint="F2"/>
          <w:sz w:val="22"/>
          <w:szCs w:val="22"/>
        </w:rPr>
        <w:t>right</w:t>
      </w:r>
      <w:r w:rsidRPr="003A34C9">
        <w:rPr>
          <w:color w:val="0D0D0D" w:themeColor="text1" w:themeTint="F2"/>
          <w:sz w:val="22"/>
          <w:szCs w:val="22"/>
        </w:rPr>
        <w:t>).  Abbreviations: ITG=inferior temporal gyrus, IFG = inferior frontal gyrus, MTG = middle temporal gyrus, MFG = middle frontal gyrus, STS/STG = superior temporal sulcus/gyrus, SFS = superior frontal sulcus, G = gyrus, S = sulcus, Par = parietal, Temp = temporal, Hipp = hippocampal, Ant = anterior, Cing = cingulate, Sup = superior, SMA = supplementary motor area, IPL = inferior parietal lobe, POS = parieto-occipital sulcus, IPS = intraparietal sulcus.</w:t>
      </w:r>
    </w:p>
    <w:p w14:paraId="08077CCD" w14:textId="77777777" w:rsidR="00645517" w:rsidRPr="00A76594" w:rsidRDefault="00645517" w:rsidP="00645517">
      <w:pPr>
        <w:rPr>
          <w:color w:val="0D0D0D" w:themeColor="text1" w:themeTint="F2"/>
        </w:rPr>
      </w:pPr>
    </w:p>
    <w:p w14:paraId="224B68E4" w14:textId="77777777" w:rsidR="00645517" w:rsidRPr="00A76594" w:rsidRDefault="00645517" w:rsidP="00645517">
      <w:pPr>
        <w:rPr>
          <w:color w:val="0D0D0D" w:themeColor="text1" w:themeTint="F2"/>
        </w:rPr>
      </w:pPr>
    </w:p>
    <w:p w14:paraId="4203B0F2" w14:textId="77777777" w:rsidR="00645517" w:rsidRDefault="00645517" w:rsidP="00645517"/>
    <w:p w14:paraId="22A7FDA5" w14:textId="77777777" w:rsidR="00645517" w:rsidRDefault="00645517" w:rsidP="00645517"/>
    <w:p w14:paraId="21BA7298" w14:textId="77777777" w:rsidR="00645517" w:rsidRDefault="00645517" w:rsidP="00645517"/>
    <w:p w14:paraId="08CAE7EC" w14:textId="77777777" w:rsidR="00645517" w:rsidRDefault="00645517" w:rsidP="00645517">
      <w:pPr>
        <w:jc w:val="both"/>
      </w:pPr>
      <w:bookmarkStart w:id="3" w:name="_heading=h.li6qe5mj6d6n" w:colFirst="0" w:colLast="0"/>
      <w:bookmarkEnd w:id="3"/>
      <w:r>
        <w:rPr>
          <w:b/>
          <w:noProof/>
          <w:color w:val="0D0D0D" w:themeColor="text1" w:themeTint="F2"/>
        </w:rPr>
        <w:lastRenderedPageBreak/>
        <w:drawing>
          <wp:inline distT="0" distB="0" distL="0" distR="0" wp14:anchorId="0F50A664" wp14:editId="240BF530">
            <wp:extent cx="5733415" cy="6619875"/>
            <wp:effectExtent l="0" t="0" r="0" b="0"/>
            <wp:docPr id="464754952" name="Picture 7"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4754952" name="Picture 7" descr="A screenshot of a graph&#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3415" cy="6619875"/>
                    </a:xfrm>
                    <a:prstGeom prst="rect">
                      <a:avLst/>
                    </a:prstGeom>
                  </pic:spPr>
                </pic:pic>
              </a:graphicData>
            </a:graphic>
          </wp:inline>
        </w:drawing>
      </w:r>
      <w:r w:rsidRPr="00A76594">
        <w:rPr>
          <w:b/>
          <w:color w:val="0D0D0D" w:themeColor="text1" w:themeTint="F2"/>
        </w:rPr>
        <w:t>Extended Data Figure 3: Thalamocortical synchronization with non-linear correlation coefficient|</w:t>
      </w:r>
      <w:r w:rsidRPr="00A76594">
        <w:rPr>
          <w:color w:val="0D0D0D" w:themeColor="text1" w:themeTint="F2"/>
        </w:rPr>
        <w:t xml:space="preserve"> (</w:t>
      </w:r>
      <w:r w:rsidRPr="00A76594">
        <w:rPr>
          <w:b/>
          <w:color w:val="0D0D0D" w:themeColor="text1" w:themeTint="F2"/>
        </w:rPr>
        <w:t>a-b</w:t>
      </w:r>
      <w:r w:rsidRPr="00A76594">
        <w:rPr>
          <w:color w:val="0D0D0D" w:themeColor="text1" w:themeTint="F2"/>
        </w:rPr>
        <w:t>) h2 correlation of thalamus and non-SOZ areas. (</w:t>
      </w:r>
      <w:r w:rsidRPr="00A76594">
        <w:rPr>
          <w:b/>
          <w:color w:val="0D0D0D" w:themeColor="text1" w:themeTint="F2"/>
        </w:rPr>
        <w:t>a</w:t>
      </w:r>
      <w:r w:rsidRPr="00A76594">
        <w:rPr>
          <w:color w:val="0D0D0D" w:themeColor="text1" w:themeTint="F2"/>
        </w:rPr>
        <w:t>): representative example of the h2 coefficient during the course of a seizure of the PUL with a matched SOZ (blu) and a non-SOZ (black) cortical region</w:t>
      </w:r>
      <w:r>
        <w:rPr>
          <w:color w:val="0D0D0D" w:themeColor="text1" w:themeTint="F2"/>
        </w:rPr>
        <w:t xml:space="preserve"> in S03</w:t>
      </w:r>
      <w:r w:rsidRPr="00A76594">
        <w:rPr>
          <w:color w:val="0D0D0D" w:themeColor="text1" w:themeTint="F2"/>
        </w:rPr>
        <w:t>. (</w:t>
      </w:r>
      <w:r w:rsidRPr="00A76594">
        <w:rPr>
          <w:b/>
          <w:color w:val="0D0D0D" w:themeColor="text1" w:themeTint="F2"/>
        </w:rPr>
        <w:t>b</w:t>
      </w:r>
      <w:r w:rsidRPr="00A76594">
        <w:rPr>
          <w:color w:val="0D0D0D" w:themeColor="text1" w:themeTint="F2"/>
        </w:rPr>
        <w:t>) Boxplot of the mean h2 coefficient between each nucleus and the mean of 3 non-SOZ contacts during seizures. (</w:t>
      </w:r>
      <w:r w:rsidRPr="00A76594">
        <w:rPr>
          <w:b/>
          <w:color w:val="0D0D0D" w:themeColor="text1" w:themeTint="F2"/>
        </w:rPr>
        <w:t>c</w:t>
      </w:r>
      <w:r w:rsidRPr="00A76594">
        <w:rPr>
          <w:color w:val="0D0D0D" w:themeColor="text1" w:themeTint="F2"/>
        </w:rPr>
        <w:t>): analysis of h2 coefficient during multiple phases of the seizure (onset, middle and termination). One representative patient for each nucleus (PUL, ANT, VIM/VOP) is represented (n=13, n=3, n=28 seizures respectively).</w:t>
      </w:r>
      <w:r>
        <w:rPr>
          <w:b/>
          <w:color w:val="0D0D0D" w:themeColor="text1" w:themeTint="F2"/>
        </w:rPr>
        <w:t xml:space="preserve"> </w:t>
      </w:r>
      <w:r w:rsidRPr="00A76594">
        <w:rPr>
          <w:color w:val="0D0D0D" w:themeColor="text1" w:themeTint="F2"/>
        </w:rPr>
        <w:t>(</w:t>
      </w:r>
      <w:r>
        <w:rPr>
          <w:b/>
          <w:color w:val="0D0D0D" w:themeColor="text1" w:themeTint="F2"/>
        </w:rPr>
        <w:t>d</w:t>
      </w:r>
      <w:r w:rsidRPr="00A76594">
        <w:rPr>
          <w:color w:val="0D0D0D" w:themeColor="text1" w:themeTint="F2"/>
        </w:rPr>
        <w:t xml:space="preserve">) Violin plot of the mean h2 coefficient during the seizure for all matched (n=27 nuclei) and unmatched (n=7 nuclei) thalami-SOZ pairs, for different frequency bands. Each point represents the mean across all the seizures. </w:t>
      </w:r>
      <w:bookmarkStart w:id="4" w:name="_heading=h.i8mkjhucqqkx" w:colFirst="0" w:colLast="0"/>
      <w:bookmarkStart w:id="5" w:name="_heading=h.gw8gjkm2w2xi" w:colFirst="0" w:colLast="0"/>
      <w:bookmarkEnd w:id="4"/>
      <w:bookmarkEnd w:id="5"/>
    </w:p>
    <w:p w14:paraId="6B2FECC6" w14:textId="77777777" w:rsidR="00645517" w:rsidRDefault="00645517" w:rsidP="00645517"/>
    <w:p w14:paraId="289B4FEF" w14:textId="77777777" w:rsidR="00645517" w:rsidRDefault="00645517" w:rsidP="00645517">
      <w:pPr>
        <w:pStyle w:val="Heading3"/>
        <w:jc w:val="both"/>
        <w:rPr>
          <w:b/>
          <w:color w:val="0D0D0D" w:themeColor="text1" w:themeTint="F2"/>
          <w:sz w:val="22"/>
          <w:szCs w:val="22"/>
        </w:rPr>
      </w:pPr>
      <w:r>
        <w:rPr>
          <w:b/>
          <w:noProof/>
          <w:color w:val="0D0D0D" w:themeColor="text1" w:themeTint="F2"/>
          <w:sz w:val="22"/>
          <w:szCs w:val="22"/>
        </w:rPr>
        <w:lastRenderedPageBreak/>
        <w:drawing>
          <wp:inline distT="0" distB="0" distL="0" distR="0" wp14:anchorId="79CA0861" wp14:editId="56B05830">
            <wp:extent cx="5733415" cy="5880735"/>
            <wp:effectExtent l="0" t="0" r="0" b="0"/>
            <wp:docPr id="1878584125" name="Picture 8"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8584125" name="Picture 8" descr="A screenshot of a graph&#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3415" cy="5880735"/>
                    </a:xfrm>
                    <a:prstGeom prst="rect">
                      <a:avLst/>
                    </a:prstGeom>
                  </pic:spPr>
                </pic:pic>
              </a:graphicData>
            </a:graphic>
          </wp:inline>
        </w:drawing>
      </w:r>
    </w:p>
    <w:p w14:paraId="69563BCB" w14:textId="77777777" w:rsidR="00645517" w:rsidRPr="002B1F91" w:rsidRDefault="00645517" w:rsidP="00645517">
      <w:pPr>
        <w:pStyle w:val="Heading3"/>
        <w:jc w:val="both"/>
        <w:rPr>
          <w:b/>
          <w:color w:val="FF0000"/>
          <w:sz w:val="22"/>
          <w:szCs w:val="22"/>
        </w:rPr>
      </w:pPr>
      <w:r w:rsidRPr="002B1F91">
        <w:rPr>
          <w:b/>
          <w:color w:val="0D0D0D" w:themeColor="text1" w:themeTint="F2"/>
          <w:sz w:val="22"/>
          <w:szCs w:val="22"/>
        </w:rPr>
        <w:t>Extended Data Figure 4</w:t>
      </w:r>
      <w:r w:rsidRPr="002B1F91">
        <w:rPr>
          <w:b/>
          <w:color w:val="000000" w:themeColor="text1"/>
          <w:sz w:val="22"/>
          <w:szCs w:val="22"/>
        </w:rPr>
        <w:t xml:space="preserve">: Single subject Granger Causality results| </w:t>
      </w:r>
      <w:r w:rsidRPr="002B1F91">
        <w:rPr>
          <w:bCs/>
          <w:color w:val="000000" w:themeColor="text1"/>
          <w:sz w:val="22"/>
          <w:szCs w:val="22"/>
        </w:rPr>
        <w:t xml:space="preserve">For each subject, analysis of: </w:t>
      </w:r>
      <w:r w:rsidRPr="002B1F91">
        <w:rPr>
          <w:color w:val="0D0D0D" w:themeColor="text1" w:themeTint="F2"/>
          <w:sz w:val="22"/>
          <w:szCs w:val="22"/>
        </w:rPr>
        <w:t xml:space="preserve">Pie charts illustrating the proportion of seizures with higher corticothalamic (SOZ→th, light </w:t>
      </w:r>
      <w:r>
        <w:rPr>
          <w:color w:val="0D0D0D" w:themeColor="text1" w:themeTint="F2"/>
          <w:sz w:val="22"/>
          <w:szCs w:val="22"/>
        </w:rPr>
        <w:t>color</w:t>
      </w:r>
      <w:r w:rsidRPr="002B1F91">
        <w:rPr>
          <w:color w:val="0D0D0D" w:themeColor="text1" w:themeTint="F2"/>
          <w:sz w:val="22"/>
          <w:szCs w:val="22"/>
        </w:rPr>
        <w:t>) or thalamocortical (th→SOZ, dark color GC coefficient for the initiation (left) and termination (right) epoch.</w:t>
      </w:r>
      <w:r w:rsidRPr="002B1F91">
        <w:rPr>
          <w:bCs/>
          <w:color w:val="000000" w:themeColor="text1"/>
          <w:sz w:val="22"/>
          <w:szCs w:val="22"/>
        </w:rPr>
        <w:t xml:space="preserve"> (top); </w:t>
      </w:r>
      <w:r w:rsidRPr="002B1F91">
        <w:rPr>
          <w:color w:val="0D0D0D" w:themeColor="text1" w:themeTint="F2"/>
          <w:sz w:val="22"/>
          <w:szCs w:val="22"/>
        </w:rPr>
        <w:t>Bar</w:t>
      </w:r>
      <w:r>
        <w:rPr>
          <w:color w:val="0D0D0D" w:themeColor="text1" w:themeTint="F2"/>
          <w:sz w:val="22"/>
          <w:szCs w:val="22"/>
        </w:rPr>
        <w:t xml:space="preserve"> </w:t>
      </w:r>
      <w:r w:rsidRPr="002B1F91">
        <w:rPr>
          <w:color w:val="0D0D0D" w:themeColor="text1" w:themeTint="F2"/>
          <w:sz w:val="22"/>
          <w:szCs w:val="22"/>
        </w:rPr>
        <w:t>plot</w:t>
      </w:r>
      <w:r>
        <w:rPr>
          <w:color w:val="0D0D0D" w:themeColor="text1" w:themeTint="F2"/>
          <w:sz w:val="22"/>
          <w:szCs w:val="22"/>
        </w:rPr>
        <w:t xml:space="preserve"> (mean</w:t>
      </w:r>
      <w:r>
        <w:rPr>
          <w:color w:val="0D0D0D" w:themeColor="text1" w:themeTint="F2"/>
          <w:sz w:val="22"/>
          <w:szCs w:val="22"/>
        </w:rPr>
        <w:sym w:font="Symbol" w:char="F0B1"/>
      </w:r>
      <w:r>
        <w:rPr>
          <w:color w:val="0D0D0D" w:themeColor="text1" w:themeTint="F2"/>
          <w:sz w:val="22"/>
          <w:szCs w:val="22"/>
        </w:rPr>
        <w:t>standard deviation)</w:t>
      </w:r>
      <w:r w:rsidRPr="002B1F91">
        <w:rPr>
          <w:color w:val="0D0D0D" w:themeColor="text1" w:themeTint="F2"/>
          <w:sz w:val="22"/>
          <w:szCs w:val="22"/>
        </w:rPr>
        <w:t xml:space="preserve"> of the relative percentage change of GC coefficient from initiation to termination. Each data point represents the value </w:t>
      </w:r>
      <w:r>
        <w:rPr>
          <w:color w:val="0D0D0D" w:themeColor="text1" w:themeTint="F2"/>
          <w:sz w:val="22"/>
          <w:szCs w:val="22"/>
        </w:rPr>
        <w:t>of an individual seizure</w:t>
      </w:r>
      <w:r>
        <w:rPr>
          <w:bCs/>
          <w:color w:val="000000" w:themeColor="text1"/>
          <w:sz w:val="22"/>
          <w:szCs w:val="22"/>
        </w:rPr>
        <w:t xml:space="preserve"> </w:t>
      </w:r>
      <w:r w:rsidRPr="002B1F91">
        <w:rPr>
          <w:bCs/>
          <w:color w:val="000000" w:themeColor="text1"/>
          <w:sz w:val="22"/>
          <w:szCs w:val="22"/>
        </w:rPr>
        <w:t xml:space="preserve">(bottom). Each subject title reports the number of seizures. </w:t>
      </w:r>
    </w:p>
    <w:p w14:paraId="2C40CEE3" w14:textId="77777777" w:rsidR="00645517" w:rsidRPr="00403465" w:rsidRDefault="00645517" w:rsidP="00645517">
      <w:pPr>
        <w:pStyle w:val="Heading3"/>
        <w:rPr>
          <w:color w:val="FF0000"/>
        </w:rPr>
      </w:pPr>
      <w:r>
        <w:rPr>
          <w:noProof/>
          <w:color w:val="FF0000"/>
        </w:rPr>
        <w:lastRenderedPageBreak/>
        <w:drawing>
          <wp:inline distT="0" distB="0" distL="0" distR="0" wp14:anchorId="46341975" wp14:editId="57C1662F">
            <wp:extent cx="5733415" cy="6261100"/>
            <wp:effectExtent l="0" t="0" r="0" b="0"/>
            <wp:docPr id="1712872125" name="Picture 9" descr="A graph of different sizes and colo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2872125" name="Picture 9" descr="A graph of different sizes and colors&#10;&#10;Description automatically generated with medium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3415" cy="6261100"/>
                    </a:xfrm>
                    <a:prstGeom prst="rect">
                      <a:avLst/>
                    </a:prstGeom>
                  </pic:spPr>
                </pic:pic>
              </a:graphicData>
            </a:graphic>
          </wp:inline>
        </w:drawing>
      </w:r>
    </w:p>
    <w:p w14:paraId="4D4DA2C5" w14:textId="77777777" w:rsidR="00645517" w:rsidRDefault="00645517" w:rsidP="00645517"/>
    <w:p w14:paraId="366A4445" w14:textId="77777777" w:rsidR="00645517" w:rsidRPr="00A76594" w:rsidRDefault="00645517" w:rsidP="00645517">
      <w:pPr>
        <w:pStyle w:val="Heading3"/>
        <w:keepNext w:val="0"/>
        <w:keepLines w:val="0"/>
        <w:spacing w:before="0" w:after="0"/>
        <w:jc w:val="both"/>
        <w:rPr>
          <w:color w:val="0D0D0D" w:themeColor="text1" w:themeTint="F2"/>
        </w:rPr>
      </w:pPr>
      <w:bookmarkStart w:id="6" w:name="_heading=h.uq1fqow7acqv" w:colFirst="0" w:colLast="0"/>
      <w:bookmarkEnd w:id="6"/>
      <w:r w:rsidRPr="00A76594">
        <w:rPr>
          <w:b/>
          <w:color w:val="0D0D0D" w:themeColor="text1" w:themeTint="F2"/>
          <w:sz w:val="22"/>
          <w:szCs w:val="22"/>
        </w:rPr>
        <w:t xml:space="preserve">Extended Data Figure </w:t>
      </w:r>
      <w:r>
        <w:rPr>
          <w:b/>
          <w:color w:val="0D0D0D" w:themeColor="text1" w:themeTint="F2"/>
          <w:sz w:val="22"/>
          <w:szCs w:val="22"/>
        </w:rPr>
        <w:t>5</w:t>
      </w:r>
      <w:r w:rsidRPr="00A76594">
        <w:rPr>
          <w:b/>
          <w:color w:val="0D0D0D" w:themeColor="text1" w:themeTint="F2"/>
          <w:sz w:val="22"/>
          <w:szCs w:val="22"/>
        </w:rPr>
        <w:t xml:space="preserve">: Stimulation immediate effect | </w:t>
      </w:r>
      <w:r w:rsidRPr="00A76594">
        <w:rPr>
          <w:color w:val="0D0D0D" w:themeColor="text1" w:themeTint="F2"/>
          <w:sz w:val="22"/>
          <w:szCs w:val="22"/>
        </w:rPr>
        <w:t>(</w:t>
      </w:r>
      <w:r w:rsidRPr="00A76594">
        <w:rPr>
          <w:b/>
          <w:color w:val="0D0D0D" w:themeColor="text1" w:themeTint="F2"/>
          <w:sz w:val="22"/>
          <w:szCs w:val="22"/>
        </w:rPr>
        <w:t>a</w:t>
      </w:r>
      <w:r w:rsidRPr="00A76594">
        <w:rPr>
          <w:color w:val="0D0D0D" w:themeColor="text1" w:themeTint="F2"/>
          <w:sz w:val="22"/>
          <w:szCs w:val="22"/>
        </w:rPr>
        <w:t>): bar plot</w:t>
      </w:r>
      <w:r>
        <w:rPr>
          <w:color w:val="0D0D0D" w:themeColor="text1" w:themeTint="F2"/>
          <w:sz w:val="22"/>
          <w:szCs w:val="22"/>
        </w:rPr>
        <w:t xml:space="preserve"> (mean</w:t>
      </w:r>
      <w:r>
        <w:rPr>
          <w:color w:val="0D0D0D" w:themeColor="text1" w:themeTint="F2"/>
          <w:sz w:val="22"/>
          <w:szCs w:val="22"/>
        </w:rPr>
        <w:sym w:font="Symbol" w:char="F0B1"/>
      </w:r>
      <w:r>
        <w:rPr>
          <w:color w:val="0D0D0D" w:themeColor="text1" w:themeTint="F2"/>
          <w:sz w:val="22"/>
          <w:szCs w:val="22"/>
        </w:rPr>
        <w:t>standard deviation)</w:t>
      </w:r>
      <w:r w:rsidRPr="00A76594">
        <w:rPr>
          <w:color w:val="0D0D0D" w:themeColor="text1" w:themeTint="F2"/>
          <w:sz w:val="22"/>
          <w:szCs w:val="22"/>
        </w:rPr>
        <w:t xml:space="preserve"> of the IED rate for each pair of bipolar contacts</w:t>
      </w:r>
      <w:r>
        <w:rPr>
          <w:color w:val="0D0D0D" w:themeColor="text1" w:themeTint="F2"/>
          <w:sz w:val="22"/>
          <w:szCs w:val="22"/>
        </w:rPr>
        <w:t xml:space="preserve"> (explicated in the title)</w:t>
      </w:r>
      <w:r w:rsidRPr="00A76594">
        <w:rPr>
          <w:color w:val="0D0D0D" w:themeColor="text1" w:themeTint="F2"/>
          <w:sz w:val="22"/>
          <w:szCs w:val="22"/>
        </w:rPr>
        <w:t xml:space="preserve"> stimulated in each nucleus. (</w:t>
      </w:r>
      <w:r w:rsidRPr="00A76594">
        <w:rPr>
          <w:b/>
          <w:color w:val="0D0D0D" w:themeColor="text1" w:themeTint="F2"/>
          <w:sz w:val="22"/>
          <w:szCs w:val="22"/>
        </w:rPr>
        <w:t>b</w:t>
      </w:r>
      <w:r w:rsidRPr="00A76594">
        <w:rPr>
          <w:color w:val="0D0D0D" w:themeColor="text1" w:themeTint="F2"/>
          <w:sz w:val="22"/>
          <w:szCs w:val="22"/>
        </w:rPr>
        <w:t>): For all subjects, percentage change relative to baseline of the probability of IEDs suppression in matched (left) and unmatched (right) stimulation. Bright lines represent different stimulation trials while dark lines represent the mean.</w:t>
      </w:r>
    </w:p>
    <w:p w14:paraId="25C9E9B4" w14:textId="77777777" w:rsidR="00645517" w:rsidRDefault="00645517" w:rsidP="00645517">
      <w:pPr>
        <w:rPr>
          <w:b/>
          <w:color w:val="0D0D0D" w:themeColor="text1" w:themeTint="F2"/>
          <w:sz w:val="28"/>
          <w:szCs w:val="28"/>
        </w:rPr>
      </w:pPr>
    </w:p>
    <w:p w14:paraId="4E1761AD" w14:textId="77777777" w:rsidR="00645517" w:rsidRDefault="00645517" w:rsidP="00645517">
      <w:pPr>
        <w:rPr>
          <w:b/>
          <w:color w:val="0D0D0D" w:themeColor="text1" w:themeTint="F2"/>
          <w:sz w:val="28"/>
          <w:szCs w:val="28"/>
        </w:rPr>
      </w:pPr>
    </w:p>
    <w:p w14:paraId="720B0808" w14:textId="77777777" w:rsidR="00645517" w:rsidRDefault="00645517" w:rsidP="00645517">
      <w:pPr>
        <w:rPr>
          <w:b/>
          <w:color w:val="0D0D0D" w:themeColor="text1" w:themeTint="F2"/>
          <w:sz w:val="28"/>
          <w:szCs w:val="28"/>
        </w:rPr>
      </w:pPr>
    </w:p>
    <w:p w14:paraId="2C40011C" w14:textId="77777777" w:rsidR="00645517" w:rsidRDefault="00645517" w:rsidP="00645517">
      <w:pPr>
        <w:rPr>
          <w:b/>
          <w:color w:val="0D0D0D" w:themeColor="text1" w:themeTint="F2"/>
          <w:sz w:val="28"/>
          <w:szCs w:val="28"/>
        </w:rPr>
      </w:pPr>
    </w:p>
    <w:p w14:paraId="2E775FB9" w14:textId="77777777" w:rsidR="00645517" w:rsidRDefault="00645517" w:rsidP="00645517">
      <w:pPr>
        <w:rPr>
          <w:b/>
          <w:color w:val="0D0D0D" w:themeColor="text1" w:themeTint="F2"/>
          <w:sz w:val="28"/>
          <w:szCs w:val="28"/>
        </w:rPr>
      </w:pPr>
    </w:p>
    <w:p w14:paraId="245B5991" w14:textId="77777777" w:rsidR="00755780" w:rsidRDefault="00755780"/>
    <w:sectPr w:rsidR="00755780" w:rsidSect="00645517">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5517"/>
    <w:rsid w:val="00331A6B"/>
    <w:rsid w:val="00645517"/>
    <w:rsid w:val="00755780"/>
    <w:rsid w:val="00762B06"/>
    <w:rsid w:val="008575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878DFB"/>
  <w15:chartTrackingRefBased/>
  <w15:docId w15:val="{3E8532E2-B8FA-40B4-8A9F-DCC01F9100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5517"/>
    <w:pPr>
      <w:spacing w:after="0" w:line="276" w:lineRule="auto"/>
    </w:pPr>
    <w:rPr>
      <w:rFonts w:ascii="Arial" w:eastAsia="Arial" w:hAnsi="Arial" w:cs="Arial"/>
      <w:kern w:val="0"/>
      <w14:ligatures w14:val="none"/>
    </w:rPr>
  </w:style>
  <w:style w:type="paragraph" w:styleId="Heading1">
    <w:name w:val="heading 1"/>
    <w:basedOn w:val="Normal"/>
    <w:next w:val="Normal"/>
    <w:link w:val="Heading1Char"/>
    <w:uiPriority w:val="9"/>
    <w:qFormat/>
    <w:rsid w:val="00645517"/>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645517"/>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unhideWhenUsed/>
    <w:qFormat/>
    <w:rsid w:val="00645517"/>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645517"/>
    <w:pPr>
      <w:keepNext/>
      <w:keepLines/>
      <w:spacing w:before="80" w:after="40" w:line="259"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645517"/>
    <w:pPr>
      <w:keepNext/>
      <w:keepLines/>
      <w:spacing w:before="80" w:after="40" w:line="259"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645517"/>
    <w:pPr>
      <w:keepNext/>
      <w:keepLines/>
      <w:spacing w:before="40" w:line="259"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645517"/>
    <w:pPr>
      <w:keepNext/>
      <w:keepLines/>
      <w:spacing w:before="40" w:line="259"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645517"/>
    <w:pPr>
      <w:keepNext/>
      <w:keepLines/>
      <w:spacing w:line="259"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645517"/>
    <w:pPr>
      <w:keepNext/>
      <w:keepLines/>
      <w:spacing w:line="259"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4551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4551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4551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4551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4551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4551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4551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4551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45517"/>
    <w:rPr>
      <w:rFonts w:eastAsiaTheme="majorEastAsia" w:cstheme="majorBidi"/>
      <w:color w:val="272727" w:themeColor="text1" w:themeTint="D8"/>
    </w:rPr>
  </w:style>
  <w:style w:type="paragraph" w:styleId="Title">
    <w:name w:val="Title"/>
    <w:basedOn w:val="Normal"/>
    <w:next w:val="Normal"/>
    <w:link w:val="TitleChar"/>
    <w:uiPriority w:val="10"/>
    <w:qFormat/>
    <w:rsid w:val="00645517"/>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64551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45517"/>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64551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45517"/>
    <w:pPr>
      <w:spacing w:before="160" w:after="160" w:line="259"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645517"/>
    <w:rPr>
      <w:i/>
      <w:iCs/>
      <w:color w:val="404040" w:themeColor="text1" w:themeTint="BF"/>
    </w:rPr>
  </w:style>
  <w:style w:type="paragraph" w:styleId="ListParagraph">
    <w:name w:val="List Paragraph"/>
    <w:basedOn w:val="Normal"/>
    <w:uiPriority w:val="34"/>
    <w:qFormat/>
    <w:rsid w:val="00645517"/>
    <w:pPr>
      <w:spacing w:after="160" w:line="259" w:lineRule="auto"/>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645517"/>
    <w:rPr>
      <w:i/>
      <w:iCs/>
      <w:color w:val="0F4761" w:themeColor="accent1" w:themeShade="BF"/>
    </w:rPr>
  </w:style>
  <w:style w:type="paragraph" w:styleId="IntenseQuote">
    <w:name w:val="Intense Quote"/>
    <w:basedOn w:val="Normal"/>
    <w:next w:val="Normal"/>
    <w:link w:val="IntenseQuoteChar"/>
    <w:uiPriority w:val="30"/>
    <w:qFormat/>
    <w:rsid w:val="00645517"/>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645517"/>
    <w:rPr>
      <w:i/>
      <w:iCs/>
      <w:color w:val="0F4761" w:themeColor="accent1" w:themeShade="BF"/>
    </w:rPr>
  </w:style>
  <w:style w:type="character" w:styleId="IntenseReference">
    <w:name w:val="Intense Reference"/>
    <w:basedOn w:val="DefaultParagraphFont"/>
    <w:uiPriority w:val="32"/>
    <w:qFormat/>
    <w:rsid w:val="0064551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507</Words>
  <Characters>2891</Characters>
  <Application>Microsoft Office Word</Application>
  <DocSecurity>0</DocSecurity>
  <Lines>24</Lines>
  <Paragraphs>6</Paragraphs>
  <ScaleCrop>false</ScaleCrop>
  <Company>Springer Nature</Company>
  <LinksUpToDate>false</LinksUpToDate>
  <CharactersWithSpaces>3392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2024-11-27T04:03:00Z</dcterms:created>
  <dcterms:modified xsi:type="dcterms:W3CDTF">2024-11-27T04:03:00Z</dcterms:modified>
</cp:coreProperties>
</file>