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2B356" w14:textId="77777777" w:rsidR="004D5AFC" w:rsidRPr="00A452E4" w:rsidRDefault="004D5AFC" w:rsidP="004D5AFC">
      <w:pPr>
        <w:pStyle w:val="BodyText"/>
        <w:tabs>
          <w:tab w:val="left" w:pos="2111"/>
        </w:tabs>
        <w:spacing w:line="480" w:lineRule="auto"/>
        <w:jc w:val="center"/>
        <w:rPr>
          <w:b/>
          <w:bCs/>
          <w:spacing w:val="-1"/>
          <w:sz w:val="24"/>
          <w:szCs w:val="24"/>
        </w:rPr>
      </w:pPr>
      <w:r w:rsidRPr="00A452E4">
        <w:rPr>
          <w:b/>
          <w:bCs/>
          <w:spacing w:val="-1"/>
          <w:sz w:val="24"/>
          <w:szCs w:val="24"/>
        </w:rPr>
        <w:t>SPIRIT 2013 checklist</w:t>
      </w:r>
    </w:p>
    <w:tbl>
      <w:tblPr>
        <w:tblStyle w:val="TableGrid"/>
        <w:tblW w:w="0" w:type="auto"/>
        <w:tblLook w:val="04A0" w:firstRow="1" w:lastRow="0" w:firstColumn="1" w:lastColumn="0" w:noHBand="0" w:noVBand="1"/>
      </w:tblPr>
      <w:tblGrid>
        <w:gridCol w:w="4148"/>
        <w:gridCol w:w="4148"/>
      </w:tblGrid>
      <w:tr w:rsidR="004D5AFC" w:rsidRPr="00A452E4" w14:paraId="7C5B565F" w14:textId="77777777" w:rsidTr="001D01C7">
        <w:tc>
          <w:tcPr>
            <w:tcW w:w="4148" w:type="dxa"/>
            <w:vAlign w:val="center"/>
          </w:tcPr>
          <w:p w14:paraId="7806AB80" w14:textId="77777777" w:rsidR="004D5AFC" w:rsidRPr="00A452E4" w:rsidRDefault="004D5AFC" w:rsidP="001D01C7">
            <w:pPr>
              <w:rPr>
                <w:rFonts w:ascii="Times New Roman" w:hAnsi="Times New Roman" w:cs="Times New Roman"/>
                <w:b/>
                <w:bCs/>
              </w:rPr>
            </w:pPr>
            <w:r w:rsidRPr="00A452E4">
              <w:rPr>
                <w:rFonts w:ascii="Times New Roman" w:hAnsi="Times New Roman" w:cs="Times New Roman"/>
                <w:b/>
                <w:bCs/>
                <w:color w:val="333333"/>
              </w:rPr>
              <w:t>Data category</w:t>
            </w:r>
          </w:p>
        </w:tc>
        <w:tc>
          <w:tcPr>
            <w:tcW w:w="4148" w:type="dxa"/>
            <w:vAlign w:val="center"/>
          </w:tcPr>
          <w:p w14:paraId="32EE55B9" w14:textId="77777777" w:rsidR="004D5AFC" w:rsidRPr="00A452E4" w:rsidRDefault="004D5AFC" w:rsidP="001D01C7">
            <w:pPr>
              <w:rPr>
                <w:rFonts w:ascii="Times New Roman" w:hAnsi="Times New Roman" w:cs="Times New Roman"/>
                <w:b/>
                <w:bCs/>
              </w:rPr>
            </w:pPr>
            <w:r w:rsidRPr="00A452E4">
              <w:rPr>
                <w:rFonts w:ascii="Times New Roman" w:hAnsi="Times New Roman" w:cs="Times New Roman"/>
                <w:b/>
                <w:bCs/>
                <w:color w:val="333333"/>
              </w:rPr>
              <w:t>Information</w:t>
            </w:r>
          </w:p>
        </w:tc>
      </w:tr>
      <w:tr w:rsidR="004D5AFC" w:rsidRPr="00A452E4" w14:paraId="527D8F48" w14:textId="77777777" w:rsidTr="001D01C7">
        <w:tc>
          <w:tcPr>
            <w:tcW w:w="4148" w:type="dxa"/>
            <w:vAlign w:val="center"/>
          </w:tcPr>
          <w:p w14:paraId="570D753E"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Primary registry and trial identifying number</w:t>
            </w:r>
          </w:p>
        </w:tc>
        <w:tc>
          <w:tcPr>
            <w:tcW w:w="4148" w:type="dxa"/>
            <w:vAlign w:val="center"/>
          </w:tcPr>
          <w:p w14:paraId="3A57B9BE"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ClinicalTrials.gov</w:t>
            </w:r>
            <w:r w:rsidRPr="00A452E4">
              <w:rPr>
                <w:rFonts w:ascii="Times New Roman" w:hAnsi="Times New Roman" w:cs="Times New Roman"/>
                <w:color w:val="333333"/>
              </w:rPr>
              <w:br/>
              <w:t>NCT05982015</w:t>
            </w:r>
          </w:p>
        </w:tc>
      </w:tr>
      <w:tr w:rsidR="004D5AFC" w:rsidRPr="00A452E4" w14:paraId="226F8EFE" w14:textId="77777777" w:rsidTr="001D01C7">
        <w:tc>
          <w:tcPr>
            <w:tcW w:w="4148" w:type="dxa"/>
            <w:vAlign w:val="center"/>
          </w:tcPr>
          <w:p w14:paraId="35EE8E28"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Date of registration in primary registry</w:t>
            </w:r>
          </w:p>
        </w:tc>
        <w:tc>
          <w:tcPr>
            <w:tcW w:w="4148" w:type="dxa"/>
            <w:vAlign w:val="center"/>
          </w:tcPr>
          <w:p w14:paraId="1BD05592"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22 January 2024</w:t>
            </w:r>
          </w:p>
        </w:tc>
      </w:tr>
      <w:tr w:rsidR="004D5AFC" w:rsidRPr="00A452E4" w14:paraId="03502C1F" w14:textId="77777777" w:rsidTr="001D01C7">
        <w:tc>
          <w:tcPr>
            <w:tcW w:w="4148" w:type="dxa"/>
            <w:vAlign w:val="center"/>
          </w:tcPr>
          <w:p w14:paraId="2CCD6EA8"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Secondary identifying numbers</w:t>
            </w:r>
          </w:p>
        </w:tc>
        <w:tc>
          <w:tcPr>
            <w:tcW w:w="4148" w:type="dxa"/>
            <w:vAlign w:val="center"/>
          </w:tcPr>
          <w:p w14:paraId="601AE857"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Approved by the Ethics Committee of Xunawu Hospital of Capital Medical University in China: [2021]148-1; xwzc20220101X</w:t>
            </w:r>
          </w:p>
        </w:tc>
      </w:tr>
      <w:tr w:rsidR="004D5AFC" w:rsidRPr="00A452E4" w14:paraId="4D540DA7" w14:textId="77777777" w:rsidTr="001D01C7">
        <w:tc>
          <w:tcPr>
            <w:tcW w:w="4148" w:type="dxa"/>
            <w:vAlign w:val="center"/>
          </w:tcPr>
          <w:p w14:paraId="35B964EC"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Source(s) of monetary or material support</w:t>
            </w:r>
          </w:p>
        </w:tc>
        <w:tc>
          <w:tcPr>
            <w:tcW w:w="4148" w:type="dxa"/>
            <w:vAlign w:val="center"/>
          </w:tcPr>
          <w:p w14:paraId="24618C67"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1F1F1F"/>
              </w:rPr>
              <w:t xml:space="preserve">The study was funded by Beijing Scholars Program (No.060) </w:t>
            </w:r>
          </w:p>
        </w:tc>
      </w:tr>
      <w:tr w:rsidR="004D5AFC" w:rsidRPr="00A452E4" w14:paraId="546CD604" w14:textId="77777777" w:rsidTr="001D01C7">
        <w:tc>
          <w:tcPr>
            <w:tcW w:w="4148" w:type="dxa"/>
            <w:vAlign w:val="center"/>
          </w:tcPr>
          <w:p w14:paraId="2C9CAF6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Primary sponsor</w:t>
            </w:r>
          </w:p>
        </w:tc>
        <w:tc>
          <w:tcPr>
            <w:tcW w:w="4148" w:type="dxa"/>
            <w:vAlign w:val="center"/>
          </w:tcPr>
          <w:p w14:paraId="12013C2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1F1F1F"/>
              </w:rPr>
              <w:t>Xunming Ji</w:t>
            </w:r>
          </w:p>
        </w:tc>
      </w:tr>
      <w:tr w:rsidR="004D5AFC" w:rsidRPr="00A452E4" w14:paraId="1811DB1D" w14:textId="77777777" w:rsidTr="001D01C7">
        <w:tc>
          <w:tcPr>
            <w:tcW w:w="4148" w:type="dxa"/>
            <w:vAlign w:val="center"/>
          </w:tcPr>
          <w:p w14:paraId="6E5B4658"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Secondary sponsor(s)</w:t>
            </w:r>
          </w:p>
        </w:tc>
        <w:tc>
          <w:tcPr>
            <w:tcW w:w="4148" w:type="dxa"/>
            <w:vAlign w:val="center"/>
          </w:tcPr>
          <w:p w14:paraId="3EA69794"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None</w:t>
            </w:r>
          </w:p>
        </w:tc>
      </w:tr>
      <w:tr w:rsidR="004D5AFC" w:rsidRPr="00A452E4" w14:paraId="07816C5B" w14:textId="77777777" w:rsidTr="001D01C7">
        <w:tc>
          <w:tcPr>
            <w:tcW w:w="4148" w:type="dxa"/>
            <w:vAlign w:val="center"/>
          </w:tcPr>
          <w:p w14:paraId="000FB2EB"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Contact for public queries</w:t>
            </w:r>
          </w:p>
        </w:tc>
        <w:tc>
          <w:tcPr>
            <w:tcW w:w="4148" w:type="dxa"/>
            <w:vAlign w:val="center"/>
          </w:tcPr>
          <w:p w14:paraId="754F8A81"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1F1F1F"/>
              </w:rPr>
              <w:t>Xunming Ji</w:t>
            </w:r>
            <w:r w:rsidRPr="00A452E4">
              <w:rPr>
                <w:rFonts w:ascii="Times New Roman" w:hAnsi="Times New Roman" w:cs="Times New Roman"/>
                <w:color w:val="333333"/>
              </w:rPr>
              <w:t>, MD, PhD [jixm@ccmu.edu.cn]</w:t>
            </w:r>
          </w:p>
        </w:tc>
      </w:tr>
      <w:tr w:rsidR="004D5AFC" w:rsidRPr="00A452E4" w14:paraId="058FB220" w14:textId="77777777" w:rsidTr="001D01C7">
        <w:tc>
          <w:tcPr>
            <w:tcW w:w="4148" w:type="dxa"/>
            <w:vAlign w:val="center"/>
          </w:tcPr>
          <w:p w14:paraId="0B269922"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Contact for scientific queries</w:t>
            </w:r>
          </w:p>
        </w:tc>
        <w:tc>
          <w:tcPr>
            <w:tcW w:w="4148" w:type="dxa"/>
            <w:vAlign w:val="center"/>
          </w:tcPr>
          <w:p w14:paraId="62CD580F" w14:textId="77777777" w:rsidR="004D5AFC" w:rsidRPr="00A452E4" w:rsidRDefault="004D5AFC" w:rsidP="001D01C7">
            <w:pPr>
              <w:rPr>
                <w:rFonts w:ascii="Times New Roman" w:hAnsi="Times New Roman" w:cs="Times New Roman"/>
                <w:color w:val="333333"/>
              </w:rPr>
            </w:pPr>
            <w:r w:rsidRPr="00A452E4">
              <w:rPr>
                <w:rFonts w:ascii="Times New Roman" w:hAnsi="Times New Roman" w:cs="Times New Roman"/>
                <w:color w:val="333333"/>
              </w:rPr>
              <w:t>Xunming Ji, MD, PhD</w:t>
            </w:r>
            <w:r w:rsidRPr="00A452E4">
              <w:rPr>
                <w:rFonts w:ascii="Times New Roman" w:hAnsi="Times New Roman" w:cs="Times New Roman"/>
                <w:color w:val="333333"/>
              </w:rPr>
              <w:br/>
              <w:t>Department of Neurology, b Center for Evidence Based Medicine, Xuanwu Hospital, Capital Medical University, Beijing, China</w:t>
            </w:r>
            <w:r w:rsidRPr="00A452E4">
              <w:rPr>
                <w:rFonts w:ascii="Times New Roman" w:hAnsi="Times New Roman" w:cs="Times New Roman"/>
                <w:color w:val="333333"/>
              </w:rPr>
              <w:t>；</w:t>
            </w:r>
          </w:p>
          <w:p w14:paraId="7AB825D1" w14:textId="77777777" w:rsidR="004D5AFC" w:rsidRPr="00A452E4" w:rsidRDefault="004D5AFC" w:rsidP="001D01C7">
            <w:pPr>
              <w:rPr>
                <w:rFonts w:ascii="Times New Roman" w:hAnsi="Times New Roman" w:cs="Times New Roman"/>
                <w:color w:val="333333"/>
              </w:rPr>
            </w:pPr>
            <w:r w:rsidRPr="00A452E4">
              <w:rPr>
                <w:rFonts w:ascii="Times New Roman" w:hAnsi="Times New Roman" w:cs="Times New Roman"/>
                <w:color w:val="333333"/>
              </w:rPr>
              <w:t>Beijing Institute for Brain Disorders, Capital Medical University, Beijing, China Beijing Institute for Brain Disorders, Capital Medical University, Beijing, China</w:t>
            </w:r>
          </w:p>
        </w:tc>
      </w:tr>
      <w:tr w:rsidR="004D5AFC" w:rsidRPr="00A452E4" w14:paraId="35F5B55E" w14:textId="77777777" w:rsidTr="001D01C7">
        <w:tc>
          <w:tcPr>
            <w:tcW w:w="4148" w:type="dxa"/>
            <w:vAlign w:val="center"/>
          </w:tcPr>
          <w:p w14:paraId="74B11804"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Public title</w:t>
            </w:r>
          </w:p>
        </w:tc>
        <w:tc>
          <w:tcPr>
            <w:tcW w:w="4148" w:type="dxa"/>
            <w:vAlign w:val="center"/>
          </w:tcPr>
          <w:p w14:paraId="48F3399A" w14:textId="77777777" w:rsidR="004D5AFC" w:rsidRPr="00A452E4" w:rsidRDefault="004D5AFC" w:rsidP="001D01C7">
            <w:pPr>
              <w:pStyle w:val="BodyText"/>
              <w:rPr>
                <w:b/>
                <w:bCs/>
                <w:spacing w:val="-1"/>
                <w:sz w:val="24"/>
                <w:szCs w:val="24"/>
              </w:rPr>
            </w:pPr>
            <w:r w:rsidRPr="00A452E4">
              <w:rPr>
                <w:rFonts w:eastAsiaTheme="minorEastAsia"/>
                <w:color w:val="333333"/>
                <w:kern w:val="2"/>
                <w:sz w:val="24"/>
                <w:szCs w:val="24"/>
                <w14:ligatures w14:val="standardContextual"/>
              </w:rPr>
              <w:t>Efficacy Study II on Remote Ischemic Preconditioning for the Prevention of Stroke-Associated Pneumonia (RICA-2)</w:t>
            </w:r>
          </w:p>
        </w:tc>
      </w:tr>
      <w:tr w:rsidR="004D5AFC" w:rsidRPr="00A452E4" w14:paraId="14BF23D1" w14:textId="77777777" w:rsidTr="001D01C7">
        <w:tc>
          <w:tcPr>
            <w:tcW w:w="4148" w:type="dxa"/>
            <w:vAlign w:val="center"/>
          </w:tcPr>
          <w:p w14:paraId="2E3BAA9F"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Scientific title</w:t>
            </w:r>
          </w:p>
        </w:tc>
        <w:tc>
          <w:tcPr>
            <w:tcW w:w="4148" w:type="dxa"/>
            <w:vAlign w:val="center"/>
          </w:tcPr>
          <w:p w14:paraId="420D569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Remote Ischemic Conditioning for the Prevention of Stroke-Associated Pneumonia (RICA-2): Protocol for A Multicenter, Prospective, Randomized, Double-Blind, Sham-Controlled Phase III Trial</w:t>
            </w:r>
          </w:p>
        </w:tc>
      </w:tr>
      <w:tr w:rsidR="004D5AFC" w:rsidRPr="00A452E4" w14:paraId="7F9A642D" w14:textId="77777777" w:rsidTr="001D01C7">
        <w:tc>
          <w:tcPr>
            <w:tcW w:w="4148" w:type="dxa"/>
            <w:vAlign w:val="center"/>
          </w:tcPr>
          <w:p w14:paraId="03CDB74F"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Countries of recruitment</w:t>
            </w:r>
          </w:p>
        </w:tc>
        <w:tc>
          <w:tcPr>
            <w:tcW w:w="4148" w:type="dxa"/>
            <w:vAlign w:val="center"/>
          </w:tcPr>
          <w:p w14:paraId="05FE15E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China</w:t>
            </w:r>
          </w:p>
        </w:tc>
      </w:tr>
      <w:tr w:rsidR="004D5AFC" w:rsidRPr="00A452E4" w14:paraId="73073EB8" w14:textId="77777777" w:rsidTr="001D01C7">
        <w:tc>
          <w:tcPr>
            <w:tcW w:w="4148" w:type="dxa"/>
            <w:vAlign w:val="center"/>
          </w:tcPr>
          <w:p w14:paraId="610213D2"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Health condition(s) or problem(s) studied</w:t>
            </w:r>
          </w:p>
        </w:tc>
        <w:tc>
          <w:tcPr>
            <w:tcW w:w="4148" w:type="dxa"/>
            <w:vAlign w:val="center"/>
          </w:tcPr>
          <w:p w14:paraId="27BF5AB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 xml:space="preserve">Remote ischemic conditioning treatment; Stroke-associated peumonia </w:t>
            </w:r>
          </w:p>
        </w:tc>
      </w:tr>
      <w:tr w:rsidR="004D5AFC" w:rsidRPr="00A452E4" w14:paraId="6989FEE5" w14:textId="77777777" w:rsidTr="001D01C7">
        <w:tc>
          <w:tcPr>
            <w:tcW w:w="4148" w:type="dxa"/>
            <w:vMerge w:val="restart"/>
            <w:vAlign w:val="center"/>
          </w:tcPr>
          <w:p w14:paraId="77FE13CC"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Intervention(s)</w:t>
            </w:r>
          </w:p>
        </w:tc>
        <w:tc>
          <w:tcPr>
            <w:tcW w:w="4148" w:type="dxa"/>
            <w:vAlign w:val="center"/>
          </w:tcPr>
          <w:p w14:paraId="694A7C28"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1F1F1F"/>
              </w:rPr>
              <w:t>The RIC procedure consisted of 5 cycles of inﬂation to a pressure of 200 mmHg (RIC group) and deﬂation for 5 min alternately within 1 hour of enrollment performed on the upper arm by an electric autocontrolled device with cuﬀ. All patients will receive optimal medical treatment and care from local medical practices throughout the study.</w:t>
            </w:r>
          </w:p>
        </w:tc>
      </w:tr>
      <w:tr w:rsidR="004D5AFC" w:rsidRPr="00A452E4" w14:paraId="5E1CD14F" w14:textId="77777777" w:rsidTr="001D01C7">
        <w:tc>
          <w:tcPr>
            <w:tcW w:w="4148" w:type="dxa"/>
            <w:vMerge/>
            <w:vAlign w:val="bottom"/>
          </w:tcPr>
          <w:p w14:paraId="6E047466" w14:textId="77777777" w:rsidR="004D5AFC" w:rsidRPr="00A452E4" w:rsidRDefault="004D5AFC" w:rsidP="001D01C7">
            <w:pPr>
              <w:rPr>
                <w:rFonts w:ascii="Times New Roman" w:hAnsi="Times New Roman" w:cs="Times New Roman"/>
              </w:rPr>
            </w:pPr>
          </w:p>
        </w:tc>
        <w:tc>
          <w:tcPr>
            <w:tcW w:w="4148" w:type="dxa"/>
            <w:vAlign w:val="center"/>
          </w:tcPr>
          <w:p w14:paraId="3BF26BC2"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1F1F1F"/>
              </w:rPr>
              <w:t>The RIC procedure consisted of 5 cycles of inﬂation to a pressure of 60 mmHg (Sham-RIC group) and deﬂation for 5 min alternately within 1 hour of enrollment performed on the upper arm by an electric autocontrolled device with cuﬀ. All patients will receive optimal medical treatment and care from local medical practices throughout the study.</w:t>
            </w:r>
          </w:p>
        </w:tc>
      </w:tr>
      <w:tr w:rsidR="004D5AFC" w:rsidRPr="00A452E4" w14:paraId="13308C68" w14:textId="77777777" w:rsidTr="001D01C7">
        <w:tc>
          <w:tcPr>
            <w:tcW w:w="4148" w:type="dxa"/>
            <w:vMerge w:val="restart"/>
            <w:vAlign w:val="center"/>
          </w:tcPr>
          <w:p w14:paraId="1296A9C1"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Key inclusion and exclusion criteria</w:t>
            </w:r>
          </w:p>
        </w:tc>
        <w:tc>
          <w:tcPr>
            <w:tcW w:w="4148" w:type="dxa"/>
            <w:vAlign w:val="center"/>
          </w:tcPr>
          <w:p w14:paraId="38FB13BA"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Ages eligible for study: ≥18 years</w:t>
            </w:r>
            <w:r w:rsidRPr="00A452E4">
              <w:rPr>
                <w:rFonts w:ascii="Times New Roman" w:hAnsi="Times New Roman" w:cs="Times New Roman"/>
                <w:color w:val="333333"/>
              </w:rPr>
              <w:br/>
              <w:t>Sexes eligible for study: both</w:t>
            </w:r>
            <w:r w:rsidRPr="00A452E4">
              <w:rPr>
                <w:rFonts w:ascii="Times New Roman" w:hAnsi="Times New Roman" w:cs="Times New Roman"/>
                <w:color w:val="333333"/>
              </w:rPr>
              <w:br/>
              <w:t>Accepts healthy volunteers: no</w:t>
            </w:r>
          </w:p>
        </w:tc>
      </w:tr>
      <w:tr w:rsidR="004D5AFC" w:rsidRPr="00A452E4" w14:paraId="6565BF83" w14:textId="77777777" w:rsidTr="001D01C7">
        <w:tc>
          <w:tcPr>
            <w:tcW w:w="4148" w:type="dxa"/>
            <w:vMerge/>
            <w:vAlign w:val="bottom"/>
          </w:tcPr>
          <w:p w14:paraId="48873059" w14:textId="77777777" w:rsidR="004D5AFC" w:rsidRPr="00A452E4" w:rsidRDefault="004D5AFC" w:rsidP="001D01C7">
            <w:pPr>
              <w:rPr>
                <w:rFonts w:ascii="Times New Roman" w:hAnsi="Times New Roman" w:cs="Times New Roman"/>
              </w:rPr>
            </w:pPr>
          </w:p>
        </w:tc>
        <w:tc>
          <w:tcPr>
            <w:tcW w:w="4148" w:type="dxa"/>
            <w:vAlign w:val="center"/>
          </w:tcPr>
          <w:p w14:paraId="05569383"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Inclusion criteria: Age≥18 years old; Diagnosis of acute ischemic stroke; RIC or Sham-RIC can be treated within 24 hours after stroke onset; NIHSS score≥4; Subject or his or her legally authorized representative was able to provide informed consent</w:t>
            </w:r>
          </w:p>
        </w:tc>
      </w:tr>
      <w:tr w:rsidR="004D5AFC" w:rsidRPr="00A452E4" w14:paraId="31D09943" w14:textId="77777777" w:rsidTr="001D01C7">
        <w:tc>
          <w:tcPr>
            <w:tcW w:w="4148" w:type="dxa"/>
            <w:vMerge/>
            <w:vAlign w:val="bottom"/>
          </w:tcPr>
          <w:p w14:paraId="0B70E3E7" w14:textId="77777777" w:rsidR="004D5AFC" w:rsidRPr="00A452E4" w:rsidRDefault="004D5AFC" w:rsidP="001D01C7">
            <w:pPr>
              <w:rPr>
                <w:rFonts w:ascii="Times New Roman" w:hAnsi="Times New Roman" w:cs="Times New Roman"/>
              </w:rPr>
            </w:pPr>
          </w:p>
        </w:tc>
        <w:tc>
          <w:tcPr>
            <w:tcW w:w="4148" w:type="dxa"/>
            <w:vAlign w:val="center"/>
          </w:tcPr>
          <w:p w14:paraId="04E3CA32"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 xml:space="preserve">Exclusion criteria: During the screening period, body temperature ≥ 38 ℃; Evidence of lung infection, urinary tract infection or other infectious diseases during the screening period; Expected lifespan less than 7 days; Mechanical ventilation is expected to be required within 7 days; Anti-infective drugs were used within 7 </w:t>
            </w:r>
            <w:r w:rsidRPr="00A452E4">
              <w:rPr>
                <w:rFonts w:ascii="Times New Roman" w:hAnsi="Times New Roman" w:cs="Times New Roman"/>
                <w:color w:val="333333"/>
              </w:rPr>
              <w:lastRenderedPageBreak/>
              <w:t>days prior to stroke; Uncontrolled hypertension with medication (defined as systolic blood pressure ≥200 mmHg and/or diastolic blood pressure ≥110 mmHg); There are contraindications for remote ischemic conditioning (such as skin and soft tissue injury, fractures, peripheral arterial disease, etc. in the upper limbs); History of autoimmune disease or malignancies; Use of immunosuppressive drug within the preceding three months; Pregnant or lactating, or pregnancy test positive; Current participation in another investigational trial; Other conditions are not suitable for this trial as evaluated by researchers</w:t>
            </w:r>
          </w:p>
        </w:tc>
      </w:tr>
      <w:tr w:rsidR="004D5AFC" w:rsidRPr="00A452E4" w14:paraId="1A1FBD03" w14:textId="77777777" w:rsidTr="001D01C7">
        <w:tc>
          <w:tcPr>
            <w:tcW w:w="4148" w:type="dxa"/>
            <w:vMerge w:val="restart"/>
            <w:vAlign w:val="center"/>
          </w:tcPr>
          <w:p w14:paraId="2A94628D"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lastRenderedPageBreak/>
              <w:t>Study type</w:t>
            </w:r>
          </w:p>
        </w:tc>
        <w:tc>
          <w:tcPr>
            <w:tcW w:w="4148" w:type="dxa"/>
            <w:vAlign w:val="center"/>
          </w:tcPr>
          <w:p w14:paraId="19959271"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Interventional</w:t>
            </w:r>
          </w:p>
        </w:tc>
      </w:tr>
      <w:tr w:rsidR="004D5AFC" w:rsidRPr="00A452E4" w14:paraId="746EFED8" w14:textId="77777777" w:rsidTr="001D01C7">
        <w:tc>
          <w:tcPr>
            <w:tcW w:w="4148" w:type="dxa"/>
            <w:vMerge/>
            <w:vAlign w:val="bottom"/>
          </w:tcPr>
          <w:p w14:paraId="4EA2EC43" w14:textId="77777777" w:rsidR="004D5AFC" w:rsidRPr="00A452E4" w:rsidRDefault="004D5AFC" w:rsidP="001D01C7">
            <w:pPr>
              <w:rPr>
                <w:rFonts w:ascii="Times New Roman" w:hAnsi="Times New Roman" w:cs="Times New Roman"/>
              </w:rPr>
            </w:pPr>
          </w:p>
        </w:tc>
        <w:tc>
          <w:tcPr>
            <w:tcW w:w="4148" w:type="dxa"/>
            <w:vAlign w:val="center"/>
          </w:tcPr>
          <w:p w14:paraId="5B4EADD1" w14:textId="77777777" w:rsidR="004D5AFC" w:rsidRPr="00A452E4" w:rsidRDefault="004D5AFC" w:rsidP="001D01C7">
            <w:pPr>
              <w:rPr>
                <w:rFonts w:ascii="Times New Roman" w:hAnsi="Times New Roman" w:cs="Times New Roman"/>
              </w:rPr>
            </w:pPr>
            <w:r w:rsidRPr="00A452E4">
              <w:rPr>
                <w:rFonts w:ascii="Times New Roman" w:hAnsi="Times New Roman" w:cs="Times New Roman"/>
                <w:color w:val="333333"/>
              </w:rPr>
              <w:t>Allocation: randomized intervention model. Parallel assignment masking: double blind (subject, caregiver, investigator, outcomes assessor)</w:t>
            </w:r>
          </w:p>
        </w:tc>
      </w:tr>
      <w:tr w:rsidR="004D5AFC" w:rsidRPr="00A452E4" w14:paraId="71139347" w14:textId="77777777" w:rsidTr="001D01C7">
        <w:tc>
          <w:tcPr>
            <w:tcW w:w="4148" w:type="dxa"/>
            <w:vMerge/>
            <w:vAlign w:val="bottom"/>
          </w:tcPr>
          <w:p w14:paraId="61338F17" w14:textId="77777777" w:rsidR="004D5AFC" w:rsidRPr="00A452E4" w:rsidRDefault="004D5AFC" w:rsidP="001D01C7">
            <w:pPr>
              <w:rPr>
                <w:rFonts w:ascii="Times New Roman" w:hAnsi="Times New Roman" w:cs="Times New Roman"/>
              </w:rPr>
            </w:pPr>
          </w:p>
        </w:tc>
        <w:tc>
          <w:tcPr>
            <w:tcW w:w="4148" w:type="dxa"/>
            <w:vAlign w:val="center"/>
          </w:tcPr>
          <w:p w14:paraId="1205517B" w14:textId="77777777" w:rsidR="004D5AFC" w:rsidRPr="00FF4B0F" w:rsidRDefault="004D5AFC" w:rsidP="001D01C7">
            <w:pPr>
              <w:rPr>
                <w:rFonts w:ascii="Times New Roman" w:hAnsi="Times New Roman" w:cs="Times New Roman"/>
                <w:color w:val="333333"/>
              </w:rPr>
            </w:pPr>
            <w:r w:rsidRPr="00A452E4">
              <w:rPr>
                <w:rFonts w:ascii="Times New Roman" w:hAnsi="Times New Roman" w:cs="Times New Roman"/>
                <w:color w:val="333333"/>
              </w:rPr>
              <w:t>Primary purpose: prevention</w:t>
            </w:r>
          </w:p>
        </w:tc>
      </w:tr>
    </w:tbl>
    <w:p w14:paraId="17060275" w14:textId="77777777" w:rsidR="004D5AFC" w:rsidRPr="0074457C" w:rsidRDefault="004D5AFC" w:rsidP="004D5AFC">
      <w:pPr>
        <w:sectPr w:rsidR="004D5AFC" w:rsidRPr="0074457C" w:rsidSect="004D5AFC">
          <w:pgSz w:w="11900" w:h="16840"/>
          <w:pgMar w:top="1100" w:right="1786" w:bottom="232" w:left="1786" w:header="879" w:footer="0" w:gutter="0"/>
          <w:cols w:space="425"/>
        </w:sectPr>
      </w:pPr>
    </w:p>
    <w:p w14:paraId="7BC2496A"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AFC"/>
    <w:rsid w:val="002E281E"/>
    <w:rsid w:val="003201BB"/>
    <w:rsid w:val="004D5AFC"/>
    <w:rsid w:val="0059127F"/>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507CC"/>
  <w15:chartTrackingRefBased/>
  <w15:docId w15:val="{AD220B06-9D4F-4553-99A6-79D7D6C19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AFC"/>
    <w:pPr>
      <w:spacing w:after="0" w:line="240" w:lineRule="auto"/>
    </w:pPr>
    <w:rPr>
      <w:rFonts w:ascii="SimSun" w:eastAsia="SimSun" w:hAnsi="SimSun" w:cs="SimSun"/>
      <w:kern w:val="0"/>
      <w:lang w:eastAsia="zh-CN"/>
      <w14:ligatures w14:val="none"/>
    </w:rPr>
  </w:style>
  <w:style w:type="paragraph" w:styleId="Heading1">
    <w:name w:val="heading 1"/>
    <w:basedOn w:val="Normal"/>
    <w:next w:val="Normal"/>
    <w:link w:val="Heading1Char"/>
    <w:uiPriority w:val="9"/>
    <w:qFormat/>
    <w:rsid w:val="004D5AF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D5AF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D5AF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D5AF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D5AFC"/>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D5AFC"/>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D5AFC"/>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D5AFC"/>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D5AFC"/>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5A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5A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5A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5A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5A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5A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5A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5A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5AFC"/>
    <w:rPr>
      <w:rFonts w:eastAsiaTheme="majorEastAsia" w:cstheme="majorBidi"/>
      <w:color w:val="272727" w:themeColor="text1" w:themeTint="D8"/>
    </w:rPr>
  </w:style>
  <w:style w:type="paragraph" w:styleId="Title">
    <w:name w:val="Title"/>
    <w:basedOn w:val="Normal"/>
    <w:next w:val="Normal"/>
    <w:link w:val="TitleChar"/>
    <w:uiPriority w:val="10"/>
    <w:qFormat/>
    <w:rsid w:val="004D5AF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D5A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5AF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D5A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5AFC"/>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D5AFC"/>
    <w:rPr>
      <w:i/>
      <w:iCs/>
      <w:color w:val="404040" w:themeColor="text1" w:themeTint="BF"/>
    </w:rPr>
  </w:style>
  <w:style w:type="paragraph" w:styleId="ListParagraph">
    <w:name w:val="List Paragraph"/>
    <w:basedOn w:val="Normal"/>
    <w:uiPriority w:val="34"/>
    <w:qFormat/>
    <w:rsid w:val="004D5AFC"/>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D5AFC"/>
    <w:rPr>
      <w:i/>
      <w:iCs/>
      <w:color w:val="0F4761" w:themeColor="accent1" w:themeShade="BF"/>
    </w:rPr>
  </w:style>
  <w:style w:type="paragraph" w:styleId="IntenseQuote">
    <w:name w:val="Intense Quote"/>
    <w:basedOn w:val="Normal"/>
    <w:next w:val="Normal"/>
    <w:link w:val="IntenseQuoteChar"/>
    <w:uiPriority w:val="30"/>
    <w:qFormat/>
    <w:rsid w:val="004D5AF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D5AFC"/>
    <w:rPr>
      <w:i/>
      <w:iCs/>
      <w:color w:val="0F4761" w:themeColor="accent1" w:themeShade="BF"/>
    </w:rPr>
  </w:style>
  <w:style w:type="character" w:styleId="IntenseReference">
    <w:name w:val="Intense Reference"/>
    <w:basedOn w:val="DefaultParagraphFont"/>
    <w:uiPriority w:val="32"/>
    <w:qFormat/>
    <w:rsid w:val="004D5AFC"/>
    <w:rPr>
      <w:b/>
      <w:bCs/>
      <w:smallCaps/>
      <w:color w:val="0F4761" w:themeColor="accent1" w:themeShade="BF"/>
      <w:spacing w:val="5"/>
    </w:rPr>
  </w:style>
  <w:style w:type="paragraph" w:styleId="BodyText">
    <w:name w:val="Body Text"/>
    <w:basedOn w:val="Normal"/>
    <w:link w:val="BodyTextChar"/>
    <w:uiPriority w:val="99"/>
    <w:unhideWhenUsed/>
    <w:qFormat/>
    <w:rsid w:val="004D5AFC"/>
    <w:pPr>
      <w:kinsoku w:val="0"/>
      <w:autoSpaceDE w:val="0"/>
      <w:autoSpaceDN w:val="0"/>
      <w:adjustRightInd w:val="0"/>
      <w:snapToGrid w:val="0"/>
      <w:textAlignment w:val="baseline"/>
    </w:pPr>
    <w:rPr>
      <w:rFonts w:ascii="Times New Roman" w:hAnsi="Times New Roman" w:cs="Times New Roman"/>
      <w:color w:val="000000"/>
      <w:sz w:val="20"/>
      <w:szCs w:val="20"/>
    </w:rPr>
  </w:style>
  <w:style w:type="character" w:customStyle="1" w:styleId="BodyTextChar">
    <w:name w:val="Body Text Char"/>
    <w:basedOn w:val="DefaultParagraphFont"/>
    <w:link w:val="BodyText"/>
    <w:uiPriority w:val="99"/>
    <w:qFormat/>
    <w:rsid w:val="004D5AFC"/>
    <w:rPr>
      <w:rFonts w:ascii="Times New Roman" w:eastAsia="SimSun" w:hAnsi="Times New Roman" w:cs="Times New Roman"/>
      <w:color w:val="000000"/>
      <w:kern w:val="0"/>
      <w:sz w:val="20"/>
      <w:szCs w:val="20"/>
      <w:lang w:eastAsia="zh-CN"/>
      <w14:ligatures w14:val="none"/>
    </w:rPr>
  </w:style>
  <w:style w:type="table" w:styleId="TableGrid">
    <w:name w:val="Table Grid"/>
    <w:basedOn w:val="TableNormal"/>
    <w:uiPriority w:val="39"/>
    <w:qFormat/>
    <w:rsid w:val="004D5AFC"/>
    <w:pPr>
      <w:widowControl w:val="0"/>
      <w:spacing w:after="0" w:line="240" w:lineRule="auto"/>
      <w:jc w:val="both"/>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537</Words>
  <Characters>3066</Characters>
  <Application>Microsoft Office Word</Application>
  <DocSecurity>0</DocSecurity>
  <Lines>25</Lines>
  <Paragraphs>7</Paragraphs>
  <ScaleCrop>false</ScaleCrop>
  <Company>Springer Nature</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2025-05-15T13:31:00Z</dcterms:created>
  <dcterms:modified xsi:type="dcterms:W3CDTF">2025-05-15T13:31:00Z</dcterms:modified>
</cp:coreProperties>
</file>