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F72B6" w14:textId="77777777" w:rsidR="00B716E0" w:rsidRPr="00910EBB" w:rsidRDefault="00B716E0" w:rsidP="00B716E0">
      <w:pPr>
        <w:pStyle w:val="Heading1"/>
        <w:rPr>
          <w:rFonts w:ascii="Times New Roman" w:hAnsi="Times New Roman" w:cs="Times New Roman"/>
          <w:b/>
          <w:color w:val="auto"/>
        </w:rPr>
      </w:pPr>
      <w:r w:rsidRPr="00910EBB">
        <w:rPr>
          <w:rFonts w:ascii="Times New Roman" w:hAnsi="Times New Roman" w:cs="Times New Roman"/>
          <w:b/>
          <w:bCs/>
          <w:color w:val="auto"/>
        </w:rPr>
        <w:t>Supplemental material:</w:t>
      </w:r>
    </w:p>
    <w:p w14:paraId="0E306A44" w14:textId="77777777" w:rsidR="00B716E0" w:rsidRPr="00910EBB" w:rsidRDefault="00B716E0" w:rsidP="00B716E0"/>
    <w:p w14:paraId="72696461" w14:textId="77777777" w:rsidR="00B716E0" w:rsidRPr="00D70A94" w:rsidRDefault="00B716E0" w:rsidP="00B716E0">
      <w:pPr>
        <w:pStyle w:val="Heading1"/>
        <w:rPr>
          <w:rFonts w:ascii="Times New Roman" w:hAnsi="Times New Roman" w:cs="Times New Roman"/>
          <w:b/>
          <w:bCs/>
          <w:color w:val="auto"/>
        </w:rPr>
      </w:pPr>
      <w:r w:rsidRPr="00910EBB">
        <w:rPr>
          <w:rFonts w:ascii="Times New Roman" w:hAnsi="Times New Roman" w:cs="Times New Roman"/>
          <w:b/>
          <w:bCs/>
          <w:color w:val="auto"/>
        </w:rPr>
        <w:t xml:space="preserve">S1: </w:t>
      </w:r>
      <w:r>
        <w:rPr>
          <w:rFonts w:ascii="Times New Roman" w:hAnsi="Times New Roman" w:cs="Times New Roman"/>
          <w:b/>
          <w:bCs/>
          <w:color w:val="auto"/>
        </w:rPr>
        <w:t>D</w:t>
      </w:r>
      <w:r w:rsidRPr="00BC7940">
        <w:rPr>
          <w:rFonts w:ascii="Times New Roman" w:hAnsi="Times New Roman" w:cs="Times New Roman"/>
          <w:b/>
          <w:bCs/>
          <w:color w:val="auto"/>
        </w:rPr>
        <w:t>irected acyclic graph</w:t>
      </w:r>
      <w:r>
        <w:rPr>
          <w:rFonts w:ascii="Times New Roman" w:hAnsi="Times New Roman" w:cs="Times New Roman"/>
          <w:b/>
          <w:bCs/>
          <w:color w:val="auto"/>
        </w:rPr>
        <w:t>s</w:t>
      </w:r>
    </w:p>
    <w:p w14:paraId="503CC77C" w14:textId="77777777" w:rsidR="00B716E0" w:rsidRDefault="00B716E0" w:rsidP="00B716E0">
      <w:r>
        <w:rPr>
          <w:noProof/>
        </w:rPr>
        <w:drawing>
          <wp:inline distT="0" distB="0" distL="0" distR="0" wp14:anchorId="4C0966DD" wp14:editId="69A23FAE">
            <wp:extent cx="5943600" cy="3941445"/>
            <wp:effectExtent l="0" t="0" r="0" b="1905"/>
            <wp:docPr id="7" name="Picture 7"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network&#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3941445"/>
                    </a:xfrm>
                    <a:prstGeom prst="rect">
                      <a:avLst/>
                    </a:prstGeom>
                  </pic:spPr>
                </pic:pic>
              </a:graphicData>
            </a:graphic>
          </wp:inline>
        </w:drawing>
      </w:r>
    </w:p>
    <w:p w14:paraId="46BDCFC4" w14:textId="77777777" w:rsidR="00B716E0" w:rsidRPr="00DC41F1" w:rsidRDefault="00B716E0" w:rsidP="00B716E0">
      <w:pPr>
        <w:rPr>
          <w:rFonts w:ascii="Times New Roman" w:hAnsi="Times New Roman" w:cs="Times New Roman"/>
          <w:i/>
        </w:rPr>
      </w:pPr>
      <w:r w:rsidRPr="00DC41F1">
        <w:rPr>
          <w:rFonts w:ascii="Times New Roman" w:hAnsi="Times New Roman" w:cs="Times New Roman"/>
          <w:i/>
        </w:rPr>
        <w:t xml:space="preserve">Figure S1A: </w:t>
      </w:r>
      <w:bookmarkStart w:id="0" w:name="_Hlk179281108"/>
      <w:r>
        <w:rPr>
          <w:rFonts w:ascii="Times New Roman" w:hAnsi="Times New Roman" w:cs="Times New Roman"/>
          <w:i/>
        </w:rPr>
        <w:t>Directed acyclic graph showing the assumed causal paths estimated in equation 1. Green nodes show predictors included in the statistical model as both estimands and controls. The outcome variable is the slaughtering rate in each province, in each month from January 2015 to December 2022 (“SlaughterPerCow”).</w:t>
      </w:r>
      <w:bookmarkEnd w:id="0"/>
    </w:p>
    <w:p w14:paraId="7AD8655F" w14:textId="77777777" w:rsidR="00B716E0" w:rsidRDefault="00B716E0" w:rsidP="00B716E0"/>
    <w:p w14:paraId="5AB5DF2D" w14:textId="77777777" w:rsidR="00B716E0" w:rsidRDefault="00B716E0" w:rsidP="00B716E0"/>
    <w:p w14:paraId="0E3FB052" w14:textId="77777777" w:rsidR="00B716E0" w:rsidRDefault="00B716E0" w:rsidP="00B716E0"/>
    <w:p w14:paraId="3C5BEDA4" w14:textId="77777777" w:rsidR="00B716E0" w:rsidRDefault="00B716E0" w:rsidP="00B716E0"/>
    <w:p w14:paraId="2DB87ABB" w14:textId="77777777" w:rsidR="00B716E0" w:rsidRDefault="00B716E0" w:rsidP="00B716E0"/>
    <w:p w14:paraId="19491CB8" w14:textId="77777777" w:rsidR="00B716E0" w:rsidRDefault="00B716E0" w:rsidP="00B716E0"/>
    <w:p w14:paraId="24DF8EF2" w14:textId="77777777" w:rsidR="00B716E0" w:rsidRDefault="00B716E0" w:rsidP="00B716E0">
      <w:r>
        <w:rPr>
          <w:noProof/>
        </w:rPr>
        <w:lastRenderedPageBreak/>
        <w:drawing>
          <wp:inline distT="0" distB="0" distL="0" distR="0" wp14:anchorId="0B270C98" wp14:editId="1071F84A">
            <wp:extent cx="5943600" cy="3921760"/>
            <wp:effectExtent l="0" t="0" r="0" b="2540"/>
            <wp:docPr id="8" name="Picture 8" descr="A network diagram of a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network diagram of a network&#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943600" cy="3921760"/>
                    </a:xfrm>
                    <a:prstGeom prst="rect">
                      <a:avLst/>
                    </a:prstGeom>
                  </pic:spPr>
                </pic:pic>
              </a:graphicData>
            </a:graphic>
          </wp:inline>
        </w:drawing>
      </w:r>
    </w:p>
    <w:p w14:paraId="2F7B940F" w14:textId="77777777" w:rsidR="00B716E0" w:rsidRPr="00DC41F1" w:rsidRDefault="00B716E0" w:rsidP="00B716E0">
      <w:pPr>
        <w:rPr>
          <w:rFonts w:ascii="Times New Roman" w:hAnsi="Times New Roman" w:cs="Times New Roman"/>
          <w:i/>
        </w:rPr>
      </w:pPr>
      <w:r w:rsidRPr="00DC41F1">
        <w:rPr>
          <w:rFonts w:ascii="Times New Roman" w:hAnsi="Times New Roman" w:cs="Times New Roman"/>
          <w:i/>
        </w:rPr>
        <w:t>Figure S1</w:t>
      </w:r>
      <w:r>
        <w:rPr>
          <w:rFonts w:ascii="Times New Roman" w:hAnsi="Times New Roman" w:cs="Times New Roman"/>
          <w:i/>
        </w:rPr>
        <w:t>B</w:t>
      </w:r>
      <w:r w:rsidRPr="00DC41F1">
        <w:rPr>
          <w:rFonts w:ascii="Times New Roman" w:hAnsi="Times New Roman" w:cs="Times New Roman"/>
          <w:i/>
        </w:rPr>
        <w:t xml:space="preserve">: </w:t>
      </w:r>
      <w:r w:rsidRPr="00DC3CA8">
        <w:rPr>
          <w:rFonts w:ascii="Times New Roman" w:hAnsi="Times New Roman" w:cs="Times New Roman"/>
          <w:i/>
        </w:rPr>
        <w:t>Directed acyclic graph showing the assumed causal paths estimate</w:t>
      </w:r>
      <w:r>
        <w:rPr>
          <w:rFonts w:ascii="Times New Roman" w:hAnsi="Times New Roman" w:cs="Times New Roman"/>
          <w:i/>
        </w:rPr>
        <w:t>d</w:t>
      </w:r>
      <w:r w:rsidRPr="00DC3CA8">
        <w:rPr>
          <w:rFonts w:ascii="Times New Roman" w:hAnsi="Times New Roman" w:cs="Times New Roman"/>
          <w:i/>
        </w:rPr>
        <w:t xml:space="preserve"> in equation</w:t>
      </w:r>
      <w:r>
        <w:rPr>
          <w:rFonts w:ascii="Times New Roman" w:hAnsi="Times New Roman" w:cs="Times New Roman"/>
          <w:i/>
        </w:rPr>
        <w:t>s</w:t>
      </w:r>
      <w:r w:rsidRPr="00DC3CA8">
        <w:rPr>
          <w:rFonts w:ascii="Times New Roman" w:hAnsi="Times New Roman" w:cs="Times New Roman"/>
          <w:i/>
        </w:rPr>
        <w:t xml:space="preserve"> </w:t>
      </w:r>
      <w:r>
        <w:rPr>
          <w:rFonts w:ascii="Times New Roman" w:hAnsi="Times New Roman" w:cs="Times New Roman"/>
          <w:i/>
        </w:rPr>
        <w:t>2 and 3</w:t>
      </w:r>
      <w:r w:rsidRPr="00DC3CA8">
        <w:rPr>
          <w:rFonts w:ascii="Times New Roman" w:hAnsi="Times New Roman" w:cs="Times New Roman"/>
          <w:i/>
        </w:rPr>
        <w:t xml:space="preserve">. Green nodes show predictors included in the statistical model as both estimands and controls. The outcome variable is the slaughtering rate in each </w:t>
      </w:r>
      <w:r>
        <w:rPr>
          <w:rFonts w:ascii="Times New Roman" w:hAnsi="Times New Roman" w:cs="Times New Roman"/>
          <w:i/>
        </w:rPr>
        <w:t>16-km pixel</w:t>
      </w:r>
      <w:r w:rsidRPr="00DC3CA8">
        <w:rPr>
          <w:rFonts w:ascii="Times New Roman" w:hAnsi="Times New Roman" w:cs="Times New Roman"/>
          <w:i/>
        </w:rPr>
        <w:t xml:space="preserve">, </w:t>
      </w:r>
      <w:r>
        <w:rPr>
          <w:rFonts w:ascii="Times New Roman" w:hAnsi="Times New Roman" w:cs="Times New Roman"/>
          <w:i/>
        </w:rPr>
        <w:t>in the year 2020</w:t>
      </w:r>
      <w:r w:rsidRPr="00DC3CA8">
        <w:rPr>
          <w:rFonts w:ascii="Times New Roman" w:hAnsi="Times New Roman" w:cs="Times New Roman"/>
          <w:i/>
        </w:rPr>
        <w:t xml:space="preserve"> (“SlaughterPerCow”).</w:t>
      </w:r>
    </w:p>
    <w:p w14:paraId="32EBDB7E" w14:textId="77777777" w:rsidR="00B716E0" w:rsidRDefault="00B716E0" w:rsidP="00B716E0">
      <w:r>
        <w:br w:type="page"/>
      </w:r>
    </w:p>
    <w:p w14:paraId="1D5034A9" w14:textId="77777777" w:rsidR="00B716E0" w:rsidRPr="00910EBB" w:rsidRDefault="00B716E0" w:rsidP="00B716E0">
      <w:pPr>
        <w:pStyle w:val="Heading1"/>
        <w:rPr>
          <w:rFonts w:ascii="Times New Roman" w:hAnsi="Times New Roman" w:cs="Times New Roman"/>
          <w:b/>
          <w:bCs/>
          <w:color w:val="auto"/>
        </w:rPr>
      </w:pPr>
      <w:r w:rsidRPr="00910EBB">
        <w:rPr>
          <w:rFonts w:ascii="Times New Roman" w:hAnsi="Times New Roman" w:cs="Times New Roman"/>
          <w:b/>
          <w:bCs/>
          <w:color w:val="auto"/>
        </w:rPr>
        <w:lastRenderedPageBreak/>
        <w:t>S2: Data sources</w:t>
      </w:r>
    </w:p>
    <w:p w14:paraId="2901009A" w14:textId="77777777" w:rsidR="00B716E0" w:rsidRPr="00910EBB" w:rsidRDefault="00B716E0" w:rsidP="00B716E0"/>
    <w:p w14:paraId="2680D92E" w14:textId="77777777" w:rsidR="00B716E0" w:rsidRPr="003B0814" w:rsidRDefault="00B716E0" w:rsidP="00B716E0">
      <w:pPr>
        <w:spacing w:after="160" w:line="276" w:lineRule="auto"/>
        <w:jc w:val="both"/>
        <w:rPr>
          <w:rFonts w:ascii="Times New Roman" w:hAnsi="Times New Roman" w:cs="Times New Roman"/>
          <w:sz w:val="24"/>
          <w:szCs w:val="24"/>
        </w:rPr>
      </w:pPr>
      <w:r w:rsidRPr="003B0814">
        <w:rPr>
          <w:rFonts w:ascii="Times New Roman" w:eastAsia="Aptos" w:hAnsi="Times New Roman" w:cs="Times New Roman"/>
          <w:sz w:val="24"/>
          <w:szCs w:val="24"/>
        </w:rPr>
        <w:t>Table S</w:t>
      </w:r>
      <w:r>
        <w:rPr>
          <w:rFonts w:ascii="Times New Roman" w:eastAsia="Aptos" w:hAnsi="Times New Roman" w:cs="Times New Roman"/>
          <w:sz w:val="24"/>
          <w:szCs w:val="24"/>
        </w:rPr>
        <w:t>2</w:t>
      </w:r>
      <w:r w:rsidRPr="003B0814">
        <w:rPr>
          <w:rFonts w:ascii="Times New Roman" w:eastAsia="Aptos" w:hAnsi="Times New Roman" w:cs="Times New Roman"/>
          <w:sz w:val="24"/>
          <w:szCs w:val="24"/>
        </w:rPr>
        <w:t xml:space="preserve">. </w:t>
      </w:r>
      <w:r>
        <w:rPr>
          <w:rFonts w:ascii="Times New Roman" w:eastAsia="Aptos" w:hAnsi="Times New Roman" w:cs="Times New Roman"/>
          <w:sz w:val="24"/>
          <w:szCs w:val="24"/>
        </w:rPr>
        <w:t>Descriptions and sources</w:t>
      </w:r>
      <w:r w:rsidRPr="003B0814">
        <w:rPr>
          <w:rFonts w:ascii="Times New Roman" w:eastAsia="Aptos" w:hAnsi="Times New Roman" w:cs="Times New Roman"/>
          <w:sz w:val="24"/>
          <w:szCs w:val="24"/>
        </w:rPr>
        <w:t xml:space="preserve"> of the variables and jurisdictional boundaries used in </w:t>
      </w:r>
      <w:r>
        <w:rPr>
          <w:rFonts w:ascii="Times New Roman" w:eastAsia="Aptos" w:hAnsi="Times New Roman" w:cs="Times New Roman"/>
          <w:sz w:val="24"/>
          <w:szCs w:val="24"/>
        </w:rPr>
        <w:t xml:space="preserve">timeseries and disaggregation modelling to examine the </w:t>
      </w:r>
      <w:r w:rsidRPr="00910EBB">
        <w:rPr>
          <w:rFonts w:ascii="Times New Roman" w:eastAsia="Aptos" w:hAnsi="Times New Roman" w:cs="Times New Roman"/>
          <w:sz w:val="24"/>
          <w:szCs w:val="24"/>
        </w:rPr>
        <w:t>causal links between community wellbeing and the adaptive use of cattle sales in response to changes in precipitation</w:t>
      </w:r>
      <w:r>
        <w:rPr>
          <w:rFonts w:ascii="Times New Roman" w:eastAsia="Aptos" w:hAnsi="Times New Roman" w:cs="Times New Roman"/>
          <w:sz w:val="24"/>
          <w:szCs w:val="24"/>
        </w:rPr>
        <w:t>.</w:t>
      </w:r>
    </w:p>
    <w:tbl>
      <w:tblPr>
        <w:tblW w:w="9360" w:type="dxa"/>
        <w:tblInd w:w="90" w:type="dxa"/>
        <w:tblLayout w:type="fixed"/>
        <w:tblLook w:val="04A0" w:firstRow="1" w:lastRow="0" w:firstColumn="1" w:lastColumn="0" w:noHBand="0" w:noVBand="1"/>
      </w:tblPr>
      <w:tblGrid>
        <w:gridCol w:w="1860"/>
        <w:gridCol w:w="3267"/>
        <w:gridCol w:w="4233"/>
      </w:tblGrid>
      <w:tr w:rsidR="00B716E0" w:rsidRPr="003B0814" w14:paraId="461AF452" w14:textId="77777777" w:rsidTr="002D3942">
        <w:trPr>
          <w:trHeight w:val="450"/>
        </w:trPr>
        <w:tc>
          <w:tcPr>
            <w:tcW w:w="1860" w:type="dxa"/>
            <w:tcBorders>
              <w:top w:val="single" w:sz="12" w:space="0" w:color="auto"/>
              <w:left w:val="nil"/>
              <w:bottom w:val="single" w:sz="12" w:space="0" w:color="auto"/>
              <w:right w:val="nil"/>
            </w:tcBorders>
            <w:shd w:val="clear" w:color="auto" w:fill="FFFFFF" w:themeFill="background1"/>
            <w:tcMar>
              <w:left w:w="70" w:type="dxa"/>
              <w:right w:w="70" w:type="dxa"/>
            </w:tcMar>
            <w:vAlign w:val="center"/>
          </w:tcPr>
          <w:p w14:paraId="38188D42"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b/>
                <w:bCs/>
                <w:color w:val="000000" w:themeColor="text1"/>
                <w:sz w:val="24"/>
                <w:szCs w:val="24"/>
              </w:rPr>
              <w:t xml:space="preserve">Variable </w:t>
            </w:r>
          </w:p>
        </w:tc>
        <w:tc>
          <w:tcPr>
            <w:tcW w:w="3267" w:type="dxa"/>
            <w:tcBorders>
              <w:top w:val="single" w:sz="12" w:space="0" w:color="auto"/>
              <w:left w:val="nil"/>
              <w:bottom w:val="single" w:sz="12" w:space="0" w:color="auto"/>
              <w:right w:val="nil"/>
            </w:tcBorders>
            <w:shd w:val="clear" w:color="auto" w:fill="FFFFFF" w:themeFill="background1"/>
            <w:tcMar>
              <w:left w:w="70" w:type="dxa"/>
              <w:right w:w="70" w:type="dxa"/>
            </w:tcMar>
            <w:vAlign w:val="center"/>
          </w:tcPr>
          <w:p w14:paraId="20EFE4C3"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b/>
                <w:bCs/>
                <w:color w:val="000000" w:themeColor="text1"/>
                <w:sz w:val="24"/>
                <w:szCs w:val="24"/>
              </w:rPr>
              <w:t xml:space="preserve">Description </w:t>
            </w:r>
          </w:p>
        </w:tc>
        <w:tc>
          <w:tcPr>
            <w:tcW w:w="4233" w:type="dxa"/>
            <w:tcBorders>
              <w:top w:val="single" w:sz="12" w:space="0" w:color="auto"/>
              <w:left w:val="nil"/>
              <w:bottom w:val="single" w:sz="12" w:space="0" w:color="auto"/>
              <w:right w:val="nil"/>
            </w:tcBorders>
            <w:shd w:val="clear" w:color="auto" w:fill="FFFFFF" w:themeFill="background1"/>
            <w:tcMar>
              <w:left w:w="70" w:type="dxa"/>
              <w:right w:w="70" w:type="dxa"/>
            </w:tcMar>
            <w:vAlign w:val="center"/>
          </w:tcPr>
          <w:p w14:paraId="2E27C0C4"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b/>
                <w:bCs/>
                <w:color w:val="000000" w:themeColor="text1"/>
                <w:sz w:val="24"/>
                <w:szCs w:val="24"/>
              </w:rPr>
              <w:t>Source</w:t>
            </w:r>
          </w:p>
        </w:tc>
      </w:tr>
      <w:tr w:rsidR="00B716E0" w:rsidRPr="003B0814" w14:paraId="43D80D6F" w14:textId="77777777" w:rsidTr="002D3942">
        <w:trPr>
          <w:trHeight w:val="1050"/>
        </w:trPr>
        <w:tc>
          <w:tcPr>
            <w:tcW w:w="1860" w:type="dxa"/>
            <w:tcBorders>
              <w:top w:val="single" w:sz="12" w:space="0" w:color="auto"/>
              <w:left w:val="nil"/>
              <w:bottom w:val="nil"/>
              <w:right w:val="nil"/>
            </w:tcBorders>
            <w:shd w:val="clear" w:color="auto" w:fill="FFFFFF" w:themeFill="background1"/>
            <w:tcMar>
              <w:left w:w="70" w:type="dxa"/>
              <w:right w:w="70" w:type="dxa"/>
            </w:tcMar>
          </w:tcPr>
          <w:p w14:paraId="131BD4D2"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Past precipitation</w:t>
            </w:r>
          </w:p>
        </w:tc>
        <w:tc>
          <w:tcPr>
            <w:tcW w:w="3267" w:type="dxa"/>
            <w:tcBorders>
              <w:top w:val="single" w:sz="12" w:space="0" w:color="auto"/>
              <w:left w:val="nil"/>
              <w:bottom w:val="nil"/>
              <w:right w:val="nil"/>
            </w:tcBorders>
            <w:shd w:val="clear" w:color="auto" w:fill="FFFFFF" w:themeFill="background1"/>
            <w:tcMar>
              <w:left w:w="70" w:type="dxa"/>
              <w:right w:w="70" w:type="dxa"/>
            </w:tcMar>
          </w:tcPr>
          <w:p w14:paraId="2DC02666"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Global average monthly precipitation from rain gauge and satellite observations from 2014, 2015, and 2019.</w:t>
            </w:r>
          </w:p>
        </w:tc>
        <w:tc>
          <w:tcPr>
            <w:tcW w:w="4233" w:type="dxa"/>
            <w:tcBorders>
              <w:top w:val="single" w:sz="12" w:space="0" w:color="auto"/>
              <w:left w:val="nil"/>
              <w:bottom w:val="nil"/>
              <w:right w:val="nil"/>
            </w:tcBorders>
            <w:shd w:val="clear" w:color="auto" w:fill="FFFFFF" w:themeFill="background1"/>
            <w:tcMar>
              <w:left w:w="70" w:type="dxa"/>
              <w:right w:w="70" w:type="dxa"/>
            </w:tcMar>
          </w:tcPr>
          <w:p w14:paraId="3F8DF40B"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CHIRPS, 2024 (Climate Hazard Center) (</w:t>
            </w:r>
            <w:hyperlink r:id="rId6">
              <w:r w:rsidRPr="003B0814">
                <w:rPr>
                  <w:rStyle w:val="Hyperlink"/>
                  <w:rFonts w:ascii="Times New Roman" w:eastAsia="Aptos Narrow" w:hAnsi="Times New Roman" w:cs="Times New Roman"/>
                  <w:sz w:val="24"/>
                  <w:szCs w:val="24"/>
                </w:rPr>
                <w:t>https://www.chc.ucsb.edu/data/chirps</w:t>
              </w:r>
            </w:hyperlink>
            <w:r w:rsidRPr="003B0814">
              <w:rPr>
                <w:rFonts w:ascii="Times New Roman" w:eastAsia="Aptos Narrow" w:hAnsi="Times New Roman" w:cs="Times New Roman"/>
                <w:color w:val="000000" w:themeColor="text1"/>
                <w:sz w:val="24"/>
                <w:szCs w:val="24"/>
              </w:rPr>
              <w:t>)</w:t>
            </w:r>
          </w:p>
        </w:tc>
      </w:tr>
      <w:tr w:rsidR="00B716E0" w:rsidRPr="003B0814" w14:paraId="32191F15" w14:textId="77777777" w:rsidTr="002D3942">
        <w:trPr>
          <w:trHeight w:val="645"/>
        </w:trPr>
        <w:tc>
          <w:tcPr>
            <w:tcW w:w="1860" w:type="dxa"/>
            <w:shd w:val="clear" w:color="auto" w:fill="FFFFFF" w:themeFill="background1"/>
            <w:tcMar>
              <w:left w:w="70" w:type="dxa"/>
              <w:right w:w="70" w:type="dxa"/>
            </w:tcMar>
          </w:tcPr>
          <w:p w14:paraId="52882115"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Level of deprivation</w:t>
            </w:r>
          </w:p>
        </w:tc>
        <w:tc>
          <w:tcPr>
            <w:tcW w:w="3267" w:type="dxa"/>
            <w:shd w:val="clear" w:color="auto" w:fill="FFFFFF" w:themeFill="background1"/>
            <w:tcMar>
              <w:left w:w="70" w:type="dxa"/>
              <w:right w:w="70" w:type="dxa"/>
            </w:tcMar>
          </w:tcPr>
          <w:p w14:paraId="4B6A0097"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Global index value that characterizes the levels of multidimensional deprivation, including infant mortality, human development, infrastructure, child dependency, nighttime lights</w:t>
            </w:r>
          </w:p>
        </w:tc>
        <w:tc>
          <w:tcPr>
            <w:tcW w:w="4233" w:type="dxa"/>
            <w:shd w:val="clear" w:color="auto" w:fill="FFFFFF" w:themeFill="background1"/>
            <w:tcMar>
              <w:left w:w="70" w:type="dxa"/>
              <w:right w:w="70" w:type="dxa"/>
            </w:tcMar>
          </w:tcPr>
          <w:p w14:paraId="3CA57227"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 xml:space="preserve"> Deprivation Index 2010 (SEDAC) (</w:t>
            </w:r>
            <w:hyperlink r:id="rId7">
              <w:r w:rsidRPr="003B0814">
                <w:rPr>
                  <w:rStyle w:val="Hyperlink"/>
                  <w:rFonts w:ascii="Times New Roman" w:eastAsia="Aptos Narrow" w:hAnsi="Times New Roman" w:cs="Times New Roman"/>
                  <w:sz w:val="24"/>
                  <w:szCs w:val="24"/>
                </w:rPr>
                <w:t>https://doi.org/10.7927/3xxe-ap97</w:t>
              </w:r>
            </w:hyperlink>
            <w:r w:rsidRPr="003B0814">
              <w:rPr>
                <w:rFonts w:ascii="Times New Roman" w:eastAsia="Aptos Narrow" w:hAnsi="Times New Roman" w:cs="Times New Roman"/>
                <w:color w:val="000000" w:themeColor="text1"/>
                <w:sz w:val="24"/>
                <w:szCs w:val="24"/>
              </w:rPr>
              <w:t>)</w:t>
            </w:r>
          </w:p>
        </w:tc>
      </w:tr>
      <w:tr w:rsidR="00B716E0" w:rsidRPr="003B0814" w14:paraId="621B7875" w14:textId="77777777" w:rsidTr="002D3942">
        <w:trPr>
          <w:trHeight w:val="1425"/>
        </w:trPr>
        <w:tc>
          <w:tcPr>
            <w:tcW w:w="1860" w:type="dxa"/>
            <w:shd w:val="clear" w:color="auto" w:fill="FFFFFF" w:themeFill="background1"/>
            <w:tcMar>
              <w:left w:w="70" w:type="dxa"/>
              <w:right w:w="70" w:type="dxa"/>
            </w:tcMar>
          </w:tcPr>
          <w:p w14:paraId="08CA251A"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Distance to cit</w:t>
            </w:r>
            <w:r>
              <w:rPr>
                <w:rFonts w:ascii="Times New Roman" w:eastAsia="Aptos Narrow" w:hAnsi="Times New Roman" w:cs="Times New Roman"/>
                <w:color w:val="000000" w:themeColor="text1"/>
                <w:sz w:val="24"/>
                <w:szCs w:val="24"/>
              </w:rPr>
              <w:t>y</w:t>
            </w:r>
          </w:p>
        </w:tc>
        <w:tc>
          <w:tcPr>
            <w:tcW w:w="3267" w:type="dxa"/>
            <w:shd w:val="clear" w:color="auto" w:fill="FFFFFF" w:themeFill="background1"/>
            <w:tcMar>
              <w:left w:w="70" w:type="dxa"/>
              <w:right w:w="70" w:type="dxa"/>
            </w:tcMar>
          </w:tcPr>
          <w:p w14:paraId="4DFDF9F6"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Distance between every cell in the raster to the nearest city or town</w:t>
            </w:r>
          </w:p>
        </w:tc>
        <w:tc>
          <w:tcPr>
            <w:tcW w:w="4233" w:type="dxa"/>
            <w:shd w:val="clear" w:color="auto" w:fill="FFFFFF" w:themeFill="background1"/>
            <w:tcMar>
              <w:left w:w="70" w:type="dxa"/>
              <w:right w:w="70" w:type="dxa"/>
            </w:tcMar>
          </w:tcPr>
          <w:p w14:paraId="236B2FF4"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Humanitarian Open Street Map (</w:t>
            </w:r>
            <w:hyperlink r:id="rId8">
              <w:r w:rsidRPr="003B0814">
                <w:rPr>
                  <w:rStyle w:val="Hyperlink"/>
                  <w:rFonts w:ascii="Times New Roman" w:eastAsia="Aptos Narrow" w:hAnsi="Times New Roman" w:cs="Times New Roman"/>
                  <w:sz w:val="24"/>
                  <w:szCs w:val="24"/>
                </w:rPr>
                <w:t>https://export.hotosm.org/v3/</w:t>
              </w:r>
            </w:hyperlink>
            <w:r w:rsidRPr="003B0814">
              <w:rPr>
                <w:rFonts w:ascii="Times New Roman" w:eastAsia="Aptos Narrow" w:hAnsi="Times New Roman" w:cs="Times New Roman"/>
                <w:color w:val="000000" w:themeColor="text1"/>
                <w:sz w:val="24"/>
                <w:szCs w:val="24"/>
              </w:rPr>
              <w:t>)</w:t>
            </w:r>
          </w:p>
        </w:tc>
      </w:tr>
      <w:tr w:rsidR="00B716E0" w:rsidRPr="001F3A05" w14:paraId="0109DF66" w14:textId="77777777" w:rsidTr="002D3942">
        <w:trPr>
          <w:trHeight w:val="1425"/>
        </w:trPr>
        <w:tc>
          <w:tcPr>
            <w:tcW w:w="1860" w:type="dxa"/>
            <w:shd w:val="clear" w:color="auto" w:fill="FFFFFF" w:themeFill="background1"/>
            <w:tcMar>
              <w:left w:w="70" w:type="dxa"/>
              <w:right w:w="70" w:type="dxa"/>
            </w:tcMar>
          </w:tcPr>
          <w:p w14:paraId="52E91205" w14:textId="77777777" w:rsidR="00B716E0" w:rsidRPr="003B0814" w:rsidRDefault="00B716E0" w:rsidP="002D3942">
            <w:pPr>
              <w:spacing w:after="160" w:line="276" w:lineRule="auto"/>
              <w:rPr>
                <w:rFonts w:ascii="Times New Roman" w:eastAsia="Aptos Narrow" w:hAnsi="Times New Roman" w:cs="Times New Roman"/>
                <w:color w:val="000000" w:themeColor="text1"/>
                <w:sz w:val="24"/>
                <w:szCs w:val="24"/>
              </w:rPr>
            </w:pPr>
            <w:r w:rsidRPr="003B0814">
              <w:rPr>
                <w:rFonts w:ascii="Times New Roman" w:eastAsia="Aptos Narrow" w:hAnsi="Times New Roman" w:cs="Times New Roman"/>
                <w:color w:val="000000" w:themeColor="text1"/>
                <w:sz w:val="24"/>
                <w:szCs w:val="24"/>
              </w:rPr>
              <w:t>Nature Dependency</w:t>
            </w:r>
          </w:p>
        </w:tc>
        <w:tc>
          <w:tcPr>
            <w:tcW w:w="3267" w:type="dxa"/>
            <w:shd w:val="clear" w:color="auto" w:fill="FFFFFF" w:themeFill="background1"/>
            <w:tcMar>
              <w:left w:w="70" w:type="dxa"/>
              <w:right w:w="70" w:type="dxa"/>
            </w:tcMar>
          </w:tcPr>
          <w:p w14:paraId="52652AC6" w14:textId="77777777" w:rsidR="00B716E0" w:rsidRPr="003B0814" w:rsidRDefault="00B716E0" w:rsidP="002D3942">
            <w:pPr>
              <w:spacing w:after="160" w:line="276" w:lineRule="auto"/>
              <w:rPr>
                <w:rFonts w:ascii="Times New Roman" w:eastAsia="Aptos Narrow" w:hAnsi="Times New Roman" w:cs="Times New Roman"/>
                <w:color w:val="000000" w:themeColor="text1"/>
                <w:sz w:val="24"/>
                <w:szCs w:val="24"/>
              </w:rPr>
            </w:pPr>
            <w:r w:rsidRPr="003B0814">
              <w:rPr>
                <w:rFonts w:ascii="Times New Roman" w:eastAsia="Aptos" w:hAnsi="Times New Roman" w:cs="Times New Roman"/>
                <w:sz w:val="24"/>
                <w:szCs w:val="24"/>
              </w:rPr>
              <w:t>Proportion of human population dependent on locally available natural resources for their basic needs, including housing materials, water, energy, and occupation</w:t>
            </w:r>
          </w:p>
        </w:tc>
        <w:tc>
          <w:tcPr>
            <w:tcW w:w="4233" w:type="dxa"/>
            <w:shd w:val="clear" w:color="auto" w:fill="FFFFFF" w:themeFill="background1"/>
            <w:tcMar>
              <w:left w:w="70" w:type="dxa"/>
              <w:right w:w="70" w:type="dxa"/>
            </w:tcMar>
          </w:tcPr>
          <w:p w14:paraId="0E26C96C" w14:textId="77777777" w:rsidR="00B716E0" w:rsidRPr="003B0814" w:rsidRDefault="00B716E0" w:rsidP="002D3942">
            <w:pPr>
              <w:spacing w:after="160" w:line="276" w:lineRule="auto"/>
              <w:rPr>
                <w:rFonts w:ascii="Times New Roman" w:eastAsia="Aptos Narrow" w:hAnsi="Times New Roman" w:cs="Times New Roman"/>
                <w:color w:val="000000" w:themeColor="text1"/>
                <w:sz w:val="24"/>
                <w:szCs w:val="24"/>
                <w:lang w:val="it-IT"/>
              </w:rPr>
            </w:pPr>
            <w:r w:rsidRPr="003B0814">
              <w:rPr>
                <w:rFonts w:ascii="Times New Roman" w:eastAsia="Aptos Narrow" w:hAnsi="Times New Roman" w:cs="Times New Roman"/>
                <w:color w:val="000000" w:themeColor="text1"/>
                <w:sz w:val="24"/>
                <w:szCs w:val="24"/>
                <w:lang w:val="it-IT"/>
              </w:rPr>
              <w:t>Fedele et al., (2021) (</w:t>
            </w:r>
            <w:hyperlink r:id="rId9" w:history="1">
              <w:r w:rsidRPr="003B0814">
                <w:rPr>
                  <w:rStyle w:val="Hyperlink"/>
                  <w:rFonts w:ascii="Times New Roman" w:eastAsia="Aptos Narrow" w:hAnsi="Times New Roman" w:cs="Times New Roman"/>
                  <w:sz w:val="24"/>
                  <w:szCs w:val="24"/>
                  <w:lang w:val="it-IT"/>
                </w:rPr>
                <w:t>https://doi.org/10.1016/j.gloenvcha.2021.102368</w:t>
              </w:r>
            </w:hyperlink>
            <w:r w:rsidRPr="003B0814">
              <w:rPr>
                <w:rFonts w:ascii="Times New Roman" w:eastAsia="Aptos Narrow" w:hAnsi="Times New Roman" w:cs="Times New Roman"/>
                <w:color w:val="000000" w:themeColor="text1"/>
                <w:sz w:val="24"/>
                <w:szCs w:val="24"/>
                <w:lang w:val="it-IT"/>
              </w:rPr>
              <w:t xml:space="preserve">) </w:t>
            </w:r>
          </w:p>
        </w:tc>
      </w:tr>
      <w:tr w:rsidR="00B716E0" w:rsidRPr="003B0814" w14:paraId="7961FE68" w14:textId="77777777" w:rsidTr="002D3942">
        <w:trPr>
          <w:trHeight w:val="615"/>
        </w:trPr>
        <w:tc>
          <w:tcPr>
            <w:tcW w:w="1860" w:type="dxa"/>
            <w:shd w:val="clear" w:color="auto" w:fill="FFFFFF" w:themeFill="background1"/>
            <w:tcMar>
              <w:left w:w="70" w:type="dxa"/>
              <w:right w:w="70" w:type="dxa"/>
            </w:tcMar>
          </w:tcPr>
          <w:p w14:paraId="72CBF124"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Cattle population</w:t>
            </w:r>
          </w:p>
        </w:tc>
        <w:tc>
          <w:tcPr>
            <w:tcW w:w="3267" w:type="dxa"/>
            <w:shd w:val="clear" w:color="auto" w:fill="FFFFFF" w:themeFill="background1"/>
            <w:tcMar>
              <w:left w:w="70" w:type="dxa"/>
              <w:right w:w="70" w:type="dxa"/>
            </w:tcMar>
          </w:tcPr>
          <w:p w14:paraId="14EEEEEA"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Peer-reviewed spatial dataset on the global distribution and abundance of livestock species</w:t>
            </w:r>
          </w:p>
        </w:tc>
        <w:tc>
          <w:tcPr>
            <w:tcW w:w="4233" w:type="dxa"/>
            <w:shd w:val="clear" w:color="auto" w:fill="FFFFFF" w:themeFill="background1"/>
            <w:tcMar>
              <w:left w:w="70" w:type="dxa"/>
              <w:right w:w="70" w:type="dxa"/>
            </w:tcMar>
          </w:tcPr>
          <w:p w14:paraId="2D503730"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Food and Agriculture Organization of the United Nations, 2024 (</w:t>
            </w:r>
            <w:hyperlink r:id="rId10" w:history="1">
              <w:r w:rsidRPr="00E80A40">
                <w:rPr>
                  <w:rStyle w:val="Hyperlink"/>
                  <w:rFonts w:ascii="Times New Roman" w:eastAsia="Aptos Narrow" w:hAnsi="Times New Roman" w:cs="Times New Roman"/>
                  <w:sz w:val="24"/>
                  <w:szCs w:val="24"/>
                </w:rPr>
                <w:t>https://data.apps.fao.org/catalog/organization/gridded-livestock-of-the-world-glw</w:t>
              </w:r>
            </w:hyperlink>
            <w:r w:rsidRPr="003B0814">
              <w:rPr>
                <w:rFonts w:ascii="Times New Roman" w:eastAsia="Aptos Narrow" w:hAnsi="Times New Roman" w:cs="Times New Roman"/>
                <w:color w:val="000000" w:themeColor="text1"/>
                <w:sz w:val="24"/>
                <w:szCs w:val="24"/>
              </w:rPr>
              <w:t>)</w:t>
            </w:r>
            <w:r>
              <w:rPr>
                <w:rFonts w:ascii="Times New Roman" w:eastAsia="Aptos Narrow" w:hAnsi="Times New Roman" w:cs="Times New Roman"/>
                <w:color w:val="000000" w:themeColor="text1"/>
                <w:sz w:val="24"/>
                <w:szCs w:val="24"/>
              </w:rPr>
              <w:t xml:space="preserve"> </w:t>
            </w:r>
          </w:p>
        </w:tc>
      </w:tr>
      <w:tr w:rsidR="00B716E0" w:rsidRPr="003B0814" w14:paraId="749013CE" w14:textId="77777777" w:rsidTr="002D3942">
        <w:trPr>
          <w:trHeight w:val="1095"/>
        </w:trPr>
        <w:tc>
          <w:tcPr>
            <w:tcW w:w="1860" w:type="dxa"/>
            <w:tcBorders>
              <w:left w:val="nil"/>
              <w:bottom w:val="single" w:sz="12" w:space="0" w:color="auto"/>
              <w:right w:val="nil"/>
            </w:tcBorders>
            <w:shd w:val="clear" w:color="auto" w:fill="FFFFFF" w:themeFill="background1"/>
            <w:tcMar>
              <w:left w:w="70" w:type="dxa"/>
              <w:right w:w="70" w:type="dxa"/>
            </w:tcMar>
          </w:tcPr>
          <w:p w14:paraId="3F69D10B"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South Africa provinces</w:t>
            </w:r>
          </w:p>
        </w:tc>
        <w:tc>
          <w:tcPr>
            <w:tcW w:w="3267" w:type="dxa"/>
            <w:tcBorders>
              <w:left w:val="nil"/>
              <w:bottom w:val="single" w:sz="12" w:space="0" w:color="auto"/>
              <w:right w:val="nil"/>
            </w:tcBorders>
            <w:shd w:val="clear" w:color="auto" w:fill="FFFFFF" w:themeFill="background1"/>
            <w:tcMar>
              <w:left w:w="70" w:type="dxa"/>
              <w:right w:w="70" w:type="dxa"/>
            </w:tcMar>
          </w:tcPr>
          <w:p w14:paraId="5985772D"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Polygon shapefiles for administrative units at level 1</w:t>
            </w:r>
            <w:r>
              <w:rPr>
                <w:rFonts w:ascii="Times New Roman" w:eastAsia="Aptos Narrow" w:hAnsi="Times New Roman" w:cs="Times New Roman"/>
                <w:color w:val="000000" w:themeColor="text1"/>
                <w:sz w:val="24"/>
                <w:szCs w:val="24"/>
              </w:rPr>
              <w:t xml:space="preserve"> </w:t>
            </w:r>
            <w:r w:rsidRPr="003B0814">
              <w:rPr>
                <w:rFonts w:ascii="Times New Roman" w:eastAsia="Aptos Narrow" w:hAnsi="Times New Roman" w:cs="Times New Roman"/>
                <w:color w:val="000000" w:themeColor="text1"/>
                <w:sz w:val="24"/>
                <w:szCs w:val="24"/>
              </w:rPr>
              <w:t>(e.g. Provinces, States)</w:t>
            </w:r>
          </w:p>
        </w:tc>
        <w:tc>
          <w:tcPr>
            <w:tcW w:w="4233" w:type="dxa"/>
            <w:tcBorders>
              <w:left w:val="nil"/>
              <w:bottom w:val="single" w:sz="12" w:space="0" w:color="auto"/>
              <w:right w:val="nil"/>
            </w:tcBorders>
            <w:shd w:val="clear" w:color="auto" w:fill="FFFFFF" w:themeFill="background1"/>
            <w:tcMar>
              <w:left w:w="70" w:type="dxa"/>
              <w:right w:w="70" w:type="dxa"/>
            </w:tcMar>
          </w:tcPr>
          <w:p w14:paraId="7039CD90" w14:textId="77777777" w:rsidR="00B716E0" w:rsidRPr="003B0814" w:rsidRDefault="00B716E0" w:rsidP="002D3942">
            <w:pPr>
              <w:spacing w:after="160" w:line="276" w:lineRule="auto"/>
              <w:rPr>
                <w:rFonts w:ascii="Times New Roman" w:hAnsi="Times New Roman" w:cs="Times New Roman"/>
                <w:sz w:val="24"/>
                <w:szCs w:val="24"/>
              </w:rPr>
            </w:pPr>
            <w:r w:rsidRPr="003B0814">
              <w:rPr>
                <w:rFonts w:ascii="Times New Roman" w:eastAsia="Aptos Narrow" w:hAnsi="Times New Roman" w:cs="Times New Roman"/>
                <w:color w:val="000000" w:themeColor="text1"/>
                <w:sz w:val="24"/>
                <w:szCs w:val="24"/>
              </w:rPr>
              <w:t>Global Administrative Areas, v4.1 (</w:t>
            </w:r>
            <w:hyperlink r:id="rId11">
              <w:r w:rsidRPr="003B0814">
                <w:rPr>
                  <w:rStyle w:val="Hyperlink"/>
                  <w:rFonts w:ascii="Times New Roman" w:eastAsia="Aptos Narrow" w:hAnsi="Times New Roman" w:cs="Times New Roman"/>
                  <w:sz w:val="24"/>
                  <w:szCs w:val="24"/>
                </w:rPr>
                <w:t>https://gadm.org/</w:t>
              </w:r>
            </w:hyperlink>
            <w:r w:rsidRPr="003B0814">
              <w:rPr>
                <w:rFonts w:ascii="Times New Roman" w:eastAsia="Aptos Narrow" w:hAnsi="Times New Roman" w:cs="Times New Roman"/>
                <w:color w:val="000000" w:themeColor="text1"/>
                <w:sz w:val="24"/>
                <w:szCs w:val="24"/>
              </w:rPr>
              <w:t>)</w:t>
            </w:r>
          </w:p>
        </w:tc>
      </w:tr>
    </w:tbl>
    <w:p w14:paraId="5654C7D6" w14:textId="77777777" w:rsidR="00B716E0" w:rsidRPr="00910EBB" w:rsidRDefault="00B716E0" w:rsidP="00B716E0">
      <w:pPr>
        <w:pStyle w:val="Heading1"/>
        <w:rPr>
          <w:rFonts w:ascii="Times New Roman" w:hAnsi="Times New Roman" w:cs="Times New Roman"/>
          <w:b/>
          <w:bCs/>
          <w:color w:val="auto"/>
        </w:rPr>
      </w:pPr>
      <w:bookmarkStart w:id="1" w:name="_Hlk177382012"/>
      <w:r w:rsidRPr="00910EBB">
        <w:rPr>
          <w:rFonts w:ascii="Times New Roman" w:hAnsi="Times New Roman" w:cs="Times New Roman"/>
          <w:b/>
          <w:bCs/>
          <w:color w:val="auto"/>
        </w:rPr>
        <w:lastRenderedPageBreak/>
        <w:t>S3: Model posterior checks</w:t>
      </w:r>
    </w:p>
    <w:p w14:paraId="0D833C47" w14:textId="77777777" w:rsidR="00B716E0" w:rsidRPr="00910EBB" w:rsidRDefault="00B716E0" w:rsidP="00B716E0">
      <w:pPr>
        <w:pStyle w:val="Heading2"/>
      </w:pPr>
      <w:bookmarkStart w:id="2" w:name="_Hlk178433171"/>
      <w:r w:rsidRPr="00910EBB">
        <w:rPr>
          <w:rFonts w:hint="eastAsia"/>
        </w:rPr>
        <w:t>T</w:t>
      </w:r>
      <w:r w:rsidRPr="00910EBB">
        <w:t>imeseries model</w:t>
      </w:r>
    </w:p>
    <w:bookmarkEnd w:id="2"/>
    <w:p w14:paraId="7EAC39F8" w14:textId="77777777" w:rsidR="00B716E0" w:rsidRDefault="00B716E0" w:rsidP="00B716E0">
      <w:r w:rsidRPr="00910EBB">
        <w:rPr>
          <w:noProof/>
        </w:rPr>
        <w:drawing>
          <wp:inline distT="0" distB="0" distL="0" distR="0" wp14:anchorId="45073833" wp14:editId="7F4EEEF1">
            <wp:extent cx="4897120" cy="3060700"/>
            <wp:effectExtent l="0" t="0" r="0" b="6350"/>
            <wp:docPr id="1" name="Picture 1" descr="A graph of data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data on a white backgroun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7120" cy="3060700"/>
                    </a:xfrm>
                    <a:prstGeom prst="rect">
                      <a:avLst/>
                    </a:prstGeom>
                  </pic:spPr>
                </pic:pic>
              </a:graphicData>
            </a:graphic>
          </wp:inline>
        </w:drawing>
      </w:r>
    </w:p>
    <w:p w14:paraId="3038D88E" w14:textId="77777777" w:rsidR="00B716E0" w:rsidRPr="00EC4C8F" w:rsidRDefault="00B716E0" w:rsidP="00B716E0">
      <w:pPr>
        <w:rPr>
          <w:rFonts w:ascii="Times New Roman" w:hAnsi="Times New Roman" w:cs="Times New Roman"/>
          <w:i/>
        </w:rPr>
      </w:pPr>
      <w:r w:rsidRPr="00EC4C8F">
        <w:rPr>
          <w:rFonts w:ascii="Times New Roman" w:hAnsi="Times New Roman" w:cs="Times New Roman"/>
          <w:i/>
        </w:rPr>
        <w:t>Figure S3</w:t>
      </w:r>
      <w:r>
        <w:rPr>
          <w:rFonts w:ascii="Times New Roman" w:hAnsi="Times New Roman" w:cs="Times New Roman"/>
          <w:i/>
        </w:rPr>
        <w:t>A</w:t>
      </w:r>
      <w:r w:rsidRPr="00EC4C8F">
        <w:rPr>
          <w:rFonts w:ascii="Times New Roman" w:hAnsi="Times New Roman" w:cs="Times New Roman"/>
          <w:i/>
        </w:rPr>
        <w:t>: Model convergence diagnostics for the timeseries model. The left panel shows the posterior distributions for each model parameter, including standardized cumulative precipitation from the previous 12 months (b_rollsumSTD), deprivation (b_DepSTD), proportion of the population dependent on nature (b_NDPSTD), distance to urban center (b_DcitSTD), and the interaction between precipitation and deprivation (b_rollsumSTD: b_DcitSTD). The right panel shows the trace plots for each parameter across four Markov Chain Monte Carlo (MCMC) chains.</w:t>
      </w:r>
    </w:p>
    <w:p w14:paraId="0FD88400" w14:textId="77777777" w:rsidR="00B716E0" w:rsidRDefault="00B716E0" w:rsidP="00B716E0">
      <w:pPr>
        <w:pStyle w:val="NormalWeb"/>
      </w:pPr>
      <w:r w:rsidRPr="00910EBB">
        <w:rPr>
          <w:noProof/>
        </w:rPr>
        <w:drawing>
          <wp:inline distT="0" distB="0" distL="0" distR="0" wp14:anchorId="48B4434E" wp14:editId="14BBB0E4">
            <wp:extent cx="3589617" cy="2759710"/>
            <wp:effectExtent l="0" t="0" r="0" b="2540"/>
            <wp:docPr id="2" name="Picture 2" descr="C:\Users\Matt\AppData\Local\Packages\Microsoft.Windows.Photos_8wekyb3d8bbwe\TempState\ShareServiceTempFolder\PosteriorPredi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AppData\Local\Packages\Microsoft.Windows.Photos_8wekyb3d8bbwe\TempState\ShareServiceTempFolder\PosteriorPredict.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2380" cy="2769522"/>
                    </a:xfrm>
                    <a:prstGeom prst="rect">
                      <a:avLst/>
                    </a:prstGeom>
                    <a:noFill/>
                    <a:ln>
                      <a:noFill/>
                    </a:ln>
                  </pic:spPr>
                </pic:pic>
              </a:graphicData>
            </a:graphic>
          </wp:inline>
        </w:drawing>
      </w:r>
    </w:p>
    <w:p w14:paraId="004CA143" w14:textId="77777777" w:rsidR="00B716E0" w:rsidRPr="00FB596B" w:rsidRDefault="00B716E0" w:rsidP="00B716E0">
      <w:pPr>
        <w:pStyle w:val="NormalWeb"/>
        <w:rPr>
          <w:i/>
          <w:sz w:val="20"/>
          <w:szCs w:val="20"/>
        </w:rPr>
      </w:pPr>
      <w:r w:rsidRPr="00FB596B">
        <w:rPr>
          <w:i/>
          <w:sz w:val="20"/>
          <w:szCs w:val="20"/>
        </w:rPr>
        <w:lastRenderedPageBreak/>
        <w:t xml:space="preserve">Figure S3B: Posterior predictive check for the timeseries model. Comparison between the observed provincial cattle slaughter data (red line) and the predicted values (blue line) generated by the model using estimated coefficient values for within-sample prediction across the data. </w:t>
      </w:r>
    </w:p>
    <w:p w14:paraId="16D32FBB" w14:textId="77777777" w:rsidR="00B716E0" w:rsidRPr="00910EBB" w:rsidRDefault="00B716E0" w:rsidP="00B716E0">
      <w:pPr>
        <w:pStyle w:val="NormalWeb"/>
      </w:pPr>
    </w:p>
    <w:p w14:paraId="3EDAC8BD" w14:textId="77777777" w:rsidR="00B716E0" w:rsidRPr="00910EBB" w:rsidRDefault="00B716E0" w:rsidP="00B716E0">
      <w:pPr>
        <w:pStyle w:val="Heading2"/>
      </w:pPr>
      <w:r w:rsidRPr="00910EBB">
        <w:t>Disaggregation model</w:t>
      </w:r>
    </w:p>
    <w:p w14:paraId="6A53DE85" w14:textId="77777777" w:rsidR="00B716E0" w:rsidRDefault="00B716E0" w:rsidP="00B716E0">
      <w:r w:rsidRPr="00910EBB">
        <w:rPr>
          <w:noProof/>
        </w:rPr>
        <w:drawing>
          <wp:inline distT="0" distB="0" distL="0" distR="0" wp14:anchorId="423C6D35" wp14:editId="12319F5F">
            <wp:extent cx="3970020" cy="3308350"/>
            <wp:effectExtent l="0" t="0" r="0" b="6350"/>
            <wp:docPr id="4" name="Picture 4"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with a blue 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0548" cy="3308790"/>
                    </a:xfrm>
                    <a:prstGeom prst="rect">
                      <a:avLst/>
                    </a:prstGeom>
                  </pic:spPr>
                </pic:pic>
              </a:graphicData>
            </a:graphic>
          </wp:inline>
        </w:drawing>
      </w:r>
    </w:p>
    <w:p w14:paraId="2E8C7AE5" w14:textId="77777777" w:rsidR="00B716E0" w:rsidRPr="00EA2FA5" w:rsidRDefault="00B716E0" w:rsidP="00B716E0">
      <w:pPr>
        <w:rPr>
          <w:rFonts w:ascii="Times New Roman" w:hAnsi="Times New Roman" w:cs="Times New Roman"/>
          <w:i/>
        </w:rPr>
      </w:pPr>
      <w:r w:rsidRPr="00EA2FA5">
        <w:rPr>
          <w:rFonts w:ascii="Times New Roman" w:hAnsi="Times New Roman" w:cs="Times New Roman"/>
          <w:i/>
        </w:rPr>
        <w:t xml:space="preserve">Figure S3C. Comparison of observed versus predicted incidence rates from the Bayesian spatial disaggregation regression model to assess its within-sample predictive capacity. The blue line represents the line of perfect agreement, where predicted values exactly match observed values. The dots represent the actual predicted values plotted against the observed incidence rates. </w:t>
      </w:r>
    </w:p>
    <w:p w14:paraId="5E537037" w14:textId="77777777" w:rsidR="00B716E0" w:rsidRPr="00910EBB" w:rsidRDefault="00B716E0" w:rsidP="00B716E0">
      <w:pPr>
        <w:pStyle w:val="Heading1"/>
        <w:rPr>
          <w:rFonts w:ascii="Times New Roman" w:hAnsi="Times New Roman" w:cs="Times New Roman"/>
          <w:b/>
          <w:bCs/>
          <w:color w:val="auto"/>
        </w:rPr>
      </w:pPr>
      <w:r w:rsidRPr="00910EBB">
        <w:rPr>
          <w:rFonts w:ascii="Times New Roman" w:hAnsi="Times New Roman" w:cs="Times New Roman"/>
          <w:b/>
          <w:bCs/>
          <w:color w:val="auto"/>
        </w:rPr>
        <w:lastRenderedPageBreak/>
        <w:t>S4: Coefficient plots</w:t>
      </w:r>
    </w:p>
    <w:bookmarkEnd w:id="1"/>
    <w:p w14:paraId="4204E3B1" w14:textId="77777777" w:rsidR="00B716E0" w:rsidRPr="00910EBB" w:rsidRDefault="00B716E0" w:rsidP="00B716E0">
      <w:pPr>
        <w:pStyle w:val="Heading1"/>
      </w:pPr>
      <w:r w:rsidRPr="00910EBB">
        <w:rPr>
          <w:rFonts w:hint="eastAsia"/>
        </w:rPr>
        <w:t>T</w:t>
      </w:r>
      <w:r w:rsidRPr="00910EBB">
        <w:t>imeseries model</w:t>
      </w:r>
    </w:p>
    <w:p w14:paraId="509FE4DA" w14:textId="77777777" w:rsidR="00B716E0" w:rsidRPr="00910EBB" w:rsidRDefault="00B716E0" w:rsidP="00B716E0">
      <w:pPr>
        <w:pStyle w:val="Heading1"/>
      </w:pPr>
    </w:p>
    <w:p w14:paraId="211B5A16" w14:textId="77777777" w:rsidR="00B716E0" w:rsidRDefault="00B716E0" w:rsidP="00B716E0">
      <w:r w:rsidRPr="00910EBB">
        <w:rPr>
          <w:noProof/>
        </w:rPr>
        <w:drawing>
          <wp:inline distT="0" distB="0" distL="0" distR="0" wp14:anchorId="7626DB5B" wp14:editId="3515CEFA">
            <wp:extent cx="5219700" cy="3262313"/>
            <wp:effectExtent l="0" t="0" r="0" b="0"/>
            <wp:docPr id="86479732" name="Picture 1" descr="A graph with blue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9732" name="Picture 1" descr="A graph with blue and white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0209" cy="3262631"/>
                    </a:xfrm>
                    <a:prstGeom prst="rect">
                      <a:avLst/>
                    </a:prstGeom>
                  </pic:spPr>
                </pic:pic>
              </a:graphicData>
            </a:graphic>
          </wp:inline>
        </w:drawing>
      </w:r>
    </w:p>
    <w:p w14:paraId="315BBE22" w14:textId="77777777" w:rsidR="00B716E0" w:rsidRPr="001C40E3" w:rsidRDefault="00B716E0" w:rsidP="00B716E0">
      <w:pPr>
        <w:rPr>
          <w:rFonts w:ascii="Times New Roman" w:hAnsi="Times New Roman" w:cs="Times New Roman"/>
          <w:i/>
        </w:rPr>
      </w:pPr>
      <w:r w:rsidRPr="001C40E3">
        <w:rPr>
          <w:rFonts w:ascii="Times New Roman" w:hAnsi="Times New Roman" w:cs="Times New Roman"/>
          <w:i/>
        </w:rPr>
        <w:t>Figure S4</w:t>
      </w:r>
      <w:r>
        <w:rPr>
          <w:rFonts w:ascii="Times New Roman" w:hAnsi="Times New Roman" w:cs="Times New Roman"/>
          <w:i/>
        </w:rPr>
        <w:t>A:</w:t>
      </w:r>
      <w:r w:rsidRPr="001C40E3">
        <w:rPr>
          <w:rFonts w:ascii="Times New Roman" w:hAnsi="Times New Roman" w:cs="Times New Roman"/>
          <w:i/>
        </w:rPr>
        <w:t xml:space="preserve"> Standardized coefficient estimates from the time-series model shown in equation 1 used to </w:t>
      </w:r>
      <w:r w:rsidRPr="001C40E3">
        <w:rPr>
          <w:rFonts w:ascii="Times New Roman" w:eastAsia="Aptos" w:hAnsi="Times New Roman" w:cs="Times New Roman"/>
          <w:i/>
        </w:rPr>
        <w:t xml:space="preserve">estimate the observed effect of these predictors on cattle slaughtering rates. Dots represent the posterior median estimate for each predictor. Thick bars represent the inner 50% of the posterior distribution; thin bars, the inner 90% of the posterior distribution (credible interval). The vertical dotted line at 0 indicates the point where the predictor has no effect on the response variable. </w:t>
      </w:r>
    </w:p>
    <w:p w14:paraId="2799E469" w14:textId="77777777" w:rsidR="00B716E0" w:rsidRDefault="00B716E0" w:rsidP="00B716E0"/>
    <w:p w14:paraId="55DC639D" w14:textId="77777777" w:rsidR="00B716E0" w:rsidRPr="00910EBB" w:rsidRDefault="00B716E0" w:rsidP="00B716E0">
      <w:pPr>
        <w:pStyle w:val="Heading1"/>
      </w:pPr>
      <w:r w:rsidRPr="00910EBB">
        <w:lastRenderedPageBreak/>
        <w:t>Disaggregation model</w:t>
      </w:r>
    </w:p>
    <w:p w14:paraId="02E66537" w14:textId="77777777" w:rsidR="00B716E0" w:rsidRDefault="00B716E0" w:rsidP="00B716E0">
      <w:r w:rsidRPr="00910EBB">
        <w:rPr>
          <w:rFonts w:hint="eastAsia"/>
          <w:noProof/>
        </w:rPr>
        <w:drawing>
          <wp:inline distT="0" distB="0" distL="0" distR="0" wp14:anchorId="4171C2B9" wp14:editId="20B20CD0">
            <wp:extent cx="4013200" cy="3344333"/>
            <wp:effectExtent l="0" t="0" r="6350" b="8890"/>
            <wp:docPr id="5" name="Picture 5" descr="A graph with black line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with black lines and white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19464" cy="3349553"/>
                    </a:xfrm>
                    <a:prstGeom prst="rect">
                      <a:avLst/>
                    </a:prstGeom>
                  </pic:spPr>
                </pic:pic>
              </a:graphicData>
            </a:graphic>
          </wp:inline>
        </w:drawing>
      </w:r>
    </w:p>
    <w:p w14:paraId="5BC5A707" w14:textId="77777777" w:rsidR="00B716E0" w:rsidRPr="00606D18" w:rsidRDefault="00B716E0" w:rsidP="00B716E0">
      <w:pPr>
        <w:rPr>
          <w:rFonts w:ascii="Times New Roman" w:eastAsia="Aptos" w:hAnsi="Times New Roman" w:cs="Times New Roman"/>
          <w:i/>
        </w:rPr>
      </w:pPr>
      <w:r w:rsidRPr="00606D18">
        <w:rPr>
          <w:rFonts w:ascii="Times New Roman" w:hAnsi="Times New Roman" w:cs="Times New Roman"/>
          <w:i/>
        </w:rPr>
        <w:t xml:space="preserve">Figure S4B: Standardized coefficient estimates from the disaggregation regression shown in equation 2 used to </w:t>
      </w:r>
      <w:r w:rsidRPr="00606D18">
        <w:rPr>
          <w:rFonts w:ascii="Times New Roman" w:eastAsia="Aptos" w:hAnsi="Times New Roman" w:cs="Times New Roman"/>
          <w:i/>
        </w:rPr>
        <w:t xml:space="preserve">estimate the observed effect of these predictors on the spatial distribution of cattle slaughtering in 2020 across South Africa. Dots represent the posterior mean estimate for each predictor. Error bars represent 95% credible interval. The red dashed line at 0 represents a null effect. </w:t>
      </w:r>
    </w:p>
    <w:p w14:paraId="48A58C4A" w14:textId="77777777" w:rsidR="00B716E0" w:rsidRPr="00910EBB" w:rsidRDefault="00B716E0" w:rsidP="00B716E0"/>
    <w:p w14:paraId="1203CE13" w14:textId="77777777" w:rsidR="00B716E0" w:rsidRDefault="00B716E0" w:rsidP="00B716E0">
      <w:pPr>
        <w:rPr>
          <w:rFonts w:ascii="Times New Roman" w:eastAsiaTheme="majorEastAsia" w:hAnsi="Times New Roman" w:cs="Times New Roman"/>
          <w:b/>
          <w:bCs/>
          <w:sz w:val="32"/>
          <w:szCs w:val="32"/>
        </w:rPr>
      </w:pPr>
      <w:r>
        <w:rPr>
          <w:rFonts w:ascii="Times New Roman" w:hAnsi="Times New Roman" w:cs="Times New Roman"/>
          <w:b/>
          <w:bCs/>
        </w:rPr>
        <w:br w:type="page"/>
      </w:r>
    </w:p>
    <w:p w14:paraId="3705648D" w14:textId="77777777" w:rsidR="00B716E0" w:rsidRPr="00910EBB" w:rsidRDefault="00B716E0" w:rsidP="00B716E0">
      <w:pPr>
        <w:pStyle w:val="Heading1"/>
        <w:rPr>
          <w:rFonts w:ascii="Times New Roman" w:hAnsi="Times New Roman" w:cs="Times New Roman"/>
          <w:b/>
          <w:bCs/>
          <w:color w:val="auto"/>
        </w:rPr>
      </w:pPr>
      <w:r w:rsidRPr="00910EBB">
        <w:rPr>
          <w:rFonts w:ascii="Times New Roman" w:hAnsi="Times New Roman" w:cs="Times New Roman"/>
          <w:b/>
          <w:bCs/>
          <w:color w:val="auto"/>
        </w:rPr>
        <w:lastRenderedPageBreak/>
        <w:t>S5: Data and code</w:t>
      </w:r>
    </w:p>
    <w:p w14:paraId="64EF5128" w14:textId="77777777" w:rsidR="00B716E0" w:rsidRPr="004A5DC2" w:rsidRDefault="00B716E0" w:rsidP="00B716E0">
      <w:pPr>
        <w:rPr>
          <w:rFonts w:ascii="Times New Roman" w:hAnsi="Times New Roman" w:cs="Times New Roman"/>
          <w:sz w:val="24"/>
          <w:szCs w:val="24"/>
        </w:rPr>
      </w:pPr>
      <w:r w:rsidRPr="00606D18">
        <w:rPr>
          <w:rFonts w:ascii="Times New Roman" w:hAnsi="Times New Roman" w:cs="Times New Roman"/>
          <w:sz w:val="24"/>
          <w:szCs w:val="24"/>
        </w:rPr>
        <w:t xml:space="preserve">All data and code used in this manuscript can be found in the following repository: </w:t>
      </w:r>
      <w:r w:rsidRPr="00606D18">
        <w:rPr>
          <w:rFonts w:ascii="Times New Roman" w:hAnsi="Times New Roman" w:cs="Times New Roman" w:hint="eastAsia"/>
          <w:sz w:val="24"/>
          <w:szCs w:val="24"/>
        </w:rPr>
        <w:t>https://zenodo.org/records/13856119</w:t>
      </w:r>
    </w:p>
    <w:p w14:paraId="48B1A1A3" w14:textId="77777777" w:rsidR="00F553FF" w:rsidRDefault="00F553FF"/>
    <w:sectPr w:rsidR="00F553FF" w:rsidSect="00B716E0">
      <w:footerReference w:type="default" r:id="rId1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7706188"/>
      <w:docPartObj>
        <w:docPartGallery w:val="Page Numbers (Bottom of Page)"/>
        <w:docPartUnique/>
      </w:docPartObj>
    </w:sdtPr>
    <w:sdtEndPr>
      <w:rPr>
        <w:noProof/>
      </w:rPr>
    </w:sdtEndPr>
    <w:sdtContent>
      <w:p w14:paraId="1D541E13"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27C32"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E0"/>
    <w:rsid w:val="003C2EF4"/>
    <w:rsid w:val="00866EAC"/>
    <w:rsid w:val="00B716E0"/>
    <w:rsid w:val="00B74216"/>
    <w:rsid w:val="00D62F8C"/>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9D81"/>
  <w15:chartTrackingRefBased/>
  <w15:docId w15:val="{E27F5B20-9EFF-4E63-99C1-60B78C4F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6E0"/>
    <w:pPr>
      <w:spacing w:after="120" w:line="264" w:lineRule="auto"/>
    </w:pPr>
    <w:rPr>
      <w:rFonts w:eastAsiaTheme="minorEastAsia"/>
      <w:kern w:val="0"/>
      <w:sz w:val="20"/>
      <w:szCs w:val="20"/>
      <w:lang w:eastAsia="ja-JP"/>
      <w14:ligatures w14:val="none"/>
    </w:rPr>
  </w:style>
  <w:style w:type="paragraph" w:styleId="Heading1">
    <w:name w:val="heading 1"/>
    <w:basedOn w:val="Normal"/>
    <w:next w:val="Normal"/>
    <w:link w:val="Heading1Char"/>
    <w:uiPriority w:val="9"/>
    <w:qFormat/>
    <w:rsid w:val="00B716E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B716E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716E0"/>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716E0"/>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716E0"/>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716E0"/>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716E0"/>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716E0"/>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716E0"/>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1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6E0"/>
    <w:rPr>
      <w:rFonts w:eastAsiaTheme="majorEastAsia" w:cstheme="majorBidi"/>
      <w:color w:val="272727" w:themeColor="text1" w:themeTint="D8"/>
    </w:rPr>
  </w:style>
  <w:style w:type="paragraph" w:styleId="Title">
    <w:name w:val="Title"/>
    <w:basedOn w:val="Normal"/>
    <w:next w:val="Normal"/>
    <w:link w:val="TitleChar"/>
    <w:uiPriority w:val="10"/>
    <w:qFormat/>
    <w:rsid w:val="00B716E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71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6E0"/>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71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6E0"/>
    <w:pPr>
      <w:spacing w:before="160" w:after="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716E0"/>
    <w:rPr>
      <w:i/>
      <w:iCs/>
      <w:color w:val="404040" w:themeColor="text1" w:themeTint="BF"/>
    </w:rPr>
  </w:style>
  <w:style w:type="paragraph" w:styleId="ListParagraph">
    <w:name w:val="List Paragraph"/>
    <w:basedOn w:val="Normal"/>
    <w:uiPriority w:val="34"/>
    <w:qFormat/>
    <w:rsid w:val="00B716E0"/>
    <w:pPr>
      <w:spacing w:after="160"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716E0"/>
    <w:rPr>
      <w:i/>
      <w:iCs/>
      <w:color w:val="0F4761" w:themeColor="accent1" w:themeShade="BF"/>
    </w:rPr>
  </w:style>
  <w:style w:type="paragraph" w:styleId="IntenseQuote">
    <w:name w:val="Intense Quote"/>
    <w:basedOn w:val="Normal"/>
    <w:next w:val="Normal"/>
    <w:link w:val="IntenseQuoteChar"/>
    <w:uiPriority w:val="30"/>
    <w:qFormat/>
    <w:rsid w:val="00B716E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716E0"/>
    <w:rPr>
      <w:i/>
      <w:iCs/>
      <w:color w:val="0F4761" w:themeColor="accent1" w:themeShade="BF"/>
    </w:rPr>
  </w:style>
  <w:style w:type="character" w:styleId="IntenseReference">
    <w:name w:val="Intense Reference"/>
    <w:basedOn w:val="DefaultParagraphFont"/>
    <w:uiPriority w:val="32"/>
    <w:qFormat/>
    <w:rsid w:val="00B716E0"/>
    <w:rPr>
      <w:b/>
      <w:bCs/>
      <w:smallCaps/>
      <w:color w:val="0F4761" w:themeColor="accent1" w:themeShade="BF"/>
      <w:spacing w:val="5"/>
    </w:rPr>
  </w:style>
  <w:style w:type="character" w:styleId="Hyperlink">
    <w:name w:val="Hyperlink"/>
    <w:basedOn w:val="DefaultParagraphFont"/>
    <w:uiPriority w:val="99"/>
    <w:unhideWhenUsed/>
    <w:rsid w:val="00B716E0"/>
    <w:rPr>
      <w:color w:val="467886" w:themeColor="hyperlink"/>
      <w:u w:val="single"/>
    </w:rPr>
  </w:style>
  <w:style w:type="paragraph" w:styleId="NormalWeb">
    <w:name w:val="Normal (Web)"/>
    <w:basedOn w:val="Normal"/>
    <w:uiPriority w:val="99"/>
    <w:semiHidden/>
    <w:unhideWhenUsed/>
    <w:rsid w:val="00B716E0"/>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B716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B716E0"/>
    <w:rPr>
      <w:rFonts w:eastAsiaTheme="minorEastAsia"/>
      <w:kern w:val="0"/>
      <w:sz w:val="20"/>
      <w:szCs w:val="20"/>
      <w:lang w:eastAsia="ja-JP"/>
      <w14:ligatures w14:val="none"/>
    </w:rPr>
  </w:style>
  <w:style w:type="character" w:styleId="LineNumber">
    <w:name w:val="line number"/>
    <w:basedOn w:val="DefaultParagraphFont"/>
    <w:uiPriority w:val="99"/>
    <w:semiHidden/>
    <w:unhideWhenUsed/>
    <w:rsid w:val="00B71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ort.hotosm.org/v3/"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7927/3xxe-ap97"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www.chc.ucsb.edu/data/chirps" TargetMode="External"/><Relationship Id="rId11" Type="http://schemas.openxmlformats.org/officeDocument/2006/relationships/hyperlink" Target="https://gadm.org/" TargetMode="External"/><Relationship Id="rId5" Type="http://schemas.openxmlformats.org/officeDocument/2006/relationships/image" Target="media/image2.PNG"/><Relationship Id="rId15" Type="http://schemas.openxmlformats.org/officeDocument/2006/relationships/image" Target="media/image6.png"/><Relationship Id="rId10" Type="http://schemas.openxmlformats.org/officeDocument/2006/relationships/hyperlink" Target="https://data.apps.fao.org/catalog/organization/gridded-livestock-of-the-world-glw"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doi.org/10.1016/j.gloenvcha.2021.102368"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750</Words>
  <Characters>4281</Characters>
  <Application>Microsoft Office Word</Application>
  <DocSecurity>0</DocSecurity>
  <Lines>35</Lines>
  <Paragraphs>10</Paragraphs>
  <ScaleCrop>false</ScaleCrop>
  <Company>Springer Nature</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2024-11-21T11:29:00Z</dcterms:created>
  <dcterms:modified xsi:type="dcterms:W3CDTF">2024-11-21T11:29:00Z</dcterms:modified>
</cp:coreProperties>
</file>