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rPr>
          <w:rFonts w:cs="Calibri"/>
          <w:b/>
          <w:sz w:val="20"/>
          <w:szCs w:val="20"/>
        </w:rPr>
      </w:pPr>
    </w:p>
    <w:p>
      <w:pPr>
        <w:spacing w:after="312" w:afterLines="100"/>
        <w:rPr>
          <w:rFonts w:cs="Calibri"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Table </w:t>
      </w:r>
      <w:r>
        <w:rPr>
          <w:rFonts w:hint="eastAsia" w:cs="Calibri"/>
          <w:b/>
          <w:sz w:val="20"/>
          <w:szCs w:val="20"/>
          <w:lang w:val="en-US" w:eastAsia="zh"/>
        </w:rPr>
        <w:t>S</w:t>
      </w:r>
      <w:r>
        <w:rPr>
          <w:rFonts w:cs="Calibri"/>
          <w:b/>
          <w:sz w:val="20"/>
          <w:szCs w:val="20"/>
        </w:rPr>
        <w:t>1</w:t>
      </w:r>
      <w:r>
        <w:rPr>
          <w:rFonts w:cs="Calibri"/>
          <w:sz w:val="20"/>
          <w:szCs w:val="20"/>
        </w:rPr>
        <w:t xml:space="preserve"> The summary of reads from PacBio single-molecule long-read sequencing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321"/>
        <w:gridCol w:w="1026"/>
        <w:gridCol w:w="1026"/>
        <w:gridCol w:w="1237"/>
        <w:gridCol w:w="2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Subreads</w:t>
            </w:r>
          </w:p>
        </w:tc>
        <w:tc>
          <w:tcPr>
            <w:tcW w:w="60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CCS</w:t>
            </w:r>
          </w:p>
        </w:tc>
        <w:tc>
          <w:tcPr>
            <w:tcW w:w="60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FLNC</w:t>
            </w:r>
          </w:p>
        </w:tc>
        <w:tc>
          <w:tcPr>
            <w:tcW w:w="72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Polished </w:t>
            </w:r>
          </w:p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consensus</w:t>
            </w:r>
          </w:p>
        </w:tc>
        <w:tc>
          <w:tcPr>
            <w:tcW w:w="127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 xml:space="preserve">Corrected </w:t>
            </w:r>
            <w:r>
              <w:rPr>
                <w:rFonts w:cs="Calibri"/>
                <w:iCs/>
                <w:kern w:val="0"/>
                <w:sz w:val="20"/>
                <w:szCs w:val="20"/>
              </w:rPr>
              <w:t>transcript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Number</w:t>
            </w:r>
          </w:p>
        </w:tc>
        <w:tc>
          <w:tcPr>
            <w:tcW w:w="775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17,627,889</w:t>
            </w:r>
          </w:p>
        </w:tc>
        <w:tc>
          <w:tcPr>
            <w:tcW w:w="602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689,344</w:t>
            </w:r>
          </w:p>
        </w:tc>
        <w:tc>
          <w:tcPr>
            <w:tcW w:w="602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558,845</w:t>
            </w:r>
          </w:p>
        </w:tc>
        <w:tc>
          <w:tcPr>
            <w:tcW w:w="726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345,616</w:t>
            </w:r>
          </w:p>
        </w:tc>
        <w:tc>
          <w:tcPr>
            <w:tcW w:w="1277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47,860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" w:type="pct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Average Length</w:t>
            </w:r>
          </w:p>
        </w:tc>
        <w:tc>
          <w:tcPr>
            <w:tcW w:w="775" w:type="pct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978</w:t>
            </w:r>
          </w:p>
        </w:tc>
        <w:tc>
          <w:tcPr>
            <w:tcW w:w="602" w:type="pct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1,882</w:t>
            </w:r>
          </w:p>
        </w:tc>
        <w:tc>
          <w:tcPr>
            <w:tcW w:w="602" w:type="pct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1,749</w:t>
            </w:r>
          </w:p>
        </w:tc>
        <w:tc>
          <w:tcPr>
            <w:tcW w:w="726" w:type="pct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1,743</w:t>
            </w:r>
          </w:p>
        </w:tc>
        <w:tc>
          <w:tcPr>
            <w:tcW w:w="1277" w:type="pct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2,349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N50</w:t>
            </w:r>
          </w:p>
        </w:tc>
        <w:tc>
          <w:tcPr>
            <w:tcW w:w="775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1,759</w:t>
            </w:r>
          </w:p>
        </w:tc>
        <w:tc>
          <w:tcPr>
            <w:tcW w:w="602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2,629</w:t>
            </w:r>
          </w:p>
        </w:tc>
        <w:tc>
          <w:tcPr>
            <w:tcW w:w="602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2,467</w:t>
            </w:r>
          </w:p>
        </w:tc>
        <w:tc>
          <w:tcPr>
            <w:tcW w:w="726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2,687</w:t>
            </w:r>
          </w:p>
        </w:tc>
        <w:tc>
          <w:tcPr>
            <w:tcW w:w="1277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2,839</w:t>
            </w:r>
          </w:p>
        </w:tc>
      </w:tr>
    </w:tbl>
    <w:p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</w:t>
      </w:r>
    </w:p>
    <w:p>
      <w:pPr>
        <w:spacing w:after="312" w:afterLines="100"/>
        <w:rPr>
          <w:rFonts w:cs="Calibri"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Table </w:t>
      </w:r>
      <w:r>
        <w:rPr>
          <w:rFonts w:hint="eastAsia" w:cs="Calibri"/>
          <w:b/>
          <w:sz w:val="20"/>
          <w:szCs w:val="20"/>
          <w:lang w:val="en-US" w:eastAsia="zh"/>
        </w:rPr>
        <w:t>S</w:t>
      </w:r>
      <w:r>
        <w:rPr>
          <w:rFonts w:cs="Calibri"/>
          <w:b/>
          <w:sz w:val="20"/>
          <w:szCs w:val="20"/>
        </w:rPr>
        <w:t>2</w:t>
      </w:r>
      <w:r>
        <w:rPr>
          <w:rFonts w:cs="Calibri"/>
          <w:sz w:val="20"/>
          <w:szCs w:val="20"/>
        </w:rPr>
        <w:t xml:space="preserve"> Completeness assessment of the unique transcript isoforms using Benchmarking Universal Single-Copy Orthologs (BUSCO)</w:t>
      </w:r>
    </w:p>
    <w:tbl>
      <w:tblPr>
        <w:tblStyle w:val="5"/>
        <w:tblW w:w="83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5"/>
        <w:gridCol w:w="1933"/>
        <w:gridCol w:w="27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Types of BUSCOs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Number of genes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Percent completeness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0" w:type="auto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Complete BUSCOs</w:t>
            </w:r>
          </w:p>
        </w:tc>
        <w:tc>
          <w:tcPr>
            <w:tcW w:w="0" w:type="auto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709</w:t>
            </w:r>
          </w:p>
        </w:tc>
        <w:tc>
          <w:tcPr>
            <w:tcW w:w="0" w:type="auto"/>
            <w:tcBorders>
              <w:top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49.3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Complete and single-copy BUSCOs</w:t>
            </w:r>
          </w:p>
        </w:tc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283</w:t>
            </w:r>
          </w:p>
        </w:tc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19.7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Complete and duplicated BUSCOs</w:t>
            </w:r>
          </w:p>
        </w:tc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426</w:t>
            </w:r>
          </w:p>
        </w:tc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Fragmented BUSCOs</w:t>
            </w:r>
          </w:p>
        </w:tc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0" w:type="auto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Missing BUSCOs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701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>
            <w:pPr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48.6</w:t>
            </w:r>
          </w:p>
        </w:tc>
      </w:tr>
    </w:tbl>
    <w:p>
      <w:pPr>
        <w:rPr>
          <w:rFonts w:cs="Calibri"/>
          <w:sz w:val="20"/>
          <w:szCs w:val="20"/>
        </w:rPr>
      </w:pPr>
    </w:p>
    <w:p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drawing>
          <wp:inline distT="0" distB="0" distL="0" distR="0">
            <wp:extent cx="5274310" cy="54508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Calibri"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Figure </w:t>
      </w:r>
      <w:r>
        <w:rPr>
          <w:rFonts w:hint="eastAsia" w:cs="Calibri"/>
          <w:b/>
          <w:sz w:val="20"/>
          <w:szCs w:val="20"/>
          <w:lang w:val="en-US" w:eastAsia="zh-CN"/>
        </w:rPr>
        <w:t>S</w:t>
      </w:r>
      <w:bookmarkStart w:id="0" w:name="_GoBack"/>
      <w:bookmarkEnd w:id="0"/>
      <w:r>
        <w:rPr>
          <w:rFonts w:cs="Calibri"/>
          <w:b/>
          <w:sz w:val="20"/>
          <w:szCs w:val="20"/>
        </w:rPr>
        <w:t xml:space="preserve">1 </w:t>
      </w:r>
      <w:r>
        <w:rPr>
          <w:rFonts w:cs="Calibri"/>
          <w:sz w:val="20"/>
          <w:szCs w:val="20"/>
        </w:rPr>
        <w:t xml:space="preserve">Length distributions of PacBio SMRT sequencing.  </w:t>
      </w:r>
      <w:r>
        <w:rPr>
          <w:rFonts w:cs="Calibri"/>
          <w:b/>
          <w:sz w:val="20"/>
          <w:szCs w:val="20"/>
        </w:rPr>
        <w:t xml:space="preserve">(a). </w:t>
      </w:r>
      <w:r>
        <w:rPr>
          <w:rFonts w:cs="Calibri"/>
          <w:sz w:val="20"/>
          <w:szCs w:val="20"/>
        </w:rPr>
        <w:t xml:space="preserve">Distribution of read length of subreads; </w:t>
      </w:r>
      <w:r>
        <w:rPr>
          <w:rFonts w:cs="Calibri"/>
          <w:b/>
          <w:sz w:val="20"/>
          <w:szCs w:val="20"/>
        </w:rPr>
        <w:t>(b).</w:t>
      </w:r>
      <w:r>
        <w:rPr>
          <w:rFonts w:cs="Calibri"/>
          <w:sz w:val="20"/>
          <w:szCs w:val="20"/>
        </w:rPr>
        <w:t xml:space="preserve"> Distribution of read length of FLNC; </w:t>
      </w:r>
      <w:r>
        <w:rPr>
          <w:rFonts w:cs="Calibri"/>
          <w:b/>
          <w:sz w:val="20"/>
          <w:szCs w:val="20"/>
        </w:rPr>
        <w:t>(c).</w:t>
      </w:r>
      <w:r>
        <w:rPr>
          <w:rFonts w:cs="Calibri"/>
          <w:sz w:val="20"/>
          <w:szCs w:val="20"/>
        </w:rPr>
        <w:t xml:space="preserve"> Distribution of read length of consensus isoforms.</w:t>
      </w:r>
    </w:p>
    <w:p>
      <w:pPr>
        <w:rPr>
          <w:rFonts w:cs="Calibri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158"/>
    <w:rsid w:val="0003566B"/>
    <w:rsid w:val="00055A65"/>
    <w:rsid w:val="003273E8"/>
    <w:rsid w:val="004C1E5D"/>
    <w:rsid w:val="00613D29"/>
    <w:rsid w:val="00626808"/>
    <w:rsid w:val="006437E1"/>
    <w:rsid w:val="00711C8A"/>
    <w:rsid w:val="00863F58"/>
    <w:rsid w:val="00945526"/>
    <w:rsid w:val="00984441"/>
    <w:rsid w:val="009C62A8"/>
    <w:rsid w:val="00BA1C6B"/>
    <w:rsid w:val="00CA3E36"/>
    <w:rsid w:val="00D00125"/>
    <w:rsid w:val="00FB7158"/>
    <w:rsid w:val="00FD6D96"/>
    <w:rsid w:val="109574A6"/>
    <w:rsid w:val="3818169C"/>
    <w:rsid w:val="BF5EC9B9"/>
    <w:rsid w:val="FBE7F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697</Characters>
  <Lines>5</Lines>
  <Paragraphs>1</Paragraphs>
  <TotalTime>1062</TotalTime>
  <ScaleCrop>false</ScaleCrop>
  <LinksUpToDate>false</LinksUpToDate>
  <CharactersWithSpaces>818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2021-03-19T04:12:00Z</dcterms:created>
  <dc:creator>1</dc:creator>
  <cp:lastModifiedBy>一颗有梦想的山楂</cp:lastModifiedBy>
  <dcterms:modified xsi:type="dcterms:W3CDTF">2021-05-11T08:30:27Z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164E1CE77A8B4D0CB622097D52D62362</vt:lpwstr>
  </property>
</Properties>
</file>