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1" w:firstLineChars="100"/>
        <w:jc w:val="left"/>
        <w:outlineLvl w:val="0"/>
        <w:rPr>
          <w:rFonts w:hint="eastAsia" w:eastAsia="宋体"/>
          <w:szCs w:val="21"/>
          <w:lang w:val="en-US" w:eastAsia="zh-CN"/>
        </w:rPr>
      </w:pPr>
      <w:r>
        <w:rPr>
          <w:rFonts w:eastAsia="宋体"/>
          <w:b/>
          <w:szCs w:val="21"/>
        </w:rPr>
        <w:t xml:space="preserve"> </w:t>
      </w:r>
      <w:bookmarkStart w:id="0" w:name="OLE_LINK8"/>
      <w:bookmarkStart w:id="1" w:name="OLE_LINK7"/>
      <w:r>
        <w:rPr>
          <w:rFonts w:eastAsia="宋体"/>
          <w:b/>
          <w:szCs w:val="21"/>
        </w:rPr>
        <w:t>S</w:t>
      </w:r>
      <w:r>
        <w:rPr>
          <w:rFonts w:hint="eastAsia" w:eastAsia="宋体"/>
          <w:b/>
          <w:szCs w:val="21"/>
        </w:rPr>
        <w:t xml:space="preserve">upplementary </w:t>
      </w:r>
      <w:r>
        <w:rPr>
          <w:rFonts w:eastAsia="宋体"/>
          <w:b/>
          <w:szCs w:val="21"/>
        </w:rPr>
        <w:t>T</w:t>
      </w:r>
      <w:r>
        <w:rPr>
          <w:rFonts w:hint="eastAsia" w:eastAsia="宋体"/>
          <w:b/>
          <w:szCs w:val="21"/>
        </w:rPr>
        <w:t xml:space="preserve">able </w:t>
      </w:r>
      <w:r>
        <w:rPr>
          <w:rFonts w:hint="eastAsia" w:eastAsia="宋体"/>
          <w:b/>
          <w:szCs w:val="21"/>
          <w:lang w:val="en-US" w:eastAsia="zh-CN"/>
        </w:rPr>
        <w:t>1</w:t>
      </w:r>
      <w:r>
        <w:rPr>
          <w:rFonts w:hint="eastAsia" w:eastAsia="宋体"/>
          <w:b/>
          <w:szCs w:val="21"/>
        </w:rPr>
        <w:t>.</w:t>
      </w:r>
      <w:r>
        <w:rPr>
          <w:rFonts w:hint="eastAsia" w:eastAsia="宋体"/>
          <w:szCs w:val="21"/>
        </w:rPr>
        <w:t xml:space="preserve"> Quality assessment of studies included</w:t>
      </w:r>
      <w:r>
        <w:rPr>
          <w:rFonts w:hint="eastAsia" w:eastAsia="宋体"/>
          <w:szCs w:val="21"/>
          <w:lang w:val="en-US" w:eastAsia="zh-CN"/>
        </w:rPr>
        <w:t>.</w:t>
      </w:r>
    </w:p>
    <w:bookmarkEnd w:id="0"/>
    <w:bookmarkEnd w:id="1"/>
    <w:tbl>
      <w:tblPr>
        <w:tblStyle w:val="5"/>
        <w:tblpPr w:leftFromText="180" w:rightFromText="180" w:vertAnchor="page" w:horzAnchor="margin" w:tblpXSpec="center" w:tblpY="2251"/>
        <w:tblW w:w="16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932"/>
        <w:gridCol w:w="1985"/>
        <w:gridCol w:w="1559"/>
        <w:gridCol w:w="2268"/>
        <w:gridCol w:w="1559"/>
        <w:gridCol w:w="1418"/>
        <w:gridCol w:w="1134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Merge w:val="restart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Author, year,</w:t>
            </w:r>
          </w:p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Study (Observational)</w:t>
            </w:r>
          </w:p>
        </w:tc>
        <w:tc>
          <w:tcPr>
            <w:tcW w:w="7744" w:type="dxa"/>
            <w:gridSpan w:val="4"/>
          </w:tcPr>
          <w:p>
            <w:pPr>
              <w:jc w:val="center"/>
              <w:rPr>
                <w:rFonts w:hint="default" w:ascii="Calibri" w:hAnsi="Calibri" w:cs="Calibri"/>
                <w:b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Selection (Out of 4)</w:t>
            </w:r>
          </w:p>
        </w:tc>
        <w:tc>
          <w:tcPr>
            <w:tcW w:w="1559" w:type="dxa"/>
            <w:vMerge w:val="restart"/>
          </w:tcPr>
          <w:p>
            <w:pPr>
              <w:jc w:val="left"/>
              <w:rPr>
                <w:rFonts w:hint="default" w:ascii="Calibri" w:hAnsi="Calibri" w:cs="Calibri"/>
                <w:b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Comparability</w:t>
            </w:r>
          </w:p>
          <w:p>
            <w:pPr>
              <w:jc w:val="left"/>
              <w:rPr>
                <w:rFonts w:hint="default" w:ascii="Calibri" w:hAnsi="Calibri" w:cs="Calibri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(Out of 2)</w:t>
            </w:r>
          </w:p>
        </w:tc>
        <w:tc>
          <w:tcPr>
            <w:tcW w:w="3828" w:type="dxa"/>
            <w:gridSpan w:val="3"/>
          </w:tcPr>
          <w:p>
            <w:pPr>
              <w:jc w:val="center"/>
              <w:rPr>
                <w:rFonts w:hint="default" w:ascii="Calibri" w:hAnsi="Calibri" w:cs="Calibri"/>
                <w:b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Outcomes</w:t>
            </w:r>
            <w:r>
              <w:rPr>
                <w:rFonts w:hint="eastAsia" w:ascii="Calibri" w:hAnsi="Calibri" w:eastAsia="宋体" w:cs="Calibri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(Out of 3)</w:t>
            </w:r>
          </w:p>
        </w:tc>
        <w:tc>
          <w:tcPr>
            <w:tcW w:w="1134" w:type="dxa"/>
            <w:vMerge w:val="restart"/>
          </w:tcPr>
          <w:p>
            <w:pPr>
              <w:jc w:val="center"/>
              <w:rPr>
                <w:rFonts w:hint="default" w:ascii="Calibri" w:hAnsi="Calibri" w:cs="Calibri"/>
                <w:b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Total</w:t>
            </w:r>
          </w:p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sz w:val="21"/>
                <w:szCs w:val="21"/>
              </w:rPr>
              <w:t>(Out of 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Merge w:val="continue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932" w:type="dxa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bookmarkStart w:id="2" w:name="OLE_LINK34"/>
            <w:bookmarkStart w:id="3" w:name="OLE_LINK35"/>
            <w:r>
              <w:rPr>
                <w:rFonts w:hint="default" w:ascii="Calibri" w:hAnsi="Calibri" w:eastAsia="宋体" w:cs="Calibri"/>
                <w:sz w:val="21"/>
                <w:szCs w:val="21"/>
              </w:rPr>
              <w:t>Representativeness of exposed cohort</w:t>
            </w:r>
            <w:bookmarkEnd w:id="2"/>
            <w:bookmarkEnd w:id="3"/>
          </w:p>
          <w:p>
            <w:pPr>
              <w:jc w:val="left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85" w:type="dxa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Selection of nonexpos</w:t>
            </w:r>
            <w:bookmarkStart w:id="4" w:name="_GoBack"/>
            <w:bookmarkEnd w:id="4"/>
            <w:r>
              <w:rPr>
                <w:rFonts w:hint="default" w:ascii="Calibri" w:hAnsi="Calibri" w:eastAsia="宋体" w:cs="Calibri"/>
                <w:sz w:val="21"/>
                <w:szCs w:val="21"/>
              </w:rPr>
              <w:t>ed cohort</w:t>
            </w:r>
          </w:p>
          <w:p>
            <w:pPr>
              <w:jc w:val="left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Ascertainment</w:t>
            </w:r>
          </w:p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of exposure</w:t>
            </w:r>
          </w:p>
          <w:p>
            <w:pPr>
              <w:jc w:val="left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268" w:type="dxa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Outcome not present at the start of the study</w:t>
            </w:r>
          </w:p>
          <w:p>
            <w:pPr>
              <w:jc w:val="left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  <w:vMerge w:val="continue"/>
          </w:tcPr>
          <w:p>
            <w:pPr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418" w:type="dxa"/>
          </w:tcPr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Assessment of outcomes</w:t>
            </w:r>
          </w:p>
          <w:p>
            <w:pPr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Length of follow-up</w:t>
            </w:r>
          </w:p>
          <w:p>
            <w:pPr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6" w:type="dxa"/>
          </w:tcPr>
          <w:p>
            <w:pPr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Adequacy of follow-up</w:t>
            </w:r>
          </w:p>
          <w:p>
            <w:pPr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</w:tcPr>
          <w:p>
            <w:pPr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Kaluza, 2020</w:t>
            </w: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hint="default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alibri" w:hAnsi="Calibri" w:eastAsia="等线" w:cs="Calibri"/>
                <w:color w:val="000000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Farvid, 2018</w:t>
            </w:r>
          </w:p>
        </w:tc>
        <w:tc>
          <w:tcPr>
            <w:tcW w:w="1932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Fraser, 2020</w:t>
            </w:r>
          </w:p>
        </w:tc>
        <w:tc>
          <w:tcPr>
            <w:tcW w:w="1932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Genkinger, 2013</w:t>
            </w:r>
          </w:p>
        </w:tc>
        <w:tc>
          <w:tcPr>
            <w:tcW w:w="1932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Kesse-Guyot, 2007</w:t>
            </w:r>
          </w:p>
        </w:tc>
        <w:tc>
          <w:tcPr>
            <w:tcW w:w="1932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Knekt, 1996</w:t>
            </w:r>
          </w:p>
        </w:tc>
        <w:tc>
          <w:tcPr>
            <w:tcW w:w="1932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Shin, 2002</w:t>
            </w:r>
          </w:p>
        </w:tc>
        <w:tc>
          <w:tcPr>
            <w:tcW w:w="1932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Pala, 2009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Marcondes, 2019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Shin, 2019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Hjartåker, 2010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McCullough, 2005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Gaard, 1995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Wirfält, 2011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Yu, 2019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Franceschi, 1995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Galván-Salazar, 2015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Potischman, 2002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Jayalekshmi, 2009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Hirose, 2003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Bao, 2012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Van 't Veer, 1991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Bahadoran, 2013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Toniolo, 1994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Plagens-Rotman, 2017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Lima, 2008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Lê, 1986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Shannon, 2003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Kato, 1992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Mobarakeh, 2014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Potischman, 1998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McCann, 2017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Zhang, 2011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van't Veer, 1989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Ronco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 xml:space="preserve">, </w:t>
            </w:r>
            <w:r>
              <w:rPr>
                <w:rFonts w:hint="eastAsia" w:ascii="Calibri" w:hAnsi="Calibri" w:eastAsia="宋体" w:cs="Calibri"/>
                <w:sz w:val="21"/>
                <w:szCs w:val="21"/>
              </w:rPr>
              <w:t>2002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45" w:type="dxa"/>
            <w:vAlign w:val="top"/>
          </w:tcPr>
          <w:p>
            <w:pPr>
              <w:jc w:val="left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</w:rPr>
              <w:t>Ahmadnia, 2016</w:t>
            </w:r>
          </w:p>
        </w:tc>
        <w:tc>
          <w:tcPr>
            <w:tcW w:w="1932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85" w:type="dxa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default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  <w:t>8</w:t>
            </w:r>
          </w:p>
        </w:tc>
      </w:tr>
    </w:tbl>
    <w:p>
      <w:pPr>
        <w:jc w:val="left"/>
        <w:outlineLvl w:val="0"/>
        <w:rPr>
          <w:sz w:val="21"/>
          <w:szCs w:val="21"/>
        </w:rPr>
      </w:pPr>
      <w:r>
        <w:rPr>
          <w:sz w:val="21"/>
          <w:szCs w:val="22"/>
        </w:rPr>
        <w:t xml:space="preserve">The </w:t>
      </w:r>
      <w:r>
        <w:rPr>
          <w:rFonts w:ascii="Calibri" w:hAnsi="Calibri" w:cs="Times"/>
          <w:color w:val="101010"/>
          <w:kern w:val="0"/>
          <w:sz w:val="21"/>
          <w:szCs w:val="21"/>
        </w:rPr>
        <w:t>observational</w:t>
      </w:r>
      <w:r>
        <w:rPr>
          <w:rFonts w:hint="eastAsia"/>
          <w:sz w:val="21"/>
          <w:szCs w:val="22"/>
        </w:rPr>
        <w:t xml:space="preserve"> studies</w:t>
      </w:r>
      <w:r>
        <w:rPr>
          <w:sz w:val="21"/>
          <w:szCs w:val="22"/>
        </w:rPr>
        <w:t xml:space="preserve"> </w:t>
      </w:r>
      <w:r>
        <w:rPr>
          <w:rFonts w:hint="eastAsia"/>
          <w:sz w:val="21"/>
          <w:szCs w:val="22"/>
        </w:rPr>
        <w:t>were</w:t>
      </w:r>
      <w:r>
        <w:rPr>
          <w:sz w:val="21"/>
          <w:szCs w:val="22"/>
        </w:rPr>
        <w:t xml:space="preserve"> assessed by the Cochrane Collaboration’s tool</w:t>
      </w:r>
      <w:r>
        <w:rPr>
          <w:rFonts w:hint="eastAsia"/>
          <w:sz w:val="21"/>
          <w:szCs w:val="22"/>
        </w:rPr>
        <w:t>.</w:t>
      </w:r>
    </w:p>
    <w:p>
      <w:pPr>
        <w:jc w:val="center"/>
        <w:rPr>
          <w:szCs w:val="21"/>
        </w:rPr>
      </w:pP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4593"/>
    <w:rsid w:val="000212B3"/>
    <w:rsid w:val="00022FD9"/>
    <w:rsid w:val="000401DB"/>
    <w:rsid w:val="00051E48"/>
    <w:rsid w:val="00052F43"/>
    <w:rsid w:val="00063304"/>
    <w:rsid w:val="00073EA4"/>
    <w:rsid w:val="00083C7A"/>
    <w:rsid w:val="000A55B4"/>
    <w:rsid w:val="000B1B6A"/>
    <w:rsid w:val="000D0C94"/>
    <w:rsid w:val="000F69A8"/>
    <w:rsid w:val="00112ACD"/>
    <w:rsid w:val="00133A16"/>
    <w:rsid w:val="00133F23"/>
    <w:rsid w:val="00150086"/>
    <w:rsid w:val="00153A9D"/>
    <w:rsid w:val="00155556"/>
    <w:rsid w:val="00162839"/>
    <w:rsid w:val="001744B4"/>
    <w:rsid w:val="001871A6"/>
    <w:rsid w:val="001C1C2E"/>
    <w:rsid w:val="001C286C"/>
    <w:rsid w:val="001D430C"/>
    <w:rsid w:val="001E7D85"/>
    <w:rsid w:val="00222AD4"/>
    <w:rsid w:val="00222C25"/>
    <w:rsid w:val="00223575"/>
    <w:rsid w:val="00224338"/>
    <w:rsid w:val="00242269"/>
    <w:rsid w:val="002455EF"/>
    <w:rsid w:val="00253F09"/>
    <w:rsid w:val="00260F6B"/>
    <w:rsid w:val="002903CF"/>
    <w:rsid w:val="002B3E88"/>
    <w:rsid w:val="002F0016"/>
    <w:rsid w:val="00301A71"/>
    <w:rsid w:val="0031122F"/>
    <w:rsid w:val="0031371A"/>
    <w:rsid w:val="00314C2A"/>
    <w:rsid w:val="00320FDC"/>
    <w:rsid w:val="00370046"/>
    <w:rsid w:val="00370153"/>
    <w:rsid w:val="003720D6"/>
    <w:rsid w:val="003A3018"/>
    <w:rsid w:val="003A4E4B"/>
    <w:rsid w:val="003C0AFA"/>
    <w:rsid w:val="003C2980"/>
    <w:rsid w:val="003C3DE9"/>
    <w:rsid w:val="003D581C"/>
    <w:rsid w:val="003F5EC0"/>
    <w:rsid w:val="00417BA0"/>
    <w:rsid w:val="00430121"/>
    <w:rsid w:val="00432769"/>
    <w:rsid w:val="004331A5"/>
    <w:rsid w:val="00472595"/>
    <w:rsid w:val="00496913"/>
    <w:rsid w:val="004A6767"/>
    <w:rsid w:val="004D0428"/>
    <w:rsid w:val="004D0C7E"/>
    <w:rsid w:val="004D22F7"/>
    <w:rsid w:val="004D4D60"/>
    <w:rsid w:val="004E0C8D"/>
    <w:rsid w:val="004E3948"/>
    <w:rsid w:val="004E69D2"/>
    <w:rsid w:val="004F4129"/>
    <w:rsid w:val="004F7328"/>
    <w:rsid w:val="00506729"/>
    <w:rsid w:val="00516D7F"/>
    <w:rsid w:val="0053424D"/>
    <w:rsid w:val="00540C40"/>
    <w:rsid w:val="00571ED3"/>
    <w:rsid w:val="005A59ED"/>
    <w:rsid w:val="005C40AC"/>
    <w:rsid w:val="005D0B21"/>
    <w:rsid w:val="005E59BD"/>
    <w:rsid w:val="00607668"/>
    <w:rsid w:val="00620D3C"/>
    <w:rsid w:val="0064465F"/>
    <w:rsid w:val="00647345"/>
    <w:rsid w:val="00653D1F"/>
    <w:rsid w:val="00662894"/>
    <w:rsid w:val="00662FC1"/>
    <w:rsid w:val="006642F4"/>
    <w:rsid w:val="006722BA"/>
    <w:rsid w:val="006831E4"/>
    <w:rsid w:val="006932CA"/>
    <w:rsid w:val="006A270C"/>
    <w:rsid w:val="006B5761"/>
    <w:rsid w:val="006D45C2"/>
    <w:rsid w:val="007063BE"/>
    <w:rsid w:val="007122C2"/>
    <w:rsid w:val="00734829"/>
    <w:rsid w:val="007A35B5"/>
    <w:rsid w:val="007D655C"/>
    <w:rsid w:val="007E7E17"/>
    <w:rsid w:val="007F1D5D"/>
    <w:rsid w:val="007F26C7"/>
    <w:rsid w:val="007F513F"/>
    <w:rsid w:val="00802407"/>
    <w:rsid w:val="008037B2"/>
    <w:rsid w:val="00843919"/>
    <w:rsid w:val="00854853"/>
    <w:rsid w:val="00860347"/>
    <w:rsid w:val="0086645D"/>
    <w:rsid w:val="00881A71"/>
    <w:rsid w:val="008823D3"/>
    <w:rsid w:val="00883656"/>
    <w:rsid w:val="00885B4A"/>
    <w:rsid w:val="00892E13"/>
    <w:rsid w:val="008A5B17"/>
    <w:rsid w:val="008C1D6A"/>
    <w:rsid w:val="008D5885"/>
    <w:rsid w:val="008F36C2"/>
    <w:rsid w:val="0096027F"/>
    <w:rsid w:val="0097232B"/>
    <w:rsid w:val="00977F8C"/>
    <w:rsid w:val="009830C8"/>
    <w:rsid w:val="009A16B7"/>
    <w:rsid w:val="009B6CFE"/>
    <w:rsid w:val="009D1E0F"/>
    <w:rsid w:val="009D7A20"/>
    <w:rsid w:val="009E4348"/>
    <w:rsid w:val="009E4F18"/>
    <w:rsid w:val="009E6F93"/>
    <w:rsid w:val="00A166C7"/>
    <w:rsid w:val="00A2053E"/>
    <w:rsid w:val="00A21B3D"/>
    <w:rsid w:val="00A26368"/>
    <w:rsid w:val="00A32633"/>
    <w:rsid w:val="00A36C45"/>
    <w:rsid w:val="00A73AE2"/>
    <w:rsid w:val="00B004D3"/>
    <w:rsid w:val="00B20C04"/>
    <w:rsid w:val="00B30BA9"/>
    <w:rsid w:val="00B45C7A"/>
    <w:rsid w:val="00B527C2"/>
    <w:rsid w:val="00B91BEF"/>
    <w:rsid w:val="00BA2A47"/>
    <w:rsid w:val="00BA4E96"/>
    <w:rsid w:val="00BD2AD8"/>
    <w:rsid w:val="00BD6F84"/>
    <w:rsid w:val="00BE4F31"/>
    <w:rsid w:val="00BE777B"/>
    <w:rsid w:val="00C25A89"/>
    <w:rsid w:val="00C32436"/>
    <w:rsid w:val="00C531D3"/>
    <w:rsid w:val="00C636DB"/>
    <w:rsid w:val="00C67F46"/>
    <w:rsid w:val="00C7163E"/>
    <w:rsid w:val="00CB2E09"/>
    <w:rsid w:val="00CC4C95"/>
    <w:rsid w:val="00CF1A49"/>
    <w:rsid w:val="00CF2AA1"/>
    <w:rsid w:val="00CF535C"/>
    <w:rsid w:val="00D215A8"/>
    <w:rsid w:val="00D33A96"/>
    <w:rsid w:val="00D443C1"/>
    <w:rsid w:val="00D778AE"/>
    <w:rsid w:val="00D7796E"/>
    <w:rsid w:val="00D838DE"/>
    <w:rsid w:val="00D9426A"/>
    <w:rsid w:val="00DA0273"/>
    <w:rsid w:val="00DA14E9"/>
    <w:rsid w:val="00DC22B7"/>
    <w:rsid w:val="00DD2A59"/>
    <w:rsid w:val="00DF1FD9"/>
    <w:rsid w:val="00E04977"/>
    <w:rsid w:val="00E214BF"/>
    <w:rsid w:val="00E277E9"/>
    <w:rsid w:val="00E31772"/>
    <w:rsid w:val="00E46551"/>
    <w:rsid w:val="00E53987"/>
    <w:rsid w:val="00E77D3F"/>
    <w:rsid w:val="00EB2498"/>
    <w:rsid w:val="00EE5203"/>
    <w:rsid w:val="00EF262B"/>
    <w:rsid w:val="00EF71DD"/>
    <w:rsid w:val="00F160BA"/>
    <w:rsid w:val="00F23AE4"/>
    <w:rsid w:val="00F35FD8"/>
    <w:rsid w:val="00F438A0"/>
    <w:rsid w:val="00F74DA0"/>
    <w:rsid w:val="00F86274"/>
    <w:rsid w:val="00FA2830"/>
    <w:rsid w:val="00FA463B"/>
    <w:rsid w:val="00FB7F3E"/>
    <w:rsid w:val="00FD3C83"/>
    <w:rsid w:val="00FE67E1"/>
    <w:rsid w:val="00FE7B20"/>
    <w:rsid w:val="01AA7C3A"/>
    <w:rsid w:val="02421A49"/>
    <w:rsid w:val="0253754A"/>
    <w:rsid w:val="041750CE"/>
    <w:rsid w:val="05C72178"/>
    <w:rsid w:val="06167993"/>
    <w:rsid w:val="066712F0"/>
    <w:rsid w:val="07035367"/>
    <w:rsid w:val="09FC16E6"/>
    <w:rsid w:val="0D536BEF"/>
    <w:rsid w:val="0EBF5F85"/>
    <w:rsid w:val="0FAD7E19"/>
    <w:rsid w:val="118049D5"/>
    <w:rsid w:val="160E650D"/>
    <w:rsid w:val="178D356D"/>
    <w:rsid w:val="1A3F5F0A"/>
    <w:rsid w:val="1E907342"/>
    <w:rsid w:val="1FA54E43"/>
    <w:rsid w:val="22174022"/>
    <w:rsid w:val="2327492B"/>
    <w:rsid w:val="23822D1A"/>
    <w:rsid w:val="2C350740"/>
    <w:rsid w:val="2C783545"/>
    <w:rsid w:val="31FB40F2"/>
    <w:rsid w:val="33E80E32"/>
    <w:rsid w:val="34A00240"/>
    <w:rsid w:val="3ADD04C5"/>
    <w:rsid w:val="3C9F3676"/>
    <w:rsid w:val="42DA7175"/>
    <w:rsid w:val="447D0F6A"/>
    <w:rsid w:val="45012E99"/>
    <w:rsid w:val="45343C88"/>
    <w:rsid w:val="45BF4FC9"/>
    <w:rsid w:val="469E4889"/>
    <w:rsid w:val="48CB01D1"/>
    <w:rsid w:val="49AC4BE8"/>
    <w:rsid w:val="4A1B7B92"/>
    <w:rsid w:val="4B1D1A0D"/>
    <w:rsid w:val="4BA52423"/>
    <w:rsid w:val="4BC119AA"/>
    <w:rsid w:val="4CC66E93"/>
    <w:rsid w:val="522F1CC9"/>
    <w:rsid w:val="547C6E71"/>
    <w:rsid w:val="57B44823"/>
    <w:rsid w:val="597023CF"/>
    <w:rsid w:val="5A534FCD"/>
    <w:rsid w:val="5BD00929"/>
    <w:rsid w:val="5BF47943"/>
    <w:rsid w:val="5D2A2043"/>
    <w:rsid w:val="5D720997"/>
    <w:rsid w:val="5D767E3D"/>
    <w:rsid w:val="5D7A03ED"/>
    <w:rsid w:val="61D949E6"/>
    <w:rsid w:val="62C030EF"/>
    <w:rsid w:val="6532215D"/>
    <w:rsid w:val="69D33F36"/>
    <w:rsid w:val="70F449B1"/>
    <w:rsid w:val="7A993988"/>
    <w:rsid w:val="7BFD59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254</Words>
  <Characters>1454</Characters>
  <Lines>12</Lines>
  <Paragraphs>3</Paragraphs>
  <TotalTime>0</TotalTime>
  <ScaleCrop>false</ScaleCrop>
  <LinksUpToDate>false</LinksUpToDate>
  <CharactersWithSpaces>1705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2020-05-25T13:16:00Z</dcterms:created>
  <dc:creator>asus</dc:creator>
  <cp:lastModifiedBy>ThinkPad</cp:lastModifiedBy>
  <dcterms:modified xsi:type="dcterms:W3CDTF">2021-03-04T06:21:14Z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