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36CB" w14:textId="77777777" w:rsidR="008C28F6" w:rsidRPr="00325187" w:rsidRDefault="008C28F6" w:rsidP="008C28F6">
      <w:pPr>
        <w:rPr>
          <w:rFonts w:cstheme="minorHAnsi"/>
          <w:b/>
          <w:color w:val="44546A" w:themeColor="text2"/>
          <w:sz w:val="24"/>
          <w:szCs w:val="24"/>
          <w:u w:val="single"/>
        </w:rPr>
      </w:pPr>
      <w:r w:rsidRPr="00325187">
        <w:rPr>
          <w:rFonts w:cstheme="minorHAnsi"/>
          <w:b/>
          <w:color w:val="44546A" w:themeColor="text2"/>
          <w:sz w:val="24"/>
          <w:szCs w:val="24"/>
          <w:u w:val="single"/>
        </w:rPr>
        <w:t>Appendix 2: Aim 1 Codebook</w:t>
      </w:r>
    </w:p>
    <w:tbl>
      <w:tblPr>
        <w:tblStyle w:val="NodesTable"/>
        <w:tblW w:w="5000" w:type="pct"/>
        <w:tblInd w:w="0" w:type="dxa"/>
        <w:tblLook w:val="0420" w:firstRow="1" w:lastRow="0" w:firstColumn="0" w:lastColumn="0" w:noHBand="0" w:noVBand="1"/>
      </w:tblPr>
      <w:tblGrid>
        <w:gridCol w:w="3574"/>
        <w:gridCol w:w="5781"/>
      </w:tblGrid>
      <w:tr w:rsidR="008C28F6" w14:paraId="3EFEF815" w14:textId="77777777" w:rsidTr="007C46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10" w:type="pct"/>
          </w:tcPr>
          <w:p w14:paraId="4DDFFA96" w14:textId="77777777" w:rsidR="008C28F6" w:rsidRDefault="008C28F6" w:rsidP="007C4603">
            <w:pPr>
              <w:pStyle w:val="TableHeader"/>
            </w:pPr>
            <w:r>
              <w:t>Name</w:t>
            </w:r>
          </w:p>
        </w:tc>
        <w:tc>
          <w:tcPr>
            <w:tcW w:w="3090" w:type="pct"/>
          </w:tcPr>
          <w:p w14:paraId="249D3B77" w14:textId="77777777" w:rsidR="008C28F6" w:rsidRDefault="008C28F6" w:rsidP="007C4603">
            <w:pPr>
              <w:pStyle w:val="TableHeader"/>
            </w:pPr>
            <w:r>
              <w:t>Description</w:t>
            </w:r>
          </w:p>
        </w:tc>
      </w:tr>
      <w:tr w:rsidR="008C28F6" w:rsidRPr="009D279E" w14:paraId="795A0B25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56800BC7" w14:textId="77777777" w:rsidR="008C28F6" w:rsidRDefault="008C28F6" w:rsidP="007C4603">
            <w:r>
              <w:t>01. General Clinical Practice</w:t>
            </w:r>
          </w:p>
        </w:tc>
        <w:tc>
          <w:tcPr>
            <w:tcW w:w="3090" w:type="pct"/>
          </w:tcPr>
          <w:p w14:paraId="0950BC72" w14:textId="77777777" w:rsidR="008C28F6" w:rsidRPr="009D279E" w:rsidRDefault="008C28F6" w:rsidP="007C4603">
            <w:r w:rsidRPr="007703F7">
              <w:rPr>
                <w:b/>
                <w:bCs/>
              </w:rPr>
              <w:t>Parent code heading.</w:t>
            </w:r>
            <w:r>
              <w:t xml:space="preserve"> </w:t>
            </w:r>
            <w:r w:rsidRPr="00A610B7">
              <w:t xml:space="preserve">Codes pertain to </w:t>
            </w:r>
            <w:r w:rsidRPr="00A610B7">
              <w:rPr>
                <w:b/>
                <w:bCs/>
                <w:u w:val="single"/>
              </w:rPr>
              <w:t>general</w:t>
            </w:r>
            <w:r w:rsidRPr="00A610B7">
              <w:t xml:space="preserve"> clinical practice. Codes do not pertain to adherence</w:t>
            </w:r>
            <w:r>
              <w:t>- or RxFill-</w:t>
            </w:r>
            <w:r w:rsidRPr="00A610B7">
              <w:t>specific issues.</w:t>
            </w:r>
          </w:p>
        </w:tc>
      </w:tr>
      <w:tr w:rsidR="008C28F6" w14:paraId="506D09B1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0E6A9151" w14:textId="77777777" w:rsidR="008C28F6" w:rsidRDefault="008C28F6" w:rsidP="007C4603">
            <w:pPr>
              <w:ind w:left="450"/>
            </w:pPr>
            <w:r>
              <w:t>a. Anticipation of Patient Issues</w:t>
            </w:r>
          </w:p>
        </w:tc>
        <w:tc>
          <w:tcPr>
            <w:tcW w:w="3090" w:type="pct"/>
          </w:tcPr>
          <w:p w14:paraId="2955821B" w14:textId="77777777" w:rsidR="008C28F6" w:rsidRDefault="008C28F6" w:rsidP="007C4603">
            <w:r>
              <w:t>Practitioners</w:t>
            </w:r>
            <w:r>
              <w:t>’</w:t>
            </w:r>
            <w:r>
              <w:t xml:space="preserve"> processes, actions, or considerations before an encounter to anticipate or orient themselves to patient clinical issues</w:t>
            </w:r>
          </w:p>
        </w:tc>
      </w:tr>
      <w:tr w:rsidR="008C28F6" w14:paraId="4082BE6F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0219BAE0" w14:textId="77777777" w:rsidR="008C28F6" w:rsidRDefault="008C28F6" w:rsidP="007C4603">
            <w:pPr>
              <w:ind w:left="900"/>
            </w:pPr>
            <w:r>
              <w:t>Mechanism to Anticipate Issues</w:t>
            </w:r>
          </w:p>
        </w:tc>
        <w:tc>
          <w:tcPr>
            <w:tcW w:w="3090" w:type="pct"/>
          </w:tcPr>
          <w:p w14:paraId="3022C23F" w14:textId="77777777" w:rsidR="008C28F6" w:rsidRDefault="008C28F6" w:rsidP="007C4603">
            <w:r>
              <w:t>Uses mechanisms, tools, or functionalities to anticipate patient issues before the encounter</w:t>
            </w:r>
          </w:p>
        </w:tc>
      </w:tr>
      <w:tr w:rsidR="008C28F6" w14:paraId="49210EA2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72D0871B" w14:textId="77777777" w:rsidR="008C28F6" w:rsidRDefault="008C28F6" w:rsidP="007C4603">
            <w:pPr>
              <w:ind w:left="450"/>
            </w:pPr>
            <w:r>
              <w:t>b. Care Dependent on Patient Variables</w:t>
            </w:r>
          </w:p>
        </w:tc>
        <w:tc>
          <w:tcPr>
            <w:tcW w:w="3090" w:type="pct"/>
          </w:tcPr>
          <w:p w14:paraId="44DC0E65" w14:textId="77777777" w:rsidR="008C28F6" w:rsidRDefault="008C28F6" w:rsidP="007C4603">
            <w:r>
              <w:t xml:space="preserve">General care (provided or planned) differs according to patient characteristics. </w:t>
            </w:r>
          </w:p>
        </w:tc>
      </w:tr>
      <w:tr w:rsidR="008C28F6" w14:paraId="14E48DB7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143B43CE" w14:textId="77777777" w:rsidR="008C28F6" w:rsidRDefault="008C28F6" w:rsidP="007C4603">
            <w:pPr>
              <w:ind w:left="900"/>
            </w:pPr>
            <w:r>
              <w:t>Complex Patients Require More Care Time</w:t>
            </w:r>
          </w:p>
        </w:tc>
        <w:tc>
          <w:tcPr>
            <w:tcW w:w="3090" w:type="pct"/>
          </w:tcPr>
          <w:p w14:paraId="40A4FF57" w14:textId="77777777" w:rsidR="008C28F6" w:rsidRDefault="008C28F6" w:rsidP="007C4603">
            <w:r>
              <w:t>“</w:t>
            </w:r>
            <w:r>
              <w:t>Complex</w:t>
            </w:r>
            <w:r>
              <w:t>”</w:t>
            </w:r>
            <w:r>
              <w:t xml:space="preserve"> patients require more time to complete general care practices, such as anticipating patient issues or work-up. </w:t>
            </w:r>
            <w:r>
              <w:t>“</w:t>
            </w:r>
            <w:r>
              <w:t>Complex</w:t>
            </w:r>
            <w:r>
              <w:t>”</w:t>
            </w:r>
            <w:r>
              <w:t xml:space="preserve"> patients may be those with multiple disease states, health conditions, or medications.</w:t>
            </w:r>
          </w:p>
        </w:tc>
      </w:tr>
      <w:tr w:rsidR="008C28F6" w14:paraId="2F8D4F7F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1F1D688B" w14:textId="77777777" w:rsidR="008C28F6" w:rsidRDefault="008C28F6" w:rsidP="007C4603">
            <w:pPr>
              <w:ind w:left="450"/>
            </w:pPr>
            <w:r>
              <w:t>c. Comfort Using the EHR Generally</w:t>
            </w:r>
          </w:p>
        </w:tc>
        <w:tc>
          <w:tcPr>
            <w:tcW w:w="3090" w:type="pct"/>
          </w:tcPr>
          <w:p w14:paraId="464065C7" w14:textId="77777777" w:rsidR="008C28F6" w:rsidRDefault="008C28F6" w:rsidP="007C4603">
            <w:r>
              <w:t>General comfort with the EHR and using it to complete work</w:t>
            </w:r>
          </w:p>
        </w:tc>
      </w:tr>
      <w:tr w:rsidR="008C28F6" w:rsidRPr="00F0177E" w14:paraId="021CE84D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5B2F8A8F" w14:textId="77777777" w:rsidR="008C28F6" w:rsidRDefault="008C28F6" w:rsidP="007C4603">
            <w:pPr>
              <w:ind w:left="450"/>
            </w:pPr>
            <w:r>
              <w:t xml:space="preserve">d. Use of the </w:t>
            </w:r>
            <w:proofErr w:type="gramStart"/>
            <w:r>
              <w:t>Take Action Tab</w:t>
            </w:r>
            <w:proofErr w:type="gramEnd"/>
            <w:r>
              <w:t xml:space="preserve"> in the EHR</w:t>
            </w:r>
          </w:p>
        </w:tc>
        <w:tc>
          <w:tcPr>
            <w:tcW w:w="3090" w:type="pct"/>
          </w:tcPr>
          <w:p w14:paraId="49E37E78" w14:textId="77777777" w:rsidR="008C28F6" w:rsidRDefault="008C28F6" w:rsidP="007C4603">
            <w:r>
              <w:t xml:space="preserve">General use of the </w:t>
            </w:r>
            <w:r>
              <w:t>“</w:t>
            </w:r>
            <w:r>
              <w:t>Take Action Tab</w:t>
            </w:r>
            <w:r>
              <w:t>”</w:t>
            </w:r>
            <w:r>
              <w:t xml:space="preserve"> in the EHR. </w:t>
            </w:r>
          </w:p>
          <w:p w14:paraId="3777985D" w14:textId="77777777" w:rsidR="008C28F6" w:rsidRPr="00F0177E" w:rsidRDefault="008C28F6" w:rsidP="007C4603">
            <w:pPr>
              <w:rPr>
                <w:i/>
                <w:iCs/>
              </w:rPr>
            </w:pPr>
            <w:r w:rsidRPr="00F0177E">
              <w:rPr>
                <w:i/>
                <w:iCs/>
              </w:rPr>
              <w:t xml:space="preserve">(The </w:t>
            </w:r>
            <w:proofErr w:type="gramStart"/>
            <w:r w:rsidRPr="00F0177E">
              <w:rPr>
                <w:i/>
                <w:iCs/>
              </w:rPr>
              <w:t>Take Action Tab</w:t>
            </w:r>
            <w:proofErr w:type="gramEnd"/>
            <w:r w:rsidRPr="00F0177E">
              <w:rPr>
                <w:i/>
                <w:iCs/>
              </w:rPr>
              <w:t xml:space="preserve"> is where RxFill functionality is housed</w:t>
            </w:r>
            <w:r>
              <w:rPr>
                <w:i/>
                <w:iCs/>
              </w:rPr>
              <w:t>;</w:t>
            </w:r>
            <w:r w:rsidRPr="00F0177E">
              <w:rPr>
                <w:i/>
                <w:iCs/>
              </w:rPr>
              <w:t xml:space="preserve"> potential link between RxFill usability </w:t>
            </w:r>
            <w:r>
              <w:rPr>
                <w:i/>
                <w:iCs/>
              </w:rPr>
              <w:t xml:space="preserve">[or lack thereof] </w:t>
            </w:r>
            <w:r w:rsidRPr="00F0177E">
              <w:rPr>
                <w:i/>
                <w:iCs/>
              </w:rPr>
              <w:t>and use of the Take Action Tab in general)</w:t>
            </w:r>
          </w:p>
        </w:tc>
      </w:tr>
      <w:tr w:rsidR="008C28F6" w14:paraId="06217632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2A089483" w14:textId="77777777" w:rsidR="008C28F6" w:rsidRDefault="008C28F6" w:rsidP="007C4603">
            <w:pPr>
              <w:ind w:left="450"/>
            </w:pPr>
            <w:r>
              <w:t>e. Use of the Medication Tab in the EHR</w:t>
            </w:r>
          </w:p>
        </w:tc>
        <w:tc>
          <w:tcPr>
            <w:tcW w:w="3090" w:type="pct"/>
          </w:tcPr>
          <w:p w14:paraId="26362475" w14:textId="77777777" w:rsidR="008C28F6" w:rsidRDefault="008C28F6" w:rsidP="007C4603">
            <w:r>
              <w:t xml:space="preserve">General use of the </w:t>
            </w:r>
            <w:r>
              <w:t>“</w:t>
            </w:r>
            <w:r>
              <w:t>Medication Tab</w:t>
            </w:r>
            <w:r>
              <w:t>”</w:t>
            </w:r>
            <w:r>
              <w:t xml:space="preserve"> in the EHR</w:t>
            </w:r>
          </w:p>
        </w:tc>
      </w:tr>
      <w:tr w:rsidR="008C28F6" w14:paraId="3D38AAEA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4CC01FE6" w14:textId="77777777" w:rsidR="008C28F6" w:rsidRDefault="008C28F6" w:rsidP="007C4603">
            <w:r>
              <w:t>02. Adherence Specific Issues</w:t>
            </w:r>
          </w:p>
        </w:tc>
        <w:tc>
          <w:tcPr>
            <w:tcW w:w="3090" w:type="pct"/>
          </w:tcPr>
          <w:p w14:paraId="01949C31" w14:textId="77777777" w:rsidR="008C28F6" w:rsidRDefault="008C28F6" w:rsidP="007C4603">
            <w:r w:rsidRPr="007703F7">
              <w:rPr>
                <w:b/>
                <w:bCs/>
              </w:rPr>
              <w:t>Parent code heading.</w:t>
            </w:r>
            <w:r>
              <w:t xml:space="preserve"> Codes pertain to </w:t>
            </w:r>
            <w:r w:rsidRPr="00B1555C">
              <w:rPr>
                <w:b/>
                <w:bCs/>
                <w:u w:val="single"/>
              </w:rPr>
              <w:t>medication a</w:t>
            </w:r>
            <w:r>
              <w:rPr>
                <w:b/>
                <w:bCs/>
                <w:u w:val="single"/>
              </w:rPr>
              <w:t>dherence specific issues</w:t>
            </w:r>
            <w:r>
              <w:t xml:space="preserve"> in practice. Codes do not pertain to general clinical practice or specific mention of RxFill.</w:t>
            </w:r>
          </w:p>
        </w:tc>
      </w:tr>
      <w:tr w:rsidR="008C28F6" w14:paraId="1C8562BF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4201A5CE" w14:textId="77777777" w:rsidR="008C28F6" w:rsidRDefault="008C28F6" w:rsidP="007C4603">
            <w:pPr>
              <w:ind w:left="450"/>
            </w:pPr>
            <w:r>
              <w:t>a. Dependent on Patient Variables</w:t>
            </w:r>
          </w:p>
        </w:tc>
        <w:tc>
          <w:tcPr>
            <w:tcW w:w="3090" w:type="pct"/>
          </w:tcPr>
          <w:p w14:paraId="5442AA20" w14:textId="77777777" w:rsidR="008C28F6" w:rsidRDefault="008C28F6" w:rsidP="007C4603">
            <w:r>
              <w:t>Care regarding medication adherence (that is provided or planned) differs according to patient characteristics.</w:t>
            </w:r>
          </w:p>
        </w:tc>
      </w:tr>
      <w:tr w:rsidR="008C28F6" w14:paraId="28EA7C27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4429FA0D" w14:textId="77777777" w:rsidR="008C28F6" w:rsidRDefault="008C28F6" w:rsidP="007C4603">
            <w:pPr>
              <w:ind w:left="450"/>
            </w:pPr>
            <w:r>
              <w:t>b. Reliability of Patients</w:t>
            </w:r>
          </w:p>
        </w:tc>
        <w:tc>
          <w:tcPr>
            <w:tcW w:w="3090" w:type="pct"/>
          </w:tcPr>
          <w:p w14:paraId="196A9533" w14:textId="77777777" w:rsidR="008C28F6" w:rsidRDefault="008C28F6" w:rsidP="007C4603">
            <w:r>
              <w:t>For sources of medication adherence information, issues relating to patient reliability are mentioned</w:t>
            </w:r>
          </w:p>
        </w:tc>
      </w:tr>
      <w:tr w:rsidR="008C28F6" w14:paraId="23A28923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46A9A79A" w14:textId="77777777" w:rsidR="008C28F6" w:rsidRDefault="008C28F6" w:rsidP="007C4603">
            <w:pPr>
              <w:ind w:left="450"/>
            </w:pPr>
            <w:r>
              <w:t>c. Sources of Medication Adherence Information</w:t>
            </w:r>
          </w:p>
        </w:tc>
        <w:tc>
          <w:tcPr>
            <w:tcW w:w="3090" w:type="pct"/>
          </w:tcPr>
          <w:p w14:paraId="758FAB10" w14:textId="77777777" w:rsidR="008C28F6" w:rsidRDefault="008C28F6" w:rsidP="007C4603">
            <w:r>
              <w:t>Uses other (non-patient) sources of medication adherence information in their clinical practice.</w:t>
            </w:r>
          </w:p>
        </w:tc>
      </w:tr>
      <w:tr w:rsidR="008C28F6" w14:paraId="6483039C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2D73D52A" w14:textId="77777777" w:rsidR="008C28F6" w:rsidRDefault="008C28F6" w:rsidP="007C4603">
            <w:pPr>
              <w:ind w:left="900"/>
            </w:pPr>
            <w:r>
              <w:lastRenderedPageBreak/>
              <w:t>Reliability of Other Sources of Medication Adherence Information</w:t>
            </w:r>
          </w:p>
        </w:tc>
        <w:tc>
          <w:tcPr>
            <w:tcW w:w="3090" w:type="pct"/>
          </w:tcPr>
          <w:p w14:paraId="4FC570BE" w14:textId="77777777" w:rsidR="008C28F6" w:rsidRDefault="008C28F6" w:rsidP="007C4603">
            <w:r>
              <w:t xml:space="preserve">For sources of medication adherence information, issues relating to reliability of other (non-patient) sources are mentioned </w:t>
            </w:r>
          </w:p>
        </w:tc>
      </w:tr>
      <w:tr w:rsidR="008C28F6" w14:paraId="001B13F3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112E68AB" w14:textId="77777777" w:rsidR="008C28F6" w:rsidRDefault="008C28F6" w:rsidP="007C4603">
            <w:pPr>
              <w:ind w:left="450"/>
            </w:pPr>
            <w:r>
              <w:t>d. Engages Patient Around Adherence</w:t>
            </w:r>
          </w:p>
        </w:tc>
        <w:tc>
          <w:tcPr>
            <w:tcW w:w="3090" w:type="pct"/>
          </w:tcPr>
          <w:p w14:paraId="3C72184D" w14:textId="77777777" w:rsidR="008C28F6" w:rsidRDefault="008C28F6" w:rsidP="007C4603">
            <w:r>
              <w:t>Engages patients in conversations around medication adherence or adherence issues.</w:t>
            </w:r>
          </w:p>
        </w:tc>
      </w:tr>
      <w:tr w:rsidR="008C28F6" w14:paraId="56926FC2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29D8F9D1" w14:textId="77777777" w:rsidR="008C28F6" w:rsidRDefault="008C28F6" w:rsidP="007C4603">
            <w:pPr>
              <w:ind w:left="890"/>
            </w:pPr>
            <w:r>
              <w:t>Use of Tool to Engage Patients Around Adherence</w:t>
            </w:r>
          </w:p>
        </w:tc>
        <w:tc>
          <w:tcPr>
            <w:tcW w:w="3090" w:type="pct"/>
          </w:tcPr>
          <w:p w14:paraId="03F484AC" w14:textId="77777777" w:rsidR="008C28F6" w:rsidRDefault="008C28F6" w:rsidP="007C4603">
            <w:r>
              <w:t>Mechanism or use of a tool to engage patients around adherence.</w:t>
            </w:r>
          </w:p>
        </w:tc>
      </w:tr>
      <w:tr w:rsidR="008C28F6" w:rsidRPr="00F0177E" w14:paraId="20F23F64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4AD644EF" w14:textId="77777777" w:rsidR="008C28F6" w:rsidRDefault="008C28F6" w:rsidP="007C4603">
            <w:pPr>
              <w:ind w:left="450"/>
            </w:pPr>
            <w:r>
              <w:t>e. Tries to Contextualize Non-Adherence</w:t>
            </w:r>
          </w:p>
        </w:tc>
        <w:tc>
          <w:tcPr>
            <w:tcW w:w="3090" w:type="pct"/>
          </w:tcPr>
          <w:p w14:paraId="191F6E67" w14:textId="77777777" w:rsidR="008C28F6" w:rsidRDefault="008C28F6" w:rsidP="007C4603">
            <w:r>
              <w:t xml:space="preserve">Attempts to explain or contextualize patient non-adherence. </w:t>
            </w:r>
          </w:p>
          <w:p w14:paraId="65DB1645" w14:textId="77777777" w:rsidR="008C28F6" w:rsidRPr="00F0177E" w:rsidRDefault="008C28F6" w:rsidP="007C4603">
            <w:pPr>
              <w:rPr>
                <w:i/>
                <w:iCs/>
              </w:rPr>
            </w:pPr>
            <w:r w:rsidRPr="00F0177E">
              <w:rPr>
                <w:i/>
                <w:iCs/>
              </w:rPr>
              <w:t>(Potential link between trying to explain non-adherence and effectiveness/ability to engage patients around adherence)</w:t>
            </w:r>
          </w:p>
        </w:tc>
      </w:tr>
      <w:tr w:rsidR="008C28F6" w14:paraId="0E5A52BE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0876AF81" w14:textId="77777777" w:rsidR="008C28F6" w:rsidRDefault="008C28F6" w:rsidP="007C4603">
            <w:r>
              <w:t>03. RxFill</w:t>
            </w:r>
          </w:p>
        </w:tc>
        <w:tc>
          <w:tcPr>
            <w:tcW w:w="3090" w:type="pct"/>
          </w:tcPr>
          <w:p w14:paraId="4C37A8FA" w14:textId="77777777" w:rsidR="008C28F6" w:rsidRDefault="008C28F6" w:rsidP="007C4603">
            <w:r w:rsidRPr="007703F7">
              <w:rPr>
                <w:b/>
                <w:bCs/>
              </w:rPr>
              <w:t>Parent code heading.</w:t>
            </w:r>
            <w:r>
              <w:t xml:space="preserve"> Codes pertain to </w:t>
            </w:r>
            <w:r>
              <w:rPr>
                <w:b/>
                <w:bCs/>
                <w:u w:val="single"/>
              </w:rPr>
              <w:t>RxFill</w:t>
            </w:r>
            <w:r>
              <w:rPr>
                <w:u w:val="single"/>
              </w:rPr>
              <w:t xml:space="preserve"> (and anticipated use)</w:t>
            </w:r>
            <w:r>
              <w:t>. Codes do not pertain to general clinical practice or general adherence issues.</w:t>
            </w:r>
          </w:p>
        </w:tc>
      </w:tr>
      <w:tr w:rsidR="008C28F6" w14:paraId="2DF33EE2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3A250749" w14:textId="77777777" w:rsidR="008C28F6" w:rsidRDefault="008C28F6" w:rsidP="007C4603">
            <w:pPr>
              <w:ind w:left="450"/>
            </w:pPr>
            <w:r>
              <w:t>a. Previously Did Not USE RxFill</w:t>
            </w:r>
          </w:p>
        </w:tc>
        <w:tc>
          <w:tcPr>
            <w:tcW w:w="3090" w:type="pct"/>
          </w:tcPr>
          <w:p w14:paraId="39954134" w14:textId="77777777" w:rsidR="008C28F6" w:rsidRDefault="008C28F6" w:rsidP="007C4603">
            <w:r>
              <w:t>Previously did not use RxFill in clinical practice prior to the interview.</w:t>
            </w:r>
          </w:p>
        </w:tc>
      </w:tr>
      <w:tr w:rsidR="008C28F6" w14:paraId="3B14B48C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67C03985" w14:textId="77777777" w:rsidR="008C28F6" w:rsidRDefault="008C28F6" w:rsidP="007C4603">
            <w:pPr>
              <w:ind w:left="900"/>
            </w:pPr>
            <w:r>
              <w:t>Previously AWARE of RxFill</w:t>
            </w:r>
          </w:p>
        </w:tc>
        <w:tc>
          <w:tcPr>
            <w:tcW w:w="3090" w:type="pct"/>
          </w:tcPr>
          <w:p w14:paraId="546B7FDA" w14:textId="77777777" w:rsidR="008C28F6" w:rsidRDefault="008C28F6" w:rsidP="007C4603">
            <w:r>
              <w:t>Previously aware of RxFill prior to interview, but still did not use.</w:t>
            </w:r>
          </w:p>
        </w:tc>
      </w:tr>
      <w:tr w:rsidR="008C28F6" w14:paraId="330EDDA4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245F3D59" w14:textId="77777777" w:rsidR="008C28F6" w:rsidRDefault="008C28F6" w:rsidP="007C4603">
            <w:pPr>
              <w:ind w:left="900"/>
            </w:pPr>
            <w:r>
              <w:t>Previously UNAWARE of RxFill</w:t>
            </w:r>
          </w:p>
        </w:tc>
        <w:tc>
          <w:tcPr>
            <w:tcW w:w="3090" w:type="pct"/>
          </w:tcPr>
          <w:p w14:paraId="74C134AE" w14:textId="77777777" w:rsidR="008C28F6" w:rsidRDefault="008C28F6" w:rsidP="007C4603">
            <w:r>
              <w:t>Previously unaware of RxFill prior to interview and did not use.</w:t>
            </w:r>
          </w:p>
        </w:tc>
      </w:tr>
      <w:tr w:rsidR="008C28F6" w14:paraId="6ADB84CF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5C599BBE" w14:textId="77777777" w:rsidR="008C28F6" w:rsidRDefault="008C28F6" w:rsidP="007C4603">
            <w:pPr>
              <w:ind w:left="450"/>
            </w:pPr>
            <w:r>
              <w:t>b. Sees the Value in RxFill</w:t>
            </w:r>
          </w:p>
        </w:tc>
        <w:tc>
          <w:tcPr>
            <w:tcW w:w="3090" w:type="pct"/>
          </w:tcPr>
          <w:p w14:paraId="74B8A694" w14:textId="77777777" w:rsidR="008C28F6" w:rsidRDefault="008C28F6" w:rsidP="007C4603">
            <w:r>
              <w:t>RxFill can add value to clinical practice.</w:t>
            </w:r>
          </w:p>
        </w:tc>
      </w:tr>
      <w:tr w:rsidR="008C28F6" w14:paraId="262EA923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0282DB96" w14:textId="77777777" w:rsidR="008C28F6" w:rsidRDefault="008C28F6" w:rsidP="007C4603">
            <w:pPr>
              <w:ind w:left="900"/>
            </w:pPr>
            <w:r>
              <w:t>Reduces Workload</w:t>
            </w:r>
          </w:p>
        </w:tc>
        <w:tc>
          <w:tcPr>
            <w:tcW w:w="3090" w:type="pct"/>
          </w:tcPr>
          <w:p w14:paraId="712EA9A2" w14:textId="77777777" w:rsidR="008C28F6" w:rsidRDefault="008C28F6" w:rsidP="007C4603">
            <w:r>
              <w:t>RxFill can reduce workload, including for members of clinical team.</w:t>
            </w:r>
          </w:p>
        </w:tc>
      </w:tr>
      <w:tr w:rsidR="008C28F6" w14:paraId="2F22B64B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671B62E1" w14:textId="77777777" w:rsidR="008C28F6" w:rsidRDefault="008C28F6" w:rsidP="007C4603">
            <w:pPr>
              <w:ind w:left="900"/>
            </w:pPr>
            <w:r>
              <w:t>Use RxFill to Engage Patients Around Adherence</w:t>
            </w:r>
          </w:p>
        </w:tc>
        <w:tc>
          <w:tcPr>
            <w:tcW w:w="3090" w:type="pct"/>
          </w:tcPr>
          <w:p w14:paraId="20AD304D" w14:textId="77777777" w:rsidR="008C28F6" w:rsidRDefault="008C28F6" w:rsidP="007C4603">
            <w:r>
              <w:t>RxFill can be used to as a mechanism/tool to engage patients around medication adherence issues.</w:t>
            </w:r>
          </w:p>
        </w:tc>
      </w:tr>
      <w:tr w:rsidR="008C28F6" w14:paraId="38526EC6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61B81730" w14:textId="77777777" w:rsidR="008C28F6" w:rsidRDefault="008C28F6" w:rsidP="007C4603">
            <w:pPr>
              <w:ind w:left="450"/>
            </w:pPr>
            <w:r>
              <w:t>c. Anticipated Situations for Using RxFill</w:t>
            </w:r>
          </w:p>
        </w:tc>
        <w:tc>
          <w:tcPr>
            <w:tcW w:w="3090" w:type="pct"/>
          </w:tcPr>
          <w:p w14:paraId="6E5E7243" w14:textId="77777777" w:rsidR="008C28F6" w:rsidRDefault="008C28F6" w:rsidP="007C4603">
            <w:r>
              <w:t>Anticipates using RxFill in clinical practice.</w:t>
            </w:r>
          </w:p>
        </w:tc>
      </w:tr>
      <w:tr w:rsidR="008C28F6" w14:paraId="4BFFCE7C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4D707446" w14:textId="77777777" w:rsidR="008C28F6" w:rsidRDefault="008C28F6" w:rsidP="007C4603">
            <w:pPr>
              <w:ind w:left="900"/>
            </w:pPr>
            <w:r>
              <w:t>Dependent on Patient Variables</w:t>
            </w:r>
          </w:p>
        </w:tc>
        <w:tc>
          <w:tcPr>
            <w:tcW w:w="3090" w:type="pct"/>
          </w:tcPr>
          <w:p w14:paraId="6E29932B" w14:textId="77777777" w:rsidR="008C28F6" w:rsidRDefault="008C28F6" w:rsidP="007C4603">
            <w:r>
              <w:t>Anticipated use of RxFill</w:t>
            </w:r>
            <w:r w:rsidRPr="006E52D4">
              <w:t xml:space="preserve"> </w:t>
            </w:r>
            <w:r>
              <w:t>differs according to</w:t>
            </w:r>
            <w:r w:rsidRPr="006E52D4">
              <w:t xml:space="preserve"> patient characteristics.</w:t>
            </w:r>
          </w:p>
        </w:tc>
      </w:tr>
      <w:tr w:rsidR="008C28F6" w14:paraId="749D7DA1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2FA13A3F" w14:textId="77777777" w:rsidR="008C28F6" w:rsidRDefault="008C28F6" w:rsidP="007C4603">
            <w:pPr>
              <w:ind w:left="450"/>
            </w:pPr>
            <w:r>
              <w:t>d. Anticipated Challenges &amp; Barriers to Using RxFill</w:t>
            </w:r>
          </w:p>
        </w:tc>
        <w:tc>
          <w:tcPr>
            <w:tcW w:w="3090" w:type="pct"/>
          </w:tcPr>
          <w:p w14:paraId="57445C80" w14:textId="77777777" w:rsidR="008C28F6" w:rsidRDefault="008C28F6" w:rsidP="007C4603">
            <w:r>
              <w:t>Anticipates challenges to actual RxFill use in clinical practice.</w:t>
            </w:r>
          </w:p>
        </w:tc>
      </w:tr>
      <w:tr w:rsidR="008C28F6" w14:paraId="30D6122F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58E96F3D" w14:textId="77777777" w:rsidR="008C28F6" w:rsidRDefault="008C28F6" w:rsidP="007C4603">
            <w:pPr>
              <w:ind w:left="900"/>
            </w:pPr>
            <w:r>
              <w:t>Reliability of RxFill</w:t>
            </w:r>
          </w:p>
        </w:tc>
        <w:tc>
          <w:tcPr>
            <w:tcW w:w="3090" w:type="pct"/>
          </w:tcPr>
          <w:p w14:paraId="0E5D6AC7" w14:textId="77777777" w:rsidR="008C28F6" w:rsidRDefault="008C28F6" w:rsidP="007C4603">
            <w:r>
              <w:t>For sources of medication adherence information, issues relating to reliability of RxFill are mentioned.</w:t>
            </w:r>
          </w:p>
        </w:tc>
      </w:tr>
      <w:tr w:rsidR="008C28F6" w:rsidRPr="00651A8F" w14:paraId="08A5D9D3" w14:textId="77777777" w:rsidTr="007C46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10" w:type="pct"/>
          </w:tcPr>
          <w:p w14:paraId="1F847044" w14:textId="77777777" w:rsidR="008C28F6" w:rsidRDefault="008C28F6" w:rsidP="007C4603">
            <w:pPr>
              <w:ind w:left="1440"/>
            </w:pPr>
            <w:r>
              <w:lastRenderedPageBreak/>
              <w:t>Tries to Contextualize Non-Adherence False-Positives and Unknowns</w:t>
            </w:r>
          </w:p>
        </w:tc>
        <w:tc>
          <w:tcPr>
            <w:tcW w:w="3090" w:type="pct"/>
          </w:tcPr>
          <w:p w14:paraId="36D3965A" w14:textId="77777777" w:rsidR="008C28F6" w:rsidRDefault="008C28F6" w:rsidP="007C4603">
            <w:r>
              <w:t>Attempt to explain or contextualize RxFill as a false-positive alert for non-adherence. Participant describes how RxFill dates are correct/reliable but doesn't mean patient is non-adherent.</w:t>
            </w:r>
          </w:p>
          <w:p w14:paraId="6E3BD6A1" w14:textId="77777777" w:rsidR="008C28F6" w:rsidRPr="00651A8F" w:rsidRDefault="008C28F6" w:rsidP="007C4603">
            <w:pPr>
              <w:rPr>
                <w:i/>
                <w:iCs/>
              </w:rPr>
            </w:pPr>
            <w:r w:rsidRPr="00651A8F">
              <w:rPr>
                <w:i/>
                <w:iCs/>
              </w:rPr>
              <w:t xml:space="preserve">(Similar to code 2e, in that participant is trying to </w:t>
            </w:r>
            <w:r w:rsidRPr="00651A8F">
              <w:rPr>
                <w:i/>
                <w:iCs/>
              </w:rPr>
              <w:t>“</w:t>
            </w:r>
            <w:r w:rsidRPr="00651A8F">
              <w:rPr>
                <w:i/>
                <w:iCs/>
              </w:rPr>
              <w:t>justify</w:t>
            </w:r>
            <w:r w:rsidRPr="00651A8F">
              <w:rPr>
                <w:i/>
                <w:iCs/>
              </w:rPr>
              <w:t>”</w:t>
            </w:r>
            <w:r w:rsidRPr="00651A8F">
              <w:rPr>
                <w:i/>
                <w:iCs/>
              </w:rPr>
              <w:t xml:space="preserve"> or </w:t>
            </w:r>
            <w:r w:rsidRPr="00651A8F">
              <w:rPr>
                <w:i/>
                <w:iCs/>
              </w:rPr>
              <w:t>“</w:t>
            </w:r>
            <w:r w:rsidRPr="00651A8F">
              <w:rPr>
                <w:i/>
                <w:iCs/>
              </w:rPr>
              <w:t>contextualize</w:t>
            </w:r>
            <w:r w:rsidRPr="00651A8F">
              <w:rPr>
                <w:i/>
                <w:iCs/>
              </w:rPr>
              <w:t>”</w:t>
            </w:r>
            <w:r w:rsidRPr="00651A8F">
              <w:rPr>
                <w:i/>
                <w:iCs/>
              </w:rPr>
              <w:t xml:space="preserve"> non-adherence; however, this code </w:t>
            </w:r>
            <w:r>
              <w:rPr>
                <w:i/>
                <w:iCs/>
              </w:rPr>
              <w:t>specifically highlights the</w:t>
            </w:r>
            <w:r w:rsidRPr="00651A8F">
              <w:rPr>
                <w:i/>
                <w:iCs/>
              </w:rPr>
              <w:t xml:space="preserve"> limitations of RxFill in that it</w:t>
            </w:r>
            <w:r w:rsidRPr="00651A8F">
              <w:rPr>
                <w:i/>
                <w:iCs/>
              </w:rPr>
              <w:t>’</w:t>
            </w:r>
            <w:r w:rsidRPr="00651A8F">
              <w:rPr>
                <w:i/>
                <w:iCs/>
              </w:rPr>
              <w:t>s only showing part of the story</w:t>
            </w:r>
            <w:r>
              <w:rPr>
                <w:i/>
                <w:iCs/>
              </w:rPr>
              <w:t xml:space="preserve"> and may not be a true positive flag for non-adherence</w:t>
            </w:r>
            <w:r w:rsidRPr="00651A8F">
              <w:rPr>
                <w:i/>
                <w:iCs/>
              </w:rPr>
              <w:t>)</w:t>
            </w:r>
          </w:p>
        </w:tc>
      </w:tr>
      <w:tr w:rsidR="008C28F6" w14:paraId="757453A8" w14:textId="77777777" w:rsidTr="007C46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10" w:type="pct"/>
          </w:tcPr>
          <w:p w14:paraId="5DA22687" w14:textId="77777777" w:rsidR="008C28F6" w:rsidRDefault="008C28F6" w:rsidP="007C4603">
            <w:pPr>
              <w:ind w:left="450"/>
            </w:pPr>
            <w:r>
              <w:t>e. Recommendations to Improve RxFill</w:t>
            </w:r>
          </w:p>
        </w:tc>
        <w:tc>
          <w:tcPr>
            <w:tcW w:w="3090" w:type="pct"/>
          </w:tcPr>
          <w:p w14:paraId="30ACEFB2" w14:textId="77777777" w:rsidR="008C28F6" w:rsidRDefault="008C28F6" w:rsidP="007C4603">
            <w:r>
              <w:t>Ideas for improving RxFill functionality, use, or ease of use.</w:t>
            </w:r>
          </w:p>
        </w:tc>
      </w:tr>
    </w:tbl>
    <w:p w14:paraId="0ABA45A0" w14:textId="77777777" w:rsidR="008C28F6" w:rsidRPr="001D0C8A" w:rsidRDefault="008C28F6" w:rsidP="008C28F6">
      <w:pPr>
        <w:rPr>
          <w:rFonts w:ascii="Times New Roman" w:hAnsi="Times New Roman" w:cs="Times New Roman"/>
        </w:rPr>
      </w:pPr>
    </w:p>
    <w:p w14:paraId="270DCCB0" w14:textId="77777777" w:rsidR="008C28F6" w:rsidRPr="00D40EF8" w:rsidRDefault="008C28F6" w:rsidP="008C28F6">
      <w:pPr>
        <w:rPr>
          <w:rFonts w:cstheme="minorHAnsi"/>
          <w:b/>
          <w:color w:val="44546A" w:themeColor="text2"/>
          <w:sz w:val="24"/>
          <w:szCs w:val="24"/>
          <w:u w:val="single"/>
        </w:rPr>
      </w:pPr>
    </w:p>
    <w:p w14:paraId="4A2A8546" w14:textId="77777777" w:rsidR="00972909" w:rsidRDefault="00972909"/>
    <w:sectPr w:rsidR="00972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B8"/>
    <w:rsid w:val="004643B8"/>
    <w:rsid w:val="008C28F6"/>
    <w:rsid w:val="0097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EF6C2C-8E23-4B85-9B7F-5E669874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">
    <w:name w:val="Table Header"/>
    <w:rsid w:val="008C28F6"/>
    <w:rPr>
      <w:rFonts w:asciiTheme="majorHAnsi" w:eastAsiaTheme="majorEastAsia" w:hAnsiTheme="majorHAnsi" w:cstheme="majorBidi"/>
      <w:color w:val="FFFFFF"/>
      <w:kern w:val="0"/>
      <w:lang w:val="en-AU" w:eastAsia="ja-JP"/>
      <w14:ligatures w14:val="none"/>
    </w:rPr>
  </w:style>
  <w:style w:type="table" w:customStyle="1" w:styleId="NodesTable">
    <w:name w:val="Nodes Table"/>
    <w:rsid w:val="008C28F6"/>
    <w:rPr>
      <w:rFonts w:eastAsiaTheme="minorEastAsia" w:hAnsi="Times New Roman" w:cs="Times New Roman"/>
      <w:kern w:val="0"/>
      <w:sz w:val="20"/>
      <w:szCs w:val="20"/>
      <w:lang w:val="en-AU" w:eastAsia="ja-JP"/>
      <w14:ligatures w14:val="none"/>
    </w:rPr>
    <w:tblPr>
      <w:tblStyleRow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08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tblPr/>
      <w:tcPr>
        <w:shd w:val="clear" w:color="auto" w:fill="B4C6E7"/>
      </w:tcPr>
    </w:tblStylePr>
    <w:tblStylePr w:type="band2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3762</Characters>
  <Application>Microsoft Office Word</Application>
  <DocSecurity>0</DocSecurity>
  <Lines>58</Lines>
  <Paragraphs>24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Watterson, Taylor</dc:creator>
  <cp:keywords/>
  <dc:description/>
  <cp:lastModifiedBy>Watterson, Taylor</cp:lastModifiedBy>
  <cp:revision>2</cp:revision>
  <dcterms:created xsi:type="dcterms:W3CDTF">2023-11-30T20:02:00Z</dcterms:created>
  <dcterms:modified xsi:type="dcterms:W3CDTF">2023-11-30T20:02:00Z</dcterms:modified>
</cp:coreProperties>
</file>