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C2EF1F" w14:textId="77777777" w:rsidR="000401B5" w:rsidRDefault="000401B5" w:rsidP="000401B5">
      <w:pPr>
        <w:spacing w:line="48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13337A">
        <w:rPr>
          <w:rFonts w:ascii="Arial" w:hAnsi="Arial" w:cs="Arial"/>
          <w:b/>
          <w:bCs/>
          <w:sz w:val="24"/>
          <w:szCs w:val="24"/>
        </w:rPr>
        <w:t>Supplementary Information</w:t>
      </w:r>
    </w:p>
    <w:p w14:paraId="635C5146" w14:textId="77777777" w:rsidR="000401B5" w:rsidRDefault="000401B5" w:rsidP="000401B5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0D805AC" wp14:editId="5A5E876D">
            <wp:extent cx="5943600" cy="4282440"/>
            <wp:effectExtent l="0" t="0" r="0" b="0"/>
            <wp:docPr id="1053566706" name="Picture 3" descr="A black background with red lines with Marfa light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566706" name="Picture 3" descr="A black background with red lines with Marfa lights in the backgroun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6E28A" w14:textId="77777777" w:rsidR="000401B5" w:rsidRDefault="000401B5" w:rsidP="000401B5">
      <w:pPr>
        <w:spacing w:line="480" w:lineRule="auto"/>
        <w:rPr>
          <w:rFonts w:ascii="Arial" w:hAnsi="Arial" w:cs="Arial"/>
          <w:sz w:val="24"/>
          <w:szCs w:val="24"/>
        </w:rPr>
      </w:pPr>
      <w:r w:rsidRPr="008815A5">
        <w:rPr>
          <w:rFonts w:ascii="Arial" w:hAnsi="Arial" w:cs="Arial"/>
          <w:b/>
          <w:bCs/>
          <w:sz w:val="24"/>
          <w:szCs w:val="24"/>
        </w:rPr>
        <w:t>Supplementa</w:t>
      </w:r>
      <w:r>
        <w:rPr>
          <w:rFonts w:ascii="Arial" w:hAnsi="Arial" w:cs="Arial"/>
          <w:b/>
          <w:bCs/>
          <w:sz w:val="24"/>
          <w:szCs w:val="24"/>
        </w:rPr>
        <w:t>ry</w:t>
      </w:r>
      <w:r w:rsidRPr="008815A5">
        <w:rPr>
          <w:rFonts w:ascii="Arial" w:hAnsi="Arial" w:cs="Arial"/>
          <w:b/>
          <w:bCs/>
          <w:sz w:val="24"/>
          <w:szCs w:val="24"/>
        </w:rPr>
        <w:t xml:space="preserve"> Figure</w:t>
      </w:r>
      <w:r>
        <w:rPr>
          <w:rFonts w:ascii="Arial" w:hAnsi="Arial" w:cs="Arial"/>
          <w:b/>
          <w:bCs/>
          <w:sz w:val="24"/>
          <w:szCs w:val="24"/>
        </w:rPr>
        <w:t xml:space="preserve"> 1</w:t>
      </w:r>
      <w:r w:rsidRPr="008815A5">
        <w:rPr>
          <w:rFonts w:ascii="Arial" w:hAnsi="Arial" w:cs="Arial"/>
          <w:b/>
          <w:bCs/>
          <w:sz w:val="24"/>
          <w:szCs w:val="24"/>
        </w:rPr>
        <w:t>. Frequencies of TIM-3</w:t>
      </w:r>
      <w:r w:rsidRPr="008815A5">
        <w:rPr>
          <w:rFonts w:ascii="Arial" w:hAnsi="Arial" w:cs="Arial"/>
          <w:b/>
          <w:bCs/>
          <w:sz w:val="24"/>
          <w:szCs w:val="24"/>
          <w:vertAlign w:val="superscript"/>
        </w:rPr>
        <w:t>+</w:t>
      </w:r>
      <w:r w:rsidRPr="008815A5">
        <w:rPr>
          <w:rFonts w:ascii="Arial" w:hAnsi="Arial" w:cs="Arial"/>
          <w:b/>
          <w:bCs/>
          <w:sz w:val="24"/>
          <w:szCs w:val="24"/>
        </w:rPr>
        <w:t xml:space="preserve"> T cells following repeated SARS-CoV-2 vaccination.</w:t>
      </w:r>
      <w:r>
        <w:rPr>
          <w:rFonts w:ascii="Arial" w:hAnsi="Arial" w:cs="Arial"/>
          <w:sz w:val="24"/>
          <w:szCs w:val="24"/>
        </w:rPr>
        <w:t xml:space="preserve"> Flow cytometry was used to assess the frequencies of unstimulated CD4</w:t>
      </w:r>
      <w:r w:rsidRPr="00065234">
        <w:rPr>
          <w:rFonts w:ascii="Arial" w:hAnsi="Arial" w:cs="Arial"/>
          <w:sz w:val="24"/>
          <w:szCs w:val="24"/>
          <w:vertAlign w:val="superscript"/>
        </w:rPr>
        <w:t>+</w:t>
      </w:r>
      <w:r>
        <w:rPr>
          <w:rFonts w:ascii="Arial" w:hAnsi="Arial" w:cs="Arial"/>
          <w:sz w:val="24"/>
          <w:szCs w:val="24"/>
        </w:rPr>
        <w:t xml:space="preserve"> T cells expressing TIM-3 in each cohort (a-c), and the frequencies of CD8</w:t>
      </w:r>
      <w:r w:rsidRPr="00065234">
        <w:rPr>
          <w:rFonts w:ascii="Arial" w:hAnsi="Arial" w:cs="Arial"/>
          <w:sz w:val="24"/>
          <w:szCs w:val="24"/>
          <w:vertAlign w:val="superscript"/>
        </w:rPr>
        <w:t>+</w:t>
      </w:r>
      <w:r>
        <w:rPr>
          <w:rFonts w:ascii="Arial" w:hAnsi="Arial" w:cs="Arial"/>
          <w:sz w:val="24"/>
          <w:szCs w:val="24"/>
        </w:rPr>
        <w:t xml:space="preserve"> T cells expressing TIM-3 in each cohort (d-f). LTC: 3mo2 n=14, 3mo3 n=22, 3mo4 n=15. RA: 3mo2 n=7, 3mo3 n=9, 3mo4 n=8. HA: 3mo2 n=41, 3mo3 n=19, 3mo4 n=5. 3moX denotes 3 months post dose X. Multivariable linear mixed models accounting for age and sex were used to assess changes in the frequencies of each T cell subset within a given cohort following additional SARS-CoV-2 vaccinations. If not displayed, result was not significant. p&lt;0.05 *.</w:t>
      </w:r>
    </w:p>
    <w:p w14:paraId="084DA87F" w14:textId="77777777" w:rsidR="000401B5" w:rsidRDefault="000401B5" w:rsidP="000401B5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77E48AC" wp14:editId="42B6D3CA">
            <wp:extent cx="5943600" cy="7811770"/>
            <wp:effectExtent l="0" t="0" r="0" b="0"/>
            <wp:docPr id="1746978145" name="Picture 2" descr="A collage of images of a person's bod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978145" name="Picture 2" descr="A collage of images of a person's body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1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5B3E1" w14:textId="77777777" w:rsidR="000401B5" w:rsidRDefault="000401B5" w:rsidP="000401B5">
      <w:pPr>
        <w:spacing w:line="480" w:lineRule="auto"/>
        <w:rPr>
          <w:rFonts w:ascii="Arial" w:hAnsi="Arial" w:cs="Arial"/>
          <w:sz w:val="24"/>
          <w:szCs w:val="24"/>
        </w:rPr>
      </w:pPr>
      <w:r w:rsidRPr="00D17FC2">
        <w:rPr>
          <w:rFonts w:ascii="Arial" w:hAnsi="Arial" w:cs="Arial"/>
          <w:b/>
          <w:bCs/>
          <w:sz w:val="24"/>
          <w:szCs w:val="24"/>
        </w:rPr>
        <w:lastRenderedPageBreak/>
        <w:t>Supplementa</w:t>
      </w:r>
      <w:r>
        <w:rPr>
          <w:rFonts w:ascii="Arial" w:hAnsi="Arial" w:cs="Arial"/>
          <w:b/>
          <w:bCs/>
          <w:sz w:val="24"/>
          <w:szCs w:val="24"/>
        </w:rPr>
        <w:t xml:space="preserve">ry </w:t>
      </w:r>
      <w:r w:rsidRPr="00D17FC2">
        <w:rPr>
          <w:rFonts w:ascii="Arial" w:hAnsi="Arial" w:cs="Arial"/>
          <w:b/>
          <w:bCs/>
          <w:sz w:val="24"/>
          <w:szCs w:val="24"/>
        </w:rPr>
        <w:t xml:space="preserve">Figure 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D17FC2">
        <w:rPr>
          <w:rFonts w:ascii="Arial" w:hAnsi="Arial" w:cs="Arial"/>
          <w:b/>
          <w:bCs/>
          <w:sz w:val="24"/>
          <w:szCs w:val="24"/>
        </w:rPr>
        <w:t xml:space="preserve">. AIM assay gating strategy shown using Cytostim stimulation condition. </w:t>
      </w:r>
      <w:r>
        <w:rPr>
          <w:rFonts w:ascii="Arial" w:hAnsi="Arial" w:cs="Arial"/>
          <w:sz w:val="24"/>
          <w:szCs w:val="24"/>
        </w:rPr>
        <w:t>Doublets and debris were first excluded, followed by gating on live cells. T cells were then identified as CD3</w:t>
      </w:r>
      <w:r w:rsidRPr="00470137">
        <w:rPr>
          <w:rFonts w:ascii="Arial" w:hAnsi="Arial" w:cs="Arial"/>
          <w:sz w:val="24"/>
          <w:szCs w:val="24"/>
          <w:vertAlign w:val="superscript"/>
        </w:rPr>
        <w:t>+</w:t>
      </w:r>
      <w:r>
        <w:rPr>
          <w:rFonts w:ascii="Arial" w:hAnsi="Arial" w:cs="Arial"/>
          <w:sz w:val="24"/>
          <w:szCs w:val="24"/>
        </w:rPr>
        <w:t xml:space="preserve"> events. Within the T cell compartment, cells were divided into CD4</w:t>
      </w:r>
      <w:r w:rsidRPr="00D665BD">
        <w:rPr>
          <w:rFonts w:ascii="Arial" w:hAnsi="Arial" w:cs="Arial"/>
          <w:sz w:val="24"/>
          <w:szCs w:val="24"/>
          <w:vertAlign w:val="superscript"/>
        </w:rPr>
        <w:t>+</w:t>
      </w:r>
      <w:r>
        <w:rPr>
          <w:rFonts w:ascii="Arial" w:hAnsi="Arial" w:cs="Arial"/>
          <w:sz w:val="24"/>
          <w:szCs w:val="24"/>
        </w:rPr>
        <w:t xml:space="preserve"> or CD8</w:t>
      </w:r>
      <w:r w:rsidRPr="00D665BD">
        <w:rPr>
          <w:rFonts w:ascii="Arial" w:hAnsi="Arial" w:cs="Arial"/>
          <w:sz w:val="24"/>
          <w:szCs w:val="24"/>
          <w:vertAlign w:val="superscript"/>
        </w:rPr>
        <w:t>+</w:t>
      </w:r>
      <w:r>
        <w:rPr>
          <w:rFonts w:ascii="Arial" w:hAnsi="Arial" w:cs="Arial"/>
          <w:sz w:val="24"/>
          <w:szCs w:val="24"/>
        </w:rPr>
        <w:t xml:space="preserve"> single positive events. In the CD4</w:t>
      </w:r>
      <w:r w:rsidRPr="00F77220">
        <w:rPr>
          <w:rFonts w:ascii="Arial" w:hAnsi="Arial" w:cs="Arial"/>
          <w:sz w:val="24"/>
          <w:szCs w:val="24"/>
          <w:vertAlign w:val="superscript"/>
        </w:rPr>
        <w:t>+</w:t>
      </w:r>
      <w:r>
        <w:rPr>
          <w:rFonts w:ascii="Arial" w:hAnsi="Arial" w:cs="Arial"/>
          <w:sz w:val="24"/>
          <w:szCs w:val="24"/>
        </w:rPr>
        <w:t xml:space="preserve"> T cell compartment, AIM+ cells (those responding to the stimulus) were detected as CD25</w:t>
      </w:r>
      <w:r w:rsidRPr="00D665BD">
        <w:rPr>
          <w:rFonts w:ascii="Arial" w:hAnsi="Arial" w:cs="Arial"/>
          <w:sz w:val="24"/>
          <w:szCs w:val="24"/>
          <w:vertAlign w:val="superscript"/>
        </w:rPr>
        <w:t>+</w:t>
      </w:r>
      <w:r>
        <w:rPr>
          <w:rFonts w:ascii="Arial" w:hAnsi="Arial" w:cs="Arial"/>
          <w:sz w:val="24"/>
          <w:szCs w:val="24"/>
        </w:rPr>
        <w:t>CD134</w:t>
      </w:r>
      <w:r w:rsidRPr="00D665BD">
        <w:rPr>
          <w:rFonts w:ascii="Arial" w:hAnsi="Arial" w:cs="Arial"/>
          <w:sz w:val="24"/>
          <w:szCs w:val="24"/>
          <w:vertAlign w:val="superscript"/>
        </w:rPr>
        <w:t>+</w:t>
      </w:r>
      <w:r>
        <w:rPr>
          <w:rFonts w:ascii="Arial" w:hAnsi="Arial" w:cs="Arial"/>
          <w:sz w:val="24"/>
          <w:szCs w:val="24"/>
        </w:rPr>
        <w:t>. In the CD8</w:t>
      </w:r>
      <w:r w:rsidRPr="00D76988">
        <w:rPr>
          <w:rFonts w:ascii="Arial" w:hAnsi="Arial" w:cs="Arial"/>
          <w:sz w:val="24"/>
          <w:szCs w:val="24"/>
          <w:vertAlign w:val="superscript"/>
        </w:rPr>
        <w:t>+</w:t>
      </w:r>
      <w:r>
        <w:rPr>
          <w:rFonts w:ascii="Arial" w:hAnsi="Arial" w:cs="Arial"/>
          <w:sz w:val="24"/>
          <w:szCs w:val="24"/>
        </w:rPr>
        <w:t xml:space="preserve"> T cell compartment, AIM+ cells were detected as CD137</w:t>
      </w:r>
      <w:r w:rsidRPr="00D76988">
        <w:rPr>
          <w:rFonts w:ascii="Arial" w:hAnsi="Arial" w:cs="Arial"/>
          <w:sz w:val="24"/>
          <w:szCs w:val="24"/>
          <w:vertAlign w:val="superscript"/>
        </w:rPr>
        <w:t>+</w:t>
      </w:r>
      <w:r>
        <w:rPr>
          <w:rFonts w:ascii="Arial" w:hAnsi="Arial" w:cs="Arial"/>
          <w:sz w:val="24"/>
          <w:szCs w:val="24"/>
        </w:rPr>
        <w:t>CD69</w:t>
      </w:r>
      <w:r w:rsidRPr="00D76988">
        <w:rPr>
          <w:rFonts w:ascii="Arial" w:hAnsi="Arial" w:cs="Arial"/>
          <w:sz w:val="24"/>
          <w:szCs w:val="24"/>
          <w:vertAlign w:val="superscript"/>
        </w:rPr>
        <w:t>+</w:t>
      </w:r>
      <w:r>
        <w:rPr>
          <w:rFonts w:ascii="Arial" w:hAnsi="Arial" w:cs="Arial"/>
          <w:sz w:val="24"/>
          <w:szCs w:val="24"/>
        </w:rPr>
        <w:t>. The unstimulated well was used to help determine the position of this gate. Within the AIM+ CD4</w:t>
      </w:r>
      <w:r w:rsidRPr="00D76988">
        <w:rPr>
          <w:rFonts w:ascii="Arial" w:hAnsi="Arial" w:cs="Arial"/>
          <w:sz w:val="24"/>
          <w:szCs w:val="24"/>
          <w:vertAlign w:val="superscript"/>
        </w:rPr>
        <w:t>+</w:t>
      </w:r>
      <w:r>
        <w:rPr>
          <w:rFonts w:ascii="Arial" w:hAnsi="Arial" w:cs="Arial"/>
          <w:sz w:val="24"/>
          <w:szCs w:val="24"/>
        </w:rPr>
        <w:t xml:space="preserve"> or CD8</w:t>
      </w:r>
      <w:r w:rsidRPr="00D76988">
        <w:rPr>
          <w:rFonts w:ascii="Arial" w:hAnsi="Arial" w:cs="Arial"/>
          <w:sz w:val="24"/>
          <w:szCs w:val="24"/>
          <w:vertAlign w:val="superscript"/>
        </w:rPr>
        <w:t>+</w:t>
      </w:r>
      <w:r>
        <w:rPr>
          <w:rFonts w:ascii="Arial" w:hAnsi="Arial" w:cs="Arial"/>
          <w:sz w:val="24"/>
          <w:szCs w:val="24"/>
        </w:rPr>
        <w:t xml:space="preserve"> T cell compartment, quadrant gating for PD-1</w:t>
      </w:r>
      <w:r w:rsidRPr="00470137">
        <w:rPr>
          <w:rFonts w:ascii="Arial" w:hAnsi="Arial" w:cs="Arial"/>
          <w:sz w:val="24"/>
          <w:szCs w:val="24"/>
          <w:vertAlign w:val="superscript"/>
        </w:rPr>
        <w:t>+</w:t>
      </w:r>
      <w:r>
        <w:rPr>
          <w:rFonts w:ascii="Arial" w:hAnsi="Arial" w:cs="Arial"/>
          <w:sz w:val="24"/>
          <w:szCs w:val="24"/>
        </w:rPr>
        <w:t>LAG-3</w:t>
      </w:r>
      <w:r w:rsidRPr="00470137">
        <w:rPr>
          <w:rFonts w:ascii="Arial" w:hAnsi="Arial" w:cs="Arial"/>
          <w:sz w:val="24"/>
          <w:szCs w:val="24"/>
          <w:vertAlign w:val="superscript"/>
        </w:rPr>
        <w:t>+</w:t>
      </w:r>
      <w:r>
        <w:rPr>
          <w:rFonts w:ascii="Arial" w:hAnsi="Arial" w:cs="Arial"/>
          <w:sz w:val="24"/>
          <w:szCs w:val="24"/>
        </w:rPr>
        <w:t>, PD-1</w:t>
      </w:r>
      <w:r w:rsidRPr="00470137">
        <w:rPr>
          <w:rFonts w:ascii="Arial" w:hAnsi="Arial" w:cs="Arial"/>
          <w:sz w:val="24"/>
          <w:szCs w:val="24"/>
          <w:vertAlign w:val="superscript"/>
        </w:rPr>
        <w:t>+</w:t>
      </w:r>
      <w:r>
        <w:rPr>
          <w:rFonts w:ascii="Arial" w:hAnsi="Arial" w:cs="Arial"/>
          <w:sz w:val="24"/>
          <w:szCs w:val="24"/>
        </w:rPr>
        <w:t>LAG-3</w:t>
      </w:r>
      <w:r w:rsidRPr="00470137">
        <w:rPr>
          <w:rFonts w:ascii="Arial" w:hAnsi="Arial" w:cs="Arial"/>
          <w:sz w:val="24"/>
          <w:szCs w:val="24"/>
          <w:vertAlign w:val="superscript"/>
        </w:rPr>
        <w:t>-</w:t>
      </w:r>
      <w:r>
        <w:rPr>
          <w:rFonts w:ascii="Arial" w:hAnsi="Arial" w:cs="Arial"/>
          <w:sz w:val="24"/>
          <w:szCs w:val="24"/>
        </w:rPr>
        <w:t>, PD-1</w:t>
      </w:r>
      <w:r w:rsidRPr="00470137">
        <w:rPr>
          <w:rFonts w:ascii="Arial" w:hAnsi="Arial" w:cs="Arial"/>
          <w:sz w:val="24"/>
          <w:szCs w:val="24"/>
          <w:vertAlign w:val="superscript"/>
        </w:rPr>
        <w:t>-</w:t>
      </w:r>
      <w:r>
        <w:rPr>
          <w:rFonts w:ascii="Arial" w:hAnsi="Arial" w:cs="Arial"/>
          <w:sz w:val="24"/>
          <w:szCs w:val="24"/>
        </w:rPr>
        <w:t>LAG-3</w:t>
      </w:r>
      <w:r w:rsidRPr="00470137">
        <w:rPr>
          <w:rFonts w:ascii="Arial" w:hAnsi="Arial" w:cs="Arial"/>
          <w:sz w:val="24"/>
          <w:szCs w:val="24"/>
          <w:vertAlign w:val="superscript"/>
        </w:rPr>
        <w:t>-</w:t>
      </w:r>
      <w:r>
        <w:rPr>
          <w:rFonts w:ascii="Arial" w:hAnsi="Arial" w:cs="Arial"/>
          <w:sz w:val="24"/>
          <w:szCs w:val="24"/>
        </w:rPr>
        <w:t>, and PD-1</w:t>
      </w:r>
      <w:r w:rsidRPr="00470137">
        <w:rPr>
          <w:rFonts w:ascii="Arial" w:hAnsi="Arial" w:cs="Arial"/>
          <w:sz w:val="24"/>
          <w:szCs w:val="24"/>
          <w:vertAlign w:val="superscript"/>
        </w:rPr>
        <w:t>-</w:t>
      </w:r>
      <w:r>
        <w:rPr>
          <w:rFonts w:ascii="Arial" w:hAnsi="Arial" w:cs="Arial"/>
          <w:sz w:val="24"/>
          <w:szCs w:val="24"/>
        </w:rPr>
        <w:t>LAG-3</w:t>
      </w:r>
      <w:r w:rsidRPr="00470137">
        <w:rPr>
          <w:rFonts w:ascii="Arial" w:hAnsi="Arial" w:cs="Arial"/>
          <w:sz w:val="24"/>
          <w:szCs w:val="24"/>
          <w:vertAlign w:val="superscript"/>
        </w:rPr>
        <w:t>+</w:t>
      </w:r>
      <w:r>
        <w:rPr>
          <w:rFonts w:ascii="Arial" w:hAnsi="Arial" w:cs="Arial"/>
          <w:sz w:val="24"/>
          <w:szCs w:val="24"/>
        </w:rPr>
        <w:t xml:space="preserve"> events was conducted based on an isotype control (shown above). Each of these quadrants was then further gated into TIM-3</w:t>
      </w:r>
      <w:r w:rsidRPr="00D76988">
        <w:rPr>
          <w:rFonts w:ascii="Arial" w:hAnsi="Arial" w:cs="Arial"/>
          <w:sz w:val="24"/>
          <w:szCs w:val="24"/>
          <w:vertAlign w:val="superscript"/>
        </w:rPr>
        <w:t>+</w:t>
      </w:r>
      <w:r>
        <w:rPr>
          <w:rFonts w:ascii="Arial" w:hAnsi="Arial" w:cs="Arial"/>
          <w:sz w:val="24"/>
          <w:szCs w:val="24"/>
        </w:rPr>
        <w:t xml:space="preserve"> and TIM-3</w:t>
      </w:r>
      <w:r w:rsidRPr="00D76988">
        <w:rPr>
          <w:rFonts w:ascii="Arial" w:hAnsi="Arial" w:cs="Arial"/>
          <w:sz w:val="24"/>
          <w:szCs w:val="24"/>
          <w:vertAlign w:val="superscript"/>
        </w:rPr>
        <w:t>-</w:t>
      </w:r>
      <w:r>
        <w:rPr>
          <w:rFonts w:ascii="Arial" w:hAnsi="Arial" w:cs="Arial"/>
          <w:sz w:val="24"/>
          <w:szCs w:val="24"/>
        </w:rPr>
        <w:t xml:space="preserve"> events based on an isotype control, to obtain each possible exhaustion marker combination.</w:t>
      </w:r>
    </w:p>
    <w:p w14:paraId="5B128ADD" w14:textId="77777777" w:rsidR="000401B5" w:rsidRDefault="000401B5" w:rsidP="000401B5">
      <w:pPr>
        <w:spacing w:line="480" w:lineRule="auto"/>
        <w:rPr>
          <w:rFonts w:ascii="Arial" w:hAnsi="Arial" w:cs="Arial"/>
          <w:sz w:val="24"/>
          <w:szCs w:val="24"/>
        </w:rPr>
      </w:pPr>
    </w:p>
    <w:p w14:paraId="71662F1A" w14:textId="77777777" w:rsidR="000401B5" w:rsidRDefault="000401B5" w:rsidP="000401B5">
      <w:pPr>
        <w:spacing w:line="480" w:lineRule="auto"/>
        <w:rPr>
          <w:rFonts w:ascii="Arial" w:hAnsi="Arial" w:cs="Arial"/>
          <w:sz w:val="24"/>
          <w:szCs w:val="24"/>
        </w:rPr>
      </w:pPr>
    </w:p>
    <w:p w14:paraId="7829EB15" w14:textId="77777777" w:rsidR="000401B5" w:rsidRDefault="000401B5" w:rsidP="000401B5">
      <w:pPr>
        <w:spacing w:line="480" w:lineRule="auto"/>
        <w:rPr>
          <w:rFonts w:ascii="Arial" w:hAnsi="Arial" w:cs="Arial"/>
          <w:sz w:val="24"/>
          <w:szCs w:val="24"/>
        </w:rPr>
      </w:pPr>
    </w:p>
    <w:p w14:paraId="7B2C8188" w14:textId="77777777" w:rsidR="000401B5" w:rsidRDefault="000401B5" w:rsidP="000401B5">
      <w:pPr>
        <w:spacing w:line="480" w:lineRule="auto"/>
        <w:rPr>
          <w:rFonts w:ascii="Arial" w:hAnsi="Arial" w:cs="Arial"/>
          <w:sz w:val="24"/>
          <w:szCs w:val="24"/>
        </w:rPr>
      </w:pPr>
    </w:p>
    <w:p w14:paraId="757236D0" w14:textId="77777777" w:rsidR="000401B5" w:rsidRDefault="000401B5" w:rsidP="000401B5">
      <w:pPr>
        <w:spacing w:line="480" w:lineRule="auto"/>
        <w:rPr>
          <w:rFonts w:ascii="Arial" w:hAnsi="Arial" w:cs="Arial"/>
          <w:sz w:val="24"/>
          <w:szCs w:val="24"/>
        </w:rPr>
      </w:pPr>
    </w:p>
    <w:p w14:paraId="39ADC5DF" w14:textId="77777777" w:rsidR="000401B5" w:rsidRDefault="000401B5" w:rsidP="000401B5">
      <w:pPr>
        <w:spacing w:line="480" w:lineRule="auto"/>
        <w:rPr>
          <w:rFonts w:ascii="Arial" w:hAnsi="Arial" w:cs="Arial"/>
          <w:sz w:val="24"/>
          <w:szCs w:val="24"/>
        </w:rPr>
      </w:pPr>
    </w:p>
    <w:p w14:paraId="5A8CBCAC" w14:textId="77777777" w:rsidR="000401B5" w:rsidRDefault="000401B5" w:rsidP="000401B5">
      <w:pPr>
        <w:spacing w:line="480" w:lineRule="auto"/>
        <w:rPr>
          <w:rFonts w:ascii="Arial" w:hAnsi="Arial" w:cs="Arial"/>
          <w:b/>
          <w:bCs/>
          <w:noProof/>
          <w:sz w:val="24"/>
          <w:szCs w:val="24"/>
        </w:rPr>
      </w:pPr>
    </w:p>
    <w:p w14:paraId="642F0952" w14:textId="77777777" w:rsidR="000401B5" w:rsidRDefault="000401B5" w:rsidP="000401B5">
      <w:pPr>
        <w:spacing w:line="480" w:lineRule="auto"/>
        <w:rPr>
          <w:rFonts w:ascii="Arial" w:hAnsi="Arial" w:cs="Arial"/>
          <w:b/>
          <w:bCs/>
          <w:noProof/>
          <w:sz w:val="24"/>
          <w:szCs w:val="24"/>
        </w:rPr>
      </w:pPr>
    </w:p>
    <w:p w14:paraId="7B856BC6" w14:textId="77777777" w:rsidR="000401B5" w:rsidRDefault="000401B5" w:rsidP="000401B5">
      <w:pPr>
        <w:spacing w:line="480" w:lineRule="auto"/>
        <w:rPr>
          <w:rFonts w:ascii="Arial" w:hAnsi="Arial" w:cs="Arial"/>
          <w:b/>
          <w:bCs/>
          <w:noProof/>
          <w:sz w:val="24"/>
          <w:szCs w:val="24"/>
        </w:rPr>
      </w:pPr>
    </w:p>
    <w:p w14:paraId="488474BA" w14:textId="77777777" w:rsidR="000401B5" w:rsidRDefault="000401B5" w:rsidP="000401B5">
      <w:pPr>
        <w:spacing w:line="480" w:lineRule="auto"/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7AE7B609" wp14:editId="263F6651">
            <wp:extent cx="5728613" cy="7529209"/>
            <wp:effectExtent l="0" t="0" r="5715" b="0"/>
            <wp:docPr id="129291939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91939" name="Picture 1" descr="A screenshot of a computer scree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362" cy="753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EEFB2" w14:textId="77777777" w:rsidR="000401B5" w:rsidRDefault="000401B5" w:rsidP="000401B5">
      <w:pPr>
        <w:spacing w:line="480" w:lineRule="auto"/>
        <w:rPr>
          <w:rFonts w:ascii="Arial" w:hAnsi="Arial" w:cs="Arial"/>
          <w:sz w:val="24"/>
          <w:szCs w:val="24"/>
        </w:rPr>
      </w:pPr>
      <w:r w:rsidRPr="002403BC">
        <w:rPr>
          <w:rFonts w:ascii="Arial" w:hAnsi="Arial" w:cs="Arial"/>
          <w:b/>
          <w:bCs/>
          <w:sz w:val="24"/>
          <w:szCs w:val="24"/>
        </w:rPr>
        <w:lastRenderedPageBreak/>
        <w:t>Supplementa</w:t>
      </w:r>
      <w:r>
        <w:rPr>
          <w:rFonts w:ascii="Arial" w:hAnsi="Arial" w:cs="Arial"/>
          <w:b/>
          <w:bCs/>
          <w:sz w:val="24"/>
          <w:szCs w:val="24"/>
        </w:rPr>
        <w:t>ry</w:t>
      </w:r>
      <w:r w:rsidRPr="002403BC">
        <w:rPr>
          <w:rFonts w:ascii="Arial" w:hAnsi="Arial" w:cs="Arial"/>
          <w:b/>
          <w:bCs/>
          <w:sz w:val="24"/>
          <w:szCs w:val="24"/>
        </w:rPr>
        <w:t xml:space="preserve"> Figure 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Pr="002403BC">
        <w:rPr>
          <w:rFonts w:ascii="Arial" w:hAnsi="Arial" w:cs="Arial"/>
          <w:b/>
          <w:bCs/>
          <w:sz w:val="24"/>
          <w:szCs w:val="24"/>
        </w:rPr>
        <w:t>. Surface immunophenotyping gating strategy.</w:t>
      </w:r>
      <w:r>
        <w:rPr>
          <w:rFonts w:ascii="Arial" w:hAnsi="Arial" w:cs="Arial"/>
          <w:sz w:val="24"/>
          <w:szCs w:val="24"/>
        </w:rPr>
        <w:t xml:space="preserve"> Doublets and debris were first excluded, followed by gating on live cells. T cells were then detected as CD3</w:t>
      </w:r>
      <w:r w:rsidRPr="00470137">
        <w:rPr>
          <w:rFonts w:ascii="Arial" w:hAnsi="Arial" w:cs="Arial"/>
          <w:sz w:val="24"/>
          <w:szCs w:val="24"/>
          <w:vertAlign w:val="superscript"/>
        </w:rPr>
        <w:t>+</w:t>
      </w:r>
      <w:r>
        <w:rPr>
          <w:rFonts w:ascii="Arial" w:hAnsi="Arial" w:cs="Arial"/>
          <w:sz w:val="24"/>
          <w:szCs w:val="24"/>
        </w:rPr>
        <w:t xml:space="preserve"> events. T cells were divided into CD4</w:t>
      </w:r>
      <w:r w:rsidRPr="00D665BD">
        <w:rPr>
          <w:rFonts w:ascii="Arial" w:hAnsi="Arial" w:cs="Arial"/>
          <w:sz w:val="24"/>
          <w:szCs w:val="24"/>
          <w:vertAlign w:val="superscript"/>
        </w:rPr>
        <w:t>+</w:t>
      </w:r>
      <w:r>
        <w:rPr>
          <w:rFonts w:ascii="Arial" w:hAnsi="Arial" w:cs="Arial"/>
          <w:sz w:val="24"/>
          <w:szCs w:val="24"/>
        </w:rPr>
        <w:t xml:space="preserve"> or CD8</w:t>
      </w:r>
      <w:r w:rsidRPr="00D665BD">
        <w:rPr>
          <w:rFonts w:ascii="Arial" w:hAnsi="Arial" w:cs="Arial"/>
          <w:sz w:val="24"/>
          <w:szCs w:val="24"/>
          <w:vertAlign w:val="superscript"/>
        </w:rPr>
        <w:t>+</w:t>
      </w:r>
      <w:r>
        <w:rPr>
          <w:rFonts w:ascii="Arial" w:hAnsi="Arial" w:cs="Arial"/>
          <w:sz w:val="24"/>
          <w:szCs w:val="24"/>
        </w:rPr>
        <w:t xml:space="preserve"> single positive events. Within the CD4</w:t>
      </w:r>
      <w:r w:rsidRPr="002403BC">
        <w:rPr>
          <w:rFonts w:ascii="Arial" w:hAnsi="Arial" w:cs="Arial"/>
          <w:sz w:val="24"/>
          <w:szCs w:val="24"/>
          <w:vertAlign w:val="superscript"/>
        </w:rPr>
        <w:t>+</w:t>
      </w:r>
      <w:r>
        <w:rPr>
          <w:rFonts w:ascii="Arial" w:hAnsi="Arial" w:cs="Arial"/>
          <w:sz w:val="24"/>
          <w:szCs w:val="24"/>
        </w:rPr>
        <w:t xml:space="preserve"> and within the CD8</w:t>
      </w:r>
      <w:r w:rsidRPr="002403BC">
        <w:rPr>
          <w:rFonts w:ascii="Arial" w:hAnsi="Arial" w:cs="Arial"/>
          <w:sz w:val="24"/>
          <w:szCs w:val="24"/>
          <w:vertAlign w:val="superscript"/>
        </w:rPr>
        <w:t>+</w:t>
      </w:r>
      <w:r>
        <w:rPr>
          <w:rFonts w:ascii="Arial" w:hAnsi="Arial" w:cs="Arial"/>
          <w:sz w:val="24"/>
          <w:szCs w:val="24"/>
        </w:rPr>
        <w:t xml:space="preserve"> T cell compartments, naïve T cells were CCR7</w:t>
      </w:r>
      <w:r w:rsidRPr="002615F0">
        <w:rPr>
          <w:rFonts w:ascii="Arial" w:hAnsi="Arial" w:cs="Arial"/>
          <w:sz w:val="24"/>
          <w:szCs w:val="24"/>
          <w:vertAlign w:val="superscript"/>
        </w:rPr>
        <w:t>+</w:t>
      </w:r>
      <w:r>
        <w:rPr>
          <w:rFonts w:ascii="Arial" w:hAnsi="Arial" w:cs="Arial"/>
          <w:sz w:val="24"/>
          <w:szCs w:val="24"/>
        </w:rPr>
        <w:t>CD45RA</w:t>
      </w:r>
      <w:r w:rsidRPr="002615F0">
        <w:rPr>
          <w:rFonts w:ascii="Arial" w:hAnsi="Arial" w:cs="Arial"/>
          <w:sz w:val="24"/>
          <w:szCs w:val="24"/>
          <w:vertAlign w:val="superscript"/>
        </w:rPr>
        <w:t>+</w:t>
      </w:r>
      <w:r>
        <w:rPr>
          <w:rFonts w:ascii="Arial" w:hAnsi="Arial" w:cs="Arial"/>
          <w:sz w:val="24"/>
          <w:szCs w:val="24"/>
        </w:rPr>
        <w:t>, central memory were CCR7</w:t>
      </w:r>
      <w:r w:rsidRPr="002615F0">
        <w:rPr>
          <w:rFonts w:ascii="Arial" w:hAnsi="Arial" w:cs="Arial"/>
          <w:sz w:val="24"/>
          <w:szCs w:val="24"/>
          <w:vertAlign w:val="superscript"/>
        </w:rPr>
        <w:t>+</w:t>
      </w:r>
      <w:r>
        <w:rPr>
          <w:rFonts w:ascii="Arial" w:hAnsi="Arial" w:cs="Arial"/>
          <w:sz w:val="24"/>
          <w:szCs w:val="24"/>
        </w:rPr>
        <w:t>CD45RA</w:t>
      </w:r>
      <w:r w:rsidRPr="002615F0">
        <w:rPr>
          <w:rFonts w:ascii="Arial" w:hAnsi="Arial" w:cs="Arial"/>
          <w:sz w:val="24"/>
          <w:szCs w:val="24"/>
          <w:vertAlign w:val="superscript"/>
        </w:rPr>
        <w:t>-</w:t>
      </w:r>
      <w:r>
        <w:rPr>
          <w:rFonts w:ascii="Arial" w:hAnsi="Arial" w:cs="Arial"/>
          <w:sz w:val="24"/>
          <w:szCs w:val="24"/>
        </w:rPr>
        <w:t>, effector memory were CCR7</w:t>
      </w:r>
      <w:r w:rsidRPr="002615F0">
        <w:rPr>
          <w:rFonts w:ascii="Arial" w:hAnsi="Arial" w:cs="Arial"/>
          <w:sz w:val="24"/>
          <w:szCs w:val="24"/>
          <w:vertAlign w:val="superscript"/>
        </w:rPr>
        <w:t>-</w:t>
      </w:r>
      <w:r>
        <w:rPr>
          <w:rFonts w:ascii="Arial" w:hAnsi="Arial" w:cs="Arial"/>
          <w:sz w:val="24"/>
          <w:szCs w:val="24"/>
        </w:rPr>
        <w:t>CD45RA</w:t>
      </w:r>
      <w:r w:rsidRPr="002615F0">
        <w:rPr>
          <w:rFonts w:ascii="Arial" w:hAnsi="Arial" w:cs="Arial"/>
          <w:sz w:val="24"/>
          <w:szCs w:val="24"/>
          <w:vertAlign w:val="superscript"/>
        </w:rPr>
        <w:t>-</w:t>
      </w:r>
      <w:r>
        <w:rPr>
          <w:rFonts w:ascii="Arial" w:hAnsi="Arial" w:cs="Arial"/>
          <w:sz w:val="24"/>
          <w:szCs w:val="24"/>
        </w:rPr>
        <w:t>, and EM re-expressing CD45RA (EMRA) were CD45RA</w:t>
      </w:r>
      <w:r w:rsidRPr="002615F0">
        <w:rPr>
          <w:rFonts w:ascii="Arial" w:hAnsi="Arial" w:cs="Arial"/>
          <w:sz w:val="24"/>
          <w:szCs w:val="24"/>
          <w:vertAlign w:val="superscript"/>
        </w:rPr>
        <w:t>+</w:t>
      </w:r>
      <w:r>
        <w:rPr>
          <w:rFonts w:ascii="Arial" w:hAnsi="Arial" w:cs="Arial"/>
          <w:sz w:val="24"/>
          <w:szCs w:val="24"/>
        </w:rPr>
        <w:t>CCR7</w:t>
      </w:r>
      <w:r w:rsidRPr="002615F0">
        <w:rPr>
          <w:rFonts w:ascii="Arial" w:hAnsi="Arial" w:cs="Arial"/>
          <w:sz w:val="24"/>
          <w:szCs w:val="24"/>
          <w:vertAlign w:val="superscript"/>
        </w:rPr>
        <w:t>-</w:t>
      </w:r>
      <w:r>
        <w:rPr>
          <w:rFonts w:ascii="Arial" w:hAnsi="Arial" w:cs="Arial"/>
          <w:sz w:val="24"/>
          <w:szCs w:val="24"/>
        </w:rPr>
        <w:t>. Terminally differentiated cells were classified as EMRA</w:t>
      </w:r>
      <w:r w:rsidRPr="002615F0">
        <w:rPr>
          <w:rFonts w:ascii="Arial" w:hAnsi="Arial" w:cs="Arial"/>
          <w:sz w:val="24"/>
          <w:szCs w:val="24"/>
          <w:vertAlign w:val="superscript"/>
        </w:rPr>
        <w:t>+</w:t>
      </w:r>
      <w:r>
        <w:rPr>
          <w:rFonts w:ascii="Arial" w:hAnsi="Arial" w:cs="Arial"/>
          <w:sz w:val="24"/>
          <w:szCs w:val="24"/>
        </w:rPr>
        <w:t>CD57</w:t>
      </w:r>
      <w:r w:rsidRPr="002615F0">
        <w:rPr>
          <w:rFonts w:ascii="Arial" w:hAnsi="Arial" w:cs="Arial"/>
          <w:sz w:val="24"/>
          <w:szCs w:val="24"/>
          <w:vertAlign w:val="superscript"/>
        </w:rPr>
        <w:t>+</w:t>
      </w:r>
      <w:r>
        <w:rPr>
          <w:rFonts w:ascii="Arial" w:hAnsi="Arial" w:cs="Arial"/>
          <w:sz w:val="24"/>
          <w:szCs w:val="24"/>
        </w:rPr>
        <w:t>CD28</w:t>
      </w:r>
      <w:r w:rsidRPr="002615F0">
        <w:rPr>
          <w:rFonts w:ascii="Arial" w:hAnsi="Arial" w:cs="Arial"/>
          <w:sz w:val="24"/>
          <w:szCs w:val="24"/>
          <w:vertAlign w:val="superscript"/>
        </w:rPr>
        <w:t>-</w:t>
      </w:r>
      <w:r>
        <w:rPr>
          <w:rFonts w:ascii="Arial" w:hAnsi="Arial" w:cs="Arial"/>
          <w:sz w:val="24"/>
          <w:szCs w:val="24"/>
        </w:rPr>
        <w:t>. CD4</w:t>
      </w:r>
      <w:r w:rsidRPr="002403BC">
        <w:rPr>
          <w:rFonts w:ascii="Arial" w:hAnsi="Arial" w:cs="Arial"/>
          <w:sz w:val="24"/>
          <w:szCs w:val="24"/>
          <w:vertAlign w:val="superscript"/>
        </w:rPr>
        <w:t>+</w:t>
      </w:r>
      <w:r>
        <w:rPr>
          <w:rFonts w:ascii="Arial" w:hAnsi="Arial" w:cs="Arial"/>
          <w:sz w:val="24"/>
          <w:szCs w:val="24"/>
        </w:rPr>
        <w:t xml:space="preserve"> T cells, and CD8</w:t>
      </w:r>
      <w:r w:rsidRPr="002403BC">
        <w:rPr>
          <w:rFonts w:ascii="Arial" w:hAnsi="Arial" w:cs="Arial"/>
          <w:sz w:val="24"/>
          <w:szCs w:val="24"/>
          <w:vertAlign w:val="superscript"/>
        </w:rPr>
        <w:t>+</w:t>
      </w:r>
      <w:r>
        <w:rPr>
          <w:rFonts w:ascii="Arial" w:hAnsi="Arial" w:cs="Arial"/>
          <w:sz w:val="24"/>
          <w:szCs w:val="24"/>
        </w:rPr>
        <w:t xml:space="preserve"> T cells, were also assessed for co-expression of PD-1 and TIGIT, and expression of TIM-3. Gates for each exhaustion marker were set using isotype controls (shown above).</w:t>
      </w:r>
    </w:p>
    <w:p w14:paraId="4CBE3743" w14:textId="77777777" w:rsidR="000401B5" w:rsidRDefault="000401B5" w:rsidP="000401B5">
      <w:pPr>
        <w:spacing w:line="480" w:lineRule="auto"/>
        <w:rPr>
          <w:rFonts w:ascii="Arial" w:hAnsi="Arial" w:cs="Arial"/>
          <w:sz w:val="24"/>
          <w:szCs w:val="24"/>
        </w:rPr>
      </w:pPr>
    </w:p>
    <w:p w14:paraId="4AF9711C" w14:textId="77777777" w:rsidR="00BB2C1A" w:rsidRDefault="00BB2C1A"/>
    <w:sectPr w:rsidR="00BB2C1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1B5"/>
    <w:rsid w:val="000401B5"/>
    <w:rsid w:val="001210D8"/>
    <w:rsid w:val="00443E1D"/>
    <w:rsid w:val="00461199"/>
    <w:rsid w:val="005B1DE7"/>
    <w:rsid w:val="00AC5BB3"/>
    <w:rsid w:val="00AD24C1"/>
    <w:rsid w:val="00BB2C1A"/>
    <w:rsid w:val="00C2526F"/>
    <w:rsid w:val="00C60126"/>
    <w:rsid w:val="00FB1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822288"/>
  <w15:chartTrackingRefBased/>
  <w15:docId w15:val="{FAEE8CC0-1E9E-4D1D-B1CC-702735448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01B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01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01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01B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01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01B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01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01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01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01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01B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01B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01B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01B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01B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01B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01B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01B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01B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401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0401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01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0401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401B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0401B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401B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0401B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01B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01B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401B5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401B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352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 May Benoit</dc:creator>
  <cp:keywords/>
  <dc:description/>
  <cp:lastModifiedBy>Jenna May Benoit</cp:lastModifiedBy>
  <cp:revision>4</cp:revision>
  <dcterms:created xsi:type="dcterms:W3CDTF">2024-11-11T19:54:00Z</dcterms:created>
  <dcterms:modified xsi:type="dcterms:W3CDTF">2024-11-13T19:38:00Z</dcterms:modified>
</cp:coreProperties>
</file>