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59233D"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S1. Characterization and quantification of RWD behavior. Related to Fig 1.</w:t>
      </w:r>
    </w:p>
    <w:p w14:paraId="09A9B993"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a.</w:t>
      </w:r>
      <w:r>
        <w:rPr>
          <w:rFonts w:ascii="Times New Roman" w:eastAsia="Times New Roman" w:hAnsi="Times New Roman" w:cs="Times New Roman"/>
          <w:sz w:val="14"/>
          <w:szCs w:val="14"/>
        </w:rPr>
        <w:tab/>
      </w:r>
      <w:r>
        <w:rPr>
          <w:rFonts w:ascii="Times New Roman" w:eastAsia="Times New Roman" w:hAnsi="Times New Roman" w:cs="Times New Roman"/>
        </w:rPr>
        <w:t xml:space="preserve">Video frames (front view) showing hand locations in a representative trial at different time points during the reach. </w:t>
      </w:r>
    </w:p>
    <w:p w14:paraId="4F40EAC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Schematic of the measurement of hand rotation direction (black vector) and finger pointing direction (orange vector) as represented by key points on left digits. The hand supinates to a horizontal position with the lift, advance and to a palm up position for licking.</w:t>
      </w:r>
    </w:p>
    <w:p w14:paraId="087BE535"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Quantification of waterspout aiming score (cos(</w:t>
      </w:r>
      <w:r>
        <w:rPr>
          <w:rFonts w:ascii="Times New Roman" w:eastAsia="Times New Roman" w:hAnsi="Times New Roman" w:cs="Times New Roman"/>
          <w:i/>
        </w:rPr>
        <w:t>δ</w:t>
      </w:r>
      <w:r>
        <w:rPr>
          <w:rFonts w:ascii="Times New Roman" w:eastAsia="Times New Roman" w:hAnsi="Times New Roman" w:cs="Times New Roman"/>
        </w:rPr>
        <w:t>)) to measure the hand posture for aim location and posture toward waterspout.</w:t>
      </w:r>
    </w:p>
    <w:p w14:paraId="1414E0F9"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Quantification of digit open/extend size for waterspout grasp, quantified as the length of the hand rotation vector.</w:t>
      </w:r>
    </w:p>
    <w:p w14:paraId="00076536"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Schematic for quantifying hand to mouth distance (</w:t>
      </w:r>
      <w:r>
        <w:rPr>
          <w:rFonts w:ascii="Times New Roman" w:eastAsia="Times New Roman" w:hAnsi="Times New Roman" w:cs="Times New Roman"/>
          <w:i/>
        </w:rPr>
        <w:t>d</w:t>
      </w:r>
      <w:r>
        <w:rPr>
          <w:rFonts w:ascii="Times New Roman" w:eastAsia="Times New Roman" w:hAnsi="Times New Roman" w:cs="Times New Roman"/>
        </w:rPr>
        <w:t>) and hand rotation vector (</w:t>
      </w:r>
      <w:r>
        <w:rPr>
          <w:rFonts w:ascii="Times New Roman" w:eastAsia="Times New Roman" w:hAnsi="Times New Roman" w:cs="Times New Roman"/>
          <w:i/>
        </w:rPr>
        <w:t>s</w:t>
      </w:r>
      <w:r>
        <w:rPr>
          <w:rFonts w:ascii="Times New Roman" w:eastAsia="Times New Roman" w:hAnsi="Times New Roman" w:cs="Times New Roman"/>
        </w:rPr>
        <w:t>) upon lick. The hand was maintained close to the mouth and supinated during tongue protrusions.</w:t>
      </w:r>
    </w:p>
    <w:p w14:paraId="36C2774C"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f.</w:t>
      </w:r>
      <w:r>
        <w:rPr>
          <w:rFonts w:ascii="Times New Roman" w:eastAsia="Times New Roman" w:hAnsi="Times New Roman" w:cs="Times New Roman"/>
          <w:sz w:val="14"/>
          <w:szCs w:val="14"/>
        </w:rPr>
        <w:tab/>
      </w:r>
      <w:r>
        <w:rPr>
          <w:rFonts w:ascii="Times New Roman" w:eastAsia="Times New Roman" w:hAnsi="Times New Roman" w:cs="Times New Roman"/>
        </w:rPr>
        <w:t>Schematic for quantifying the hand rotation score (cos(</w:t>
      </w:r>
      <w:r>
        <w:rPr>
          <w:rFonts w:ascii="Times New Roman" w:eastAsia="Times New Roman" w:hAnsi="Times New Roman" w:cs="Times New Roman"/>
          <w:i/>
        </w:rPr>
        <w:t>θ</w:t>
      </w:r>
      <w:r>
        <w:rPr>
          <w:rFonts w:ascii="Times New Roman" w:eastAsia="Times New Roman" w:hAnsi="Times New Roman" w:cs="Times New Roman"/>
        </w:rPr>
        <w:t>)) relative to the horizontal reference vector (</w:t>
      </w:r>
      <w:r>
        <w:rPr>
          <w:rFonts w:ascii="Times New Roman" w:eastAsia="Times New Roman" w:hAnsi="Times New Roman" w:cs="Times New Roman"/>
          <w:i/>
        </w:rPr>
        <w:t>y</w:t>
      </w:r>
      <w:r>
        <w:rPr>
          <w:rFonts w:ascii="Times New Roman" w:eastAsia="Times New Roman" w:hAnsi="Times New Roman" w:cs="Times New Roman"/>
        </w:rPr>
        <w:t>). Value 1 means the palm faces up and is fully supinated. -1 indicates the palm faces down and fully pronated. 0 means left hand is vertical and facing towards the right. Typically, the hand rotation score is close to -1 before lift, 0 at grasp and close to 1 at hand lick.</w:t>
      </w:r>
    </w:p>
    <w:p w14:paraId="5D677EAB"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g.</w:t>
      </w:r>
      <w:r>
        <w:rPr>
          <w:rFonts w:ascii="Times New Roman" w:eastAsia="Times New Roman" w:hAnsi="Times New Roman" w:cs="Times New Roman"/>
          <w:sz w:val="14"/>
          <w:szCs w:val="14"/>
        </w:rPr>
        <w:tab/>
      </w:r>
      <w:r>
        <w:rPr>
          <w:rFonts w:ascii="Times New Roman" w:eastAsia="Times New Roman" w:hAnsi="Times New Roman" w:cs="Times New Roman"/>
        </w:rPr>
        <w:t>Top: hand posture progression at lift (the fingers slightly closed and flexed), at aim (palm rotated toward target), at advance endpoint (fingers extend and open for grasp) and at hand-lick (hand can be closed or open). Bottom: distribution of hand rotation angle as a reflection of palm-facing direction. Data from 6229 lifts, aims, advance endpoints; and 119584 licks from 70 sessions in 25 mice. Note the near 180-degree hand supination from reach-grasp (pronated) to withdraw-lick (supinated).</w:t>
      </w:r>
    </w:p>
    <w:p w14:paraId="6673485A"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h.</w:t>
      </w:r>
      <w:r>
        <w:rPr>
          <w:rFonts w:ascii="Times New Roman" w:eastAsia="Times New Roman" w:hAnsi="Times New Roman" w:cs="Times New Roman"/>
          <w:sz w:val="14"/>
          <w:szCs w:val="14"/>
        </w:rPr>
        <w:tab/>
      </w:r>
      <w:r>
        <w:rPr>
          <w:rFonts w:ascii="Times New Roman" w:eastAsia="Times New Roman" w:hAnsi="Times New Roman" w:cs="Times New Roman"/>
        </w:rPr>
        <w:t>Spatial contour map of hand locations (side view) at lift, aim and advance endpoint. Contours indicate probability starting from 0.01/mm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with equal increment of 0.01/mm</w:t>
      </w:r>
      <w:r>
        <w:rPr>
          <w:rFonts w:ascii="Times New Roman" w:eastAsia="Times New Roman" w:hAnsi="Times New Roman" w:cs="Times New Roman"/>
          <w:vertAlign w:val="superscript"/>
        </w:rPr>
        <w:t>2</w:t>
      </w:r>
      <w:r>
        <w:rPr>
          <w:rFonts w:ascii="Times New Roman" w:eastAsia="Times New Roman" w:hAnsi="Times New Roman" w:cs="Times New Roman"/>
        </w:rPr>
        <w:t>; 6229 trials from 70 sessions in 25 mice across five target locations; +, waterspout location.</w:t>
      </w:r>
    </w:p>
    <w:p w14:paraId="6FAB838D"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i.</w:t>
      </w:r>
      <w:r>
        <w:rPr>
          <w:rFonts w:ascii="Times New Roman" w:eastAsia="Times New Roman" w:hAnsi="Times New Roman" w:cs="Times New Roman"/>
          <w:sz w:val="14"/>
          <w:szCs w:val="14"/>
        </w:rPr>
        <w:tab/>
      </w:r>
      <w:r>
        <w:rPr>
          <w:rFonts w:ascii="Times New Roman" w:eastAsia="Times New Roman" w:hAnsi="Times New Roman" w:cs="Times New Roman"/>
        </w:rPr>
        <w:t>Occurrence probability of sequential RWD movements relative to the reach endpoint. Results of 3924 trials from 70 sessions in 25 mice reaching for P2.</w:t>
      </w:r>
    </w:p>
    <w:p w14:paraId="21E2B6C7"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j.</w:t>
      </w:r>
      <w:r>
        <w:rPr>
          <w:rFonts w:ascii="Times New Roman" w:eastAsia="Times New Roman" w:hAnsi="Times New Roman" w:cs="Times New Roman"/>
          <w:sz w:val="14"/>
          <w:szCs w:val="14"/>
        </w:rPr>
        <w:tab/>
      </w:r>
      <w:r>
        <w:rPr>
          <w:rFonts w:ascii="Times New Roman" w:eastAsia="Times New Roman" w:hAnsi="Times New Roman" w:cs="Times New Roman"/>
        </w:rPr>
        <w:t>Hand and oral movement time series for waterspout positions P1, P3 and P5.</w:t>
      </w:r>
    </w:p>
    <w:p w14:paraId="118AC231"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k.</w:t>
      </w:r>
      <w:r>
        <w:rPr>
          <w:rFonts w:ascii="Times New Roman" w:eastAsia="Times New Roman" w:hAnsi="Times New Roman" w:cs="Times New Roman"/>
          <w:sz w:val="14"/>
          <w:szCs w:val="14"/>
        </w:rPr>
        <w:tab/>
      </w:r>
      <w:r>
        <w:rPr>
          <w:rFonts w:ascii="Times New Roman" w:eastAsia="Times New Roman" w:hAnsi="Times New Roman" w:cs="Times New Roman"/>
        </w:rPr>
        <w:t>Mapping of the action phases with movement time series. Each dot is a movement time point in the latent space.</w:t>
      </w:r>
    </w:p>
    <w:p w14:paraId="134899BC"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l–s.</w:t>
      </w:r>
      <w:r>
        <w:rPr>
          <w:rFonts w:ascii="Times New Roman" w:eastAsia="Times New Roman" w:hAnsi="Times New Roman" w:cs="Times New Roman"/>
        </w:rPr>
        <w:tab/>
        <w:t>Behavior modulation by waterspout locations: latency to lift (</w:t>
      </w:r>
      <w:r>
        <w:rPr>
          <w:rFonts w:ascii="Times New Roman" w:eastAsia="Times New Roman" w:hAnsi="Times New Roman" w:cs="Times New Roman"/>
          <w:b/>
        </w:rPr>
        <w:t>l</w:t>
      </w:r>
      <w:r>
        <w:rPr>
          <w:rFonts w:ascii="Times New Roman" w:eastAsia="Times New Roman" w:hAnsi="Times New Roman" w:cs="Times New Roman"/>
        </w:rPr>
        <w:t>), reach duration (</w:t>
      </w:r>
      <w:r>
        <w:rPr>
          <w:rFonts w:ascii="Times New Roman" w:eastAsia="Times New Roman" w:hAnsi="Times New Roman" w:cs="Times New Roman"/>
          <w:b/>
        </w:rPr>
        <w:t>m</w:t>
      </w:r>
      <w:r>
        <w:rPr>
          <w:rFonts w:ascii="Times New Roman" w:eastAsia="Times New Roman" w:hAnsi="Times New Roman" w:cs="Times New Roman"/>
        </w:rPr>
        <w:t>), premature lick before waterspout contact (</w:t>
      </w:r>
      <w:r>
        <w:rPr>
          <w:rFonts w:ascii="Times New Roman" w:eastAsia="Times New Roman" w:hAnsi="Times New Roman" w:cs="Times New Roman"/>
          <w:b/>
        </w:rPr>
        <w:t>n</w:t>
      </w:r>
      <w:r>
        <w:rPr>
          <w:rFonts w:ascii="Times New Roman" w:eastAsia="Times New Roman" w:hAnsi="Times New Roman" w:cs="Times New Roman"/>
        </w:rPr>
        <w:t>), reach end position relative to waterspout (</w:t>
      </w:r>
      <w:r>
        <w:rPr>
          <w:rFonts w:ascii="Times New Roman" w:eastAsia="Times New Roman" w:hAnsi="Times New Roman" w:cs="Times New Roman"/>
          <w:b/>
        </w:rPr>
        <w:t>o</w:t>
      </w:r>
      <w:r>
        <w:rPr>
          <w:rFonts w:ascii="Times New Roman" w:eastAsia="Times New Roman" w:hAnsi="Times New Roman" w:cs="Times New Roman"/>
        </w:rPr>
        <w:t>), path length (</w:t>
      </w:r>
      <w:r>
        <w:rPr>
          <w:rFonts w:ascii="Times New Roman" w:eastAsia="Times New Roman" w:hAnsi="Times New Roman" w:cs="Times New Roman"/>
          <w:b/>
        </w:rPr>
        <w:t>p</w:t>
      </w:r>
      <w:r>
        <w:rPr>
          <w:rFonts w:ascii="Times New Roman" w:eastAsia="Times New Roman" w:hAnsi="Times New Roman" w:cs="Times New Roman"/>
        </w:rPr>
        <w:t>), distance from aim onset of reach to the target (</w:t>
      </w:r>
      <w:r>
        <w:rPr>
          <w:rFonts w:ascii="Times New Roman" w:eastAsia="Times New Roman" w:hAnsi="Times New Roman" w:cs="Times New Roman"/>
          <w:b/>
        </w:rPr>
        <w:t>q</w:t>
      </w:r>
      <w:r>
        <w:rPr>
          <w:rFonts w:ascii="Times New Roman" w:eastAsia="Times New Roman" w:hAnsi="Times New Roman" w:cs="Times New Roman"/>
        </w:rPr>
        <w:t>), change of digit aiming score during aim (</w:t>
      </w:r>
      <w:r>
        <w:rPr>
          <w:rFonts w:ascii="Times New Roman" w:eastAsia="Times New Roman" w:hAnsi="Times New Roman" w:cs="Times New Roman"/>
          <w:b/>
        </w:rPr>
        <w:t>r</w:t>
      </w:r>
      <w:r>
        <w:rPr>
          <w:rFonts w:ascii="Times New Roman" w:eastAsia="Times New Roman" w:hAnsi="Times New Roman" w:cs="Times New Roman"/>
        </w:rPr>
        <w:t>), probability of significant acceleration peaks during aim and advance (</w:t>
      </w:r>
      <w:r>
        <w:rPr>
          <w:rFonts w:ascii="Times New Roman" w:eastAsia="Times New Roman" w:hAnsi="Times New Roman" w:cs="Times New Roman"/>
          <w:b/>
        </w:rPr>
        <w:t>s</w:t>
      </w:r>
      <w:r>
        <w:rPr>
          <w:rFonts w:ascii="Times New Roman" w:eastAsia="Times New Roman" w:hAnsi="Times New Roman" w:cs="Times New Roman"/>
        </w:rPr>
        <w:t>). 70 sessions from 25 mice.</w:t>
      </w:r>
      <w:r>
        <w:rPr>
          <w:rFonts w:ascii="Times New Roman" w:eastAsia="Times New Roman" w:hAnsi="Times New Roman" w:cs="Times New Roman"/>
          <w:color w:val="222222"/>
        </w:rPr>
        <w:t xml:space="preserve"> </w:t>
      </w:r>
      <w:r>
        <w:rPr>
          <w:rFonts w:ascii="Times New Roman" w:eastAsia="Times New Roman" w:hAnsi="Times New Roman" w:cs="Times New Roman"/>
        </w:rPr>
        <w:t>Median ± interquartile range. Horizontal lines in boxplots indicate 75%, 50%, and 25% percentile. Whiskers represent data point span to 90% or 10% percentile. See Supplementary table for statistics.</w:t>
      </w:r>
    </w:p>
    <w:p w14:paraId="633E832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 </w:t>
      </w:r>
    </w:p>
    <w:p w14:paraId="703A88C5"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S2. Cortex-wide calcium activity during RWD. Related to Fig 2.</w:t>
      </w:r>
    </w:p>
    <w:p w14:paraId="109DD55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lastRenderedPageBreak/>
        <w:t>a.</w:t>
      </w:r>
      <w:r>
        <w:rPr>
          <w:rFonts w:ascii="Times New Roman" w:eastAsia="Times New Roman" w:hAnsi="Times New Roman" w:cs="Times New Roman"/>
          <w:sz w:val="14"/>
          <w:szCs w:val="14"/>
        </w:rPr>
        <w:tab/>
      </w:r>
      <w:r>
        <w:rPr>
          <w:rFonts w:ascii="Times New Roman" w:eastAsia="Times New Roman" w:hAnsi="Times New Roman" w:cs="Times New Roman"/>
        </w:rPr>
        <w:t>Registered atlas areas superimposed on an image of the dorsal cortex. MOB, main olfactory bulb; MOs, secondary motor cortex; MOp, primary motor cortex; RSP, retrosplenial cortex; SSp, primary somatosensory cortex; tr, trunk; ll, lower limb; ul/un, upper limb and unknown region; orf, orofacial; bfd, barrel field; VIS, visual cortex. White dots outline the cortex; yellow horizontal line shows olfactory bulb and neocortex boundary; yellow vertical line shows the midsagittal suture.ds.</w:t>
      </w:r>
    </w:p>
    <w:p w14:paraId="120E5A7A"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Coronal brain sections showing the laminar pattern of PN types labeled by driver lines crossed to reporter mice. Bottom row is zoom-in, and rotated view of the dashed box annotated with layers L1-L6.</w:t>
      </w:r>
    </w:p>
    <w:p w14:paraId="4BB1B510"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 xml:space="preserve">PN markers across cortical layers. Immunostaining of Cux1 (red) and Tle4 (blue), was carried out after mRNA in situ hybridization of </w:t>
      </w:r>
      <w:r>
        <w:rPr>
          <w:rFonts w:ascii="Times New Roman" w:eastAsia="Times New Roman" w:hAnsi="Times New Roman" w:cs="Times New Roman"/>
          <w:i/>
        </w:rPr>
        <w:t>Fezf2</w:t>
      </w:r>
      <w:r>
        <w:rPr>
          <w:rFonts w:ascii="Times New Roman" w:eastAsia="Times New Roman" w:hAnsi="Times New Roman" w:cs="Times New Roman"/>
        </w:rPr>
        <w:t xml:space="preserve"> (magenta) in </w:t>
      </w:r>
      <w:r>
        <w:rPr>
          <w:rFonts w:ascii="Times New Roman" w:eastAsia="Times New Roman" w:hAnsi="Times New Roman" w:cs="Times New Roman"/>
          <w:i/>
        </w:rPr>
        <w:t>PlxnD1;Ai148</w:t>
      </w:r>
      <w:r>
        <w:rPr>
          <w:rFonts w:ascii="Times New Roman" w:eastAsia="Times New Roman" w:hAnsi="Times New Roman" w:cs="Times New Roman"/>
        </w:rPr>
        <w:t xml:space="preserve"> (green) mice. Scale bar, 100 μm.</w:t>
      </w:r>
    </w:p>
    <w:p w14:paraId="7B7C103C"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Temporal occurrence of RWD movements after training at location P2. Top, lift and first hand-lick probability (Prob.) distribution relative to waterspout contact. Bottom, average lick frequency aligned to waterspout contact. (</w:t>
      </w:r>
      <w:r>
        <w:rPr>
          <w:rFonts w:ascii="Times New Roman" w:eastAsia="Times New Roman" w:hAnsi="Times New Roman" w:cs="Times New Roman"/>
          <w:i/>
        </w:rPr>
        <w:t>n</w:t>
      </w:r>
      <w:r>
        <w:rPr>
          <w:rFonts w:ascii="Times New Roman" w:eastAsia="Times New Roman" w:hAnsi="Times New Roman" w:cs="Times New Roman"/>
        </w:rPr>
        <w:t xml:space="preserve"> = 3924 trials from 70 sessions in 25 mice) </w:t>
      </w:r>
    </w:p>
    <w:p w14:paraId="6187BD70"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Average sequential activity frames at 200 ms intervals centered on waterspout contact (black box) during RWD from P2. (</w:t>
      </w:r>
      <w:r>
        <w:rPr>
          <w:rFonts w:ascii="Times New Roman" w:eastAsia="Times New Roman" w:hAnsi="Times New Roman" w:cs="Times New Roman"/>
          <w:i/>
        </w:rPr>
        <w:t>n</w:t>
      </w:r>
      <w:r>
        <w:rPr>
          <w:rFonts w:ascii="Times New Roman" w:eastAsia="Times New Roman" w:hAnsi="Times New Roman" w:cs="Times New Roman"/>
        </w:rPr>
        <w:t xml:space="preserve"> = 9 sessions from 5 mice for PN</w:t>
      </w:r>
      <w:r>
        <w:rPr>
          <w:rFonts w:ascii="Times New Roman" w:eastAsia="Times New Roman" w:hAnsi="Times New Roman" w:cs="Times New Roman"/>
          <w:vertAlign w:val="superscript"/>
        </w:rPr>
        <w:t>Emx1</w:t>
      </w:r>
      <w:r>
        <w:rPr>
          <w:rFonts w:ascii="Times New Roman" w:eastAsia="Times New Roman" w:hAnsi="Times New Roman" w:cs="Times New Roman"/>
        </w:rPr>
        <w:t>; 7 sessions from 4 mice for IT</w:t>
      </w:r>
      <w:r>
        <w:rPr>
          <w:rFonts w:ascii="Times New Roman" w:eastAsia="Times New Roman" w:hAnsi="Times New Roman" w:cs="Times New Roman"/>
          <w:vertAlign w:val="superscript"/>
        </w:rPr>
        <w:t>Cux1</w:t>
      </w:r>
      <w:r>
        <w:rPr>
          <w:rFonts w:ascii="Times New Roman" w:eastAsia="Times New Roman" w:hAnsi="Times New Roman" w:cs="Times New Roman"/>
        </w:rPr>
        <w:t>; 11 sessions from 4 mice for IT</w:t>
      </w:r>
      <w:r>
        <w:rPr>
          <w:rFonts w:ascii="Times New Roman" w:eastAsia="Times New Roman" w:hAnsi="Times New Roman" w:cs="Times New Roman"/>
          <w:vertAlign w:val="superscript"/>
        </w:rPr>
        <w:t>PlxnD1</w:t>
      </w:r>
      <w:r>
        <w:rPr>
          <w:rFonts w:ascii="Times New Roman" w:eastAsia="Times New Roman" w:hAnsi="Times New Roman" w:cs="Times New Roman"/>
        </w:rPr>
        <w:t>; 12 sessions from 6 mice for PT</w:t>
      </w:r>
      <w:r>
        <w:rPr>
          <w:rFonts w:ascii="Times New Roman" w:eastAsia="Times New Roman" w:hAnsi="Times New Roman" w:cs="Times New Roman"/>
          <w:vertAlign w:val="superscript"/>
        </w:rPr>
        <w:t>Fezf2</w:t>
      </w:r>
      <w:r>
        <w:rPr>
          <w:rFonts w:ascii="Times New Roman" w:eastAsia="Times New Roman" w:hAnsi="Times New Roman" w:cs="Times New Roman"/>
        </w:rPr>
        <w:t>; 10 sessions from 5 mice for CT</w:t>
      </w:r>
      <w:r>
        <w:rPr>
          <w:rFonts w:ascii="Times New Roman" w:eastAsia="Times New Roman" w:hAnsi="Times New Roman" w:cs="Times New Roman"/>
          <w:vertAlign w:val="superscript"/>
        </w:rPr>
        <w:t>Tle4</w:t>
      </w:r>
      <w:r>
        <w:rPr>
          <w:rFonts w:ascii="Times New Roman" w:eastAsia="Times New Roman" w:hAnsi="Times New Roman" w:cs="Times New Roman"/>
        </w:rPr>
        <w:t>.)</w:t>
      </w:r>
    </w:p>
    <w:p w14:paraId="2F7B6467"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f.</w:t>
      </w:r>
      <w:r>
        <w:rPr>
          <w:rFonts w:ascii="Times New Roman" w:eastAsia="Times New Roman" w:hAnsi="Times New Roman" w:cs="Times New Roman"/>
          <w:sz w:val="14"/>
          <w:szCs w:val="14"/>
        </w:rPr>
        <w:tab/>
      </w:r>
      <w:r>
        <w:rPr>
          <w:rFonts w:ascii="Times New Roman" w:eastAsia="Times New Roman" w:hAnsi="Times New Roman" w:cs="Times New Roman"/>
        </w:rPr>
        <w:t>Average cortex-wide calcium activity at the five target locations during the whole RWD process. Note the increase of ipsilateral (left) hemisphere activity as the target moved from P1 to P5.</w:t>
      </w:r>
    </w:p>
    <w:p w14:paraId="2BC7A0C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g.</w:t>
      </w:r>
      <w:r>
        <w:rPr>
          <w:rFonts w:ascii="Times New Roman" w:eastAsia="Times New Roman" w:hAnsi="Times New Roman" w:cs="Times New Roman"/>
          <w:sz w:val="14"/>
          <w:szCs w:val="14"/>
        </w:rPr>
        <w:tab/>
      </w:r>
      <w:r>
        <w:rPr>
          <w:rFonts w:ascii="Times New Roman" w:eastAsia="Times New Roman" w:hAnsi="Times New Roman" w:cs="Times New Roman"/>
        </w:rPr>
        <w:t>Summary and comparison of ROIs. Top: ROIs by thresholding of normalized GLM performance. Bottom, ROIs by thresholding of normalized activity.</w:t>
      </w:r>
    </w:p>
    <w:p w14:paraId="246FD892"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h.</w:t>
      </w:r>
      <w:r>
        <w:rPr>
          <w:rFonts w:ascii="Times New Roman" w:eastAsia="Times New Roman" w:hAnsi="Times New Roman" w:cs="Times New Roman"/>
          <w:sz w:val="14"/>
          <w:szCs w:val="14"/>
        </w:rPr>
        <w:tab/>
      </w:r>
      <w:r>
        <w:rPr>
          <w:rFonts w:ascii="Times New Roman" w:eastAsia="Times New Roman" w:hAnsi="Times New Roman" w:cs="Times New Roman"/>
        </w:rPr>
        <w:t>Calcium activity change of ipsilateral ROIs.</w:t>
      </w:r>
    </w:p>
    <w:p w14:paraId="71D4308D"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i.</w:t>
      </w:r>
      <w:r>
        <w:rPr>
          <w:rFonts w:ascii="Times New Roman" w:eastAsia="Times New Roman" w:hAnsi="Times New Roman" w:cs="Times New Roman"/>
          <w:sz w:val="14"/>
          <w:szCs w:val="14"/>
        </w:rPr>
        <w:tab/>
      </w:r>
      <w:r>
        <w:rPr>
          <w:rFonts w:ascii="Times New Roman" w:eastAsia="Times New Roman" w:hAnsi="Times New Roman" w:cs="Times New Roman"/>
        </w:rPr>
        <w:t>Quantification of the performance of the GLM encoding model for different ROIs.</w:t>
      </w:r>
    </w:p>
    <w:p w14:paraId="7457976B"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 </w:t>
      </w:r>
    </w:p>
    <w:p w14:paraId="5F58C9FF"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S3. Photoinhibition survey across cortical nodes during RWD. Related to Fig 3.</w:t>
      </w:r>
    </w:p>
    <w:p w14:paraId="6C4A2BA7"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a.</w:t>
      </w:r>
      <w:r>
        <w:rPr>
          <w:rFonts w:ascii="Times New Roman" w:eastAsia="Times New Roman" w:hAnsi="Times New Roman" w:cs="Times New Roman"/>
          <w:sz w:val="14"/>
          <w:szCs w:val="14"/>
        </w:rPr>
        <w:tab/>
      </w:r>
      <w:r>
        <w:rPr>
          <w:rFonts w:ascii="Times New Roman" w:eastAsia="Times New Roman" w:hAnsi="Times New Roman" w:cs="Times New Roman"/>
        </w:rPr>
        <w:t>ChR2-assisted closed-loop photoinhibition of cortical areas during RWD. Crosses (‘x’) represent the center of several previously characterized cortical areas, from anterior to posterior: anterior lateral motor cortex (ALM; Guo, 2014), rostral forelimb area (RFA; Tennant, 2011), rostral forelimb orofacial area (RFO; An, 2023), caudal forelimb area (CFA; Tennant, 2011), and primary motor cortex for the upper limb (Sauerbrei, 2020; Muñoz-Castañeda, 2022). Black squares indicate the centers of region of interest in this study. +, bregma; scale, 0.5 mm.</w:t>
      </w:r>
    </w:p>
    <w:p w14:paraId="747994B5"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 xml:space="preserve">Cumulative distribution of supination latency relative to hand lift in closed-loop inhibition and control trials of each node in contralateral and ipsilateral hemisphere. </w:t>
      </w:r>
      <w:r>
        <w:rPr>
          <w:rFonts w:ascii="Times New Roman" w:eastAsia="Times New Roman" w:hAnsi="Times New Roman" w:cs="Times New Roman"/>
          <w:i/>
        </w:rPr>
        <w:t>d</w:t>
      </w:r>
      <w:r>
        <w:rPr>
          <w:rFonts w:ascii="Times New Roman" w:eastAsia="Times New Roman" w:hAnsi="Times New Roman" w:cs="Times New Roman"/>
        </w:rPr>
        <w:t>, two-sample Kolmogorov-Smirnov distance. (</w:t>
      </w:r>
      <w:r>
        <w:rPr>
          <w:rFonts w:ascii="Times New Roman" w:eastAsia="Times New Roman" w:hAnsi="Times New Roman" w:cs="Times New Roman"/>
          <w:i/>
        </w:rPr>
        <w:t>n</w:t>
      </w:r>
      <w:r>
        <w:rPr>
          <w:rFonts w:ascii="Times New Roman" w:eastAsia="Times New Roman" w:hAnsi="Times New Roman" w:cs="Times New Roman"/>
        </w:rPr>
        <w:t xml:space="preserve"> = 5 mice, see Supplementary table for statistics)</w:t>
      </w:r>
    </w:p>
    <w:p w14:paraId="774AEB72"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 xml:space="preserve">Changes in occurrence probability of constituent movements between inhibition and control trials for each contra- and ipsi-lateral cortical node. Performance of component movements, </w:t>
      </w:r>
      <w:r>
        <w:rPr>
          <w:rFonts w:ascii="Times New Roman" w:eastAsia="Times New Roman" w:hAnsi="Times New Roman" w:cs="Times New Roman"/>
        </w:rPr>
        <w:lastRenderedPageBreak/>
        <w:t>reach, withdraw, and drink were quantified with the probability of successful waterspout contact, full hand supination, and lick respectively. (</w:t>
      </w:r>
      <w:r>
        <w:rPr>
          <w:rFonts w:ascii="Times New Roman" w:eastAsia="Times New Roman" w:hAnsi="Times New Roman" w:cs="Times New Roman"/>
          <w:i/>
        </w:rPr>
        <w:t>n</w:t>
      </w:r>
      <w:r>
        <w:rPr>
          <w:rFonts w:ascii="Times New Roman" w:eastAsia="Times New Roman" w:hAnsi="Times New Roman" w:cs="Times New Roman"/>
        </w:rPr>
        <w:t xml:space="preserve"> = 5 mice)</w:t>
      </w:r>
    </w:p>
    <w:p w14:paraId="103772D2"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Closed-loop inhibition of contralateral MOs-c impaired action progression represented as an ethogram from an example session. Actions accomplishment is color coded. The relative onset and duration of the inhibition light for each trial are indicated with cyan shades. Note inhibition attenuates the completion of the RWD sequence.</w:t>
      </w:r>
    </w:p>
    <w:p w14:paraId="3A3CA640"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Closed-loop MOs-c inhibition resulted in increased hand reversals during reach, decreased target contact after lift, supination after grasp, and hand lick after grasp. (</w:t>
      </w:r>
      <w:r>
        <w:rPr>
          <w:rFonts w:ascii="Times New Roman" w:eastAsia="Times New Roman" w:hAnsi="Times New Roman" w:cs="Times New Roman"/>
          <w:i/>
        </w:rPr>
        <w:t>n</w:t>
      </w:r>
      <w:r>
        <w:rPr>
          <w:rFonts w:ascii="Times New Roman" w:eastAsia="Times New Roman" w:hAnsi="Times New Roman" w:cs="Times New Roman"/>
        </w:rPr>
        <w:t xml:space="preserve"> = 5 mice, two-sample KS test.)</w:t>
      </w:r>
    </w:p>
    <w:p w14:paraId="43C2B56C"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f.</w:t>
      </w:r>
      <w:r>
        <w:rPr>
          <w:rFonts w:ascii="Times New Roman" w:eastAsia="Times New Roman" w:hAnsi="Times New Roman" w:cs="Times New Roman"/>
          <w:sz w:val="14"/>
          <w:szCs w:val="14"/>
        </w:rPr>
        <w:tab/>
      </w:r>
      <w:r>
        <w:rPr>
          <w:rFonts w:ascii="Times New Roman" w:eastAsia="Times New Roman" w:hAnsi="Times New Roman" w:cs="Times New Roman"/>
        </w:rPr>
        <w:t>Movement time series during closed-loop MOs-c inhibition. Exemplary hand movements in relation to the target, hand rotation, and lick from several consecutive control (gray) and inhibition (tortoise) trials are shown. Movement profiles are normalized. Note that upon termination of inhibition, animals immediately resumed and completed the action sequence of RWD.</w:t>
      </w:r>
    </w:p>
    <w:p w14:paraId="1FB6D7B6"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 </w:t>
      </w:r>
    </w:p>
    <w:p w14:paraId="447E3509"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S4. MOs-c PN-type-specific contribution to RWD. Related to Fig 3.</w:t>
      </w:r>
    </w:p>
    <w:p w14:paraId="38C584E5"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a.</w:t>
      </w:r>
      <w:r>
        <w:rPr>
          <w:rFonts w:ascii="Times New Roman" w:eastAsia="Times New Roman" w:hAnsi="Times New Roman" w:cs="Times New Roman"/>
          <w:sz w:val="14"/>
          <w:szCs w:val="14"/>
        </w:rPr>
        <w:tab/>
      </w:r>
      <w:r>
        <w:rPr>
          <w:rFonts w:ascii="Times New Roman" w:eastAsia="Times New Roman" w:hAnsi="Times New Roman" w:cs="Times New Roman"/>
        </w:rPr>
        <w:t xml:space="preserve">Left, viral expression of the inhibitory opsin GtACR1 in MOs-c of an </w:t>
      </w:r>
      <w:r>
        <w:rPr>
          <w:rFonts w:ascii="Times New Roman" w:eastAsia="Times New Roman" w:hAnsi="Times New Roman" w:cs="Times New Roman"/>
          <w:i/>
        </w:rPr>
        <w:t>Emx1-Cre</w:t>
      </w:r>
      <w:r>
        <w:rPr>
          <w:rFonts w:ascii="Times New Roman" w:eastAsia="Times New Roman" w:hAnsi="Times New Roman" w:cs="Times New Roman"/>
        </w:rPr>
        <w:t xml:space="preserve"> mouse. Scale, 1 mm. Right, impaired reach and withdraw upon closed-loop inhibition of MOs-c PNs. (</w:t>
      </w:r>
      <w:r>
        <w:rPr>
          <w:rFonts w:ascii="Times New Roman" w:eastAsia="Times New Roman" w:hAnsi="Times New Roman" w:cs="Times New Roman"/>
          <w:i/>
        </w:rPr>
        <w:t>n</w:t>
      </w:r>
      <w:r>
        <w:rPr>
          <w:rFonts w:ascii="Times New Roman" w:eastAsia="Times New Roman" w:hAnsi="Times New Roman" w:cs="Times New Roman"/>
        </w:rPr>
        <w:t xml:space="preserve"> = 5 PN</w:t>
      </w:r>
      <w:r>
        <w:rPr>
          <w:rFonts w:ascii="Times New Roman" w:eastAsia="Times New Roman" w:hAnsi="Times New Roman" w:cs="Times New Roman"/>
          <w:vertAlign w:val="superscript"/>
        </w:rPr>
        <w:t>Emx1</w:t>
      </w:r>
      <w:r>
        <w:rPr>
          <w:rFonts w:ascii="Times New Roman" w:eastAsia="Times New Roman" w:hAnsi="Times New Roman" w:cs="Times New Roman"/>
        </w:rPr>
        <w:t xml:space="preserve"> mice.)</w:t>
      </w:r>
    </w:p>
    <w:p w14:paraId="0C880AE1"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Decrease of lift probability to initiate reaching for contralateral targets upon prolonged MOs-c PN inhibition (</w:t>
      </w:r>
      <w:r>
        <w:rPr>
          <w:rFonts w:ascii="Times New Roman" w:eastAsia="Times New Roman" w:hAnsi="Times New Roman" w:cs="Times New Roman"/>
          <w:i/>
        </w:rPr>
        <w:t>n</w:t>
      </w:r>
      <w:r>
        <w:rPr>
          <w:rFonts w:ascii="Times New Roman" w:eastAsia="Times New Roman" w:hAnsi="Times New Roman" w:cs="Times New Roman"/>
        </w:rPr>
        <w:t xml:space="preserve"> = 15 sessions from 8 PN</w:t>
      </w:r>
      <w:r>
        <w:rPr>
          <w:rFonts w:ascii="Times New Roman" w:eastAsia="Times New Roman" w:hAnsi="Times New Roman" w:cs="Times New Roman"/>
          <w:vertAlign w:val="superscript"/>
        </w:rPr>
        <w:t>Emx1</w:t>
      </w:r>
      <w:r>
        <w:rPr>
          <w:rFonts w:ascii="Times New Roman" w:eastAsia="Times New Roman" w:hAnsi="Times New Roman" w:cs="Times New Roman"/>
        </w:rPr>
        <w:t xml:space="preserve"> mice. Left, Wilcoxon rank sum test. Right, mixed-design ANOVA, inhibition </w:t>
      </w:r>
      <w:r>
        <w:rPr>
          <w:rFonts w:ascii="Times New Roman" w:eastAsia="Times New Roman" w:hAnsi="Times New Roman" w:cs="Times New Roman"/>
          <w:i/>
        </w:rPr>
        <w:t>F</w:t>
      </w:r>
      <w:r>
        <w:rPr>
          <w:rFonts w:ascii="Times New Roman" w:eastAsia="Times New Roman" w:hAnsi="Times New Roman" w:cs="Times New Roman"/>
          <w:vertAlign w:val="subscript"/>
        </w:rPr>
        <w:t>1,56</w:t>
      </w:r>
      <w:r>
        <w:rPr>
          <w:rFonts w:ascii="Times New Roman" w:eastAsia="Times New Roman" w:hAnsi="Times New Roman" w:cs="Times New Roman"/>
        </w:rPr>
        <w:t xml:space="preserve"> = 10.74, </w:t>
      </w:r>
      <w:r>
        <w:rPr>
          <w:rFonts w:ascii="Times New Roman" w:eastAsia="Times New Roman" w:hAnsi="Times New Roman" w:cs="Times New Roman"/>
          <w:i/>
        </w:rPr>
        <w:t>p</w:t>
      </w:r>
      <w:r>
        <w:rPr>
          <w:rFonts w:ascii="Times New Roman" w:eastAsia="Times New Roman" w:hAnsi="Times New Roman" w:cs="Times New Roman"/>
        </w:rPr>
        <w:t xml:space="preserve"> &lt; 0.01; inhibition × target </w:t>
      </w:r>
      <w:r>
        <w:rPr>
          <w:rFonts w:ascii="Times New Roman" w:eastAsia="Times New Roman" w:hAnsi="Times New Roman" w:cs="Times New Roman"/>
          <w:i/>
        </w:rPr>
        <w:t>F</w:t>
      </w:r>
      <w:r>
        <w:rPr>
          <w:rFonts w:ascii="Times New Roman" w:eastAsia="Times New Roman" w:hAnsi="Times New Roman" w:cs="Times New Roman"/>
          <w:vertAlign w:val="subscript"/>
        </w:rPr>
        <w:t>4,56</w:t>
      </w:r>
      <w:r>
        <w:rPr>
          <w:rFonts w:ascii="Times New Roman" w:eastAsia="Times New Roman" w:hAnsi="Times New Roman" w:cs="Times New Roman"/>
        </w:rPr>
        <w:t xml:space="preserve"> = 4.46, </w:t>
      </w:r>
      <w:r>
        <w:rPr>
          <w:rFonts w:ascii="Times New Roman" w:eastAsia="Times New Roman" w:hAnsi="Times New Roman" w:cs="Times New Roman"/>
          <w:i/>
        </w:rPr>
        <w:t>p</w:t>
      </w:r>
      <w:r>
        <w:rPr>
          <w:rFonts w:ascii="Times New Roman" w:eastAsia="Times New Roman" w:hAnsi="Times New Roman" w:cs="Times New Roman"/>
        </w:rPr>
        <w:t xml:space="preserve"> &lt; 0.01).</w:t>
      </w:r>
    </w:p>
    <w:p w14:paraId="5A160A5E"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 xml:space="preserve">Decreased coordination between hand upward-downward movement and mouth open-close movement during drinking measured by their coherence (Mixed-design ANOVA, inhibition </w:t>
      </w:r>
      <w:r>
        <w:rPr>
          <w:rFonts w:ascii="Times New Roman" w:eastAsia="Times New Roman" w:hAnsi="Times New Roman" w:cs="Times New Roman"/>
          <w:i/>
        </w:rPr>
        <w:t>F</w:t>
      </w:r>
      <w:r>
        <w:rPr>
          <w:rFonts w:ascii="Times New Roman" w:eastAsia="Times New Roman" w:hAnsi="Times New Roman" w:cs="Times New Roman"/>
          <w:vertAlign w:val="subscript"/>
        </w:rPr>
        <w:t>1,494</w:t>
      </w:r>
      <w:r>
        <w:rPr>
          <w:rFonts w:ascii="Times New Roman" w:eastAsia="Times New Roman" w:hAnsi="Times New Roman" w:cs="Times New Roman"/>
        </w:rPr>
        <w:t xml:space="preserve"> = 12.96, **</w:t>
      </w:r>
      <w:r>
        <w:rPr>
          <w:rFonts w:ascii="Times New Roman" w:eastAsia="Times New Roman" w:hAnsi="Times New Roman" w:cs="Times New Roman"/>
          <w:i/>
        </w:rPr>
        <w:t>p</w:t>
      </w:r>
      <w:r>
        <w:rPr>
          <w:rFonts w:ascii="Times New Roman" w:eastAsia="Times New Roman" w:hAnsi="Times New Roman" w:cs="Times New Roman"/>
        </w:rPr>
        <w:t xml:space="preserve"> &lt; 0.01).</w:t>
      </w:r>
    </w:p>
    <w:p w14:paraId="1A988D92"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Cortical, striatal, and thalamic projections from different MOs-c PN types. IT neurons show projection to the contralateral cortex and no projection to thalamus. Note the rare projection of IT</w:t>
      </w:r>
      <w:r>
        <w:rPr>
          <w:rFonts w:ascii="Times New Roman" w:eastAsia="Times New Roman" w:hAnsi="Times New Roman" w:cs="Times New Roman"/>
          <w:vertAlign w:val="superscript"/>
        </w:rPr>
        <w:t>Cux1</w:t>
      </w:r>
      <w:r>
        <w:rPr>
          <w:rFonts w:ascii="Times New Roman" w:eastAsia="Times New Roman" w:hAnsi="Times New Roman" w:cs="Times New Roman"/>
        </w:rPr>
        <w:t xml:space="preserve"> to striatum as compared with that of IT</w:t>
      </w:r>
      <w:r>
        <w:rPr>
          <w:rFonts w:ascii="Times New Roman" w:eastAsia="Times New Roman" w:hAnsi="Times New Roman" w:cs="Times New Roman"/>
          <w:vertAlign w:val="superscript"/>
        </w:rPr>
        <w:t>PlxnD1</w:t>
      </w:r>
      <w:r>
        <w:rPr>
          <w:rFonts w:ascii="Times New Roman" w:eastAsia="Times New Roman" w:hAnsi="Times New Roman" w:cs="Times New Roman"/>
        </w:rPr>
        <w:t>. PT</w:t>
      </w:r>
      <w:r>
        <w:rPr>
          <w:rFonts w:ascii="Times New Roman" w:eastAsia="Times New Roman" w:hAnsi="Times New Roman" w:cs="Times New Roman"/>
          <w:vertAlign w:val="superscript"/>
        </w:rPr>
        <w:t>Fezf2</w:t>
      </w:r>
      <w:r>
        <w:rPr>
          <w:rFonts w:ascii="Times New Roman" w:eastAsia="Times New Roman" w:hAnsi="Times New Roman" w:cs="Times New Roman"/>
        </w:rPr>
        <w:t xml:space="preserve"> and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both project to thalamus. Scale, 1 mm.</w:t>
      </w:r>
    </w:p>
    <w:p w14:paraId="697BD036"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Effect on reach, withdraw, and consumption upon prolonged IT inhibition (</w:t>
      </w:r>
      <w:r>
        <w:rPr>
          <w:rFonts w:ascii="Times New Roman" w:eastAsia="Times New Roman" w:hAnsi="Times New Roman" w:cs="Times New Roman"/>
          <w:i/>
        </w:rPr>
        <w:t>n</w:t>
      </w:r>
      <w:r>
        <w:rPr>
          <w:rFonts w:ascii="Times New Roman" w:eastAsia="Times New Roman" w:hAnsi="Times New Roman" w:cs="Times New Roman"/>
        </w:rPr>
        <w:t xml:space="preserve"> = 8 sessions from 6 IT</w:t>
      </w:r>
      <w:r>
        <w:rPr>
          <w:rFonts w:ascii="Times New Roman" w:eastAsia="Times New Roman" w:hAnsi="Times New Roman" w:cs="Times New Roman"/>
          <w:vertAlign w:val="superscript"/>
        </w:rPr>
        <w:t>Cux1</w:t>
      </w:r>
      <w:r>
        <w:rPr>
          <w:rFonts w:ascii="Times New Roman" w:eastAsia="Times New Roman" w:hAnsi="Times New Roman" w:cs="Times New Roman"/>
        </w:rPr>
        <w:t xml:space="preserve"> mice and 12 sessions from 7 IT</w:t>
      </w:r>
      <w:r>
        <w:rPr>
          <w:rFonts w:ascii="Times New Roman" w:eastAsia="Times New Roman" w:hAnsi="Times New Roman" w:cs="Times New Roman"/>
          <w:vertAlign w:val="superscript"/>
        </w:rPr>
        <w:t>PlxnD1</w:t>
      </w:r>
      <w:r>
        <w:rPr>
          <w:rFonts w:ascii="Times New Roman" w:eastAsia="Times New Roman" w:hAnsi="Times New Roman" w:cs="Times New Roman"/>
        </w:rPr>
        <w:t xml:space="preserve"> mice. Reach: mixed-design ANOVA; IT</w:t>
      </w:r>
      <w:r>
        <w:rPr>
          <w:rFonts w:ascii="Times New Roman" w:eastAsia="Times New Roman" w:hAnsi="Times New Roman" w:cs="Times New Roman"/>
          <w:vertAlign w:val="superscript"/>
        </w:rPr>
        <w:t>Cux1</w:t>
      </w:r>
      <w:r>
        <w:rPr>
          <w:rFonts w:ascii="Times New Roman" w:eastAsia="Times New Roman" w:hAnsi="Times New Roman" w:cs="Times New Roman"/>
        </w:rPr>
        <w:t xml:space="preserve"> </w:t>
      </w:r>
      <w:r>
        <w:rPr>
          <w:rFonts w:ascii="Times New Roman" w:eastAsia="Times New Roman" w:hAnsi="Times New Roman" w:cs="Times New Roman"/>
          <w:i/>
        </w:rPr>
        <w:t>F</w:t>
      </w:r>
      <w:r>
        <w:rPr>
          <w:rFonts w:ascii="Times New Roman" w:eastAsia="Times New Roman" w:hAnsi="Times New Roman" w:cs="Times New Roman"/>
          <w:vertAlign w:val="subscript"/>
        </w:rPr>
        <w:t>1,28</w:t>
      </w:r>
      <w:r>
        <w:rPr>
          <w:rFonts w:ascii="Times New Roman" w:eastAsia="Times New Roman" w:hAnsi="Times New Roman" w:cs="Times New Roman"/>
        </w:rPr>
        <w:t xml:space="preserve"> = 0.06, </w:t>
      </w:r>
      <w:r>
        <w:rPr>
          <w:rFonts w:ascii="Times New Roman" w:eastAsia="Times New Roman" w:hAnsi="Times New Roman" w:cs="Times New Roman"/>
          <w:i/>
        </w:rPr>
        <w:t>p</w:t>
      </w:r>
      <w:r>
        <w:rPr>
          <w:rFonts w:ascii="Times New Roman" w:eastAsia="Times New Roman" w:hAnsi="Times New Roman" w:cs="Times New Roman"/>
        </w:rPr>
        <w:t xml:space="preserve"> = 0.81; IT</w:t>
      </w:r>
      <w:r>
        <w:rPr>
          <w:rFonts w:ascii="Times New Roman" w:eastAsia="Times New Roman" w:hAnsi="Times New Roman" w:cs="Times New Roman"/>
          <w:vertAlign w:val="superscript"/>
        </w:rPr>
        <w:t>PlxnD1</w:t>
      </w:r>
      <w:r>
        <w:rPr>
          <w:rFonts w:ascii="Times New Roman" w:eastAsia="Times New Roman" w:hAnsi="Times New Roman" w:cs="Times New Roman"/>
        </w:rPr>
        <w:t xml:space="preserve"> </w:t>
      </w:r>
      <w:r>
        <w:rPr>
          <w:rFonts w:ascii="Times New Roman" w:eastAsia="Times New Roman" w:hAnsi="Times New Roman" w:cs="Times New Roman"/>
          <w:i/>
        </w:rPr>
        <w:t>F</w:t>
      </w:r>
      <w:r>
        <w:rPr>
          <w:rFonts w:ascii="Times New Roman" w:eastAsia="Times New Roman" w:hAnsi="Times New Roman" w:cs="Times New Roman"/>
          <w:vertAlign w:val="subscript"/>
        </w:rPr>
        <w:t>1,44</w:t>
      </w:r>
      <w:r>
        <w:rPr>
          <w:rFonts w:ascii="Times New Roman" w:eastAsia="Times New Roman" w:hAnsi="Times New Roman" w:cs="Times New Roman"/>
          <w:i/>
          <w:vertAlign w:val="subscript"/>
        </w:rPr>
        <w:t xml:space="preserve"> </w:t>
      </w:r>
      <w:r>
        <w:rPr>
          <w:rFonts w:ascii="Times New Roman" w:eastAsia="Times New Roman" w:hAnsi="Times New Roman" w:cs="Times New Roman"/>
        </w:rPr>
        <w:t xml:space="preserve">= 1.2, </w:t>
      </w:r>
      <w:r>
        <w:rPr>
          <w:rFonts w:ascii="Times New Roman" w:eastAsia="Times New Roman" w:hAnsi="Times New Roman" w:cs="Times New Roman"/>
          <w:i/>
        </w:rPr>
        <w:t>p</w:t>
      </w:r>
      <w:r>
        <w:rPr>
          <w:rFonts w:ascii="Times New Roman" w:eastAsia="Times New Roman" w:hAnsi="Times New Roman" w:cs="Times New Roman"/>
        </w:rPr>
        <w:t xml:space="preserve"> = 0.30. Boxplots for supination probability after waterspout contact, premature lick and variance of hand position upon licks: Wilcoxon rank sum test. Plots for hand rotation upon licks: two-sample KS test)</w:t>
      </w:r>
    </w:p>
    <w:p w14:paraId="4DEF8DF8" w14:textId="77777777" w:rsidR="00542B66" w:rsidRDefault="00542B66" w:rsidP="00542B66">
      <w:pPr>
        <w:widowControl w:val="0"/>
        <w:spacing w:before="240"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 </w:t>
      </w:r>
    </w:p>
    <w:p w14:paraId="7A264193"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S5. Electrophysiological recording from MOs-c during RWD. Related to Fig 4.</w:t>
      </w:r>
    </w:p>
    <w:p w14:paraId="28AEA67B"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a.</w:t>
      </w:r>
      <w:r>
        <w:rPr>
          <w:rFonts w:ascii="Times New Roman" w:eastAsia="Times New Roman" w:hAnsi="Times New Roman" w:cs="Times New Roman"/>
          <w:sz w:val="14"/>
          <w:szCs w:val="14"/>
        </w:rPr>
        <w:tab/>
      </w:r>
      <w:r>
        <w:rPr>
          <w:rFonts w:ascii="Times New Roman" w:eastAsia="Times New Roman" w:hAnsi="Times New Roman" w:cs="Times New Roman"/>
        </w:rPr>
        <w:t xml:space="preserve">Action phase encoding in simultaneously recorded individual and population neurons in MOs-c. Raster panels show spikes of individual neurons in relation to actions. Right most panel shows action phase embedding in the latent space of population neural activity </w:t>
      </w:r>
      <w:r>
        <w:rPr>
          <w:rFonts w:ascii="Times New Roman" w:eastAsia="Times New Roman" w:hAnsi="Times New Roman" w:cs="Times New Roman"/>
        </w:rPr>
        <w:lastRenderedPageBreak/>
        <w:t>revealed by supervised CEBRA model in an example session (</w:t>
      </w:r>
      <w:r>
        <w:rPr>
          <w:rFonts w:ascii="Times New Roman" w:eastAsia="Times New Roman" w:hAnsi="Times New Roman" w:cs="Times New Roman"/>
          <w:i/>
        </w:rPr>
        <w:t>n</w:t>
      </w:r>
      <w:r>
        <w:rPr>
          <w:rFonts w:ascii="Times New Roman" w:eastAsia="Times New Roman" w:hAnsi="Times New Roman" w:cs="Times New Roman"/>
        </w:rPr>
        <w:t xml:space="preserve"> = 108 neurons). Each dot represents a time point (1/240 s). Superimposed colors indicate different action phases.</w:t>
      </w:r>
    </w:p>
    <w:p w14:paraId="4F357CBF"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Neuronal activity at different cortical depths relative to hand lift (0) from an exemplar session.</w:t>
      </w:r>
    </w:p>
    <w:p w14:paraId="51FF90D7"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Fraction of activated neurons that peaked at different action phases during RWD.</w:t>
      </w:r>
    </w:p>
    <w:p w14:paraId="54645FB2"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 xml:space="preserve">Increase of movement encoding as the neural depth increases. </w:t>
      </w:r>
      <w:r>
        <w:rPr>
          <w:rFonts w:ascii="Times New Roman" w:eastAsia="Times New Roman" w:hAnsi="Times New Roman" w:cs="Times New Roman"/>
          <w:i/>
        </w:rPr>
        <w:t>R</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 0.157, </w:t>
      </w:r>
      <w:r>
        <w:rPr>
          <w:rFonts w:ascii="Times New Roman" w:eastAsia="Times New Roman" w:hAnsi="Times New Roman" w:cs="Times New Roman"/>
          <w:i/>
        </w:rPr>
        <w:t>p</w:t>
      </w:r>
      <w:r>
        <w:rPr>
          <w:rFonts w:ascii="Times New Roman" w:eastAsia="Times New Roman" w:hAnsi="Times New Roman" w:cs="Times New Roman"/>
        </w:rPr>
        <w:t xml:space="preserve"> = 9.73</w:t>
      </w:r>
      <w:r>
        <w:rPr>
          <w:rFonts w:ascii="Times New Roman" w:eastAsia="Times New Roman" w:hAnsi="Times New Roman" w:cs="Times New Roman"/>
          <w:color w:val="222222"/>
          <w:highlight w:val="white"/>
        </w:rPr>
        <w:t>×</w:t>
      </w:r>
      <w:r>
        <w:rPr>
          <w:rFonts w:ascii="Times New Roman" w:eastAsia="Times New Roman" w:hAnsi="Times New Roman" w:cs="Times New Roman"/>
          <w:color w:val="2E2E2E"/>
        </w:rPr>
        <w:t>10</w:t>
      </w:r>
      <w:r>
        <w:rPr>
          <w:rFonts w:ascii="Times New Roman" w:eastAsia="Times New Roman" w:hAnsi="Times New Roman" w:cs="Times New Roman"/>
          <w:vertAlign w:val="superscript"/>
        </w:rPr>
        <w:t>-44</w:t>
      </w:r>
      <w:r>
        <w:rPr>
          <w:rFonts w:ascii="Times New Roman" w:eastAsia="Times New Roman" w:hAnsi="Times New Roman" w:cs="Times New Roman"/>
        </w:rPr>
        <w:t>. Movement encoding of individual neurons was represented by the deviance explained by a Poisson-GLM. See Methods.</w:t>
      </w:r>
    </w:p>
    <w:p w14:paraId="29B8167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 xml:space="preserve">Increase of peak activity as neural depth increases. </w:t>
      </w:r>
      <w:r>
        <w:rPr>
          <w:rFonts w:ascii="Times New Roman" w:eastAsia="Times New Roman" w:hAnsi="Times New Roman" w:cs="Times New Roman"/>
          <w:i/>
        </w:rPr>
        <w:t>p</w:t>
      </w:r>
      <w:r>
        <w:rPr>
          <w:rFonts w:ascii="Times New Roman" w:eastAsia="Times New Roman" w:hAnsi="Times New Roman" w:cs="Times New Roman"/>
        </w:rPr>
        <w:t xml:space="preserve"> = 1.48</w:t>
      </w:r>
      <w:r>
        <w:rPr>
          <w:rFonts w:ascii="Times New Roman" w:eastAsia="Times New Roman" w:hAnsi="Times New Roman" w:cs="Times New Roman"/>
          <w:color w:val="222222"/>
          <w:highlight w:val="white"/>
        </w:rPr>
        <w:t>×</w:t>
      </w:r>
      <w:r>
        <w:rPr>
          <w:rFonts w:ascii="Times New Roman" w:eastAsia="Times New Roman" w:hAnsi="Times New Roman" w:cs="Times New Roman"/>
          <w:color w:val="2E2E2E"/>
        </w:rPr>
        <w:t>10</w:t>
      </w:r>
      <w:r>
        <w:rPr>
          <w:rFonts w:ascii="Times New Roman" w:eastAsia="Times New Roman" w:hAnsi="Times New Roman" w:cs="Times New Roman"/>
          <w:color w:val="2E2E2E"/>
          <w:vertAlign w:val="superscript"/>
        </w:rPr>
        <w:t>-20</w:t>
      </w:r>
      <w:r>
        <w:rPr>
          <w:rFonts w:ascii="Times New Roman" w:eastAsia="Times New Roman" w:hAnsi="Times New Roman" w:cs="Times New Roman"/>
        </w:rPr>
        <w:t>.</w:t>
      </w:r>
    </w:p>
    <w:p w14:paraId="1642B52A"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f.</w:t>
      </w:r>
      <w:r>
        <w:rPr>
          <w:rFonts w:ascii="Times New Roman" w:eastAsia="Times New Roman" w:hAnsi="Times New Roman" w:cs="Times New Roman"/>
          <w:sz w:val="14"/>
          <w:szCs w:val="14"/>
        </w:rPr>
        <w:tab/>
      </w:r>
      <w:r>
        <w:rPr>
          <w:rFonts w:ascii="Times New Roman" w:eastAsia="Times New Roman" w:hAnsi="Times New Roman" w:cs="Times New Roman"/>
        </w:rPr>
        <w:t>Correlation between exemplar actual movement time series (gray) and GLM-predicted traces (orange) using simultaneously recorded spiking activity from an exemplar recording session. Movement time series include forward, upward, lateral hand position, and hand position in relation to waterspout or mouth. Spikes were binned in 20 ms bins to predict time series using GLM.</w:t>
      </w:r>
    </w:p>
    <w:p w14:paraId="182CCF3F"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g.</w:t>
      </w:r>
      <w:r>
        <w:rPr>
          <w:rFonts w:ascii="Times New Roman" w:eastAsia="Times New Roman" w:hAnsi="Times New Roman" w:cs="Times New Roman"/>
          <w:sz w:val="14"/>
          <w:szCs w:val="14"/>
        </w:rPr>
        <w:tab/>
      </w:r>
      <w:r>
        <w:rPr>
          <w:rFonts w:ascii="Times New Roman" w:eastAsia="Times New Roman" w:hAnsi="Times New Roman" w:cs="Times New Roman"/>
        </w:rPr>
        <w:t>Population MOs-c activity decodes forelimb movement times series. Note the higher correlation with forelimb movement kinematics (orange) in relation to waterspout or mouth (magenta), but lower correlation with movements of other body parts (blue). Gray boxplots indicate cross-validated performance of the null model as control. (</w:t>
      </w:r>
      <w:r>
        <w:rPr>
          <w:rFonts w:ascii="Times New Roman" w:eastAsia="Times New Roman" w:hAnsi="Times New Roman" w:cs="Times New Roman"/>
          <w:i/>
        </w:rPr>
        <w:t>n</w:t>
      </w:r>
      <w:r>
        <w:rPr>
          <w:rFonts w:ascii="Times New Roman" w:eastAsia="Times New Roman" w:hAnsi="Times New Roman" w:cs="Times New Roman"/>
        </w:rPr>
        <w:t xml:space="preserve"> = 106 sessions)</w:t>
      </w:r>
    </w:p>
    <w:p w14:paraId="0A176634"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h.</w:t>
      </w:r>
      <w:r>
        <w:rPr>
          <w:rFonts w:ascii="Times New Roman" w:eastAsia="Times New Roman" w:hAnsi="Times New Roman" w:cs="Times New Roman"/>
          <w:sz w:val="14"/>
          <w:szCs w:val="14"/>
        </w:rPr>
        <w:tab/>
      </w:r>
      <w:r>
        <w:rPr>
          <w:rFonts w:ascii="Times New Roman" w:eastAsia="Times New Roman" w:hAnsi="Times New Roman" w:cs="Times New Roman"/>
        </w:rPr>
        <w:t>MOs-c activity decodes target locations indicated with cross-validated decoding accuracy of Naïve Bayes classifiers. Unfilled box plots indicate performance of the shuffled model as control. (</w:t>
      </w:r>
      <w:r>
        <w:rPr>
          <w:rFonts w:ascii="Times New Roman" w:eastAsia="Times New Roman" w:hAnsi="Times New Roman" w:cs="Times New Roman"/>
          <w:i/>
        </w:rPr>
        <w:t>n</w:t>
      </w:r>
      <w:r>
        <w:rPr>
          <w:rFonts w:ascii="Times New Roman" w:eastAsia="Times New Roman" w:hAnsi="Times New Roman" w:cs="Times New Roman"/>
        </w:rPr>
        <w:t xml:space="preserve"> = 106 sessions)</w:t>
      </w:r>
    </w:p>
    <w:p w14:paraId="3EB882DA"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 xml:space="preserve"> </w:t>
      </w:r>
    </w:p>
    <w:p w14:paraId="4780B43F"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S6. Optogenetic tagging and PN-type specific behavioral correlates. Related to Fig 4.</w:t>
      </w:r>
    </w:p>
    <w:p w14:paraId="2F8FA091"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a.</w:t>
      </w:r>
      <w:r>
        <w:rPr>
          <w:rFonts w:ascii="Times New Roman" w:eastAsia="Times New Roman" w:hAnsi="Times New Roman" w:cs="Times New Roman"/>
          <w:sz w:val="14"/>
          <w:szCs w:val="14"/>
        </w:rPr>
        <w:tab/>
      </w:r>
      <w:r>
        <w:rPr>
          <w:rFonts w:ascii="Times New Roman" w:eastAsia="Times New Roman" w:hAnsi="Times New Roman" w:cs="Times New Roman"/>
        </w:rPr>
        <w:t>Light-evoked spiking activity of all tagged PNs. The vertical dashed line indicates light pulse (blue bar) onset. (</w:t>
      </w:r>
      <w:r>
        <w:rPr>
          <w:rFonts w:ascii="Times New Roman" w:eastAsia="Times New Roman" w:hAnsi="Times New Roman" w:cs="Times New Roman"/>
          <w:i/>
        </w:rPr>
        <w:t>n</w:t>
      </w:r>
      <w:r>
        <w:rPr>
          <w:rFonts w:ascii="Times New Roman" w:eastAsia="Times New Roman" w:hAnsi="Times New Roman" w:cs="Times New Roman"/>
        </w:rPr>
        <w:t xml:space="preserve"> = 26 IT</w:t>
      </w:r>
      <w:r>
        <w:rPr>
          <w:rFonts w:ascii="Times New Roman" w:eastAsia="Times New Roman" w:hAnsi="Times New Roman" w:cs="Times New Roman"/>
          <w:vertAlign w:val="superscript"/>
        </w:rPr>
        <w:t>Cux1</w:t>
      </w:r>
      <w:r>
        <w:rPr>
          <w:rFonts w:ascii="Times New Roman" w:eastAsia="Times New Roman" w:hAnsi="Times New Roman" w:cs="Times New Roman"/>
        </w:rPr>
        <w:t>, 16 IT</w:t>
      </w:r>
      <w:r>
        <w:rPr>
          <w:rFonts w:ascii="Times New Roman" w:eastAsia="Times New Roman" w:hAnsi="Times New Roman" w:cs="Times New Roman"/>
          <w:vertAlign w:val="superscript"/>
        </w:rPr>
        <w:t>PlxnD1</w:t>
      </w:r>
      <w:r>
        <w:rPr>
          <w:rFonts w:ascii="Times New Roman" w:eastAsia="Times New Roman" w:hAnsi="Times New Roman" w:cs="Times New Roman"/>
        </w:rPr>
        <w:t>, 50 PT</w:t>
      </w:r>
      <w:r>
        <w:rPr>
          <w:rFonts w:ascii="Times New Roman" w:eastAsia="Times New Roman" w:hAnsi="Times New Roman" w:cs="Times New Roman"/>
          <w:vertAlign w:val="superscript"/>
        </w:rPr>
        <w:t>Fezf2</w:t>
      </w:r>
      <w:r>
        <w:rPr>
          <w:rFonts w:ascii="Times New Roman" w:eastAsia="Times New Roman" w:hAnsi="Times New Roman" w:cs="Times New Roman"/>
        </w:rPr>
        <w:t>, and 40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neurons) </w:t>
      </w:r>
    </w:p>
    <w:p w14:paraId="340F9FB0"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Average light-evoked activity of all tagged neurons across different neuron types. The delayed modulation after immediate activity upon light pulses suggests a recurrent connection in PT</w:t>
      </w:r>
      <w:r>
        <w:rPr>
          <w:rFonts w:ascii="Times New Roman" w:eastAsia="Times New Roman" w:hAnsi="Times New Roman" w:cs="Times New Roman"/>
          <w:vertAlign w:val="superscript"/>
        </w:rPr>
        <w:t>Fezf2</w:t>
      </w:r>
      <w:r>
        <w:rPr>
          <w:rFonts w:ascii="Times New Roman" w:eastAsia="Times New Roman" w:hAnsi="Times New Roman" w:cs="Times New Roman"/>
        </w:rPr>
        <w:t>. Horizontal dashed lines are 0 reference.</w:t>
      </w:r>
    </w:p>
    <w:p w14:paraId="566DE194"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 xml:space="preserve">Boxplots of reliability, jitter, and latency of light-evoked spikes of different PN types. </w:t>
      </w:r>
    </w:p>
    <w:p w14:paraId="5073BEE9"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Activity tuning by target location from example IT</w:t>
      </w:r>
      <w:r>
        <w:rPr>
          <w:rFonts w:ascii="Times New Roman" w:eastAsia="Times New Roman" w:hAnsi="Times New Roman" w:cs="Times New Roman"/>
          <w:vertAlign w:val="superscript"/>
        </w:rPr>
        <w:t>Cux1</w:t>
      </w:r>
      <w:r>
        <w:rPr>
          <w:rFonts w:ascii="Times New Roman" w:eastAsia="Times New Roman" w:hAnsi="Times New Roman" w:cs="Times New Roman"/>
        </w:rPr>
        <w:t>, IT</w:t>
      </w:r>
      <w:r>
        <w:rPr>
          <w:rFonts w:ascii="Times New Roman" w:eastAsia="Times New Roman" w:hAnsi="Times New Roman" w:cs="Times New Roman"/>
          <w:vertAlign w:val="superscript"/>
        </w:rPr>
        <w:t>PlxnD1</w:t>
      </w:r>
      <w:r>
        <w:rPr>
          <w:rFonts w:ascii="Times New Roman" w:eastAsia="Times New Roman" w:hAnsi="Times New Roman" w:cs="Times New Roman"/>
        </w:rPr>
        <w:t>, PT</w:t>
      </w:r>
      <w:r>
        <w:rPr>
          <w:rFonts w:ascii="Times New Roman" w:eastAsia="Times New Roman" w:hAnsi="Times New Roman" w:cs="Times New Roman"/>
          <w:vertAlign w:val="superscript"/>
        </w:rPr>
        <w:t>Fezf2</w:t>
      </w:r>
      <w:r>
        <w:rPr>
          <w:rFonts w:ascii="Times New Roman" w:eastAsia="Times New Roman" w:hAnsi="Times New Roman" w:cs="Times New Roman"/>
        </w:rPr>
        <w:t>, and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neurons. Vertical dashed lines: advance endpoint.</w:t>
      </w:r>
    </w:p>
    <w:p w14:paraId="036FC9D0"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Waterspout target modulation index of distinct PN types across different action phases.</w:t>
      </w:r>
    </w:p>
    <w:p w14:paraId="729DE9E1"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f.</w:t>
      </w:r>
      <w:r>
        <w:rPr>
          <w:rFonts w:ascii="Times New Roman" w:eastAsia="Times New Roman" w:hAnsi="Times New Roman" w:cs="Times New Roman"/>
          <w:sz w:val="14"/>
          <w:szCs w:val="14"/>
        </w:rPr>
        <w:tab/>
      </w:r>
      <w:r>
        <w:rPr>
          <w:rFonts w:ascii="Times New Roman" w:eastAsia="Times New Roman" w:hAnsi="Times New Roman" w:cs="Times New Roman"/>
        </w:rPr>
        <w:t>Average population neural trajectories along the first two principal dimensions for IT</w:t>
      </w:r>
      <w:r>
        <w:rPr>
          <w:rFonts w:ascii="Times New Roman" w:eastAsia="Times New Roman" w:hAnsi="Times New Roman" w:cs="Times New Roman"/>
          <w:vertAlign w:val="superscript"/>
        </w:rPr>
        <w:t>Cux1</w:t>
      </w:r>
      <w:r>
        <w:rPr>
          <w:rFonts w:ascii="Times New Roman" w:eastAsia="Times New Roman" w:hAnsi="Times New Roman" w:cs="Times New Roman"/>
        </w:rPr>
        <w:t xml:space="preserve"> and IT</w:t>
      </w:r>
      <w:r>
        <w:rPr>
          <w:rFonts w:ascii="Times New Roman" w:eastAsia="Times New Roman" w:hAnsi="Times New Roman" w:cs="Times New Roman"/>
          <w:vertAlign w:val="superscript"/>
        </w:rPr>
        <w:t>PlxnD1</w:t>
      </w:r>
      <w:r>
        <w:rPr>
          <w:rFonts w:ascii="Times New Roman" w:eastAsia="Times New Roman" w:hAnsi="Times New Roman" w:cs="Times New Roman"/>
        </w:rPr>
        <w:t>.</w:t>
      </w:r>
    </w:p>
    <w:p w14:paraId="2F225B3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 </w:t>
      </w:r>
    </w:p>
    <w:p w14:paraId="54123E32"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S7. Anatomical connections of MOs-c CT</w:t>
      </w:r>
      <w:r>
        <w:rPr>
          <w:rFonts w:ascii="Times New Roman" w:eastAsia="Times New Roman" w:hAnsi="Times New Roman" w:cs="Times New Roman"/>
          <w:b/>
          <w:vertAlign w:val="superscript"/>
        </w:rPr>
        <w:t>Tle4</w:t>
      </w:r>
      <w:r>
        <w:rPr>
          <w:rFonts w:ascii="Times New Roman" w:eastAsia="Times New Roman" w:hAnsi="Times New Roman" w:cs="Times New Roman"/>
          <w:b/>
        </w:rPr>
        <w:t>. Related to Fig 5.</w:t>
      </w:r>
    </w:p>
    <w:p w14:paraId="5AE8EF9C"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a.</w:t>
      </w:r>
      <w:r>
        <w:rPr>
          <w:rFonts w:ascii="Times New Roman" w:eastAsia="Times New Roman" w:hAnsi="Times New Roman" w:cs="Times New Roman"/>
          <w:sz w:val="14"/>
          <w:szCs w:val="14"/>
        </w:rPr>
        <w:tab/>
      </w:r>
      <w:r>
        <w:rPr>
          <w:rFonts w:ascii="Times New Roman" w:eastAsia="Times New Roman" w:hAnsi="Times New Roman" w:cs="Times New Roman"/>
        </w:rPr>
        <w:t>Comparison of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neurons (yellow) and pons-projecting PT neurons (magenta) in MOs-c. Only 8/144 red neurons show green fluorescence. Arrows indicate PT neurons.</w:t>
      </w:r>
    </w:p>
    <w:p w14:paraId="353D1FA5"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Coronal brain sections show MOs-c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neurons (green) project axons exclusively to thalamus without terminals in midbrain or pons, while pons-projecting PT neurons (red) </w:t>
      </w:r>
      <w:r>
        <w:rPr>
          <w:rFonts w:ascii="Times New Roman" w:eastAsia="Times New Roman" w:hAnsi="Times New Roman" w:cs="Times New Roman"/>
        </w:rPr>
        <w:lastRenderedPageBreak/>
        <w:t>branches in brainstem with few terminals in thalamus.</w:t>
      </w:r>
    </w:p>
    <w:p w14:paraId="04F3CCF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Left, schematic for mono-synaptic input mapping of MOs-c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neurons with rabies tracing (RV). D, Day. The right two panels indicate the EGFP-expressing (yellow) and RV-expressing (magenta) neurons in the MOs-c injection site. Tle4 starters are labeled by both colors (white). Cyan, Nissl stain.</w:t>
      </w:r>
    </w:p>
    <w:p w14:paraId="180AF946"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Coronal brain sections show presynaptic partners of MOs-c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in orbital frontal cortex (ORBl), sensorimotor cortex (MOp, SSp, SSs), thalamus (VAL, VM, PF, AV) and midbrain (PPN).</w:t>
      </w:r>
    </w:p>
    <w:p w14:paraId="7809A83A"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Combined retrograde (from MOs-c) and anterograde (from thalamus) tracing (schematic) revealed the recurrent connections between MOs-c and VAL/VM. A mix of AAV with Flp recombinase (</w:t>
      </w:r>
      <w:r>
        <w:rPr>
          <w:rFonts w:ascii="Times New Roman" w:eastAsia="Times New Roman" w:hAnsi="Times New Roman" w:cs="Times New Roman"/>
          <w:i/>
        </w:rPr>
        <w:t>AAV-retro-Flp</w:t>
      </w:r>
      <w:r>
        <w:rPr>
          <w:rFonts w:ascii="Times New Roman" w:eastAsia="Times New Roman" w:hAnsi="Times New Roman" w:cs="Times New Roman"/>
        </w:rPr>
        <w:t>) and Cre recombinase dependent GFP (</w:t>
      </w:r>
      <w:r>
        <w:rPr>
          <w:rFonts w:ascii="Times New Roman" w:eastAsia="Times New Roman" w:hAnsi="Times New Roman" w:cs="Times New Roman"/>
          <w:i/>
        </w:rPr>
        <w:t>AAV-DIO-EGFP</w:t>
      </w:r>
      <w:r>
        <w:rPr>
          <w:rFonts w:ascii="Times New Roman" w:eastAsia="Times New Roman" w:hAnsi="Times New Roman" w:cs="Times New Roman"/>
        </w:rPr>
        <w:t xml:space="preserve">) is injected into the MOs-c of </w:t>
      </w:r>
      <w:r>
        <w:rPr>
          <w:rFonts w:ascii="Times New Roman" w:eastAsia="Times New Roman" w:hAnsi="Times New Roman" w:cs="Times New Roman"/>
          <w:i/>
        </w:rPr>
        <w:t>Tle4-CreER</w:t>
      </w:r>
      <w:r>
        <w:rPr>
          <w:rFonts w:ascii="Times New Roman" w:eastAsia="Times New Roman" w:hAnsi="Times New Roman" w:cs="Times New Roman"/>
        </w:rPr>
        <w:t xml:space="preserve"> mice. Flp dependent mCherry (</w:t>
      </w:r>
      <w:r>
        <w:rPr>
          <w:rFonts w:ascii="Times New Roman" w:eastAsia="Times New Roman" w:hAnsi="Times New Roman" w:cs="Times New Roman"/>
          <w:i/>
        </w:rPr>
        <w:t>AAV-fDIO-mCherry</w:t>
      </w:r>
      <w:r>
        <w:rPr>
          <w:rFonts w:ascii="Times New Roman" w:eastAsia="Times New Roman" w:hAnsi="Times New Roman" w:cs="Times New Roman"/>
        </w:rPr>
        <w:t>) is injected into the thalamus to express in TPN</w:t>
      </w:r>
      <w:r>
        <w:rPr>
          <w:rFonts w:ascii="Times New Roman" w:eastAsia="Times New Roman" w:hAnsi="Times New Roman" w:cs="Times New Roman"/>
          <w:vertAlign w:val="superscript"/>
        </w:rPr>
        <w:t>MOs-c</w:t>
      </w:r>
      <w:r>
        <w:rPr>
          <w:rFonts w:ascii="Times New Roman" w:eastAsia="Times New Roman" w:hAnsi="Times New Roman" w:cs="Times New Roman"/>
        </w:rPr>
        <w:t>. MOs-projecting TPNs also send branches to MOp and SSp-ul.</w:t>
      </w:r>
    </w:p>
    <w:p w14:paraId="2587A2F2"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 </w:t>
      </w:r>
    </w:p>
    <w:p w14:paraId="5F82EAB7" w14:textId="77777777" w:rsidR="00542B66" w:rsidRDefault="00542B66" w:rsidP="00542B66">
      <w:pPr>
        <w:widowControl w:val="0"/>
        <w:spacing w:line="276" w:lineRule="auto"/>
        <w:ind w:left="426" w:hanging="426"/>
        <w:rPr>
          <w:rFonts w:ascii="Times New Roman" w:eastAsia="Times New Roman" w:hAnsi="Times New Roman" w:cs="Times New Roman"/>
          <w:b/>
        </w:rPr>
      </w:pPr>
      <w:r>
        <w:rPr>
          <w:rFonts w:ascii="Times New Roman" w:eastAsia="Times New Roman" w:hAnsi="Times New Roman" w:cs="Times New Roman"/>
          <w:b/>
        </w:rPr>
        <w:t>Fig S8. MOs-c CT</w:t>
      </w:r>
      <w:r>
        <w:rPr>
          <w:rFonts w:ascii="Times New Roman" w:eastAsia="Times New Roman" w:hAnsi="Times New Roman" w:cs="Times New Roman"/>
          <w:b/>
          <w:vertAlign w:val="superscript"/>
        </w:rPr>
        <w:t>Tle4</w:t>
      </w:r>
      <w:r>
        <w:rPr>
          <w:rFonts w:ascii="Times New Roman" w:eastAsia="Times New Roman" w:hAnsi="Times New Roman" w:cs="Times New Roman"/>
        </w:rPr>
        <w:t xml:space="preserve"> </w:t>
      </w:r>
      <w:r>
        <w:rPr>
          <w:rFonts w:ascii="Times New Roman" w:eastAsia="Times New Roman" w:hAnsi="Times New Roman" w:cs="Times New Roman"/>
          <w:b/>
        </w:rPr>
        <w:t>modulates thalamic dynamics. Related to Fig 6.</w:t>
      </w:r>
    </w:p>
    <w:p w14:paraId="3C734F4A"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a.</w:t>
      </w:r>
      <w:r>
        <w:rPr>
          <w:rFonts w:ascii="Times New Roman" w:eastAsia="Times New Roman" w:hAnsi="Times New Roman" w:cs="Times New Roman"/>
          <w:sz w:val="14"/>
          <w:szCs w:val="14"/>
        </w:rPr>
        <w:tab/>
      </w:r>
      <w:r>
        <w:rPr>
          <w:rFonts w:ascii="Times New Roman" w:eastAsia="Times New Roman" w:hAnsi="Times New Roman" w:cs="Times New Roman"/>
        </w:rPr>
        <w:t>Optogenetic tagging of postsynaptic neurons of MOs-c CT</w:t>
      </w:r>
      <w:r>
        <w:rPr>
          <w:rFonts w:ascii="Times New Roman" w:eastAsia="Times New Roman" w:hAnsi="Times New Roman" w:cs="Times New Roman"/>
          <w:vertAlign w:val="superscript"/>
        </w:rPr>
        <w:t>Tle4</w:t>
      </w:r>
      <w:r>
        <w:rPr>
          <w:rFonts w:ascii="Times New Roman" w:eastAsia="Times New Roman" w:hAnsi="Times New Roman" w:cs="Times New Roman"/>
        </w:rPr>
        <w:t xml:space="preserve"> in thalamus.</w:t>
      </w:r>
    </w:p>
    <w:p w14:paraId="2EB5976F"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sz w:val="14"/>
          <w:szCs w:val="14"/>
        </w:rPr>
        <w:tab/>
      </w:r>
      <w:r>
        <w:rPr>
          <w:rFonts w:ascii="Times New Roman" w:eastAsia="Times New Roman" w:hAnsi="Times New Roman" w:cs="Times New Roman"/>
        </w:rPr>
        <w:t>Left, light-evoked PETH (top) and raster (bottom) activity of a MOs-c CT</w:t>
      </w:r>
      <w:r>
        <w:rPr>
          <w:rFonts w:ascii="Times New Roman" w:eastAsia="Times New Roman" w:hAnsi="Times New Roman" w:cs="Times New Roman"/>
          <w:vertAlign w:val="superscript"/>
        </w:rPr>
        <w:t xml:space="preserve">Tle4 </w:t>
      </w:r>
      <w:r>
        <w:rPr>
          <w:rFonts w:ascii="Times New Roman" w:eastAsia="Times New Roman" w:hAnsi="Times New Roman" w:cs="Times New Roman"/>
        </w:rPr>
        <w:t>postsynaptic neuron in thalamus (TPN</w:t>
      </w:r>
      <w:r>
        <w:rPr>
          <w:rFonts w:ascii="Times New Roman" w:eastAsia="Times New Roman" w:hAnsi="Times New Roman" w:cs="Times New Roman"/>
          <w:vertAlign w:val="superscript"/>
        </w:rPr>
        <w:t>CT-post</w:t>
      </w:r>
      <w:r>
        <w:rPr>
          <w:rFonts w:ascii="Times New Roman" w:eastAsia="Times New Roman" w:hAnsi="Times New Roman" w:cs="Times New Roman"/>
        </w:rPr>
        <w:t>). Right, light response of 92 identified TPN</w:t>
      </w:r>
      <w:r>
        <w:rPr>
          <w:rFonts w:ascii="Times New Roman" w:eastAsia="Times New Roman" w:hAnsi="Times New Roman" w:cs="Times New Roman"/>
          <w:vertAlign w:val="superscript"/>
        </w:rPr>
        <w:t>CT-post</w:t>
      </w:r>
      <w:r>
        <w:rPr>
          <w:rFonts w:ascii="Times New Roman" w:eastAsia="Times New Roman" w:hAnsi="Times New Roman" w:cs="Times New Roman"/>
        </w:rPr>
        <w:t xml:space="preserve"> (blue)</w:t>
      </w:r>
      <w:r>
        <w:rPr>
          <w:rFonts w:ascii="Times New Roman" w:eastAsia="Times New Roman" w:hAnsi="Times New Roman" w:cs="Times New Roman"/>
          <w:vertAlign w:val="superscript"/>
        </w:rPr>
        <w:t xml:space="preserve"> </w:t>
      </w:r>
      <w:r>
        <w:rPr>
          <w:rFonts w:ascii="Times New Roman" w:eastAsia="Times New Roman" w:hAnsi="Times New Roman" w:cs="Times New Roman"/>
        </w:rPr>
        <w:t>compared with 210 not significantly modulated (gray).</w:t>
      </w:r>
    </w:p>
    <w:p w14:paraId="077F571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c.</w:t>
      </w:r>
      <w:r>
        <w:rPr>
          <w:rFonts w:ascii="Times New Roman" w:eastAsia="Times New Roman" w:hAnsi="Times New Roman" w:cs="Times New Roman"/>
          <w:sz w:val="14"/>
          <w:szCs w:val="14"/>
        </w:rPr>
        <w:tab/>
      </w:r>
      <w:r>
        <w:rPr>
          <w:rFonts w:ascii="Times New Roman" w:eastAsia="Times New Roman" w:hAnsi="Times New Roman" w:cs="Times New Roman"/>
        </w:rPr>
        <w:t>Light-evoked spiking reliability and latency of all thalamic neurons. The same set of neurons were used for the following panels.  (</w:t>
      </w:r>
      <w:r>
        <w:rPr>
          <w:rFonts w:ascii="Times New Roman" w:eastAsia="Times New Roman" w:hAnsi="Times New Roman" w:cs="Times New Roman"/>
          <w:i/>
        </w:rPr>
        <w:t>n</w:t>
      </w:r>
      <w:r>
        <w:rPr>
          <w:rFonts w:ascii="Times New Roman" w:eastAsia="Times New Roman" w:hAnsi="Times New Roman" w:cs="Times New Roman"/>
        </w:rPr>
        <w:t xml:space="preserve"> = 92 TPN</w:t>
      </w:r>
      <w:r>
        <w:rPr>
          <w:rFonts w:ascii="Times New Roman" w:eastAsia="Times New Roman" w:hAnsi="Times New Roman" w:cs="Times New Roman"/>
          <w:vertAlign w:val="superscript"/>
        </w:rPr>
        <w:t>CT-post</w:t>
      </w:r>
      <w:r>
        <w:rPr>
          <w:rFonts w:ascii="Times New Roman" w:eastAsia="Times New Roman" w:hAnsi="Times New Roman" w:cs="Times New Roman"/>
        </w:rPr>
        <w:t xml:space="preserve"> and 210 control)</w:t>
      </w:r>
    </w:p>
    <w:p w14:paraId="3B3CD80F"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d.</w:t>
      </w:r>
      <w:r>
        <w:rPr>
          <w:rFonts w:ascii="Times New Roman" w:eastAsia="Times New Roman" w:hAnsi="Times New Roman" w:cs="Times New Roman"/>
          <w:sz w:val="14"/>
          <w:szCs w:val="14"/>
        </w:rPr>
        <w:tab/>
      </w:r>
      <w:r>
        <w:rPr>
          <w:rFonts w:ascii="Times New Roman" w:eastAsia="Times New Roman" w:hAnsi="Times New Roman" w:cs="Times New Roman"/>
        </w:rPr>
        <w:t>Facilitation of evoked activity of TPN</w:t>
      </w:r>
      <w:r>
        <w:rPr>
          <w:rFonts w:ascii="Times New Roman" w:eastAsia="Times New Roman" w:hAnsi="Times New Roman" w:cs="Times New Roman"/>
          <w:vertAlign w:val="superscript"/>
        </w:rPr>
        <w:t>CT-post</w:t>
      </w:r>
      <w:r>
        <w:rPr>
          <w:rFonts w:ascii="Times New Roman" w:eastAsia="Times New Roman" w:hAnsi="Times New Roman" w:cs="Times New Roman"/>
        </w:rPr>
        <w:t xml:space="preserve"> indicated by a three-fold increase of neural activity upon the 5</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light pulse (2.17) compared with that of the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one (0.57) with 20 Hz stimulation.</w:t>
      </w:r>
    </w:p>
    <w:p w14:paraId="283994F6"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e.</w:t>
      </w:r>
      <w:r>
        <w:rPr>
          <w:rFonts w:ascii="Times New Roman" w:eastAsia="Times New Roman" w:hAnsi="Times New Roman" w:cs="Times New Roman"/>
          <w:sz w:val="14"/>
          <w:szCs w:val="14"/>
        </w:rPr>
        <w:tab/>
      </w:r>
      <w:r>
        <w:rPr>
          <w:rFonts w:ascii="Times New Roman" w:eastAsia="Times New Roman" w:hAnsi="Times New Roman" w:cs="Times New Roman"/>
        </w:rPr>
        <w:t>Action phase encoding in simultaneously recorded individual and population neurons in VAL/VM. Raster panels show spikes of individual neurons in relation to actions. Right most panel shows action phase embedding in the latent space of population neural activity revealed by supervised CEBRA model on an example session (</w:t>
      </w:r>
      <w:r>
        <w:rPr>
          <w:rFonts w:ascii="Times New Roman" w:eastAsia="Times New Roman" w:hAnsi="Times New Roman" w:cs="Times New Roman"/>
          <w:i/>
        </w:rPr>
        <w:t>n</w:t>
      </w:r>
      <w:r>
        <w:rPr>
          <w:rFonts w:ascii="Times New Roman" w:eastAsia="Times New Roman" w:hAnsi="Times New Roman" w:cs="Times New Roman"/>
        </w:rPr>
        <w:t xml:space="preserve"> = 213 neurons). Each dot represents a time point (1/240 s). Superimposed colors indicate different action phases.</w:t>
      </w:r>
    </w:p>
    <w:p w14:paraId="44146F38"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f.</w:t>
      </w:r>
      <w:r>
        <w:rPr>
          <w:rFonts w:ascii="Times New Roman" w:eastAsia="Times New Roman" w:hAnsi="Times New Roman" w:cs="Times New Roman"/>
          <w:sz w:val="14"/>
          <w:szCs w:val="14"/>
        </w:rPr>
        <w:tab/>
      </w:r>
      <w:r>
        <w:rPr>
          <w:rFonts w:ascii="Times New Roman" w:eastAsia="Times New Roman" w:hAnsi="Times New Roman" w:cs="Times New Roman"/>
        </w:rPr>
        <w:t>Left, recording thalamic neurons with MOs-c CT</w:t>
      </w:r>
      <w:r>
        <w:rPr>
          <w:rFonts w:ascii="Times New Roman" w:eastAsia="Times New Roman" w:hAnsi="Times New Roman" w:cs="Times New Roman"/>
          <w:vertAlign w:val="superscript"/>
        </w:rPr>
        <w:t xml:space="preserve">Tle4 </w:t>
      </w:r>
      <w:r>
        <w:rPr>
          <w:rFonts w:ascii="Times New Roman" w:eastAsia="Times New Roman" w:hAnsi="Times New Roman" w:cs="Times New Roman"/>
        </w:rPr>
        <w:t>inhibition. Right, average inhibition effect on all thalamus neurons across RWD phases. (</w:t>
      </w:r>
      <w:r>
        <w:rPr>
          <w:rFonts w:ascii="Times New Roman" w:eastAsia="Times New Roman" w:hAnsi="Times New Roman" w:cs="Times New Roman"/>
          <w:i/>
        </w:rPr>
        <w:t>n</w:t>
      </w:r>
      <w:r>
        <w:rPr>
          <w:rFonts w:ascii="Times New Roman" w:eastAsia="Times New Roman" w:hAnsi="Times New Roman" w:cs="Times New Roman"/>
        </w:rPr>
        <w:t xml:space="preserve"> = 814 neurons)</w:t>
      </w:r>
    </w:p>
    <w:p w14:paraId="5EFB869E"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b/>
        </w:rPr>
        <w:t>g.</w:t>
      </w:r>
      <w:r>
        <w:rPr>
          <w:rFonts w:ascii="Times New Roman" w:eastAsia="Times New Roman" w:hAnsi="Times New Roman" w:cs="Times New Roman"/>
          <w:sz w:val="14"/>
          <w:szCs w:val="14"/>
        </w:rPr>
        <w:tab/>
      </w:r>
      <w:r>
        <w:rPr>
          <w:rFonts w:ascii="Times New Roman" w:eastAsia="Times New Roman" w:hAnsi="Times New Roman" w:cs="Times New Roman"/>
        </w:rPr>
        <w:t xml:space="preserve">Thalamic neuron activity difference between optogenetic inhibition and control conditions. Left, spike raster of a group </w:t>
      </w:r>
      <w:r w:rsidRPr="00E96580">
        <w:rPr>
          <w:rFonts w:ascii="Times New Roman" w:eastAsia="Times New Roman" w:hAnsi="Times New Roman" w:cs="Times New Roman"/>
          <w:b/>
          <w:bCs/>
          <w:i/>
          <w:iCs/>
        </w:rPr>
        <w:t>i</w:t>
      </w:r>
      <w:r>
        <w:rPr>
          <w:rFonts w:ascii="Times New Roman" w:eastAsia="Times New Roman" w:hAnsi="Times New Roman" w:cs="Times New Roman"/>
        </w:rPr>
        <w:t xml:space="preserve"> neuron during RWD. Inhibition light was delivered around the lift in random half of the trials. Trials are grouped by inhibition light (bottom) and sorted by the duration between hand lift (orange ticks) and the advance endpoint (pink ticks). Black ticks, first hand licks to consume water.  Right, heatmap showing the difference. (</w:t>
      </w:r>
      <w:r>
        <w:rPr>
          <w:rFonts w:ascii="Times New Roman" w:eastAsia="Times New Roman" w:hAnsi="Times New Roman" w:cs="Times New Roman"/>
          <w:i/>
        </w:rPr>
        <w:t>n</w:t>
      </w:r>
      <w:r>
        <w:rPr>
          <w:rFonts w:ascii="Times New Roman" w:eastAsia="Times New Roman" w:hAnsi="Times New Roman" w:cs="Times New Roman"/>
        </w:rPr>
        <w:t xml:space="preserve"> = 814 neurons)</w:t>
      </w:r>
    </w:p>
    <w:p w14:paraId="72683BFA" w14:textId="77777777" w:rsidR="00542B66" w:rsidRDefault="00542B66" w:rsidP="00542B66">
      <w:pPr>
        <w:widowControl w:val="0"/>
        <w:spacing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 </w:t>
      </w:r>
    </w:p>
    <w:p w14:paraId="23D1EB32" w14:textId="77777777" w:rsidR="00542B66" w:rsidRDefault="00542B66" w:rsidP="00542B66">
      <w:pPr>
        <w:widowControl w:val="0"/>
        <w:spacing w:line="276" w:lineRule="auto"/>
        <w:ind w:left="426" w:hanging="426"/>
        <w:rPr>
          <w:rFonts w:ascii="Times New Roman" w:eastAsia="Times New Roman" w:hAnsi="Times New Roman" w:cs="Times New Roman"/>
          <w:b/>
        </w:rPr>
      </w:pPr>
      <w:r w:rsidRPr="00D9250F">
        <w:rPr>
          <w:rFonts w:ascii="Times New Roman" w:eastAsia="Times New Roman" w:hAnsi="Times New Roman" w:cs="Times New Roman"/>
          <w:b/>
        </w:rPr>
        <w:t>Fig S9. Projection</w:t>
      </w:r>
      <w:r>
        <w:rPr>
          <w:rFonts w:ascii="Times New Roman" w:eastAsia="Times New Roman" w:hAnsi="Times New Roman" w:cs="Times New Roman"/>
          <w:b/>
        </w:rPr>
        <w:t xml:space="preserve">s </w:t>
      </w:r>
      <w:r w:rsidRPr="00D9250F">
        <w:rPr>
          <w:rFonts w:ascii="Times New Roman" w:eastAsia="Times New Roman" w:hAnsi="Times New Roman" w:cs="Times New Roman"/>
          <w:b/>
        </w:rPr>
        <w:t>of MOs-c PT</w:t>
      </w:r>
      <w:r w:rsidRPr="00D9250F">
        <w:rPr>
          <w:rFonts w:ascii="Times New Roman" w:eastAsia="Times New Roman" w:hAnsi="Times New Roman" w:cs="Times New Roman"/>
          <w:b/>
          <w:vertAlign w:val="superscript"/>
        </w:rPr>
        <w:t>Thal</w:t>
      </w:r>
      <w:r w:rsidRPr="00D9250F">
        <w:rPr>
          <w:rFonts w:ascii="Times New Roman" w:eastAsia="Times New Roman" w:hAnsi="Times New Roman" w:cs="Times New Roman"/>
          <w:b/>
        </w:rPr>
        <w:t xml:space="preserve"> and identification</w:t>
      </w:r>
      <w:r w:rsidRPr="00D9250F">
        <w:rPr>
          <w:rFonts w:ascii="Times New Roman" w:eastAsia="Times New Roman" w:hAnsi="Times New Roman" w:cs="Times New Roman"/>
          <w:b/>
          <w:bCs/>
        </w:rPr>
        <w:t xml:space="preserve"> of their postsynaptic thalam</w:t>
      </w:r>
      <w:r>
        <w:rPr>
          <w:rFonts w:ascii="Times New Roman" w:eastAsia="Times New Roman" w:hAnsi="Times New Roman" w:cs="Times New Roman"/>
          <w:b/>
          <w:bCs/>
        </w:rPr>
        <w:t>us</w:t>
      </w:r>
      <w:r w:rsidRPr="00D9250F">
        <w:rPr>
          <w:rFonts w:ascii="Times New Roman" w:eastAsia="Times New Roman" w:hAnsi="Times New Roman" w:cs="Times New Roman"/>
          <w:b/>
          <w:bCs/>
        </w:rPr>
        <w:t xml:space="preserve"> </w:t>
      </w:r>
      <w:r w:rsidRPr="00D9250F">
        <w:rPr>
          <w:rFonts w:ascii="Times New Roman" w:eastAsia="Times New Roman" w:hAnsi="Times New Roman" w:cs="Times New Roman"/>
          <w:b/>
          <w:bCs/>
        </w:rPr>
        <w:lastRenderedPageBreak/>
        <w:t>neurons</w:t>
      </w:r>
      <w:r w:rsidRPr="00D9250F">
        <w:rPr>
          <w:rFonts w:ascii="Times New Roman" w:eastAsia="Times New Roman" w:hAnsi="Times New Roman" w:cs="Times New Roman"/>
          <w:b/>
        </w:rPr>
        <w:t>. Related to Fig 6.</w:t>
      </w:r>
    </w:p>
    <w:p w14:paraId="47389CEE" w14:textId="77777777" w:rsidR="00542B66" w:rsidRPr="00CF5B9C" w:rsidRDefault="00542B66" w:rsidP="00542B66">
      <w:pPr>
        <w:pStyle w:val="ListParagraph"/>
        <w:widowControl w:val="0"/>
        <w:numPr>
          <w:ilvl w:val="0"/>
          <w:numId w:val="1"/>
        </w:numPr>
        <w:spacing w:line="276" w:lineRule="auto"/>
        <w:ind w:left="426"/>
        <w:rPr>
          <w:rFonts w:ascii="Times New Roman" w:eastAsia="Times New Roman" w:hAnsi="Times New Roman" w:cs="Times New Roman"/>
        </w:rPr>
      </w:pPr>
      <w:r>
        <w:rPr>
          <w:rFonts w:ascii="Times New Roman" w:eastAsia="Times New Roman" w:hAnsi="Times New Roman" w:cs="Times New Roman"/>
        </w:rPr>
        <w:t xml:space="preserve">Two-virus strategy (schematic) for targeting </w:t>
      </w:r>
      <w:r w:rsidRPr="00CF5B9C">
        <w:rPr>
          <w:rFonts w:ascii="Times New Roman" w:eastAsia="Times New Roman" w:hAnsi="Times New Roman" w:cs="Times New Roman"/>
        </w:rPr>
        <w:t>MOs-c PT</w:t>
      </w:r>
      <w:r w:rsidRPr="00CF5B9C">
        <w:rPr>
          <w:rFonts w:ascii="Times New Roman" w:eastAsia="Times New Roman" w:hAnsi="Times New Roman" w:cs="Times New Roman"/>
          <w:vertAlign w:val="superscript"/>
        </w:rPr>
        <w:t>Thal</w:t>
      </w:r>
      <w:r>
        <w:rPr>
          <w:rFonts w:ascii="Times New Roman" w:eastAsia="Times New Roman" w:hAnsi="Times New Roman" w:cs="Times New Roman"/>
        </w:rPr>
        <w:t xml:space="preserve">. </w:t>
      </w:r>
      <w:r w:rsidRPr="00CF5B9C">
        <w:rPr>
          <w:rFonts w:ascii="Times New Roman" w:eastAsia="Times New Roman" w:hAnsi="Times New Roman" w:cs="Times New Roman"/>
        </w:rPr>
        <w:t>Coronal brain sections show MOs-c PT</w:t>
      </w:r>
      <w:r w:rsidRPr="00CF5B9C">
        <w:rPr>
          <w:rFonts w:ascii="Times New Roman" w:eastAsia="Times New Roman" w:hAnsi="Times New Roman" w:cs="Times New Roman"/>
          <w:vertAlign w:val="superscript"/>
        </w:rPr>
        <w:t>Thal</w:t>
      </w:r>
      <w:r w:rsidRPr="00CF5B9C">
        <w:rPr>
          <w:rFonts w:ascii="Times New Roman" w:eastAsia="Times New Roman" w:hAnsi="Times New Roman" w:cs="Times New Roman"/>
        </w:rPr>
        <w:t xml:space="preserve"> neuron</w:t>
      </w:r>
      <w:r>
        <w:rPr>
          <w:rFonts w:ascii="Times New Roman" w:eastAsia="Times New Roman" w:hAnsi="Times New Roman" w:cs="Times New Roman"/>
        </w:rPr>
        <w:t xml:space="preserve"> axon</w:t>
      </w:r>
      <w:r w:rsidRPr="00CF5B9C">
        <w:rPr>
          <w:rFonts w:ascii="Times New Roman" w:eastAsia="Times New Roman" w:hAnsi="Times New Roman" w:cs="Times New Roman"/>
        </w:rPr>
        <w:t xml:space="preserve"> collaterals (magenta) in the striatum (Stri.), subthalamic nucleus (STN), zona incerta (ZI), and other midbrain and brainstem nuclei. </w:t>
      </w:r>
      <w:r>
        <w:rPr>
          <w:rFonts w:ascii="Times New Roman" w:eastAsia="Times New Roman" w:hAnsi="Times New Roman" w:cs="Times New Roman"/>
        </w:rPr>
        <w:t>py, fiber bundles of pyramidal tract.</w:t>
      </w:r>
    </w:p>
    <w:p w14:paraId="61E9200A" w14:textId="77777777" w:rsidR="00542B66" w:rsidRPr="00364689" w:rsidRDefault="00542B66" w:rsidP="00542B66">
      <w:pPr>
        <w:pStyle w:val="ListParagraph"/>
        <w:widowControl w:val="0"/>
        <w:numPr>
          <w:ilvl w:val="0"/>
          <w:numId w:val="1"/>
        </w:numPr>
        <w:spacing w:line="276" w:lineRule="auto"/>
        <w:ind w:left="426"/>
        <w:rPr>
          <w:rFonts w:ascii="Times New Roman" w:eastAsia="Times New Roman" w:hAnsi="Times New Roman" w:cs="Times New Roman"/>
        </w:rPr>
      </w:pPr>
      <w:r>
        <w:rPr>
          <w:rFonts w:ascii="Times New Roman" w:eastAsia="Times New Roman" w:hAnsi="Times New Roman" w:cs="Times New Roman"/>
        </w:rPr>
        <w:t>Left, o</w:t>
      </w:r>
      <w:r w:rsidRPr="00364689">
        <w:rPr>
          <w:rFonts w:ascii="Times New Roman" w:eastAsia="Times New Roman" w:hAnsi="Times New Roman" w:cs="Times New Roman"/>
        </w:rPr>
        <w:t xml:space="preserve">ptogenetic tagging of </w:t>
      </w:r>
      <w:r>
        <w:rPr>
          <w:rFonts w:ascii="Times New Roman" w:eastAsia="Times New Roman" w:hAnsi="Times New Roman" w:cs="Times New Roman"/>
        </w:rPr>
        <w:t xml:space="preserve">thalamic neurons </w:t>
      </w:r>
      <w:r w:rsidRPr="00364689">
        <w:rPr>
          <w:rFonts w:ascii="Times New Roman" w:eastAsia="Times New Roman" w:hAnsi="Times New Roman" w:cs="Times New Roman"/>
        </w:rPr>
        <w:t xml:space="preserve">postsynaptic </w:t>
      </w:r>
      <w:r>
        <w:rPr>
          <w:rFonts w:ascii="Times New Roman" w:eastAsia="Times New Roman" w:hAnsi="Times New Roman" w:cs="Times New Roman"/>
        </w:rPr>
        <w:t xml:space="preserve">to </w:t>
      </w:r>
      <w:r w:rsidRPr="00364689">
        <w:rPr>
          <w:rFonts w:ascii="Times New Roman" w:eastAsia="Times New Roman" w:hAnsi="Times New Roman" w:cs="Times New Roman"/>
        </w:rPr>
        <w:t xml:space="preserve">MOs-c </w:t>
      </w:r>
      <w:r w:rsidRPr="00CF5B9C">
        <w:rPr>
          <w:rFonts w:ascii="Times New Roman" w:eastAsia="Times New Roman" w:hAnsi="Times New Roman" w:cs="Times New Roman"/>
        </w:rPr>
        <w:t>PT</w:t>
      </w:r>
      <w:r w:rsidRPr="00CF5B9C">
        <w:rPr>
          <w:rFonts w:ascii="Times New Roman" w:eastAsia="Times New Roman" w:hAnsi="Times New Roman" w:cs="Times New Roman"/>
          <w:vertAlign w:val="superscript"/>
        </w:rPr>
        <w:t>Tha</w:t>
      </w:r>
      <w:r>
        <w:rPr>
          <w:rFonts w:ascii="Times New Roman" w:eastAsia="Times New Roman" w:hAnsi="Times New Roman" w:cs="Times New Roman"/>
          <w:vertAlign w:val="superscript"/>
        </w:rPr>
        <w:t>l</w:t>
      </w:r>
      <w:r>
        <w:rPr>
          <w:rFonts w:ascii="Times New Roman" w:eastAsia="Times New Roman" w:hAnsi="Times New Roman" w:cs="Times New Roman"/>
        </w:rPr>
        <w:t xml:space="preserve"> (</w:t>
      </w:r>
      <w:r w:rsidRPr="00364689">
        <w:rPr>
          <w:rFonts w:ascii="Times New Roman" w:eastAsia="Times New Roman" w:hAnsi="Times New Roman" w:cs="Times New Roman"/>
        </w:rPr>
        <w:t>TPN</w:t>
      </w:r>
      <w:r>
        <w:rPr>
          <w:rFonts w:ascii="Times New Roman" w:eastAsia="Times New Roman" w:hAnsi="Times New Roman" w:cs="Times New Roman"/>
          <w:vertAlign w:val="superscript"/>
        </w:rPr>
        <w:t>PT</w:t>
      </w:r>
      <w:r w:rsidRPr="00364689">
        <w:rPr>
          <w:rFonts w:ascii="Times New Roman" w:eastAsia="Times New Roman" w:hAnsi="Times New Roman" w:cs="Times New Roman"/>
          <w:vertAlign w:val="superscript"/>
        </w:rPr>
        <w:t>-post</w:t>
      </w:r>
      <w:r>
        <w:rPr>
          <w:rFonts w:ascii="Times New Roman" w:eastAsia="Times New Roman" w:hAnsi="Times New Roman" w:cs="Times New Roman"/>
        </w:rPr>
        <w:t>). Middle</w:t>
      </w:r>
      <w:r w:rsidRPr="00364689">
        <w:rPr>
          <w:rFonts w:ascii="Times New Roman" w:eastAsia="Times New Roman" w:hAnsi="Times New Roman" w:cs="Times New Roman"/>
        </w:rPr>
        <w:t>, light-evoked PETH (top) and raster (bottom) activity of a TPN</w:t>
      </w:r>
      <w:r>
        <w:rPr>
          <w:rFonts w:ascii="Times New Roman" w:eastAsia="Times New Roman" w:hAnsi="Times New Roman" w:cs="Times New Roman"/>
          <w:vertAlign w:val="superscript"/>
        </w:rPr>
        <w:t>PT</w:t>
      </w:r>
      <w:r w:rsidRPr="00364689">
        <w:rPr>
          <w:rFonts w:ascii="Times New Roman" w:eastAsia="Times New Roman" w:hAnsi="Times New Roman" w:cs="Times New Roman"/>
          <w:vertAlign w:val="superscript"/>
        </w:rPr>
        <w:t>-post</w:t>
      </w:r>
      <w:r w:rsidRPr="00364689">
        <w:rPr>
          <w:rFonts w:ascii="Times New Roman" w:eastAsia="Times New Roman" w:hAnsi="Times New Roman" w:cs="Times New Roman"/>
        </w:rPr>
        <w:t xml:space="preserve">. Right, light </w:t>
      </w:r>
      <w:r w:rsidRPr="00AD60B5">
        <w:rPr>
          <w:rFonts w:ascii="Times New Roman" w:eastAsia="Times New Roman" w:hAnsi="Times New Roman" w:cs="Times New Roman"/>
        </w:rPr>
        <w:t>response of 430 identified TPN</w:t>
      </w:r>
      <w:r>
        <w:rPr>
          <w:rFonts w:ascii="Times New Roman" w:eastAsia="Times New Roman" w:hAnsi="Times New Roman" w:cs="Times New Roman"/>
          <w:vertAlign w:val="superscript"/>
        </w:rPr>
        <w:t>PT</w:t>
      </w:r>
      <w:r w:rsidRPr="00AD60B5">
        <w:rPr>
          <w:rFonts w:ascii="Times New Roman" w:eastAsia="Times New Roman" w:hAnsi="Times New Roman" w:cs="Times New Roman"/>
          <w:vertAlign w:val="superscript"/>
        </w:rPr>
        <w:t>-post</w:t>
      </w:r>
      <w:r w:rsidRPr="00AD60B5">
        <w:rPr>
          <w:rFonts w:ascii="Times New Roman" w:eastAsia="Times New Roman" w:hAnsi="Times New Roman" w:cs="Times New Roman"/>
        </w:rPr>
        <w:t xml:space="preserve"> (blue)</w:t>
      </w:r>
      <w:r w:rsidRPr="00AD60B5">
        <w:rPr>
          <w:rFonts w:ascii="Times New Roman" w:eastAsia="Times New Roman" w:hAnsi="Times New Roman" w:cs="Times New Roman"/>
          <w:vertAlign w:val="superscript"/>
        </w:rPr>
        <w:t xml:space="preserve"> </w:t>
      </w:r>
      <w:r w:rsidRPr="00AD60B5">
        <w:rPr>
          <w:rFonts w:ascii="Times New Roman" w:eastAsia="Times New Roman" w:hAnsi="Times New Roman" w:cs="Times New Roman"/>
        </w:rPr>
        <w:t>compared with 601 not</w:t>
      </w:r>
      <w:r w:rsidRPr="00364689">
        <w:rPr>
          <w:rFonts w:ascii="Times New Roman" w:eastAsia="Times New Roman" w:hAnsi="Times New Roman" w:cs="Times New Roman"/>
        </w:rPr>
        <w:t xml:space="preserve"> significantly modulated (gray).</w:t>
      </w:r>
      <w:r>
        <w:rPr>
          <w:rFonts w:ascii="Times New Roman" w:eastAsia="Times New Roman" w:hAnsi="Times New Roman" w:cs="Times New Roman"/>
        </w:rPr>
        <w:t xml:space="preserve"> </w:t>
      </w:r>
      <w:r w:rsidRPr="00807ECD">
        <w:rPr>
          <w:rFonts w:ascii="Times New Roman" w:eastAsia="Times New Roman" w:hAnsi="Times New Roman" w:cs="Times New Roman"/>
        </w:rPr>
        <w:t>The same set of neurons were used for the following panels.</w:t>
      </w:r>
    </w:p>
    <w:p w14:paraId="477F07B5" w14:textId="77777777" w:rsidR="00542B66" w:rsidRPr="00807ECD" w:rsidRDefault="00542B66" w:rsidP="00542B66">
      <w:pPr>
        <w:pStyle w:val="ListParagraph"/>
        <w:widowControl w:val="0"/>
        <w:numPr>
          <w:ilvl w:val="0"/>
          <w:numId w:val="1"/>
        </w:numPr>
        <w:spacing w:line="276" w:lineRule="auto"/>
        <w:ind w:left="426"/>
        <w:rPr>
          <w:rFonts w:ascii="Times New Roman" w:eastAsia="Times New Roman" w:hAnsi="Times New Roman" w:cs="Times New Roman"/>
        </w:rPr>
      </w:pPr>
      <w:r w:rsidRPr="00807ECD">
        <w:rPr>
          <w:rFonts w:ascii="Times New Roman" w:eastAsia="Times New Roman" w:hAnsi="Times New Roman" w:cs="Times New Roman"/>
        </w:rPr>
        <w:t xml:space="preserve">Light-evoked spiking reliability and latency of all thalamic neurons.  </w:t>
      </w:r>
      <w:r w:rsidRPr="00AD60B5">
        <w:rPr>
          <w:rFonts w:ascii="Times New Roman" w:eastAsia="Times New Roman" w:hAnsi="Times New Roman" w:cs="Times New Roman"/>
        </w:rPr>
        <w:t>(</w:t>
      </w:r>
      <w:r w:rsidRPr="00AD60B5">
        <w:rPr>
          <w:rFonts w:ascii="Times New Roman" w:eastAsia="Times New Roman" w:hAnsi="Times New Roman" w:cs="Times New Roman"/>
          <w:i/>
        </w:rPr>
        <w:t>n</w:t>
      </w:r>
      <w:r w:rsidRPr="00AD60B5">
        <w:rPr>
          <w:rFonts w:ascii="Times New Roman" w:eastAsia="Times New Roman" w:hAnsi="Times New Roman" w:cs="Times New Roman"/>
        </w:rPr>
        <w:t xml:space="preserve"> = 430 TPN</w:t>
      </w:r>
      <w:r>
        <w:rPr>
          <w:rFonts w:ascii="Times New Roman" w:eastAsia="Times New Roman" w:hAnsi="Times New Roman" w:cs="Times New Roman"/>
          <w:vertAlign w:val="superscript"/>
        </w:rPr>
        <w:t>PT</w:t>
      </w:r>
      <w:r w:rsidRPr="00AD60B5">
        <w:rPr>
          <w:rFonts w:ascii="Times New Roman" w:eastAsia="Times New Roman" w:hAnsi="Times New Roman" w:cs="Times New Roman"/>
          <w:vertAlign w:val="superscript"/>
        </w:rPr>
        <w:t>-post</w:t>
      </w:r>
      <w:r w:rsidRPr="00AD60B5">
        <w:rPr>
          <w:rFonts w:ascii="Times New Roman" w:eastAsia="Times New Roman" w:hAnsi="Times New Roman" w:cs="Times New Roman"/>
        </w:rPr>
        <w:t xml:space="preserve"> and 601 control)</w:t>
      </w:r>
    </w:p>
    <w:p w14:paraId="6F57900E" w14:textId="77777777" w:rsidR="00542B66" w:rsidRPr="00807ECD" w:rsidRDefault="00542B66" w:rsidP="00542B66">
      <w:pPr>
        <w:pStyle w:val="ListParagraph"/>
        <w:widowControl w:val="0"/>
        <w:numPr>
          <w:ilvl w:val="0"/>
          <w:numId w:val="1"/>
        </w:numPr>
        <w:spacing w:line="276" w:lineRule="auto"/>
        <w:ind w:left="426"/>
        <w:rPr>
          <w:rFonts w:ascii="Times New Roman" w:eastAsia="Times New Roman" w:hAnsi="Times New Roman" w:cs="Times New Roman"/>
        </w:rPr>
      </w:pPr>
      <w:r>
        <w:rPr>
          <w:rFonts w:ascii="Times New Roman" w:eastAsia="Times New Roman" w:hAnsi="Times New Roman" w:cs="Times New Roman"/>
        </w:rPr>
        <w:t>The average short-term depression</w:t>
      </w:r>
      <w:r w:rsidRPr="00807ECD">
        <w:rPr>
          <w:rFonts w:ascii="Times New Roman" w:eastAsia="Times New Roman" w:hAnsi="Times New Roman" w:cs="Times New Roman"/>
        </w:rPr>
        <w:t xml:space="preserve"> of evoked activity </w:t>
      </w:r>
      <w:r>
        <w:rPr>
          <w:rFonts w:ascii="Times New Roman" w:eastAsia="Times New Roman" w:hAnsi="Times New Roman" w:cs="Times New Roman"/>
        </w:rPr>
        <w:t>in</w:t>
      </w:r>
      <w:r w:rsidRPr="00807ECD">
        <w:rPr>
          <w:rFonts w:ascii="Times New Roman" w:eastAsia="Times New Roman" w:hAnsi="Times New Roman" w:cs="Times New Roman"/>
        </w:rPr>
        <w:t xml:space="preserve"> TPN</w:t>
      </w:r>
      <w:r>
        <w:rPr>
          <w:rFonts w:ascii="Times New Roman" w:eastAsia="Times New Roman" w:hAnsi="Times New Roman" w:cs="Times New Roman"/>
          <w:vertAlign w:val="superscript"/>
        </w:rPr>
        <w:t>PT</w:t>
      </w:r>
      <w:r w:rsidRPr="00807ECD">
        <w:rPr>
          <w:rFonts w:ascii="Times New Roman" w:eastAsia="Times New Roman" w:hAnsi="Times New Roman" w:cs="Times New Roman"/>
          <w:vertAlign w:val="superscript"/>
        </w:rPr>
        <w:t>-post</w:t>
      </w:r>
      <w:r w:rsidRPr="00807ECD">
        <w:rPr>
          <w:rFonts w:ascii="Times New Roman" w:eastAsia="Times New Roman" w:hAnsi="Times New Roman" w:cs="Times New Roman"/>
        </w:rPr>
        <w:t>.</w:t>
      </w:r>
      <w:r>
        <w:rPr>
          <w:rFonts w:ascii="Times New Roman" w:eastAsia="Times New Roman" w:hAnsi="Times New Roman" w:cs="Times New Roman"/>
        </w:rPr>
        <w:t xml:space="preserve"> </w:t>
      </w:r>
      <w:r w:rsidRPr="00AD60B5">
        <w:rPr>
          <w:rFonts w:ascii="Times New Roman" w:eastAsia="Times New Roman" w:hAnsi="Times New Roman" w:cs="Times New Roman"/>
        </w:rPr>
        <w:t>(</w:t>
      </w:r>
      <w:r w:rsidRPr="00AD60B5">
        <w:rPr>
          <w:rFonts w:ascii="Times New Roman" w:eastAsia="Times New Roman" w:hAnsi="Times New Roman" w:cs="Times New Roman"/>
          <w:i/>
        </w:rPr>
        <w:t>n</w:t>
      </w:r>
      <w:r w:rsidRPr="00AD60B5">
        <w:rPr>
          <w:rFonts w:ascii="Times New Roman" w:eastAsia="Times New Roman" w:hAnsi="Times New Roman" w:cs="Times New Roman"/>
        </w:rPr>
        <w:t xml:space="preserve"> = 430</w:t>
      </w:r>
      <w:r>
        <w:rPr>
          <w:rFonts w:ascii="Times New Roman" w:eastAsia="Times New Roman" w:hAnsi="Times New Roman" w:cs="Times New Roman"/>
        </w:rPr>
        <w:t>)</w:t>
      </w:r>
    </w:p>
    <w:p w14:paraId="146B6C92" w14:textId="568AEA00" w:rsidR="00755780" w:rsidRPr="00542B66" w:rsidRDefault="00755780" w:rsidP="00542B66">
      <w:pPr>
        <w:widowControl w:val="0"/>
        <w:spacing w:line="276" w:lineRule="auto"/>
        <w:rPr>
          <w:rFonts w:ascii="Times New Roman" w:eastAsia="Times New Roman" w:hAnsi="Times New Roman" w:cs="Times New Roman"/>
        </w:rPr>
      </w:pPr>
    </w:p>
    <w:sectPr w:rsidR="00755780" w:rsidRPr="00542B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A362F"/>
    <w:multiLevelType w:val="hybridMultilevel"/>
    <w:tmpl w:val="7A429E7C"/>
    <w:lvl w:ilvl="0" w:tplc="742E7E0E">
      <w:start w:val="1"/>
      <w:numFmt w:val="lowerLetter"/>
      <w:lvlText w:val="%1."/>
      <w:lvlJc w:val="left"/>
      <w:pPr>
        <w:ind w:left="78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9287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B66"/>
    <w:rsid w:val="00331A6B"/>
    <w:rsid w:val="00542B66"/>
    <w:rsid w:val="00755780"/>
    <w:rsid w:val="00857596"/>
    <w:rsid w:val="009465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30E8E"/>
  <w15:chartTrackingRefBased/>
  <w15:docId w15:val="{E8EE5161-DECE-4CD7-9A68-18A923F55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B66"/>
    <w:pPr>
      <w:spacing w:after="0" w:line="240" w:lineRule="auto"/>
    </w:pPr>
    <w:rPr>
      <w:rFonts w:ascii="Cambria" w:eastAsia="Cambria" w:hAnsi="Cambria" w:cs="Cambria"/>
      <w:kern w:val="0"/>
      <w:sz w:val="24"/>
      <w:szCs w:val="24"/>
      <w:lang w:eastAsia="zh-CN"/>
      <w14:ligatures w14:val="none"/>
    </w:rPr>
  </w:style>
  <w:style w:type="paragraph" w:styleId="Heading1">
    <w:name w:val="heading 1"/>
    <w:basedOn w:val="Normal"/>
    <w:next w:val="Normal"/>
    <w:link w:val="Heading1Char"/>
    <w:uiPriority w:val="9"/>
    <w:qFormat/>
    <w:rsid w:val="00542B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2B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2B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2B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2B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2B6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2B6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2B6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2B6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2B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2B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2B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2B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2B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2B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2B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2B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2B66"/>
    <w:rPr>
      <w:rFonts w:eastAsiaTheme="majorEastAsia" w:cstheme="majorBidi"/>
      <w:color w:val="272727" w:themeColor="text1" w:themeTint="D8"/>
    </w:rPr>
  </w:style>
  <w:style w:type="paragraph" w:styleId="Title">
    <w:name w:val="Title"/>
    <w:basedOn w:val="Normal"/>
    <w:next w:val="Normal"/>
    <w:link w:val="TitleChar"/>
    <w:uiPriority w:val="10"/>
    <w:qFormat/>
    <w:rsid w:val="00542B6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2B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2B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2B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2B66"/>
    <w:pPr>
      <w:spacing w:before="160"/>
      <w:jc w:val="center"/>
    </w:pPr>
    <w:rPr>
      <w:i/>
      <w:iCs/>
      <w:color w:val="404040" w:themeColor="text1" w:themeTint="BF"/>
    </w:rPr>
  </w:style>
  <w:style w:type="character" w:customStyle="1" w:styleId="QuoteChar">
    <w:name w:val="Quote Char"/>
    <w:basedOn w:val="DefaultParagraphFont"/>
    <w:link w:val="Quote"/>
    <w:uiPriority w:val="29"/>
    <w:rsid w:val="00542B66"/>
    <w:rPr>
      <w:i/>
      <w:iCs/>
      <w:color w:val="404040" w:themeColor="text1" w:themeTint="BF"/>
    </w:rPr>
  </w:style>
  <w:style w:type="paragraph" w:styleId="ListParagraph">
    <w:name w:val="List Paragraph"/>
    <w:basedOn w:val="Normal"/>
    <w:uiPriority w:val="34"/>
    <w:qFormat/>
    <w:rsid w:val="00542B66"/>
    <w:pPr>
      <w:ind w:left="720"/>
      <w:contextualSpacing/>
    </w:pPr>
  </w:style>
  <w:style w:type="character" w:styleId="IntenseEmphasis">
    <w:name w:val="Intense Emphasis"/>
    <w:basedOn w:val="DefaultParagraphFont"/>
    <w:uiPriority w:val="21"/>
    <w:qFormat/>
    <w:rsid w:val="00542B66"/>
    <w:rPr>
      <w:i/>
      <w:iCs/>
      <w:color w:val="0F4761" w:themeColor="accent1" w:themeShade="BF"/>
    </w:rPr>
  </w:style>
  <w:style w:type="paragraph" w:styleId="IntenseQuote">
    <w:name w:val="Intense Quote"/>
    <w:basedOn w:val="Normal"/>
    <w:next w:val="Normal"/>
    <w:link w:val="IntenseQuoteChar"/>
    <w:uiPriority w:val="30"/>
    <w:qFormat/>
    <w:rsid w:val="00542B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2B66"/>
    <w:rPr>
      <w:i/>
      <w:iCs/>
      <w:color w:val="0F4761" w:themeColor="accent1" w:themeShade="BF"/>
    </w:rPr>
  </w:style>
  <w:style w:type="character" w:styleId="IntenseReference">
    <w:name w:val="Intense Reference"/>
    <w:basedOn w:val="DefaultParagraphFont"/>
    <w:uiPriority w:val="32"/>
    <w:qFormat/>
    <w:rsid w:val="00542B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2342</Words>
  <Characters>13352</Characters>
  <Application>Microsoft Office Word</Application>
  <DocSecurity>0</DocSecurity>
  <Lines>111</Lines>
  <Paragraphs>31</Paragraphs>
  <ScaleCrop>false</ScaleCrop>
  <Company>Springer Nature</Company>
  <LinksUpToDate>false</LinksUpToDate>
  <CharactersWithSpaces>15663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2024-11-29T05:56:00Z</dcterms:created>
  <dcterms:modified xsi:type="dcterms:W3CDTF">2024-11-29T05:57:00Z</dcterms:modified>
</cp:coreProperties>
</file>