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AE1A942" w14:textId="77777777" w:rsidR="00DD6C15" w:rsidRPr="00AF1123" w:rsidRDefault="00DD6C15" w:rsidP="00DD6C15">
      <w:pPr>
        <w:rPr>
          <w:rFonts w:ascii="Arial" w:hAnsi="Arial" w:cs="Arial"/>
          <w:color w:val="000000" w:themeColor="text1"/>
          <w:sz w:val="22"/>
          <w:szCs w:val="22"/>
        </w:rPr>
      </w:pPr>
      <w:r w:rsidRPr="00AF1123">
        <w:rPr>
          <w:rFonts w:ascii="Arial" w:hAnsi="Arial" w:cs="Arial"/>
          <w:b/>
          <w:bCs/>
          <w:color w:val="000000" w:themeColor="text1"/>
          <w:sz w:val="22"/>
          <w:szCs w:val="22"/>
        </w:rPr>
        <w:t>Supplemental Information</w:t>
      </w:r>
    </w:p>
    <w:p w14:paraId="5E2714A7" w14:textId="77777777" w:rsidR="00DD6C15" w:rsidRPr="00AF1123" w:rsidRDefault="00DD6C15" w:rsidP="00DD6C15">
      <w:pPr>
        <w:rPr>
          <w:rFonts w:ascii="Arial" w:hAnsi="Arial" w:cs="Arial"/>
          <w:color w:val="000000" w:themeColor="text1"/>
          <w:sz w:val="22"/>
          <w:szCs w:val="22"/>
        </w:rPr>
      </w:pPr>
      <w:r w:rsidRPr="00AF1123">
        <w:rPr>
          <w:rFonts w:ascii="Arial" w:hAnsi="Arial" w:cs="Arial"/>
          <w:color w:val="000000" w:themeColor="text1"/>
          <w:sz w:val="22"/>
          <w:szCs w:val="22"/>
        </w:rPr>
        <w:br/>
      </w:r>
      <w:bookmarkStart w:id="0" w:name="OLE_LINK43"/>
      <w:bookmarkStart w:id="1" w:name="OLE_LINK44"/>
      <w:r w:rsidRPr="00AF1123">
        <w:rPr>
          <w:rFonts w:ascii="Arial" w:hAnsi="Arial" w:cs="Arial"/>
          <w:b/>
          <w:bCs/>
          <w:color w:val="000000" w:themeColor="text1"/>
          <w:sz w:val="22"/>
          <w:szCs w:val="22"/>
        </w:rPr>
        <w:t>Supplementary Figures</w:t>
      </w:r>
      <w:r w:rsidRPr="00AF1123">
        <w:rPr>
          <w:rFonts w:ascii="Arial" w:hAnsi="Arial" w:cs="Arial"/>
          <w:color w:val="000000" w:themeColor="text1"/>
          <w:sz w:val="22"/>
          <w:szCs w:val="22"/>
        </w:rPr>
        <w:br/>
      </w:r>
      <w:r>
        <w:rPr>
          <w:rFonts w:ascii="Arial" w:hAnsi="Arial" w:cs="Arial"/>
          <w:noProof/>
          <w:color w:val="000000" w:themeColor="text1"/>
          <w:sz w:val="22"/>
          <w:szCs w:val="22"/>
        </w:rPr>
        <w:drawing>
          <wp:inline distT="0" distB="0" distL="0" distR="0" wp14:anchorId="6BB76299" wp14:editId="754E6863">
            <wp:extent cx="4625331" cy="7541046"/>
            <wp:effectExtent l="0" t="0" r="0" b="3175"/>
            <wp:docPr id="180926709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9267097" name="Picture 1809267097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28399" cy="75460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50360B" w14:textId="77777777" w:rsidR="00DD6C15" w:rsidRPr="00AF1123" w:rsidRDefault="00DD6C15" w:rsidP="00DD6C15">
      <w:pPr>
        <w:jc w:val="both"/>
        <w:rPr>
          <w:rFonts w:ascii="Arial" w:hAnsi="Arial" w:cs="Arial"/>
          <w:color w:val="000000" w:themeColor="text1"/>
          <w:sz w:val="22"/>
          <w:szCs w:val="22"/>
        </w:rPr>
      </w:pPr>
    </w:p>
    <w:p w14:paraId="4C3602A3" w14:textId="77777777" w:rsidR="00DD6C15" w:rsidRPr="00AF1123" w:rsidRDefault="00DD6C15" w:rsidP="00DD6C15">
      <w:pPr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AF1123">
        <w:rPr>
          <w:rFonts w:ascii="Arial" w:hAnsi="Arial" w:cs="Arial"/>
          <w:b/>
          <w:bCs/>
          <w:color w:val="000000" w:themeColor="text1"/>
          <w:sz w:val="22"/>
          <w:szCs w:val="22"/>
        </w:rPr>
        <w:t>Fig. S1</w:t>
      </w:r>
      <w:r w:rsidRPr="00AF1123">
        <w:rPr>
          <w:rFonts w:ascii="Arial" w:hAnsi="Arial" w:cs="Arial"/>
          <w:color w:val="000000" w:themeColor="text1"/>
          <w:sz w:val="22"/>
          <w:szCs w:val="22"/>
        </w:rPr>
        <w:t xml:space="preserve">. </w:t>
      </w:r>
      <w:r w:rsidRPr="00AF1123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eSNPs with AA dominant alternate alleles are associated with PrCa risk. </w:t>
      </w:r>
      <w:r w:rsidRPr="00AF1123">
        <w:rPr>
          <w:rFonts w:ascii="Arial" w:hAnsi="Arial" w:cs="Arial"/>
          <w:color w:val="000000" w:themeColor="text1"/>
          <w:sz w:val="20"/>
          <w:szCs w:val="20"/>
        </w:rPr>
        <w:t xml:space="preserve">A) Distribution of </w:t>
      </w:r>
      <w:r w:rsidRPr="00AF1123">
        <w:rPr>
          <w:rFonts w:ascii="Arial" w:hAnsi="Arial" w:cs="Arial"/>
          <w:b/>
          <w:bCs/>
          <w:color w:val="000000" w:themeColor="text1"/>
          <w:sz w:val="20"/>
          <w:szCs w:val="20"/>
        </w:rPr>
        <w:t>F</w:t>
      </w:r>
      <w:r w:rsidRPr="00AF1123">
        <w:rPr>
          <w:rFonts w:ascii="Arial" w:hAnsi="Arial" w:cs="Arial"/>
          <w:b/>
          <w:bCs/>
          <w:color w:val="000000" w:themeColor="text1"/>
          <w:sz w:val="20"/>
          <w:szCs w:val="20"/>
          <w:vertAlign w:val="subscript"/>
        </w:rPr>
        <w:t>ST</w:t>
      </w:r>
      <w:r w:rsidRPr="00AF1123">
        <w:rPr>
          <w:rFonts w:ascii="Arial" w:hAnsi="Arial" w:cs="Arial"/>
          <w:color w:val="000000" w:themeColor="text1"/>
          <w:sz w:val="20"/>
          <w:szCs w:val="20"/>
        </w:rPr>
        <w:t xml:space="preserve"> of SNPs that are common (MAF ≥ 0.05) in either EA or AA. The shaded part is the top 5% of SNPs with the highest </w:t>
      </w:r>
      <w:r w:rsidRPr="00AF1123">
        <w:rPr>
          <w:rFonts w:ascii="Arial" w:hAnsi="Arial" w:cs="Arial"/>
          <w:b/>
          <w:bCs/>
          <w:color w:val="000000" w:themeColor="text1"/>
          <w:sz w:val="20"/>
          <w:szCs w:val="20"/>
        </w:rPr>
        <w:t>F</w:t>
      </w:r>
      <w:r w:rsidRPr="00AF1123">
        <w:rPr>
          <w:rFonts w:ascii="Arial" w:hAnsi="Arial" w:cs="Arial"/>
          <w:b/>
          <w:bCs/>
          <w:color w:val="000000" w:themeColor="text1"/>
          <w:sz w:val="20"/>
          <w:szCs w:val="20"/>
          <w:vertAlign w:val="subscript"/>
        </w:rPr>
        <w:t>ST</w:t>
      </w:r>
      <w:r w:rsidRPr="00AF1123">
        <w:rPr>
          <w:rFonts w:ascii="Arial" w:hAnsi="Arial" w:cs="Arial"/>
          <w:color w:val="000000" w:themeColor="text1"/>
          <w:sz w:val="20"/>
          <w:szCs w:val="20"/>
        </w:rPr>
        <w:t>. B) Number of gained and lost eSNPs that are dominant either in AA or EA. C) Enrichment of both gained and lost eSNPs with AA-dominant alleles in PrCa GWAS traits compared to gained and lost eSNPs with EA-dominant alleles, respectively. For gained and lost eSNPs the y-axis shows the ratio of the fraction of AA-dominant alleles with PrCa GWAS signal above the cutoff (x-axis) to the fraction of EA-dominant alleles with PrCa GWAS signal above the cutoff. D) Fraction of genes with HR &gt; 1.5 associated with gained eSNPs with EA-dominant alternate alleles, lost eSNPs with EA-dominant alternate alleles, and all LNCaP enhancers.</w:t>
      </w:r>
    </w:p>
    <w:p w14:paraId="4F0FFB5C" w14:textId="77777777" w:rsidR="00DD6C15" w:rsidRPr="00AF1123" w:rsidRDefault="00DD6C15" w:rsidP="00DD6C15">
      <w:pPr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AF1123">
        <w:rPr>
          <w:rFonts w:ascii="Arial" w:hAnsi="Arial" w:cs="Arial"/>
          <w:color w:val="000000" w:themeColor="text1"/>
          <w:sz w:val="22"/>
          <w:szCs w:val="22"/>
        </w:rPr>
        <w:br/>
      </w:r>
      <w:r w:rsidRPr="00AF1123">
        <w:rPr>
          <w:rFonts w:ascii="Arial" w:hAnsi="Arial" w:cs="Arial"/>
          <w:color w:val="000000" w:themeColor="text1"/>
          <w:sz w:val="22"/>
          <w:szCs w:val="22"/>
        </w:rPr>
        <w:br/>
      </w:r>
      <w:r w:rsidRPr="00AF1123">
        <w:rPr>
          <w:rFonts w:ascii="Arial" w:hAnsi="Arial" w:cs="Arial"/>
          <w:color w:val="000000" w:themeColor="text1"/>
          <w:sz w:val="22"/>
          <w:szCs w:val="22"/>
        </w:rPr>
        <w:br/>
      </w:r>
      <w:r w:rsidRPr="00AF1123">
        <w:rPr>
          <w:rFonts w:ascii="Arial" w:hAnsi="Arial" w:cs="Arial"/>
          <w:color w:val="000000" w:themeColor="text1"/>
          <w:sz w:val="22"/>
          <w:szCs w:val="22"/>
        </w:rPr>
        <w:br/>
      </w:r>
      <w:r w:rsidRPr="00AF1123">
        <w:rPr>
          <w:rFonts w:ascii="Arial" w:hAnsi="Arial" w:cs="Arial"/>
          <w:color w:val="000000" w:themeColor="text1"/>
          <w:sz w:val="22"/>
          <w:szCs w:val="22"/>
        </w:rPr>
        <w:br/>
      </w:r>
      <w:r w:rsidRPr="00AF1123">
        <w:rPr>
          <w:rFonts w:ascii="Arial" w:hAnsi="Arial" w:cs="Arial"/>
          <w:color w:val="000000" w:themeColor="text1"/>
          <w:sz w:val="22"/>
          <w:szCs w:val="22"/>
        </w:rPr>
        <w:br/>
      </w:r>
      <w:r w:rsidRPr="00AF1123">
        <w:rPr>
          <w:rFonts w:ascii="Arial" w:hAnsi="Arial" w:cs="Arial"/>
          <w:color w:val="000000" w:themeColor="text1"/>
          <w:sz w:val="22"/>
          <w:szCs w:val="22"/>
        </w:rPr>
        <w:br/>
      </w:r>
      <w:r w:rsidRPr="00AF1123">
        <w:rPr>
          <w:rFonts w:ascii="Arial" w:hAnsi="Arial" w:cs="Arial"/>
          <w:color w:val="000000" w:themeColor="text1"/>
          <w:sz w:val="22"/>
          <w:szCs w:val="22"/>
        </w:rPr>
        <w:br/>
      </w:r>
      <w:r w:rsidRPr="00AF1123">
        <w:rPr>
          <w:rFonts w:ascii="Arial" w:hAnsi="Arial" w:cs="Arial"/>
          <w:color w:val="000000" w:themeColor="text1"/>
          <w:sz w:val="22"/>
          <w:szCs w:val="22"/>
        </w:rPr>
        <w:br/>
      </w:r>
      <w:r w:rsidRPr="00AF1123">
        <w:rPr>
          <w:rFonts w:ascii="Arial" w:hAnsi="Arial" w:cs="Arial"/>
          <w:color w:val="000000" w:themeColor="text1"/>
          <w:sz w:val="22"/>
          <w:szCs w:val="22"/>
        </w:rPr>
        <w:br/>
      </w:r>
      <w:r w:rsidRPr="00AF1123">
        <w:rPr>
          <w:rFonts w:ascii="Arial" w:hAnsi="Arial" w:cs="Arial"/>
          <w:color w:val="000000" w:themeColor="text1"/>
          <w:sz w:val="22"/>
          <w:szCs w:val="22"/>
        </w:rPr>
        <w:br/>
      </w:r>
      <w:r w:rsidRPr="00AF1123">
        <w:rPr>
          <w:rFonts w:ascii="Arial" w:hAnsi="Arial" w:cs="Arial"/>
          <w:color w:val="000000" w:themeColor="text1"/>
          <w:sz w:val="22"/>
          <w:szCs w:val="22"/>
        </w:rPr>
        <w:br/>
      </w:r>
      <w:r w:rsidRPr="00AF1123">
        <w:rPr>
          <w:rFonts w:ascii="Arial" w:hAnsi="Arial" w:cs="Arial"/>
          <w:color w:val="000000" w:themeColor="text1"/>
          <w:sz w:val="22"/>
          <w:szCs w:val="22"/>
        </w:rPr>
        <w:br/>
      </w:r>
      <w:r w:rsidRPr="00AF1123">
        <w:rPr>
          <w:rFonts w:ascii="Arial" w:hAnsi="Arial" w:cs="Arial"/>
          <w:color w:val="000000" w:themeColor="text1"/>
          <w:sz w:val="22"/>
          <w:szCs w:val="22"/>
        </w:rPr>
        <w:br/>
      </w:r>
      <w:r w:rsidRPr="00AF1123">
        <w:rPr>
          <w:rFonts w:ascii="Arial" w:hAnsi="Arial" w:cs="Arial"/>
          <w:color w:val="000000" w:themeColor="text1"/>
          <w:sz w:val="22"/>
          <w:szCs w:val="22"/>
        </w:rPr>
        <w:br/>
      </w:r>
      <w:r w:rsidRPr="00AF1123">
        <w:rPr>
          <w:rFonts w:ascii="Arial" w:hAnsi="Arial" w:cs="Arial"/>
          <w:color w:val="000000" w:themeColor="text1"/>
          <w:sz w:val="22"/>
          <w:szCs w:val="22"/>
        </w:rPr>
        <w:br/>
      </w:r>
      <w:r w:rsidRPr="00AF1123">
        <w:rPr>
          <w:rFonts w:ascii="Arial" w:hAnsi="Arial" w:cs="Arial"/>
          <w:color w:val="000000" w:themeColor="text1"/>
          <w:sz w:val="22"/>
          <w:szCs w:val="22"/>
        </w:rPr>
        <w:br/>
      </w:r>
      <w:r w:rsidRPr="00AF1123">
        <w:rPr>
          <w:rFonts w:ascii="Arial" w:hAnsi="Arial" w:cs="Arial"/>
          <w:color w:val="000000" w:themeColor="text1"/>
          <w:sz w:val="22"/>
          <w:szCs w:val="22"/>
        </w:rPr>
        <w:br/>
      </w:r>
    </w:p>
    <w:p w14:paraId="332AD196" w14:textId="77777777" w:rsidR="00DD6C15" w:rsidRPr="00AF1123" w:rsidRDefault="00DD6C15" w:rsidP="00DD6C15">
      <w:pPr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AF1123">
        <w:rPr>
          <w:rFonts w:ascii="Arial" w:hAnsi="Arial" w:cs="Arial"/>
          <w:color w:val="000000" w:themeColor="text1"/>
          <w:sz w:val="22"/>
          <w:szCs w:val="22"/>
        </w:rPr>
        <w:lastRenderedPageBreak/>
        <w:fldChar w:fldCharType="begin"/>
      </w:r>
      <w:r w:rsidRPr="00AF1123">
        <w:rPr>
          <w:rFonts w:ascii="Arial" w:hAnsi="Arial" w:cs="Arial"/>
          <w:color w:val="000000" w:themeColor="text1"/>
          <w:sz w:val="22"/>
          <w:szCs w:val="22"/>
        </w:rPr>
        <w:instrText xml:space="preserve"> INCLUDEPICTURE "https://lh7-rt.googleusercontent.com/docsz/AD_4nXc2xC9gkngXLM-1JQpIAf3ra-7LmCiNlvGI7six5Wms1ftbjWsDxCZOIc3rSi74xJLF6v7ACXHj9QB632LdxHy210VPdBEa4QK75G8G1ezEziLTBcou8e_jz0kg_uBvQCHbbjKJrNRP5CTC5Dr83CO5oRr8?key=vIcU-NACHGH0-enYDf-Eqw" \* MERGEFORMATINET </w:instrText>
      </w:r>
      <w:r w:rsidRPr="00AF1123">
        <w:rPr>
          <w:rFonts w:ascii="Arial" w:hAnsi="Arial" w:cs="Arial"/>
          <w:color w:val="000000" w:themeColor="text1"/>
          <w:sz w:val="22"/>
          <w:szCs w:val="22"/>
        </w:rPr>
        <w:fldChar w:fldCharType="separate"/>
      </w:r>
      <w:r w:rsidRPr="00AF1123">
        <w:rPr>
          <w:rFonts w:ascii="Arial" w:hAnsi="Arial" w:cs="Arial"/>
          <w:noProof/>
          <w:color w:val="000000" w:themeColor="text1"/>
          <w:sz w:val="22"/>
          <w:szCs w:val="22"/>
        </w:rPr>
        <w:drawing>
          <wp:inline distT="0" distB="0" distL="0" distR="0" wp14:anchorId="5C0791E1" wp14:editId="29743E94">
            <wp:extent cx="5193064" cy="7423573"/>
            <wp:effectExtent l="0" t="0" r="1270" b="6350"/>
            <wp:docPr id="8173778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5099" cy="74264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F1123">
        <w:rPr>
          <w:rFonts w:ascii="Arial" w:hAnsi="Arial" w:cs="Arial"/>
          <w:color w:val="000000" w:themeColor="text1"/>
          <w:sz w:val="22"/>
          <w:szCs w:val="22"/>
        </w:rPr>
        <w:fldChar w:fldCharType="end"/>
      </w:r>
    </w:p>
    <w:p w14:paraId="0CB7472E" w14:textId="77777777" w:rsidR="00DD6C15" w:rsidRPr="00AF1123" w:rsidRDefault="00DD6C15" w:rsidP="00DD6C15">
      <w:pPr>
        <w:jc w:val="both"/>
        <w:rPr>
          <w:rFonts w:ascii="Arial" w:hAnsi="Arial" w:cs="Arial"/>
          <w:color w:val="000000" w:themeColor="text1"/>
          <w:sz w:val="22"/>
          <w:szCs w:val="22"/>
        </w:rPr>
      </w:pPr>
    </w:p>
    <w:p w14:paraId="6E326176" w14:textId="77777777" w:rsidR="00DD6C15" w:rsidRPr="00AF1123" w:rsidRDefault="00DD6C15" w:rsidP="00DD6C15">
      <w:pPr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AF1123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Fig. S2. An example of lost eSNP rs10095018. </w:t>
      </w:r>
      <w:r w:rsidRPr="00AF1123">
        <w:rPr>
          <w:rFonts w:ascii="Arial" w:hAnsi="Arial" w:cs="Arial"/>
          <w:color w:val="000000" w:themeColor="text1"/>
          <w:sz w:val="22"/>
          <w:szCs w:val="22"/>
        </w:rPr>
        <w:t>A) LNCaP Hi-C data near the rs10095018 SNP locus. B) An enlarged binding motif logo of FOXA1 (MA0148.1) from JASPAR</w:t>
      </w:r>
      <w:r w:rsidRPr="00AF1123">
        <w:rPr>
          <w:rFonts w:ascii="Arial" w:hAnsi="Arial" w:cs="Arial"/>
          <w:color w:val="000000" w:themeColor="text1"/>
          <w:sz w:val="22"/>
          <w:szCs w:val="22"/>
        </w:rPr>
        <w:fldChar w:fldCharType="begin">
          <w:fldData xml:space="preserve">PEVuZE5vdGU+PENpdGU+PEF1dGhvcj5NYXRoZWxpZXI8L0F1dGhvcj48WWVhcj4yMDE0PC9ZZWFy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</w:fldData>
        </w:fldChar>
      </w:r>
      <w:r w:rsidRPr="00AF1123">
        <w:rPr>
          <w:rFonts w:ascii="Arial" w:hAnsi="Arial" w:cs="Arial"/>
          <w:color w:val="000000" w:themeColor="text1"/>
          <w:sz w:val="22"/>
          <w:szCs w:val="22"/>
        </w:rPr>
        <w:instrText xml:space="preserve"> ADDIN EN.CITE </w:instrText>
      </w:r>
      <w:r w:rsidRPr="00AF1123">
        <w:rPr>
          <w:rFonts w:ascii="Arial" w:hAnsi="Arial" w:cs="Arial"/>
          <w:color w:val="000000" w:themeColor="text1"/>
          <w:sz w:val="22"/>
          <w:szCs w:val="22"/>
        </w:rPr>
        <w:fldChar w:fldCharType="begin">
          <w:fldData xml:space="preserve">PEVuZE5vdGU+PENpdGU+PEF1dGhvcj5NYXRoZWxpZXI8L0F1dGhvcj48WWVhcj4yMDE0PC9ZZWFy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</w:fldData>
        </w:fldChar>
      </w:r>
      <w:r w:rsidRPr="00AF1123">
        <w:rPr>
          <w:rFonts w:ascii="Arial" w:hAnsi="Arial" w:cs="Arial"/>
          <w:color w:val="000000" w:themeColor="text1"/>
          <w:sz w:val="22"/>
          <w:szCs w:val="22"/>
        </w:rPr>
        <w:instrText xml:space="preserve"> ADDIN EN.CITE.DATA </w:instrText>
      </w:r>
      <w:r w:rsidRPr="00AF1123">
        <w:rPr>
          <w:rFonts w:ascii="Arial" w:hAnsi="Arial" w:cs="Arial"/>
          <w:color w:val="000000" w:themeColor="text1"/>
          <w:sz w:val="22"/>
          <w:szCs w:val="22"/>
        </w:rPr>
      </w:r>
      <w:r w:rsidRPr="00AF1123">
        <w:rPr>
          <w:rFonts w:ascii="Arial" w:hAnsi="Arial" w:cs="Arial"/>
          <w:color w:val="000000" w:themeColor="text1"/>
          <w:sz w:val="22"/>
          <w:szCs w:val="22"/>
        </w:rPr>
        <w:fldChar w:fldCharType="end"/>
      </w:r>
      <w:r w:rsidRPr="00AF1123">
        <w:rPr>
          <w:rFonts w:ascii="Arial" w:hAnsi="Arial" w:cs="Arial"/>
          <w:color w:val="000000" w:themeColor="text1"/>
          <w:sz w:val="22"/>
          <w:szCs w:val="22"/>
        </w:rPr>
      </w:r>
      <w:r w:rsidRPr="00AF1123">
        <w:rPr>
          <w:rFonts w:ascii="Arial" w:hAnsi="Arial" w:cs="Arial"/>
          <w:color w:val="000000" w:themeColor="text1"/>
          <w:sz w:val="22"/>
          <w:szCs w:val="22"/>
        </w:rPr>
        <w:fldChar w:fldCharType="separate"/>
      </w:r>
      <w:r w:rsidRPr="00AF1123">
        <w:rPr>
          <w:rFonts w:ascii="Arial" w:hAnsi="Arial" w:cs="Arial"/>
          <w:noProof/>
          <w:color w:val="000000" w:themeColor="text1"/>
          <w:sz w:val="22"/>
          <w:szCs w:val="22"/>
          <w:vertAlign w:val="superscript"/>
        </w:rPr>
        <w:t>54</w:t>
      </w:r>
      <w:r w:rsidRPr="00AF1123">
        <w:rPr>
          <w:rFonts w:ascii="Arial" w:hAnsi="Arial" w:cs="Arial"/>
          <w:color w:val="000000" w:themeColor="text1"/>
          <w:sz w:val="22"/>
          <w:szCs w:val="22"/>
        </w:rPr>
        <w:fldChar w:fldCharType="end"/>
      </w:r>
      <w:r w:rsidRPr="00AF1123">
        <w:rPr>
          <w:rFonts w:ascii="Arial" w:hAnsi="Arial" w:cs="Arial"/>
          <w:color w:val="000000" w:themeColor="text1"/>
          <w:sz w:val="22"/>
          <w:szCs w:val="22"/>
        </w:rPr>
        <w:t xml:space="preserve">, where the 6th </w:t>
      </w:r>
      <w:r w:rsidRPr="00AF1123">
        <w:rPr>
          <w:rFonts w:ascii="Arial" w:hAnsi="Arial" w:cs="Arial"/>
          <w:color w:val="000000" w:themeColor="text1"/>
          <w:sz w:val="22"/>
          <w:szCs w:val="22"/>
        </w:rPr>
        <w:lastRenderedPageBreak/>
        <w:t>position corresponds to the eSNP. C). Percentage of FOXA1 ChIP-seq reads coverage of both T and C alleles at the rs10095018 SNP site in MDA PCa 2B cell line.</w:t>
      </w:r>
    </w:p>
    <w:p w14:paraId="1DD1DD16" w14:textId="77777777" w:rsidR="00DD6C15" w:rsidRPr="00AF1123" w:rsidRDefault="00DD6C15" w:rsidP="00DD6C15">
      <w:pPr>
        <w:jc w:val="both"/>
        <w:rPr>
          <w:rFonts w:ascii="Arial" w:hAnsi="Arial" w:cs="Arial"/>
          <w:color w:val="000000" w:themeColor="text1"/>
          <w:sz w:val="22"/>
          <w:szCs w:val="22"/>
        </w:rPr>
      </w:pPr>
    </w:p>
    <w:p w14:paraId="171B5A27" w14:textId="77777777" w:rsidR="00DD6C15" w:rsidRPr="00AF1123" w:rsidRDefault="00DD6C15" w:rsidP="00DD6C15">
      <w:pPr>
        <w:jc w:val="both"/>
        <w:rPr>
          <w:rFonts w:ascii="Arial" w:hAnsi="Arial" w:cs="Arial"/>
          <w:color w:val="000000" w:themeColor="text1"/>
          <w:sz w:val="22"/>
          <w:szCs w:val="22"/>
        </w:rPr>
      </w:pPr>
    </w:p>
    <w:p w14:paraId="0F5E56BF" w14:textId="77777777" w:rsidR="00DD6C15" w:rsidRPr="00AF1123" w:rsidRDefault="00DD6C15" w:rsidP="00DD6C15">
      <w:pPr>
        <w:jc w:val="both"/>
        <w:rPr>
          <w:rFonts w:ascii="Arial" w:hAnsi="Arial" w:cs="Arial"/>
          <w:color w:val="000000" w:themeColor="text1"/>
          <w:sz w:val="22"/>
          <w:szCs w:val="22"/>
        </w:rPr>
      </w:pPr>
    </w:p>
    <w:p w14:paraId="3132A94A" w14:textId="77777777" w:rsidR="00DD6C15" w:rsidRPr="00AF1123" w:rsidRDefault="00DD6C15" w:rsidP="00DD6C15">
      <w:pPr>
        <w:jc w:val="both"/>
        <w:rPr>
          <w:rFonts w:ascii="Arial" w:hAnsi="Arial" w:cs="Arial"/>
          <w:color w:val="000000" w:themeColor="text1"/>
          <w:sz w:val="22"/>
          <w:szCs w:val="22"/>
        </w:rPr>
      </w:pPr>
    </w:p>
    <w:p w14:paraId="7F9555CB" w14:textId="77777777" w:rsidR="00DD6C15" w:rsidRPr="00AF1123" w:rsidRDefault="00DD6C15" w:rsidP="00DD6C15">
      <w:pPr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AF1123">
        <w:rPr>
          <w:rFonts w:ascii="Arial" w:hAnsi="Arial" w:cs="Arial"/>
          <w:noProof/>
          <w:color w:val="000000" w:themeColor="text1"/>
          <w:sz w:val="22"/>
          <w:szCs w:val="22"/>
        </w:rPr>
        <w:drawing>
          <wp:inline distT="0" distB="0" distL="0" distR="0" wp14:anchorId="6B91856F" wp14:editId="48B8F314">
            <wp:extent cx="4131733" cy="3129699"/>
            <wp:effectExtent l="0" t="0" r="0" b="0"/>
            <wp:docPr id="2012094656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2094656" name="Picture 2012094656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44589" cy="31394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094BC0" w14:textId="77777777" w:rsidR="00DD6C15" w:rsidRPr="00AF1123" w:rsidRDefault="00DD6C15" w:rsidP="00DD6C15">
      <w:pPr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AF1123">
        <w:rPr>
          <w:rFonts w:ascii="Arial" w:hAnsi="Arial" w:cs="Arial"/>
          <w:b/>
          <w:bCs/>
          <w:color w:val="000000" w:themeColor="text1"/>
          <w:sz w:val="22"/>
          <w:szCs w:val="22"/>
        </w:rPr>
        <w:t>Fig. S3</w:t>
      </w:r>
      <w:r w:rsidRPr="00AF1123">
        <w:rPr>
          <w:rFonts w:ascii="Arial" w:hAnsi="Arial" w:cs="Arial"/>
          <w:color w:val="000000" w:themeColor="text1"/>
          <w:sz w:val="22"/>
          <w:szCs w:val="22"/>
        </w:rPr>
        <w:t xml:space="preserve">. </w:t>
      </w:r>
      <w:r w:rsidRPr="00AF1123">
        <w:rPr>
          <w:rFonts w:ascii="Arial" w:hAnsi="Arial" w:cs="Arial"/>
          <w:color w:val="000000" w:themeColor="text1"/>
          <w:sz w:val="20"/>
          <w:szCs w:val="20"/>
        </w:rPr>
        <w:t>Odds ratio (y-axis) related to different SNP sets based on contrast PRS against PRS score threshold (x-axis) in EA cohort. The odds ratio is the ratio of the fraction of PrCa patients with PRS above a certain threshold to that of control individuals with PRS above the same threshold. All PRSs based on different SNP sets are z-score normalized for comparison. Error bars show the standard deviation of the 10-fold cross validation.</w:t>
      </w:r>
    </w:p>
    <w:p w14:paraId="42ABDA18" w14:textId="77777777" w:rsidR="00DD6C15" w:rsidRPr="00AF1123" w:rsidRDefault="00DD6C15" w:rsidP="00DD6C15">
      <w:pPr>
        <w:jc w:val="both"/>
        <w:rPr>
          <w:rFonts w:ascii="Arial" w:hAnsi="Arial" w:cs="Arial"/>
          <w:color w:val="000000" w:themeColor="text1"/>
          <w:sz w:val="22"/>
          <w:szCs w:val="22"/>
        </w:rPr>
      </w:pPr>
    </w:p>
    <w:p w14:paraId="55DAA049" w14:textId="77777777" w:rsidR="00DD6C15" w:rsidRPr="00AF1123" w:rsidRDefault="00DD6C15" w:rsidP="00DD6C15">
      <w:pPr>
        <w:jc w:val="both"/>
        <w:rPr>
          <w:rFonts w:ascii="Arial" w:hAnsi="Arial" w:cs="Arial"/>
          <w:color w:val="000000" w:themeColor="text1"/>
          <w:sz w:val="22"/>
          <w:szCs w:val="22"/>
        </w:rPr>
      </w:pPr>
    </w:p>
    <w:p w14:paraId="3F43FAFE" w14:textId="77777777" w:rsidR="00DD6C15" w:rsidRPr="00AF1123" w:rsidRDefault="00DD6C15" w:rsidP="00DD6C15">
      <w:pPr>
        <w:jc w:val="both"/>
        <w:rPr>
          <w:rFonts w:ascii="Arial" w:hAnsi="Arial" w:cs="Arial"/>
          <w:color w:val="000000" w:themeColor="text1"/>
          <w:sz w:val="22"/>
          <w:szCs w:val="22"/>
        </w:rPr>
      </w:pPr>
    </w:p>
    <w:p w14:paraId="2E00C063" w14:textId="77777777" w:rsidR="00DD6C15" w:rsidRPr="00AF1123" w:rsidRDefault="00DD6C15" w:rsidP="00DD6C15">
      <w:pPr>
        <w:jc w:val="both"/>
        <w:rPr>
          <w:rFonts w:ascii="Arial" w:hAnsi="Arial" w:cs="Arial"/>
          <w:color w:val="000000" w:themeColor="text1"/>
          <w:sz w:val="22"/>
          <w:szCs w:val="22"/>
        </w:rPr>
      </w:pPr>
    </w:p>
    <w:p w14:paraId="6DE14ED5" w14:textId="77777777" w:rsidR="00DD6C15" w:rsidRPr="00AF1123" w:rsidRDefault="00DD6C15" w:rsidP="00DD6C15">
      <w:pPr>
        <w:jc w:val="both"/>
        <w:rPr>
          <w:rFonts w:ascii="Arial" w:hAnsi="Arial" w:cs="Arial"/>
          <w:color w:val="000000" w:themeColor="text1"/>
          <w:sz w:val="22"/>
          <w:szCs w:val="22"/>
        </w:rPr>
      </w:pPr>
    </w:p>
    <w:p w14:paraId="779A3C68" w14:textId="77777777" w:rsidR="00DD6C15" w:rsidRPr="00AF1123" w:rsidRDefault="00DD6C15" w:rsidP="00DD6C15">
      <w:pPr>
        <w:jc w:val="both"/>
        <w:rPr>
          <w:rFonts w:ascii="Arial" w:hAnsi="Arial" w:cs="Arial"/>
          <w:color w:val="000000" w:themeColor="text1"/>
          <w:sz w:val="22"/>
          <w:szCs w:val="22"/>
        </w:rPr>
      </w:pPr>
    </w:p>
    <w:p w14:paraId="730C6BDF" w14:textId="77777777" w:rsidR="00DD6C15" w:rsidRPr="00AF1123" w:rsidRDefault="00DD6C15" w:rsidP="00DD6C15">
      <w:pPr>
        <w:jc w:val="both"/>
        <w:rPr>
          <w:rFonts w:ascii="Arial" w:hAnsi="Arial" w:cs="Arial"/>
          <w:color w:val="000000" w:themeColor="text1"/>
          <w:sz w:val="22"/>
          <w:szCs w:val="22"/>
        </w:rPr>
      </w:pPr>
    </w:p>
    <w:p w14:paraId="3E934139" w14:textId="77777777" w:rsidR="00DD6C15" w:rsidRPr="00AF1123" w:rsidRDefault="00DD6C15" w:rsidP="00DD6C15">
      <w:pPr>
        <w:jc w:val="both"/>
        <w:rPr>
          <w:rFonts w:ascii="Arial" w:hAnsi="Arial" w:cs="Arial"/>
          <w:color w:val="000000" w:themeColor="text1"/>
          <w:sz w:val="22"/>
          <w:szCs w:val="22"/>
        </w:rPr>
      </w:pPr>
    </w:p>
    <w:p w14:paraId="323A013F" w14:textId="77777777" w:rsidR="00DD6C15" w:rsidRPr="00AF1123" w:rsidRDefault="00DD6C15" w:rsidP="00DD6C15">
      <w:pPr>
        <w:jc w:val="both"/>
        <w:rPr>
          <w:rFonts w:ascii="Arial" w:hAnsi="Arial" w:cs="Arial"/>
          <w:color w:val="000000" w:themeColor="text1"/>
          <w:sz w:val="22"/>
          <w:szCs w:val="22"/>
        </w:rPr>
      </w:pPr>
    </w:p>
    <w:p w14:paraId="764EAA0C" w14:textId="77777777" w:rsidR="00DD6C15" w:rsidRPr="00AF1123" w:rsidRDefault="00DD6C15" w:rsidP="00DD6C15">
      <w:pPr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AF1123">
        <w:rPr>
          <w:rFonts w:ascii="Arial" w:hAnsi="Arial" w:cs="Arial"/>
          <w:noProof/>
          <w:color w:val="000000" w:themeColor="text1"/>
          <w:sz w:val="22"/>
          <w:szCs w:val="22"/>
        </w:rPr>
        <w:drawing>
          <wp:inline distT="0" distB="0" distL="0" distR="0" wp14:anchorId="7A521490" wp14:editId="39EBD166">
            <wp:extent cx="5943600" cy="4992370"/>
            <wp:effectExtent l="0" t="0" r="0" b="0"/>
            <wp:docPr id="335198522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5198522" name="Picture 335198522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992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DE783C" w14:textId="77777777" w:rsidR="00DD6C15" w:rsidRPr="00AF1123" w:rsidRDefault="00DD6C15" w:rsidP="00DD6C15">
      <w:pPr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AF1123">
        <w:rPr>
          <w:rFonts w:ascii="Arial" w:hAnsi="Arial" w:cs="Arial"/>
          <w:b/>
          <w:bCs/>
          <w:color w:val="000000" w:themeColor="text1"/>
          <w:sz w:val="22"/>
          <w:szCs w:val="22"/>
        </w:rPr>
        <w:t>Fig. S4</w:t>
      </w:r>
      <w:r w:rsidRPr="00AF1123">
        <w:rPr>
          <w:rFonts w:ascii="Arial" w:hAnsi="Arial" w:cs="Arial"/>
          <w:color w:val="000000" w:themeColor="text1"/>
          <w:sz w:val="22"/>
          <w:szCs w:val="22"/>
        </w:rPr>
        <w:t xml:space="preserve">. </w:t>
      </w:r>
      <w:r w:rsidRPr="00AF1123">
        <w:rPr>
          <w:rFonts w:ascii="Arial" w:hAnsi="Arial" w:cs="Arial"/>
          <w:color w:val="000000" w:themeColor="text1"/>
          <w:sz w:val="20"/>
          <w:szCs w:val="20"/>
        </w:rPr>
        <w:t>Biological processes associated with gained activity PGS-545 SNPs using the GREAT tool</w:t>
      </w:r>
      <w:bookmarkEnd w:id="0"/>
      <w:bookmarkEnd w:id="1"/>
    </w:p>
    <w:p w14:paraId="3FA14962" w14:textId="77777777" w:rsidR="00755780" w:rsidRDefault="00755780"/>
    <w:sectPr w:rsidR="00755780" w:rsidSect="00DD6C15">
      <w:footerReference w:type="even" r:id="rId8"/>
      <w:footerReference w:type="default" r:id="rId9"/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609931586"/>
      <w:docPartObj>
        <w:docPartGallery w:val="Page Numbers (Bottom of Page)"/>
        <w:docPartUnique/>
      </w:docPartObj>
    </w:sdtPr>
    <w:sdtContent>
      <w:p w14:paraId="26CCFDEA" w14:textId="77777777" w:rsidR="00000000" w:rsidRDefault="00000000" w:rsidP="00666CCC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2135B4E7" w14:textId="77777777" w:rsidR="00000000" w:rsidRDefault="00000000" w:rsidP="00702D01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284937144"/>
      <w:docPartObj>
        <w:docPartGallery w:val="Page Numbers (Bottom of Page)"/>
        <w:docPartUnique/>
      </w:docPartObj>
    </w:sdtPr>
    <w:sdtContent>
      <w:p w14:paraId="0ACD426A" w14:textId="77777777" w:rsidR="00000000" w:rsidRDefault="00000000" w:rsidP="00666CCC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7F798318" w14:textId="77777777" w:rsidR="00000000" w:rsidRDefault="00000000" w:rsidP="00702D01">
    <w:pPr>
      <w:pStyle w:val="Footer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6C15"/>
    <w:rsid w:val="001E1E56"/>
    <w:rsid w:val="00331A6B"/>
    <w:rsid w:val="00755780"/>
    <w:rsid w:val="00857596"/>
    <w:rsid w:val="00DD6C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EB4B0"/>
  <w15:chartTrackingRefBased/>
  <w15:docId w15:val="{6DD6DF74-25EF-459C-AA0F-2A483F5799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D6C15"/>
    <w:pPr>
      <w:spacing w:line="278" w:lineRule="auto"/>
    </w:pPr>
    <w:rPr>
      <w:rFonts w:eastAsiaTheme="minorEastAsia"/>
      <w:sz w:val="24"/>
      <w:szCs w:val="24"/>
      <w:lang w:eastAsia="zh-TW"/>
    </w:rPr>
  </w:style>
  <w:style w:type="paragraph" w:styleId="Heading1">
    <w:name w:val="heading 1"/>
    <w:basedOn w:val="Normal"/>
    <w:next w:val="Normal"/>
    <w:link w:val="Heading1Char"/>
    <w:uiPriority w:val="9"/>
    <w:qFormat/>
    <w:rsid w:val="00DD6C15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D6C15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D6C15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D6C15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sz w:val="22"/>
      <w:szCs w:val="22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D6C15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sz w:val="22"/>
      <w:szCs w:val="22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D6C15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  <w:sz w:val="22"/>
      <w:szCs w:val="22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D6C15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  <w:sz w:val="22"/>
      <w:szCs w:val="22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D6C15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  <w:sz w:val="22"/>
      <w:szCs w:val="22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D6C15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D6C1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D6C1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D6C1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D6C1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D6C1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D6C1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D6C1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D6C1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D6C1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D6C1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DD6C1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D6C15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DD6C1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D6C15"/>
    <w:pPr>
      <w:spacing w:before="160" w:line="259" w:lineRule="auto"/>
      <w:jc w:val="center"/>
    </w:pPr>
    <w:rPr>
      <w:rFonts w:eastAsiaTheme="minorHAnsi"/>
      <w:i/>
      <w:iCs/>
      <w:color w:val="404040" w:themeColor="text1" w:themeTint="BF"/>
      <w:sz w:val="22"/>
      <w:szCs w:val="22"/>
      <w:lang w:eastAsia="en-US"/>
    </w:rPr>
  </w:style>
  <w:style w:type="character" w:customStyle="1" w:styleId="QuoteChar">
    <w:name w:val="Quote Char"/>
    <w:basedOn w:val="DefaultParagraphFont"/>
    <w:link w:val="Quote"/>
    <w:uiPriority w:val="29"/>
    <w:rsid w:val="00DD6C1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D6C15"/>
    <w:pPr>
      <w:spacing w:line="259" w:lineRule="auto"/>
      <w:ind w:left="720"/>
      <w:contextualSpacing/>
    </w:pPr>
    <w:rPr>
      <w:rFonts w:eastAsiaTheme="minorHAnsi"/>
      <w:sz w:val="22"/>
      <w:szCs w:val="22"/>
      <w:lang w:eastAsia="en-US"/>
    </w:rPr>
  </w:style>
  <w:style w:type="character" w:styleId="IntenseEmphasis">
    <w:name w:val="Intense Emphasis"/>
    <w:basedOn w:val="DefaultParagraphFont"/>
    <w:uiPriority w:val="21"/>
    <w:qFormat/>
    <w:rsid w:val="00DD6C1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D6C1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2"/>
      <w:szCs w:val="22"/>
      <w:lang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D6C1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D6C15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DD6C1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D6C15"/>
    <w:rPr>
      <w:rFonts w:eastAsiaTheme="minorEastAsia"/>
      <w:sz w:val="24"/>
      <w:szCs w:val="24"/>
      <w:lang w:eastAsia="zh-TW"/>
    </w:rPr>
  </w:style>
  <w:style w:type="character" w:styleId="PageNumber">
    <w:name w:val="page number"/>
    <w:basedOn w:val="DefaultParagraphFont"/>
    <w:uiPriority w:val="99"/>
    <w:semiHidden/>
    <w:unhideWhenUsed/>
    <w:rsid w:val="00DD6C1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317</Words>
  <Characters>1809</Characters>
  <Application>Microsoft Office Word</Application>
  <DocSecurity>0</DocSecurity>
  <Lines>15</Lines>
  <Paragraphs>4</Paragraphs>
  <ScaleCrop>false</ScaleCrop>
  <Company>Springer Nature</Company>
  <LinksUpToDate>false</LinksUpToDate>
  <CharactersWithSpaces>2122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2024-12-05T11:50:00Z</dcterms:created>
  <dcterms:modified xsi:type="dcterms:W3CDTF">2024-12-05T11:50:00Z</dcterms:modified>
</cp:coreProperties>
</file>