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B30E8" w14:textId="4F51F0FB" w:rsidR="0004453B" w:rsidRDefault="0004453B" w:rsidP="0004453B">
      <w:pPr>
        <w:rPr>
          <w:b/>
        </w:rPr>
      </w:pPr>
      <w:r>
        <w:rPr>
          <w:b/>
        </w:rPr>
        <w:t>Supplementary Information: Soil-moisture-atmosphere coupling hotspots and their representation in seasonal forecasts of boreal summer</w:t>
      </w:r>
    </w:p>
    <w:p w14:paraId="06E00402" w14:textId="77777777" w:rsidR="0004453B" w:rsidRDefault="0004453B" w:rsidP="0004453B">
      <w:r>
        <w:tab/>
      </w:r>
      <w:r>
        <w:tab/>
      </w:r>
      <w:r>
        <w:tab/>
      </w:r>
    </w:p>
    <w:p w14:paraId="5B067E64" w14:textId="77777777" w:rsidR="0004453B" w:rsidRPr="009A0373" w:rsidRDefault="0004453B" w:rsidP="0004453B">
      <w:r>
        <w:t>Authors: Jonathan Day</w:t>
      </w:r>
      <w:r>
        <w:rPr>
          <w:vertAlign w:val="superscript"/>
        </w:rPr>
        <w:t>1</w:t>
      </w:r>
      <w:r>
        <w:t>, Frederic Vitart</w:t>
      </w:r>
      <w:r>
        <w:rPr>
          <w:vertAlign w:val="superscript"/>
        </w:rPr>
        <w:t>1</w:t>
      </w:r>
      <w:r>
        <w:t>, Tim Stockdale</w:t>
      </w:r>
      <w:r>
        <w:rPr>
          <w:vertAlign w:val="superscript"/>
        </w:rPr>
        <w:t>1</w:t>
      </w:r>
      <w:r>
        <w:t>, Patrica de Rosnay</w:t>
      </w:r>
      <w:r>
        <w:rPr>
          <w:vertAlign w:val="superscript"/>
        </w:rPr>
        <w:t>1</w:t>
      </w:r>
      <w:r>
        <w:t>, Constantin Ardilouze</w:t>
      </w:r>
      <w:r>
        <w:rPr>
          <w:vertAlign w:val="superscript"/>
        </w:rPr>
        <w:t>2</w:t>
      </w:r>
      <w:r>
        <w:t>, Daniele Peano</w:t>
      </w:r>
      <w:r>
        <w:rPr>
          <w:vertAlign w:val="superscript"/>
        </w:rPr>
        <w:t>3</w:t>
      </w:r>
      <w:r>
        <w:t xml:space="preserve">, </w:t>
      </w:r>
      <w:r>
        <w:rPr>
          <w:color w:val="212121"/>
        </w:rPr>
        <w:t>Antonella Sanna</w:t>
      </w:r>
      <w:r>
        <w:rPr>
          <w:color w:val="212121"/>
          <w:vertAlign w:val="superscript"/>
        </w:rPr>
        <w:t>3</w:t>
      </w:r>
      <w:r>
        <w:rPr>
          <w:color w:val="212121"/>
        </w:rPr>
        <w:t>,</w:t>
      </w:r>
      <w:r>
        <w:t xml:space="preserve"> Kristina </w:t>
      </w:r>
      <w:r>
        <w:rPr>
          <w:color w:val="212121"/>
        </w:rPr>
        <w:t>Fröhlich</w:t>
      </w:r>
      <w:r>
        <w:rPr>
          <w:color w:val="212121"/>
          <w:vertAlign w:val="superscript"/>
        </w:rPr>
        <w:t>4</w:t>
      </w:r>
      <w:r>
        <w:rPr>
          <w:color w:val="212121"/>
        </w:rPr>
        <w:t>, Martin Andrews</w:t>
      </w:r>
      <w:r>
        <w:rPr>
          <w:color w:val="212121"/>
          <w:vertAlign w:val="superscript"/>
        </w:rPr>
        <w:t>5</w:t>
      </w:r>
    </w:p>
    <w:p w14:paraId="232BAEFA" w14:textId="77777777" w:rsidR="0004453B" w:rsidRDefault="0004453B" w:rsidP="0004453B">
      <w:pPr>
        <w:rPr>
          <w:rFonts w:ascii="Arial" w:eastAsia="Arial" w:hAnsi="Arial" w:cs="Arial"/>
          <w:sz w:val="22"/>
          <w:szCs w:val="22"/>
        </w:rPr>
      </w:pPr>
    </w:p>
    <w:p w14:paraId="5DE46ED5" w14:textId="77777777" w:rsidR="0004453B" w:rsidRDefault="0004453B" w:rsidP="0004453B">
      <w:pPr>
        <w:numPr>
          <w:ilvl w:val="0"/>
          <w:numId w:val="1"/>
        </w:numPr>
        <w:rPr>
          <w:rFonts w:ascii="Arial" w:eastAsia="Arial" w:hAnsi="Arial" w:cs="Arial"/>
          <w:sz w:val="22"/>
          <w:szCs w:val="22"/>
        </w:rPr>
      </w:pPr>
      <w:r>
        <w:rPr>
          <w:rFonts w:ascii="Arial" w:eastAsia="Arial" w:hAnsi="Arial" w:cs="Arial"/>
          <w:sz w:val="22"/>
          <w:szCs w:val="22"/>
        </w:rPr>
        <w:t>European Centre for Medium-Range Weather Forecasts, Reading, UK.</w:t>
      </w:r>
    </w:p>
    <w:p w14:paraId="1F7CBC32" w14:textId="77777777" w:rsidR="0004453B" w:rsidRDefault="0004453B" w:rsidP="0004453B">
      <w:pPr>
        <w:numPr>
          <w:ilvl w:val="0"/>
          <w:numId w:val="1"/>
        </w:numPr>
        <w:rPr>
          <w:rFonts w:ascii="Arial" w:eastAsia="Arial" w:hAnsi="Arial" w:cs="Arial"/>
          <w:sz w:val="22"/>
          <w:szCs w:val="22"/>
        </w:rPr>
      </w:pPr>
      <w:r w:rsidRPr="007D3819">
        <w:rPr>
          <w:rFonts w:ascii="Arial" w:eastAsia="Arial" w:hAnsi="Arial" w:cs="Arial"/>
          <w:color w:val="222222"/>
          <w:sz w:val="22"/>
          <w:szCs w:val="22"/>
          <w:highlight w:val="white"/>
        </w:rPr>
        <w:t xml:space="preserve">CNRM, Université de Toulouse, </w:t>
      </w:r>
      <w:proofErr w:type="spellStart"/>
      <w:r w:rsidRPr="007D3819">
        <w:rPr>
          <w:rFonts w:ascii="Arial" w:eastAsia="Arial" w:hAnsi="Arial" w:cs="Arial"/>
          <w:color w:val="222222"/>
          <w:sz w:val="22"/>
          <w:szCs w:val="22"/>
          <w:highlight w:val="white"/>
        </w:rPr>
        <w:t>Météo</w:t>
      </w:r>
      <w:proofErr w:type="spellEnd"/>
      <w:r w:rsidRPr="007D3819">
        <w:rPr>
          <w:rFonts w:ascii="Arial" w:eastAsia="Arial" w:hAnsi="Arial" w:cs="Arial"/>
          <w:color w:val="222222"/>
          <w:sz w:val="22"/>
          <w:szCs w:val="22"/>
          <w:highlight w:val="white"/>
        </w:rPr>
        <w:t>-France, CNRS, Toulouse, France</w:t>
      </w:r>
    </w:p>
    <w:p w14:paraId="0F4C8356" w14:textId="77777777" w:rsidR="0004453B" w:rsidRDefault="0004453B" w:rsidP="0004453B">
      <w:pPr>
        <w:numPr>
          <w:ilvl w:val="0"/>
          <w:numId w:val="1"/>
        </w:numPr>
        <w:rPr>
          <w:rFonts w:ascii="Arial" w:eastAsia="Arial" w:hAnsi="Arial" w:cs="Arial"/>
          <w:color w:val="222222"/>
          <w:sz w:val="22"/>
          <w:szCs w:val="22"/>
          <w:highlight w:val="white"/>
        </w:rPr>
      </w:pPr>
      <w:r>
        <w:rPr>
          <w:rFonts w:ascii="Arial" w:eastAsia="Arial" w:hAnsi="Arial" w:cs="Arial"/>
          <w:color w:val="222222"/>
          <w:sz w:val="22"/>
          <w:szCs w:val="22"/>
          <w:highlight w:val="white"/>
        </w:rPr>
        <w:t xml:space="preserve">Fondazione Centro Euro-Mediterraneo sui </w:t>
      </w:r>
      <w:proofErr w:type="spellStart"/>
      <w:r>
        <w:rPr>
          <w:rFonts w:ascii="Arial" w:eastAsia="Arial" w:hAnsi="Arial" w:cs="Arial"/>
          <w:color w:val="222222"/>
          <w:sz w:val="22"/>
          <w:szCs w:val="22"/>
          <w:highlight w:val="white"/>
        </w:rPr>
        <w:t>Cambiamenti</w:t>
      </w:r>
      <w:proofErr w:type="spellEnd"/>
      <w:r>
        <w:rPr>
          <w:rFonts w:ascii="Arial" w:eastAsia="Arial" w:hAnsi="Arial" w:cs="Arial"/>
          <w:color w:val="222222"/>
          <w:sz w:val="22"/>
          <w:szCs w:val="22"/>
          <w:highlight w:val="white"/>
        </w:rPr>
        <w:t xml:space="preserve"> </w:t>
      </w:r>
      <w:proofErr w:type="spellStart"/>
      <w:r>
        <w:rPr>
          <w:rFonts w:ascii="Arial" w:eastAsia="Arial" w:hAnsi="Arial" w:cs="Arial"/>
          <w:color w:val="222222"/>
          <w:sz w:val="22"/>
          <w:szCs w:val="22"/>
          <w:highlight w:val="white"/>
        </w:rPr>
        <w:t>Climatici</w:t>
      </w:r>
      <w:proofErr w:type="spellEnd"/>
      <w:r>
        <w:rPr>
          <w:rFonts w:ascii="Arial" w:eastAsia="Arial" w:hAnsi="Arial" w:cs="Arial"/>
          <w:color w:val="222222"/>
          <w:sz w:val="22"/>
          <w:szCs w:val="22"/>
          <w:highlight w:val="white"/>
        </w:rPr>
        <w:t>, CMCC, Bologna, Italy</w:t>
      </w:r>
    </w:p>
    <w:p w14:paraId="0557446D" w14:textId="77777777" w:rsidR="0004453B" w:rsidRDefault="0004453B" w:rsidP="0004453B">
      <w:pPr>
        <w:numPr>
          <w:ilvl w:val="0"/>
          <w:numId w:val="1"/>
        </w:numPr>
        <w:rPr>
          <w:rFonts w:ascii="Arial" w:eastAsia="Arial" w:hAnsi="Arial" w:cs="Arial"/>
          <w:sz w:val="22"/>
          <w:szCs w:val="22"/>
        </w:rPr>
      </w:pPr>
      <w:r>
        <w:rPr>
          <w:rFonts w:ascii="Arial" w:eastAsia="Arial" w:hAnsi="Arial" w:cs="Arial"/>
          <w:color w:val="222222"/>
          <w:sz w:val="22"/>
          <w:szCs w:val="22"/>
          <w:highlight w:val="white"/>
        </w:rPr>
        <w:t xml:space="preserve">Deutscher </w:t>
      </w:r>
      <w:proofErr w:type="spellStart"/>
      <w:r>
        <w:rPr>
          <w:rFonts w:ascii="Arial" w:eastAsia="Arial" w:hAnsi="Arial" w:cs="Arial"/>
          <w:color w:val="222222"/>
          <w:sz w:val="22"/>
          <w:szCs w:val="22"/>
          <w:highlight w:val="white"/>
        </w:rPr>
        <w:t>Wetterdienst</w:t>
      </w:r>
      <w:proofErr w:type="spellEnd"/>
      <w:r>
        <w:rPr>
          <w:rFonts w:ascii="Arial" w:eastAsia="Arial" w:hAnsi="Arial" w:cs="Arial"/>
          <w:color w:val="222222"/>
          <w:sz w:val="22"/>
          <w:szCs w:val="22"/>
          <w:highlight w:val="white"/>
        </w:rPr>
        <w:t>, Offenbach, Germany</w:t>
      </w:r>
    </w:p>
    <w:p w14:paraId="7FE8B654" w14:textId="77777777" w:rsidR="0004453B" w:rsidRDefault="0004453B" w:rsidP="0004453B">
      <w:pPr>
        <w:numPr>
          <w:ilvl w:val="0"/>
          <w:numId w:val="1"/>
        </w:numPr>
        <w:spacing w:after="240"/>
        <w:rPr>
          <w:rFonts w:ascii="Arial" w:eastAsia="Arial" w:hAnsi="Arial" w:cs="Arial"/>
          <w:color w:val="222222"/>
          <w:sz w:val="22"/>
          <w:szCs w:val="22"/>
          <w:highlight w:val="white"/>
        </w:rPr>
      </w:pPr>
      <w:r>
        <w:rPr>
          <w:rFonts w:ascii="Arial" w:eastAsia="Arial" w:hAnsi="Arial" w:cs="Arial"/>
          <w:color w:val="333333"/>
          <w:sz w:val="22"/>
          <w:szCs w:val="22"/>
          <w:highlight w:val="white"/>
        </w:rPr>
        <w:t>Met Office Hadley Centre, Exeter, UK</w:t>
      </w:r>
    </w:p>
    <w:p w14:paraId="1DA79F37" w14:textId="77777777" w:rsidR="0004453B" w:rsidRDefault="0004453B" w:rsidP="0004453B">
      <w:pPr>
        <w:spacing w:before="240" w:after="240"/>
        <w:rPr>
          <w:rFonts w:ascii="Arial" w:eastAsia="Arial" w:hAnsi="Arial" w:cs="Arial"/>
          <w:color w:val="333333"/>
          <w:sz w:val="22"/>
          <w:szCs w:val="22"/>
          <w:highlight w:val="white"/>
        </w:rPr>
      </w:pPr>
      <w:r>
        <w:rPr>
          <w:rFonts w:ascii="Arial" w:eastAsia="Arial" w:hAnsi="Arial" w:cs="Arial"/>
          <w:color w:val="333333"/>
          <w:sz w:val="22"/>
          <w:szCs w:val="22"/>
          <w:highlight w:val="white"/>
        </w:rPr>
        <w:t xml:space="preserve">Contact: </w:t>
      </w:r>
      <w:hyperlink r:id="rId5">
        <w:r>
          <w:rPr>
            <w:rFonts w:ascii="Arial" w:eastAsia="Arial" w:hAnsi="Arial" w:cs="Arial"/>
            <w:color w:val="1155CC"/>
            <w:sz w:val="22"/>
            <w:szCs w:val="22"/>
            <w:highlight w:val="white"/>
            <w:u w:val="single"/>
          </w:rPr>
          <w:t>jonathan.day@ecmwf.int</w:t>
        </w:r>
      </w:hyperlink>
    </w:p>
    <w:p w14:paraId="5EE34840" w14:textId="77777777" w:rsidR="00E243C9" w:rsidRDefault="00E243C9"/>
    <w:p w14:paraId="611CDE59" w14:textId="124E06F7" w:rsidR="0004453B" w:rsidRDefault="00025DF9" w:rsidP="0004453B">
      <w:pPr>
        <w:pBdr>
          <w:top w:val="nil"/>
          <w:left w:val="nil"/>
          <w:bottom w:val="nil"/>
          <w:right w:val="nil"/>
          <w:between w:val="nil"/>
        </w:pBdr>
        <w:jc w:val="both"/>
        <w:rPr>
          <w:color w:val="000000"/>
        </w:rPr>
      </w:pPr>
      <w:r>
        <w:rPr>
          <w:b/>
          <w:bCs/>
          <w:iCs/>
        </w:rPr>
        <w:t xml:space="preserve">S1 </w:t>
      </w:r>
      <w:r w:rsidR="0064105D" w:rsidRPr="00064DB1">
        <w:rPr>
          <w:b/>
          <w:bCs/>
          <w:iCs/>
        </w:rPr>
        <w:t xml:space="preserve">Composites conditioned on </w:t>
      </w:r>
      <w:r w:rsidR="0064105D">
        <w:rPr>
          <w:b/>
          <w:bCs/>
          <w:iCs/>
        </w:rPr>
        <w:t>w</w:t>
      </w:r>
      <w:r w:rsidR="0064105D" w:rsidRPr="00064DB1">
        <w:rPr>
          <w:b/>
          <w:bCs/>
          <w:iCs/>
        </w:rPr>
        <w:t>et/</w:t>
      </w:r>
      <w:r w:rsidR="0064105D">
        <w:rPr>
          <w:b/>
          <w:bCs/>
          <w:iCs/>
        </w:rPr>
        <w:t>d</w:t>
      </w:r>
      <w:r w:rsidR="0064105D" w:rsidRPr="00064DB1">
        <w:rPr>
          <w:b/>
          <w:bCs/>
          <w:iCs/>
        </w:rPr>
        <w:t xml:space="preserve">ry </w:t>
      </w:r>
      <w:r w:rsidR="0064105D">
        <w:rPr>
          <w:b/>
          <w:bCs/>
          <w:iCs/>
        </w:rPr>
        <w:t>initial conditions for C3S systems</w:t>
      </w:r>
    </w:p>
    <w:p w14:paraId="0D77DD00" w14:textId="24C99F56" w:rsidR="00031509" w:rsidRDefault="00031509" w:rsidP="00031509">
      <w:pPr>
        <w:jc w:val="both"/>
      </w:pPr>
      <w:r>
        <w:t>We can make similar composites</w:t>
      </w:r>
      <w:r w:rsidR="006C508F">
        <w:t xml:space="preserve"> to those shown in </w:t>
      </w:r>
      <w:r w:rsidR="0042269E">
        <w:t>Fig 4</w:t>
      </w:r>
      <w:r>
        <w:t xml:space="preserve"> for the seasonal hindcasts by plotting the difference between the average ensemble mean for the same dry and wet years used in the observational composite (see Fig S1-S4). </w:t>
      </w:r>
      <w:r w:rsidR="00C24C76">
        <w:t>It shows that f</w:t>
      </w:r>
      <w:r>
        <w:t>or example, the temperature anomalies extend too far to the East in the USA</w:t>
      </w:r>
      <w:r w:rsidR="00AD1A14">
        <w:t xml:space="preserve"> in many of the systems</w:t>
      </w:r>
      <w:r>
        <w:t xml:space="preserve"> (Fig </w:t>
      </w:r>
      <w:r w:rsidR="00AD1A14">
        <w:t>S2</w:t>
      </w:r>
      <w:r>
        <w:t>)</w:t>
      </w:r>
      <w:r w:rsidR="00C25D87">
        <w:t>, consistent with Figs 10</w:t>
      </w:r>
      <w:r w:rsidR="00AC6194">
        <w:t>c &amp; d</w:t>
      </w:r>
      <w:r w:rsidR="00C25D87">
        <w:t xml:space="preserve"> and 11</w:t>
      </w:r>
      <w:r w:rsidR="00AC6194">
        <w:t>c &amp;d</w:t>
      </w:r>
      <w:r>
        <w:t xml:space="preserve"> and the temperature anomal</w:t>
      </w:r>
      <w:r w:rsidR="00FA7E3F">
        <w:t>ies</w:t>
      </w:r>
      <w:r>
        <w:t xml:space="preserve"> over India </w:t>
      </w:r>
      <w:r w:rsidR="00FA7E3F">
        <w:t>are generally</w:t>
      </w:r>
      <w:r>
        <w:t xml:space="preserve"> too high</w:t>
      </w:r>
      <w:r w:rsidR="00FA7E3F">
        <w:t xml:space="preserve"> and show a strong north south dipole not seen in BEST or ERA5</w:t>
      </w:r>
      <w:r w:rsidR="003E20A0">
        <w:t>, that likely contributes to the negative CRPSS values seen in this region in Fig 8</w:t>
      </w:r>
      <w:r>
        <w:t xml:space="preserve">. </w:t>
      </w:r>
    </w:p>
    <w:p w14:paraId="4A660159" w14:textId="77777777" w:rsidR="00031509" w:rsidRDefault="00031509" w:rsidP="00031509">
      <w:pPr>
        <w:jc w:val="both"/>
      </w:pPr>
    </w:p>
    <w:p w14:paraId="464E7D96" w14:textId="59316441" w:rsidR="00031509" w:rsidRDefault="00031509" w:rsidP="00031509">
      <w:pPr>
        <w:jc w:val="both"/>
      </w:pPr>
      <w:r>
        <w:t xml:space="preserve">Differences between the observed and forecast composites can occur for </w:t>
      </w:r>
      <w:proofErr w:type="gramStart"/>
      <w:r>
        <w:t>a number of</w:t>
      </w:r>
      <w:proofErr w:type="gramEnd"/>
      <w:r>
        <w:t xml:space="preserve"> reasons</w:t>
      </w:r>
      <w:r w:rsidR="00AC6194">
        <w:t>:</w:t>
      </w:r>
      <w:r>
        <w:t xml:space="preserve"> errors in initial conditions, differences in the timescales of soil-moisture persistence, and errors in land-atmosphere coupling strength. </w:t>
      </w:r>
    </w:p>
    <w:p w14:paraId="06CD4FB7" w14:textId="77777777" w:rsidR="00031509" w:rsidRDefault="00031509" w:rsidP="0004453B">
      <w:pPr>
        <w:pBdr>
          <w:top w:val="nil"/>
          <w:left w:val="nil"/>
          <w:bottom w:val="nil"/>
          <w:right w:val="nil"/>
          <w:between w:val="nil"/>
        </w:pBdr>
        <w:jc w:val="both"/>
        <w:rPr>
          <w:color w:val="000000"/>
        </w:rPr>
      </w:pPr>
    </w:p>
    <w:p w14:paraId="2B8AF2B8" w14:textId="77777777" w:rsidR="0004453B" w:rsidRDefault="0004453B" w:rsidP="0004453B">
      <w:pPr>
        <w:pBdr>
          <w:top w:val="nil"/>
          <w:left w:val="nil"/>
          <w:bottom w:val="nil"/>
          <w:right w:val="nil"/>
          <w:between w:val="nil"/>
        </w:pBdr>
        <w:jc w:val="both"/>
        <w:rPr>
          <w:color w:val="000000"/>
        </w:rPr>
      </w:pPr>
      <w:r>
        <w:rPr>
          <w:noProof/>
          <w:color w:val="000000"/>
        </w:rPr>
        <w:lastRenderedPageBreak/>
        <w:drawing>
          <wp:inline distT="0" distB="0" distL="0" distR="0" wp14:anchorId="4F440AD5" wp14:editId="7FB6D723">
            <wp:extent cx="3939580" cy="7121876"/>
            <wp:effectExtent l="0" t="0" r="0" b="3175"/>
            <wp:docPr id="2113811850" name="image13.png"/>
            <wp:cNvGraphicFramePr/>
            <a:graphic xmlns:a="http://schemas.openxmlformats.org/drawingml/2006/main">
              <a:graphicData uri="http://schemas.openxmlformats.org/drawingml/2006/picture">
                <pic:pic xmlns:pic="http://schemas.openxmlformats.org/drawingml/2006/picture">
                  <pic:nvPicPr>
                    <pic:cNvPr id="2113811850" name="image13.png"/>
                    <pic:cNvPicPr preferRelativeResize="0"/>
                  </pic:nvPicPr>
                  <pic:blipFill>
                    <a:blip r:embed="rId6">
                      <a:extLst>
                        <a:ext uri="{28A0092B-C50C-407E-A947-70E740481C1C}">
                          <a14:useLocalDpi xmlns:a14="http://schemas.microsoft.com/office/drawing/2010/main" val="0"/>
                        </a:ext>
                      </a:extLst>
                    </a:blip>
                    <a:stretch>
                      <a:fillRect/>
                    </a:stretch>
                  </pic:blipFill>
                  <pic:spPr>
                    <a:xfrm>
                      <a:off x="0" y="0"/>
                      <a:ext cx="3939580" cy="7121876"/>
                    </a:xfrm>
                    <a:prstGeom prst="rect">
                      <a:avLst/>
                    </a:prstGeom>
                    <a:ln/>
                  </pic:spPr>
                </pic:pic>
              </a:graphicData>
            </a:graphic>
          </wp:inline>
        </w:drawing>
      </w:r>
    </w:p>
    <w:p w14:paraId="0C8E5663" w14:textId="77777777" w:rsidR="0004453B" w:rsidRDefault="0004453B" w:rsidP="0004453B">
      <w:pPr>
        <w:pBdr>
          <w:top w:val="nil"/>
          <w:left w:val="nil"/>
          <w:bottom w:val="nil"/>
          <w:right w:val="nil"/>
          <w:between w:val="nil"/>
        </w:pBdr>
        <w:jc w:val="both"/>
        <w:rPr>
          <w:color w:val="000000"/>
        </w:rPr>
      </w:pPr>
      <w:r>
        <w:rPr>
          <w:i/>
          <w:color w:val="000000"/>
        </w:rPr>
        <w:t xml:space="preserve">Fig S1. Difference between composites of JJA mean 100cm soil moisture (filled contours), evaporation (hatches where difference is more than 0.3mm/day), temperature (red and blue contours at 0.2 (light) and 0.7 (dark)) and z500 (black contour) based on whether the observed 1 May soil moisture inside each the yellow box was in the dryest or wettest terciles in the Western-USA (see Table 2 for a list of years). The observed composite utilises GLEAM for SM and </w:t>
      </w:r>
      <w:proofErr w:type="spellStart"/>
      <w:r>
        <w:rPr>
          <w:i/>
          <w:color w:val="000000"/>
        </w:rPr>
        <w:t>erate</w:t>
      </w:r>
      <w:proofErr w:type="spellEnd"/>
      <w:r>
        <w:rPr>
          <w:i/>
          <w:color w:val="000000"/>
        </w:rPr>
        <w:t xml:space="preserve">, BEST for T2m and GPCP for precipitation. For the ERA5 composite all variables are from ERA5. For the C3S models the composite is calculated similarly from the JJA hindcast ensemble mean. </w:t>
      </w:r>
    </w:p>
    <w:p w14:paraId="4B94C9C3" w14:textId="77777777" w:rsidR="0004453B" w:rsidRDefault="0004453B" w:rsidP="0004453B">
      <w:pPr>
        <w:pBdr>
          <w:top w:val="nil"/>
          <w:left w:val="nil"/>
          <w:bottom w:val="nil"/>
          <w:right w:val="nil"/>
          <w:between w:val="nil"/>
        </w:pBdr>
        <w:jc w:val="both"/>
        <w:rPr>
          <w:i/>
          <w:color w:val="000000"/>
        </w:rPr>
      </w:pPr>
      <w:r>
        <w:rPr>
          <w:noProof/>
          <w:color w:val="000000"/>
        </w:rPr>
        <w:lastRenderedPageBreak/>
        <w:drawing>
          <wp:inline distT="0" distB="0" distL="0" distR="0" wp14:anchorId="0C36CE99" wp14:editId="7728CF70">
            <wp:extent cx="4423820" cy="7902379"/>
            <wp:effectExtent l="0" t="0" r="0" b="0"/>
            <wp:docPr id="2113811852" name="image11.png"/>
            <wp:cNvGraphicFramePr/>
            <a:graphic xmlns:a="http://schemas.openxmlformats.org/drawingml/2006/main">
              <a:graphicData uri="http://schemas.openxmlformats.org/drawingml/2006/picture">
                <pic:pic xmlns:pic="http://schemas.openxmlformats.org/drawingml/2006/picture">
                  <pic:nvPicPr>
                    <pic:cNvPr id="2113811852" name="image11.png"/>
                    <pic:cNvPicPr preferRelativeResize="0"/>
                  </pic:nvPicPr>
                  <pic:blipFill>
                    <a:blip r:embed="rId7"/>
                    <a:stretch>
                      <a:fillRect/>
                    </a:stretch>
                  </pic:blipFill>
                  <pic:spPr>
                    <a:xfrm>
                      <a:off x="0" y="0"/>
                      <a:ext cx="4423820" cy="7902379"/>
                    </a:xfrm>
                    <a:prstGeom prst="rect">
                      <a:avLst/>
                    </a:prstGeom>
                    <a:ln/>
                  </pic:spPr>
                </pic:pic>
              </a:graphicData>
            </a:graphic>
          </wp:inline>
        </w:drawing>
      </w:r>
    </w:p>
    <w:p w14:paraId="260D27B7" w14:textId="77777777" w:rsidR="0004453B" w:rsidRDefault="0004453B" w:rsidP="0004453B">
      <w:pPr>
        <w:pBdr>
          <w:top w:val="nil"/>
          <w:left w:val="nil"/>
          <w:bottom w:val="nil"/>
          <w:right w:val="nil"/>
          <w:between w:val="nil"/>
        </w:pBdr>
        <w:jc w:val="both"/>
        <w:rPr>
          <w:i/>
          <w:color w:val="000000"/>
        </w:rPr>
      </w:pPr>
      <w:r>
        <w:rPr>
          <w:i/>
          <w:color w:val="000000"/>
        </w:rPr>
        <w:t>Fig S2. As Fig S1 but for the Western USA hotspot.</w:t>
      </w:r>
    </w:p>
    <w:p w14:paraId="61B96435" w14:textId="77777777" w:rsidR="0004453B" w:rsidRDefault="0004453B" w:rsidP="0004453B">
      <w:pPr>
        <w:pBdr>
          <w:top w:val="nil"/>
          <w:left w:val="nil"/>
          <w:bottom w:val="nil"/>
          <w:right w:val="nil"/>
          <w:between w:val="nil"/>
        </w:pBdr>
        <w:jc w:val="both"/>
        <w:rPr>
          <w:i/>
          <w:color w:val="000000"/>
        </w:rPr>
      </w:pPr>
      <w:r>
        <w:rPr>
          <w:noProof/>
          <w:color w:val="000000"/>
        </w:rPr>
        <w:lastRenderedPageBreak/>
        <w:drawing>
          <wp:inline distT="0" distB="0" distL="0" distR="0" wp14:anchorId="018E28C9" wp14:editId="66C16221">
            <wp:extent cx="5463004" cy="8600887"/>
            <wp:effectExtent l="0" t="0" r="0" b="0"/>
            <wp:docPr id="2113811853" name="image3.png"/>
            <wp:cNvGraphicFramePr/>
            <a:graphic xmlns:a="http://schemas.openxmlformats.org/drawingml/2006/main">
              <a:graphicData uri="http://schemas.openxmlformats.org/drawingml/2006/picture">
                <pic:pic xmlns:pic="http://schemas.openxmlformats.org/drawingml/2006/picture">
                  <pic:nvPicPr>
                    <pic:cNvPr id="2113811853" name="image3.png"/>
                    <pic:cNvPicPr preferRelativeResize="0"/>
                  </pic:nvPicPr>
                  <pic:blipFill>
                    <a:blip r:embed="rId8"/>
                    <a:stretch>
                      <a:fillRect/>
                    </a:stretch>
                  </pic:blipFill>
                  <pic:spPr>
                    <a:xfrm>
                      <a:off x="0" y="0"/>
                      <a:ext cx="5463004" cy="8600887"/>
                    </a:xfrm>
                    <a:prstGeom prst="rect">
                      <a:avLst/>
                    </a:prstGeom>
                    <a:ln/>
                  </pic:spPr>
                </pic:pic>
              </a:graphicData>
            </a:graphic>
          </wp:inline>
        </w:drawing>
      </w:r>
    </w:p>
    <w:p w14:paraId="20461F18" w14:textId="79F32F9C" w:rsidR="0004453B" w:rsidRDefault="0004453B" w:rsidP="0004453B">
      <w:pPr>
        <w:pBdr>
          <w:top w:val="nil"/>
          <w:left w:val="nil"/>
          <w:bottom w:val="nil"/>
          <w:right w:val="nil"/>
          <w:between w:val="nil"/>
        </w:pBdr>
        <w:jc w:val="both"/>
        <w:rPr>
          <w:i/>
          <w:color w:val="000000"/>
        </w:rPr>
      </w:pPr>
      <w:r>
        <w:rPr>
          <w:i/>
          <w:color w:val="000000"/>
        </w:rPr>
        <w:t xml:space="preserve">Fig S3. As Fig S1 but for the </w:t>
      </w:r>
      <w:proofErr w:type="spellStart"/>
      <w:r>
        <w:rPr>
          <w:i/>
          <w:color w:val="000000"/>
        </w:rPr>
        <w:t>AfP</w:t>
      </w:r>
      <w:r w:rsidR="00DE08D1">
        <w:rPr>
          <w:i/>
          <w:color w:val="000000"/>
        </w:rPr>
        <w:t>a</w:t>
      </w:r>
      <w:r>
        <w:rPr>
          <w:i/>
          <w:color w:val="000000"/>
        </w:rPr>
        <w:t>k</w:t>
      </w:r>
      <w:proofErr w:type="spellEnd"/>
      <w:r>
        <w:rPr>
          <w:i/>
          <w:color w:val="000000"/>
        </w:rPr>
        <w:t xml:space="preserve"> hotspot.</w:t>
      </w:r>
    </w:p>
    <w:p w14:paraId="3D23AD64" w14:textId="77777777" w:rsidR="0004453B" w:rsidRDefault="0004453B" w:rsidP="0004453B">
      <w:pPr>
        <w:pBdr>
          <w:top w:val="nil"/>
          <w:left w:val="nil"/>
          <w:bottom w:val="nil"/>
          <w:right w:val="nil"/>
          <w:between w:val="nil"/>
        </w:pBdr>
        <w:jc w:val="both"/>
        <w:rPr>
          <w:i/>
          <w:color w:val="000000"/>
        </w:rPr>
      </w:pPr>
      <w:r>
        <w:rPr>
          <w:noProof/>
          <w:color w:val="000000"/>
        </w:rPr>
        <w:lastRenderedPageBreak/>
        <w:drawing>
          <wp:inline distT="0" distB="0" distL="0" distR="0" wp14:anchorId="578E2C6D" wp14:editId="030DCA05">
            <wp:extent cx="5277951" cy="8216698"/>
            <wp:effectExtent l="0" t="0" r="5715" b="635"/>
            <wp:docPr id="2113811854" name="image12.png"/>
            <wp:cNvGraphicFramePr/>
            <a:graphic xmlns:a="http://schemas.openxmlformats.org/drawingml/2006/main">
              <a:graphicData uri="http://schemas.openxmlformats.org/drawingml/2006/picture">
                <pic:pic xmlns:pic="http://schemas.openxmlformats.org/drawingml/2006/picture">
                  <pic:nvPicPr>
                    <pic:cNvPr id="2113811854" name="image12.png"/>
                    <pic:cNvPicPr preferRelativeResize="0"/>
                  </pic:nvPicPr>
                  <pic:blipFill>
                    <a:blip r:embed="rId9"/>
                    <a:stretch>
                      <a:fillRect/>
                    </a:stretch>
                  </pic:blipFill>
                  <pic:spPr>
                    <a:xfrm>
                      <a:off x="0" y="0"/>
                      <a:ext cx="5277951" cy="8216698"/>
                    </a:xfrm>
                    <a:prstGeom prst="rect">
                      <a:avLst/>
                    </a:prstGeom>
                    <a:ln/>
                  </pic:spPr>
                </pic:pic>
              </a:graphicData>
            </a:graphic>
          </wp:inline>
        </w:drawing>
      </w:r>
    </w:p>
    <w:p w14:paraId="1CBFAEB8" w14:textId="77777777" w:rsidR="0004453B" w:rsidRDefault="0004453B" w:rsidP="0004453B">
      <w:pPr>
        <w:pBdr>
          <w:top w:val="nil"/>
          <w:left w:val="nil"/>
          <w:bottom w:val="nil"/>
          <w:right w:val="nil"/>
          <w:between w:val="nil"/>
        </w:pBdr>
        <w:jc w:val="both"/>
        <w:rPr>
          <w:i/>
          <w:color w:val="000000"/>
        </w:rPr>
      </w:pPr>
      <w:r>
        <w:rPr>
          <w:i/>
          <w:color w:val="000000"/>
        </w:rPr>
        <w:t xml:space="preserve">Fig S4. As Fig S1 but for the </w:t>
      </w:r>
      <w:proofErr w:type="spellStart"/>
      <w:r>
        <w:rPr>
          <w:i/>
          <w:color w:val="000000"/>
        </w:rPr>
        <w:t>EuPl</w:t>
      </w:r>
      <w:proofErr w:type="spellEnd"/>
      <w:r>
        <w:rPr>
          <w:i/>
          <w:color w:val="000000"/>
        </w:rPr>
        <w:t xml:space="preserve"> hotspot.</w:t>
      </w:r>
    </w:p>
    <w:p w14:paraId="0050D116" w14:textId="77777777" w:rsidR="005A14CF" w:rsidRDefault="005A14CF" w:rsidP="0004453B">
      <w:pPr>
        <w:pBdr>
          <w:top w:val="nil"/>
          <w:left w:val="nil"/>
          <w:bottom w:val="nil"/>
          <w:right w:val="nil"/>
          <w:between w:val="nil"/>
        </w:pBdr>
        <w:jc w:val="both"/>
        <w:rPr>
          <w:i/>
          <w:color w:val="000000"/>
        </w:rPr>
      </w:pPr>
    </w:p>
    <w:p w14:paraId="288C6924" w14:textId="128BE083" w:rsidR="005A14CF" w:rsidRDefault="008A302C" w:rsidP="0004453B">
      <w:pPr>
        <w:pBdr>
          <w:top w:val="nil"/>
          <w:left w:val="nil"/>
          <w:bottom w:val="nil"/>
          <w:right w:val="nil"/>
          <w:between w:val="nil"/>
        </w:pBdr>
        <w:jc w:val="both"/>
        <w:rPr>
          <w:b/>
          <w:bCs/>
          <w:iCs/>
          <w:color w:val="000000"/>
        </w:rPr>
      </w:pPr>
      <w:r w:rsidRPr="008A302C">
        <w:rPr>
          <w:b/>
          <w:bCs/>
          <w:iCs/>
          <w:color w:val="000000"/>
        </w:rPr>
        <w:t>S2 Soil moisture initial conditions</w:t>
      </w:r>
    </w:p>
    <w:p w14:paraId="1ED73150" w14:textId="41E19FB9" w:rsidR="00404C1A" w:rsidRDefault="00AC6194" w:rsidP="00BC35CC">
      <w:pPr>
        <w:jc w:val="both"/>
      </w:pPr>
      <w:r>
        <w:lastRenderedPageBreak/>
        <w:t>In figures S5-8 we show the difference between the of May 1</w:t>
      </w:r>
      <w:r w:rsidRPr="00AC6194">
        <w:rPr>
          <w:vertAlign w:val="superscript"/>
        </w:rPr>
        <w:t>st</w:t>
      </w:r>
      <w:r>
        <w:t xml:space="preserve"> soil moisture, based on whether the GLEAM 1</w:t>
      </w:r>
      <w:r w:rsidRPr="00AC6194">
        <w:rPr>
          <w:vertAlign w:val="superscript"/>
        </w:rPr>
        <w:t>st</w:t>
      </w:r>
      <w:r>
        <w:t xml:space="preserve"> May soil-moisture is in the </w:t>
      </w:r>
      <w:r w:rsidRPr="00AC6194">
        <w:rPr>
          <w:iCs/>
          <w:color w:val="000000"/>
        </w:rPr>
        <w:t>dryest or wettest terciles in the</w:t>
      </w:r>
      <w:r>
        <w:rPr>
          <w:iCs/>
          <w:color w:val="000000"/>
        </w:rPr>
        <w:t xml:space="preserve"> yellow box in each region</w:t>
      </w:r>
      <w:r w:rsidRPr="00AC6194">
        <w:rPr>
          <w:iCs/>
          <w:color w:val="000000"/>
        </w:rPr>
        <w:t xml:space="preserve"> (see Table 2 for a list of years</w:t>
      </w:r>
      <w:r>
        <w:rPr>
          <w:i/>
          <w:color w:val="000000"/>
        </w:rPr>
        <w:t>)</w:t>
      </w:r>
      <w:r>
        <w:rPr>
          <w:i/>
          <w:color w:val="000000"/>
        </w:rPr>
        <w:t>.</w:t>
      </w:r>
      <w:r>
        <w:t xml:space="preserve"> </w:t>
      </w:r>
      <w:proofErr w:type="gramStart"/>
      <w:r w:rsidR="00BC35CC">
        <w:t>The</w:t>
      </w:r>
      <w:proofErr w:type="gramEnd"/>
      <w:r w:rsidR="00BC35CC">
        <w:t xml:space="preserve"> spatial patterns of soil-moisture variability are also </w:t>
      </w:r>
      <w:r w:rsidR="004B4ED8">
        <w:t>quite consistent</w:t>
      </w:r>
      <w:r w:rsidR="00BC35CC">
        <w:t xml:space="preserve"> between C3S hindcast initial conditions, ERA5 and GLEAM. For example, the dipoles between W-USA and central America (</w:t>
      </w:r>
      <w:r w:rsidR="00BC35CC" w:rsidRPr="00EF44F2">
        <w:t>Fig S</w:t>
      </w:r>
      <w:r w:rsidR="00BC35CC">
        <w:t>6</w:t>
      </w:r>
      <w:r w:rsidR="00BC35CC" w:rsidRPr="00EF44F2">
        <w:t>)</w:t>
      </w:r>
      <w:r w:rsidR="00BC35CC">
        <w:t xml:space="preserve"> and between </w:t>
      </w:r>
      <w:proofErr w:type="spellStart"/>
      <w:r w:rsidR="00BC35CC">
        <w:t>AfPak</w:t>
      </w:r>
      <w:proofErr w:type="spellEnd"/>
      <w:r w:rsidR="00BC35CC">
        <w:t xml:space="preserve"> and SE-Asia </w:t>
      </w:r>
      <w:r w:rsidR="00BC35CC" w:rsidRPr="002F7762">
        <w:t xml:space="preserve">(Fig </w:t>
      </w:r>
      <w:r w:rsidR="00BC35CC">
        <w:t>S7</w:t>
      </w:r>
      <w:r w:rsidR="00BC35CC" w:rsidRPr="002F7762">
        <w:t>)</w:t>
      </w:r>
      <w:r w:rsidR="00BC35CC">
        <w:t xml:space="preserve">. </w:t>
      </w:r>
      <w:r w:rsidR="004B4ED8">
        <w:t xml:space="preserve">However, some exceptions can be seen, for example </w:t>
      </w:r>
      <w:r w:rsidR="00BA38CA">
        <w:t xml:space="preserve">the CMCC and DWD </w:t>
      </w:r>
      <w:r w:rsidR="00FB77A5">
        <w:t xml:space="preserve">initial conditions </w:t>
      </w:r>
      <w:r w:rsidR="00BA38CA">
        <w:t xml:space="preserve">have quite a different pattern in </w:t>
      </w:r>
      <w:r w:rsidR="00FB77A5">
        <w:t xml:space="preserve">S8, as might be expected from the low cross-correlation shown in </w:t>
      </w:r>
      <w:r w:rsidR="00A41CE9">
        <w:t>Fig 7</w:t>
      </w:r>
      <w:r w:rsidR="004B4ED8">
        <w:t xml:space="preserve">. </w:t>
      </w:r>
    </w:p>
    <w:p w14:paraId="4441B2F3" w14:textId="77777777" w:rsidR="00404C1A" w:rsidRDefault="00404C1A" w:rsidP="00BC35CC">
      <w:pPr>
        <w:jc w:val="both"/>
      </w:pPr>
    </w:p>
    <w:p w14:paraId="09871F86" w14:textId="79D50050" w:rsidR="00BC35CC" w:rsidRDefault="00BC35CC" w:rsidP="00BC35CC">
      <w:pPr>
        <w:jc w:val="both"/>
      </w:pPr>
      <w:r>
        <w:t xml:space="preserve">Differences in the amplitude of anomalies compared to the GLEAM, are to be expected due to soil-moisture being a very model dependent quantity and is not necessarily indicative of a deficiency in the models used to generate the initial conditions for the C3S models, compared to GLEAM. </w:t>
      </w:r>
      <w:r w:rsidR="00AC6194">
        <w:t>S</w:t>
      </w:r>
      <w:r w:rsidR="00AC6194">
        <w:t xml:space="preserve">ee Koster et al., 2009 for </w:t>
      </w:r>
      <w:r w:rsidR="00AC6194">
        <w:t>a detailed discussion of this topic.</w:t>
      </w:r>
    </w:p>
    <w:p w14:paraId="3316B76A" w14:textId="77777777" w:rsidR="00BC35CC" w:rsidRDefault="00BC35CC" w:rsidP="0004453B">
      <w:pPr>
        <w:pBdr>
          <w:top w:val="nil"/>
          <w:left w:val="nil"/>
          <w:bottom w:val="nil"/>
          <w:right w:val="nil"/>
          <w:between w:val="nil"/>
        </w:pBdr>
        <w:jc w:val="both"/>
        <w:rPr>
          <w:b/>
          <w:bCs/>
          <w:iCs/>
          <w:color w:val="000000"/>
        </w:rPr>
      </w:pPr>
    </w:p>
    <w:p w14:paraId="0C69DDE9" w14:textId="77777777" w:rsidR="0059647C" w:rsidRDefault="0059647C" w:rsidP="0004453B">
      <w:pPr>
        <w:pBdr>
          <w:top w:val="nil"/>
          <w:left w:val="nil"/>
          <w:bottom w:val="nil"/>
          <w:right w:val="nil"/>
          <w:between w:val="nil"/>
        </w:pBdr>
        <w:jc w:val="both"/>
        <w:rPr>
          <w:b/>
          <w:bCs/>
          <w:iCs/>
          <w:color w:val="000000"/>
        </w:rPr>
      </w:pPr>
    </w:p>
    <w:p w14:paraId="7CB7F539" w14:textId="29BB733E" w:rsidR="00A43158" w:rsidRDefault="00A43158" w:rsidP="0004453B">
      <w:pPr>
        <w:pBdr>
          <w:top w:val="nil"/>
          <w:left w:val="nil"/>
          <w:bottom w:val="nil"/>
          <w:right w:val="nil"/>
          <w:between w:val="nil"/>
        </w:pBdr>
        <w:jc w:val="both"/>
        <w:rPr>
          <w:b/>
          <w:bCs/>
          <w:iCs/>
          <w:color w:val="000000"/>
        </w:rPr>
      </w:pPr>
      <w:r>
        <w:rPr>
          <w:b/>
          <w:bCs/>
          <w:iCs/>
          <w:noProof/>
          <w:color w:val="000000"/>
          <w14:ligatures w14:val="standardContextual"/>
        </w:rPr>
        <w:lastRenderedPageBreak/>
        <w:drawing>
          <wp:inline distT="0" distB="0" distL="0" distR="0" wp14:anchorId="1740E60C" wp14:editId="2694D773">
            <wp:extent cx="4470600" cy="8054788"/>
            <wp:effectExtent l="0" t="0" r="0" b="0"/>
            <wp:docPr id="243770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770231" name="Picture 1"/>
                    <pic:cNvPicPr/>
                  </pic:nvPicPr>
                  <pic:blipFill>
                    <a:blip r:embed="rId10"/>
                    <a:stretch>
                      <a:fillRect/>
                    </a:stretch>
                  </pic:blipFill>
                  <pic:spPr>
                    <a:xfrm>
                      <a:off x="0" y="0"/>
                      <a:ext cx="4472079" cy="8057453"/>
                    </a:xfrm>
                    <a:prstGeom prst="rect">
                      <a:avLst/>
                    </a:prstGeom>
                  </pic:spPr>
                </pic:pic>
              </a:graphicData>
            </a:graphic>
          </wp:inline>
        </w:drawing>
      </w:r>
    </w:p>
    <w:p w14:paraId="216DDAFD" w14:textId="4AA59A3B" w:rsidR="00A060FE" w:rsidRDefault="00A060FE" w:rsidP="0004453B">
      <w:pPr>
        <w:pBdr>
          <w:top w:val="nil"/>
          <w:left w:val="nil"/>
          <w:bottom w:val="nil"/>
          <w:right w:val="nil"/>
          <w:between w:val="nil"/>
        </w:pBdr>
        <w:jc w:val="both"/>
        <w:rPr>
          <w:b/>
          <w:bCs/>
          <w:iCs/>
          <w:color w:val="000000"/>
        </w:rPr>
      </w:pPr>
      <w:r>
        <w:rPr>
          <w:i/>
          <w:color w:val="000000"/>
        </w:rPr>
        <w:t>Fig S5: Difference between composites of JJA mean 100cm soil moisture (filled contours), based on whether the observed 1 May soil moisture inside each the yellow box was in the dryest or wettest terciles in the Western-USA (see Table 2 for a list of years).</w:t>
      </w:r>
    </w:p>
    <w:p w14:paraId="1B04F64E" w14:textId="7F6D7581" w:rsidR="00F53912" w:rsidRDefault="00F53912" w:rsidP="0004453B">
      <w:pPr>
        <w:pBdr>
          <w:top w:val="nil"/>
          <w:left w:val="nil"/>
          <w:bottom w:val="nil"/>
          <w:right w:val="nil"/>
          <w:between w:val="nil"/>
        </w:pBdr>
        <w:jc w:val="both"/>
        <w:rPr>
          <w:b/>
          <w:bCs/>
          <w:iCs/>
          <w:color w:val="000000"/>
        </w:rPr>
      </w:pPr>
      <w:r>
        <w:rPr>
          <w:b/>
          <w:bCs/>
          <w:iCs/>
          <w:noProof/>
          <w:color w:val="000000"/>
          <w14:ligatures w14:val="standardContextual"/>
        </w:rPr>
        <w:lastRenderedPageBreak/>
        <w:drawing>
          <wp:inline distT="0" distB="0" distL="0" distR="0" wp14:anchorId="2541C223" wp14:editId="672EC836">
            <wp:extent cx="4544551" cy="8615082"/>
            <wp:effectExtent l="0" t="0" r="2540" b="0"/>
            <wp:docPr id="13533676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367661" name="Picture 1353367661"/>
                    <pic:cNvPicPr/>
                  </pic:nvPicPr>
                  <pic:blipFill>
                    <a:blip r:embed="rId11"/>
                    <a:stretch>
                      <a:fillRect/>
                    </a:stretch>
                  </pic:blipFill>
                  <pic:spPr>
                    <a:xfrm>
                      <a:off x="0" y="0"/>
                      <a:ext cx="4545042" cy="8616013"/>
                    </a:xfrm>
                    <a:prstGeom prst="rect">
                      <a:avLst/>
                    </a:prstGeom>
                  </pic:spPr>
                </pic:pic>
              </a:graphicData>
            </a:graphic>
          </wp:inline>
        </w:drawing>
      </w:r>
    </w:p>
    <w:p w14:paraId="14BD1510" w14:textId="160E4BD3" w:rsidR="003A3014" w:rsidRPr="003A3014" w:rsidRDefault="003A3014" w:rsidP="0004453B">
      <w:pPr>
        <w:pBdr>
          <w:top w:val="nil"/>
          <w:left w:val="nil"/>
          <w:bottom w:val="nil"/>
          <w:right w:val="nil"/>
          <w:between w:val="nil"/>
        </w:pBdr>
        <w:jc w:val="both"/>
        <w:rPr>
          <w:i/>
          <w:color w:val="000000"/>
        </w:rPr>
      </w:pPr>
      <w:r>
        <w:rPr>
          <w:i/>
          <w:color w:val="000000"/>
        </w:rPr>
        <w:t>Fig S6. As Fig S5 but for the Western USA hotspot</w:t>
      </w:r>
    </w:p>
    <w:p w14:paraId="74DA59B9" w14:textId="5E82A3E4" w:rsidR="00F53912" w:rsidRDefault="00F53912" w:rsidP="0004453B">
      <w:pPr>
        <w:pBdr>
          <w:top w:val="nil"/>
          <w:left w:val="nil"/>
          <w:bottom w:val="nil"/>
          <w:right w:val="nil"/>
          <w:between w:val="nil"/>
        </w:pBdr>
        <w:jc w:val="both"/>
        <w:rPr>
          <w:b/>
          <w:bCs/>
          <w:iCs/>
          <w:color w:val="000000"/>
        </w:rPr>
      </w:pPr>
      <w:r>
        <w:rPr>
          <w:b/>
          <w:bCs/>
          <w:iCs/>
          <w:noProof/>
          <w:color w:val="000000"/>
          <w14:ligatures w14:val="standardContextual"/>
        </w:rPr>
        <w:lastRenderedPageBreak/>
        <w:drawing>
          <wp:inline distT="0" distB="0" distL="0" distR="0" wp14:anchorId="54D64243" wp14:editId="39058187">
            <wp:extent cx="5207373" cy="8637494"/>
            <wp:effectExtent l="0" t="0" r="0" b="0"/>
            <wp:docPr id="17276466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646628" name="Picture 1727646628"/>
                    <pic:cNvPicPr/>
                  </pic:nvPicPr>
                  <pic:blipFill>
                    <a:blip r:embed="rId12"/>
                    <a:stretch>
                      <a:fillRect/>
                    </a:stretch>
                  </pic:blipFill>
                  <pic:spPr>
                    <a:xfrm>
                      <a:off x="0" y="0"/>
                      <a:ext cx="5207746" cy="8638113"/>
                    </a:xfrm>
                    <a:prstGeom prst="rect">
                      <a:avLst/>
                    </a:prstGeom>
                  </pic:spPr>
                </pic:pic>
              </a:graphicData>
            </a:graphic>
          </wp:inline>
        </w:drawing>
      </w:r>
    </w:p>
    <w:p w14:paraId="640BD858" w14:textId="2DA10D1B" w:rsidR="003A3014" w:rsidRPr="003A3014" w:rsidRDefault="003A3014" w:rsidP="0004453B">
      <w:pPr>
        <w:pBdr>
          <w:top w:val="nil"/>
          <w:left w:val="nil"/>
          <w:bottom w:val="nil"/>
          <w:right w:val="nil"/>
          <w:between w:val="nil"/>
        </w:pBdr>
        <w:jc w:val="both"/>
        <w:rPr>
          <w:i/>
          <w:color w:val="000000"/>
        </w:rPr>
      </w:pPr>
      <w:r>
        <w:rPr>
          <w:i/>
          <w:color w:val="000000"/>
        </w:rPr>
        <w:t xml:space="preserve">Fig S7. As Fig S5 but for the </w:t>
      </w:r>
      <w:proofErr w:type="spellStart"/>
      <w:r>
        <w:rPr>
          <w:i/>
          <w:color w:val="000000"/>
        </w:rPr>
        <w:t>AfPk</w:t>
      </w:r>
      <w:proofErr w:type="spellEnd"/>
      <w:r>
        <w:rPr>
          <w:i/>
          <w:color w:val="000000"/>
        </w:rPr>
        <w:t xml:space="preserve"> hotspot</w:t>
      </w:r>
    </w:p>
    <w:p w14:paraId="17DBE647" w14:textId="7AD5D1F6" w:rsidR="00F53912" w:rsidRDefault="00D209BC" w:rsidP="0004453B">
      <w:pPr>
        <w:pBdr>
          <w:top w:val="nil"/>
          <w:left w:val="nil"/>
          <w:bottom w:val="nil"/>
          <w:right w:val="nil"/>
          <w:between w:val="nil"/>
        </w:pBdr>
        <w:jc w:val="both"/>
        <w:rPr>
          <w:b/>
          <w:bCs/>
          <w:iCs/>
          <w:color w:val="000000"/>
        </w:rPr>
      </w:pPr>
      <w:r>
        <w:rPr>
          <w:b/>
          <w:bCs/>
          <w:iCs/>
          <w:noProof/>
          <w:color w:val="000000"/>
          <w14:ligatures w14:val="standardContextual"/>
        </w:rPr>
        <w:lastRenderedPageBreak/>
        <w:drawing>
          <wp:inline distT="0" distB="0" distL="0" distR="0" wp14:anchorId="77E4CA57" wp14:editId="7A7C03A0">
            <wp:extent cx="5203629" cy="8529918"/>
            <wp:effectExtent l="0" t="0" r="3810" b="5080"/>
            <wp:docPr id="5591321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132127" name="Picture 559132127"/>
                    <pic:cNvPicPr/>
                  </pic:nvPicPr>
                  <pic:blipFill>
                    <a:blip r:embed="rId13"/>
                    <a:stretch>
                      <a:fillRect/>
                    </a:stretch>
                  </pic:blipFill>
                  <pic:spPr>
                    <a:xfrm>
                      <a:off x="0" y="0"/>
                      <a:ext cx="5204420" cy="8531215"/>
                    </a:xfrm>
                    <a:prstGeom prst="rect">
                      <a:avLst/>
                    </a:prstGeom>
                  </pic:spPr>
                </pic:pic>
              </a:graphicData>
            </a:graphic>
          </wp:inline>
        </w:drawing>
      </w:r>
    </w:p>
    <w:p w14:paraId="14E7AF88" w14:textId="66A19F61" w:rsidR="0004453B" w:rsidRPr="00F758AB" w:rsidRDefault="003A3014" w:rsidP="00F758AB">
      <w:pPr>
        <w:pBdr>
          <w:top w:val="nil"/>
          <w:left w:val="nil"/>
          <w:bottom w:val="nil"/>
          <w:right w:val="nil"/>
          <w:between w:val="nil"/>
        </w:pBdr>
        <w:jc w:val="both"/>
        <w:rPr>
          <w:i/>
          <w:color w:val="000000"/>
        </w:rPr>
      </w:pPr>
      <w:r>
        <w:rPr>
          <w:i/>
          <w:color w:val="000000"/>
        </w:rPr>
        <w:t>Fig S</w:t>
      </w:r>
      <w:r w:rsidR="00881C2B">
        <w:rPr>
          <w:i/>
          <w:color w:val="000000"/>
        </w:rPr>
        <w:t>8</w:t>
      </w:r>
      <w:r>
        <w:rPr>
          <w:i/>
          <w:color w:val="000000"/>
        </w:rPr>
        <w:t xml:space="preserve">. As Fig S5 but for the </w:t>
      </w:r>
      <w:proofErr w:type="spellStart"/>
      <w:r w:rsidR="00881C2B">
        <w:rPr>
          <w:i/>
          <w:color w:val="000000"/>
        </w:rPr>
        <w:t>EuPl</w:t>
      </w:r>
      <w:proofErr w:type="spellEnd"/>
      <w:r w:rsidR="00881C2B">
        <w:rPr>
          <w:i/>
          <w:color w:val="000000"/>
        </w:rPr>
        <w:t xml:space="preserve"> </w:t>
      </w:r>
      <w:r>
        <w:rPr>
          <w:i/>
          <w:color w:val="000000"/>
        </w:rPr>
        <w:t>hotspot.</w:t>
      </w:r>
    </w:p>
    <w:sectPr w:rsidR="0004453B" w:rsidRPr="00F758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F11D3A"/>
    <w:multiLevelType w:val="multilevel"/>
    <w:tmpl w:val="FADED262"/>
    <w:lvl w:ilvl="0">
      <w:start w:val="3"/>
      <w:numFmt w:val="decimal"/>
      <w:lvlText w:val="%1"/>
      <w:lvlJc w:val="left"/>
      <w:pPr>
        <w:ind w:left="360" w:hanging="360"/>
      </w:pPr>
    </w:lvl>
    <w:lvl w:ilvl="1">
      <w:start w:val="1"/>
      <w:numFmt w:val="decimal"/>
      <w:lvlText w:val="%1.%2"/>
      <w:lvlJc w:val="left"/>
      <w:pPr>
        <w:ind w:left="2203"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 w15:restartNumberingAfterBreak="0">
    <w:nsid w:val="5CA874F3"/>
    <w:multiLevelType w:val="multilevel"/>
    <w:tmpl w:val="D646D33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16cid:durableId="1485052184">
    <w:abstractNumId w:val="1"/>
  </w:num>
  <w:num w:numId="2" w16cid:durableId="492916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53B"/>
    <w:rsid w:val="000236DD"/>
    <w:rsid w:val="00025DF9"/>
    <w:rsid w:val="00031509"/>
    <w:rsid w:val="0004453B"/>
    <w:rsid w:val="00067E05"/>
    <w:rsid w:val="001A0952"/>
    <w:rsid w:val="00303844"/>
    <w:rsid w:val="00363D63"/>
    <w:rsid w:val="003A3014"/>
    <w:rsid w:val="003E20A0"/>
    <w:rsid w:val="00404C1A"/>
    <w:rsid w:val="0042269E"/>
    <w:rsid w:val="00495ECD"/>
    <w:rsid w:val="004B4ED8"/>
    <w:rsid w:val="0059647C"/>
    <w:rsid w:val="005A14CF"/>
    <w:rsid w:val="0063778F"/>
    <w:rsid w:val="0064105D"/>
    <w:rsid w:val="006C508F"/>
    <w:rsid w:val="00881C2B"/>
    <w:rsid w:val="008A302C"/>
    <w:rsid w:val="008A4E1E"/>
    <w:rsid w:val="008C756F"/>
    <w:rsid w:val="009A448C"/>
    <w:rsid w:val="00A060FE"/>
    <w:rsid w:val="00A41CE9"/>
    <w:rsid w:val="00A43158"/>
    <w:rsid w:val="00AC6194"/>
    <w:rsid w:val="00AD1A14"/>
    <w:rsid w:val="00BA38CA"/>
    <w:rsid w:val="00BC35CC"/>
    <w:rsid w:val="00C24C76"/>
    <w:rsid w:val="00C25D87"/>
    <w:rsid w:val="00CA612D"/>
    <w:rsid w:val="00D209BC"/>
    <w:rsid w:val="00DA7BE9"/>
    <w:rsid w:val="00DE08D1"/>
    <w:rsid w:val="00DE2B30"/>
    <w:rsid w:val="00E01614"/>
    <w:rsid w:val="00E243C9"/>
    <w:rsid w:val="00E3459B"/>
    <w:rsid w:val="00F53912"/>
    <w:rsid w:val="00F758AB"/>
    <w:rsid w:val="00FA7E3F"/>
    <w:rsid w:val="00FB77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2B640"/>
  <w15:chartTrackingRefBased/>
  <w15:docId w15:val="{96C8B4E1-A006-E943-AFF6-D50F91DF3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453B"/>
    <w:rPr>
      <w:rFonts w:ascii="Aptos" w:eastAsia="Aptos" w:hAnsi="Aptos" w:cs="Aptos"/>
      <w:kern w:val="0"/>
      <w:lang w:eastAsia="en-GB"/>
      <w14:ligatures w14:val="none"/>
    </w:rPr>
  </w:style>
  <w:style w:type="paragraph" w:styleId="Heading1">
    <w:name w:val="heading 1"/>
    <w:basedOn w:val="Normal"/>
    <w:next w:val="Normal"/>
    <w:link w:val="Heading1Char"/>
    <w:uiPriority w:val="9"/>
    <w:qFormat/>
    <w:rsid w:val="000445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45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45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45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45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453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453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453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453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45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45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45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45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45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45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45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45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453B"/>
    <w:rPr>
      <w:rFonts w:eastAsiaTheme="majorEastAsia" w:cstheme="majorBidi"/>
      <w:color w:val="272727" w:themeColor="text1" w:themeTint="D8"/>
    </w:rPr>
  </w:style>
  <w:style w:type="paragraph" w:styleId="Title">
    <w:name w:val="Title"/>
    <w:basedOn w:val="Normal"/>
    <w:next w:val="Normal"/>
    <w:link w:val="TitleChar"/>
    <w:uiPriority w:val="10"/>
    <w:qFormat/>
    <w:rsid w:val="0004453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45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453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45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453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4453B"/>
    <w:rPr>
      <w:i/>
      <w:iCs/>
      <w:color w:val="404040" w:themeColor="text1" w:themeTint="BF"/>
    </w:rPr>
  </w:style>
  <w:style w:type="paragraph" w:styleId="ListParagraph">
    <w:name w:val="List Paragraph"/>
    <w:basedOn w:val="Normal"/>
    <w:uiPriority w:val="34"/>
    <w:qFormat/>
    <w:rsid w:val="0004453B"/>
    <w:pPr>
      <w:ind w:left="720"/>
      <w:contextualSpacing/>
    </w:pPr>
  </w:style>
  <w:style w:type="character" w:styleId="IntenseEmphasis">
    <w:name w:val="Intense Emphasis"/>
    <w:basedOn w:val="DefaultParagraphFont"/>
    <w:uiPriority w:val="21"/>
    <w:qFormat/>
    <w:rsid w:val="0004453B"/>
    <w:rPr>
      <w:i/>
      <w:iCs/>
      <w:color w:val="0F4761" w:themeColor="accent1" w:themeShade="BF"/>
    </w:rPr>
  </w:style>
  <w:style w:type="paragraph" w:styleId="IntenseQuote">
    <w:name w:val="Intense Quote"/>
    <w:basedOn w:val="Normal"/>
    <w:next w:val="Normal"/>
    <w:link w:val="IntenseQuoteChar"/>
    <w:uiPriority w:val="30"/>
    <w:qFormat/>
    <w:rsid w:val="000445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453B"/>
    <w:rPr>
      <w:i/>
      <w:iCs/>
      <w:color w:val="0F4761" w:themeColor="accent1" w:themeShade="BF"/>
    </w:rPr>
  </w:style>
  <w:style w:type="character" w:styleId="IntenseReference">
    <w:name w:val="Intense Reference"/>
    <w:basedOn w:val="DefaultParagraphFont"/>
    <w:uiPriority w:val="32"/>
    <w:qFormat/>
    <w:rsid w:val="000445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image" Target="media/image7.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emf"/><Relationship Id="rId5" Type="http://schemas.openxmlformats.org/officeDocument/2006/relationships/hyperlink" Target="mailto:jonathan.day@ecmwf.int" TargetMode="Externa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575</Words>
  <Characters>3283</Characters>
  <Application>Microsoft Office Word</Application>
  <DocSecurity>0</DocSecurity>
  <Lines>27</Lines>
  <Paragraphs>7</Paragraphs>
  <ScaleCrop>false</ScaleCrop>
  <Company/>
  <LinksUpToDate>false</LinksUpToDate>
  <CharactersWithSpaces>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Day</dc:creator>
  <cp:keywords/>
  <dc:description/>
  <cp:lastModifiedBy>Jonathan Day</cp:lastModifiedBy>
  <cp:revision>2</cp:revision>
  <dcterms:created xsi:type="dcterms:W3CDTF">2025-04-03T12:55:00Z</dcterms:created>
  <dcterms:modified xsi:type="dcterms:W3CDTF">2025-04-03T12:55:00Z</dcterms:modified>
</cp:coreProperties>
</file>