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E8A4F" w14:textId="77777777" w:rsidR="00627306" w:rsidRPr="00A80179" w:rsidRDefault="00627306" w:rsidP="00627306">
      <w:pPr>
        <w:spacing w:line="480" w:lineRule="auto"/>
        <w:rPr>
          <w:sz w:val="24"/>
          <w:szCs w:val="24"/>
        </w:rPr>
      </w:pPr>
      <w:bookmarkStart w:id="0" w:name="_GoBack"/>
      <w:bookmarkEnd w:id="0"/>
      <w:r w:rsidRPr="00A80179">
        <w:rPr>
          <w:sz w:val="24"/>
          <w:szCs w:val="24"/>
        </w:rPr>
        <w:t>Supplementary Materials for</w:t>
      </w:r>
    </w:p>
    <w:p w14:paraId="056CE49A" w14:textId="77777777" w:rsidR="00627306" w:rsidRPr="00A80179" w:rsidRDefault="00627306" w:rsidP="00627306">
      <w:pPr>
        <w:spacing w:line="480" w:lineRule="auto"/>
        <w:rPr>
          <w:sz w:val="24"/>
          <w:szCs w:val="24"/>
        </w:rPr>
      </w:pPr>
    </w:p>
    <w:p w14:paraId="3D8A8AA3" w14:textId="77777777" w:rsidR="00627306" w:rsidRDefault="00627306" w:rsidP="00627306">
      <w:pPr>
        <w:spacing w:line="480" w:lineRule="auto"/>
        <w:jc w:val="center"/>
        <w:rPr>
          <w:b/>
          <w:bCs/>
          <w:sz w:val="24"/>
          <w:szCs w:val="24"/>
          <w:lang w:val="en-GB"/>
        </w:rPr>
      </w:pPr>
      <w:r w:rsidRPr="00A80179">
        <w:rPr>
          <w:b/>
          <w:bCs/>
          <w:sz w:val="24"/>
          <w:szCs w:val="24"/>
          <w:lang w:val="en-GB"/>
        </w:rPr>
        <w:t>Effectively regulating foreign fishing to improve food security and fishery sustainability in Africa</w:t>
      </w:r>
    </w:p>
    <w:p w14:paraId="06F56CE1" w14:textId="77777777" w:rsidR="00627306" w:rsidRDefault="00627306" w:rsidP="00627306">
      <w:pPr>
        <w:spacing w:line="480" w:lineRule="auto"/>
        <w:rPr>
          <w:b/>
          <w:bCs/>
          <w:sz w:val="24"/>
          <w:szCs w:val="24"/>
        </w:rPr>
      </w:pPr>
      <w:r w:rsidRPr="005D0F3E">
        <w:rPr>
          <w:b/>
          <w:bCs/>
          <w:sz w:val="24"/>
          <w:szCs w:val="24"/>
        </w:rPr>
        <w:t>Estimation of FVF catches</w:t>
      </w:r>
    </w:p>
    <w:p w14:paraId="105EA92A" w14:textId="77777777" w:rsidR="00627306" w:rsidRDefault="00627306" w:rsidP="00627306">
      <w:pPr>
        <w:spacing w:line="480" w:lineRule="auto"/>
        <w:rPr>
          <w:sz w:val="24"/>
          <w:szCs w:val="24"/>
        </w:rPr>
      </w:pPr>
    </w:p>
    <w:p w14:paraId="1A8C774B" w14:textId="77777777" w:rsidR="00627306" w:rsidRPr="00A80179" w:rsidRDefault="00627306" w:rsidP="00627306">
      <w:pPr>
        <w:spacing w:line="480" w:lineRule="auto"/>
        <w:rPr>
          <w:rFonts w:eastAsia="Times New Roman"/>
          <w:color w:val="000000"/>
          <w:sz w:val="24"/>
          <w:szCs w:val="24"/>
        </w:rPr>
      </w:pPr>
      <w:r w:rsidRPr="00A80179">
        <w:rPr>
          <w:sz w:val="24"/>
          <w:szCs w:val="24"/>
        </w:rPr>
        <w:t>We estimated the catches by foreign vessels fishing (FVF) in African waters (</w:t>
      </w:r>
      <w:r>
        <w:rPr>
          <w:sz w:val="24"/>
          <w:szCs w:val="24"/>
        </w:rPr>
        <w:t>Fig.</w:t>
      </w:r>
      <w:r w:rsidRPr="00A80179">
        <w:rPr>
          <w:sz w:val="24"/>
          <w:szCs w:val="24"/>
        </w:rPr>
        <w:t>1d) directly from</w:t>
      </w:r>
      <w:r w:rsidRPr="00A80179">
        <w:rPr>
          <w:rFonts w:eastAsia="Times New Roman"/>
          <w:color w:val="000000"/>
          <w:sz w:val="24"/>
          <w:szCs w:val="24"/>
        </w:rPr>
        <w:t xml:space="preserve"> the FAO fishery and aquaculture statistic database by summing up all catches taken by countries geographically outside a</w:t>
      </w:r>
      <w:r>
        <w:rPr>
          <w:rFonts w:eastAsia="Times New Roman"/>
          <w:color w:val="000000"/>
          <w:sz w:val="24"/>
          <w:szCs w:val="24"/>
        </w:rPr>
        <w:t>n</w:t>
      </w:r>
      <w:r w:rsidRPr="00A80179">
        <w:rPr>
          <w:rFonts w:eastAsia="Times New Roman"/>
          <w:color w:val="000000"/>
          <w:sz w:val="24"/>
          <w:szCs w:val="24"/>
        </w:rPr>
        <w:t xml:space="preserve"> </w:t>
      </w:r>
      <w:r>
        <w:rPr>
          <w:rFonts w:eastAsia="Times New Roman"/>
          <w:color w:val="000000"/>
          <w:sz w:val="24"/>
          <w:szCs w:val="24"/>
        </w:rPr>
        <w:t>FAO Major Fishing Area</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{"citationID":"QNar4v9X","properties":{"formattedCitation":"\\super 28\\nosupersub{}","plainCitation":"28","noteIndex":0},"citationItems":[{"id":62,"uris":["http://zotero.org/users/local/VWtewyoN/items/VNAASS37"],"uri":["http://zotero.org/users/local/VWtewyoN/items/VNAASS37"],"itemData":{"id":62,"type":"book","collection-number":"359","event-place":"Rome, Italy","number-of-pages":"51","publisher-place":"Rome, Italy","title":"Chronicles of Marine Fishery Landings (1950-1994): Trend Analysis and Fisheries Potential","URL":"http://www.fao.org/3/W3244E/W3244E00.htm","author":[{"family":"FAO","given":""}],"accessed":{"date-parts":[["2021",1,3]]},"issued":{"date-parts":[["1996"]]}}}],"schema":"https://github.com/citation-style-language/schema/raw/master/csl-citation.json"}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28</w:t>
      </w:r>
      <w:r w:rsidRPr="00A80179">
        <w:rPr>
          <w:rFonts w:eastAsia="Times New Roman"/>
          <w:color w:val="000000"/>
          <w:sz w:val="24"/>
          <w:szCs w:val="24"/>
        </w:rPr>
        <w:fldChar w:fldCharType="end"/>
      </w:r>
      <w:r w:rsidRPr="00A80179">
        <w:rPr>
          <w:rFonts w:eastAsia="Times New Roman"/>
          <w:color w:val="000000"/>
          <w:sz w:val="24"/>
          <w:szCs w:val="24"/>
        </w:rPr>
        <w:t xml:space="preserve">. With this </w:t>
      </w:r>
      <w:r>
        <w:rPr>
          <w:rFonts w:eastAsia="Times New Roman"/>
          <w:color w:val="000000"/>
          <w:sz w:val="24"/>
          <w:szCs w:val="24"/>
        </w:rPr>
        <w:t xml:space="preserve">area-based </w:t>
      </w:r>
      <w:r w:rsidRPr="00A80179">
        <w:rPr>
          <w:rFonts w:eastAsia="Times New Roman"/>
          <w:color w:val="000000"/>
          <w:sz w:val="24"/>
          <w:szCs w:val="24"/>
        </w:rPr>
        <w:t>approach, vessels from a country that belong</w:t>
      </w:r>
      <w:r>
        <w:rPr>
          <w:rFonts w:eastAsia="Times New Roman"/>
          <w:color w:val="000000"/>
          <w:sz w:val="24"/>
          <w:szCs w:val="24"/>
        </w:rPr>
        <w:t>s</w:t>
      </w:r>
      <w:r w:rsidRPr="00A80179">
        <w:rPr>
          <w:rFonts w:eastAsia="Times New Roman"/>
          <w:color w:val="000000"/>
          <w:sz w:val="24"/>
          <w:szCs w:val="24"/>
        </w:rPr>
        <w:t xml:space="preserve"> to the </w:t>
      </w:r>
      <w:r>
        <w:rPr>
          <w:rFonts w:eastAsia="Times New Roman"/>
          <w:color w:val="000000"/>
          <w:sz w:val="24"/>
          <w:szCs w:val="24"/>
        </w:rPr>
        <w:t>Fishing</w:t>
      </w:r>
      <w:r w:rsidRPr="00A80179">
        <w:rPr>
          <w:rFonts w:eastAsia="Times New Roman"/>
          <w:color w:val="000000"/>
          <w:sz w:val="24"/>
          <w:szCs w:val="24"/>
        </w:rPr>
        <w:t xml:space="preserve"> </w:t>
      </w:r>
      <w:r>
        <w:rPr>
          <w:rFonts w:eastAsia="Times New Roman"/>
          <w:color w:val="000000"/>
          <w:sz w:val="24"/>
          <w:szCs w:val="24"/>
        </w:rPr>
        <w:t>A</w:t>
      </w:r>
      <w:r w:rsidRPr="00A80179">
        <w:rPr>
          <w:rFonts w:eastAsia="Times New Roman"/>
          <w:color w:val="000000"/>
          <w:sz w:val="24"/>
          <w:szCs w:val="24"/>
        </w:rPr>
        <w:t>rea fishing outside its</w:t>
      </w:r>
      <w:r>
        <w:rPr>
          <w:rFonts w:eastAsia="Times New Roman"/>
          <w:color w:val="000000"/>
          <w:sz w:val="24"/>
          <w:szCs w:val="24"/>
        </w:rPr>
        <w:t xml:space="preserve"> </w:t>
      </w:r>
      <w:r w:rsidRPr="00A80179">
        <w:rPr>
          <w:rFonts w:eastAsia="Times New Roman"/>
          <w:color w:val="000000"/>
          <w:sz w:val="24"/>
          <w:szCs w:val="24"/>
        </w:rPr>
        <w:t xml:space="preserve">EEZ but within the same </w:t>
      </w:r>
      <w:r>
        <w:rPr>
          <w:rFonts w:eastAsia="Times New Roman"/>
          <w:color w:val="000000"/>
          <w:sz w:val="24"/>
          <w:szCs w:val="24"/>
        </w:rPr>
        <w:t>F</w:t>
      </w:r>
      <w:r w:rsidRPr="00A80179">
        <w:rPr>
          <w:rFonts w:eastAsia="Times New Roman"/>
          <w:color w:val="000000"/>
          <w:sz w:val="24"/>
          <w:szCs w:val="24"/>
        </w:rPr>
        <w:t xml:space="preserve">ishing </w:t>
      </w:r>
      <w:r>
        <w:rPr>
          <w:rFonts w:eastAsia="Times New Roman"/>
          <w:color w:val="000000"/>
          <w:sz w:val="24"/>
          <w:szCs w:val="24"/>
        </w:rPr>
        <w:t>A</w:t>
      </w:r>
      <w:r w:rsidRPr="00A80179">
        <w:rPr>
          <w:rFonts w:eastAsia="Times New Roman"/>
          <w:color w:val="000000"/>
          <w:sz w:val="24"/>
          <w:szCs w:val="24"/>
        </w:rPr>
        <w:t>rea are not considered foreign vessels</w:t>
      </w:r>
      <w:r>
        <w:rPr>
          <w:rFonts w:eastAsia="Times New Roman"/>
          <w:color w:val="000000"/>
          <w:sz w:val="24"/>
          <w:szCs w:val="24"/>
        </w:rPr>
        <w:t>,</w:t>
      </w:r>
      <w:r w:rsidRPr="00A80179">
        <w:rPr>
          <w:rFonts w:eastAsia="Times New Roman"/>
          <w:color w:val="000000"/>
          <w:sz w:val="24"/>
          <w:szCs w:val="24"/>
        </w:rPr>
        <w:t xml:space="preserve"> so that the FVF landings are somewhat underestimated. </w:t>
      </w:r>
    </w:p>
    <w:p w14:paraId="19C93338" w14:textId="77777777" w:rsidR="00627306" w:rsidRDefault="00627306" w:rsidP="00627306">
      <w:pPr>
        <w:spacing w:line="480" w:lineRule="auto"/>
        <w:rPr>
          <w:rFonts w:eastAsia="Times New Roman"/>
          <w:color w:val="000000"/>
          <w:sz w:val="24"/>
          <w:szCs w:val="24"/>
        </w:rPr>
      </w:pPr>
    </w:p>
    <w:p w14:paraId="56BE9CF2" w14:textId="77777777" w:rsidR="00627306" w:rsidRDefault="00627306" w:rsidP="00627306">
      <w:pPr>
        <w:spacing w:line="480" w:lineRule="auto"/>
        <w:rPr>
          <w:sz w:val="24"/>
          <w:szCs w:val="24"/>
        </w:rPr>
      </w:pPr>
      <w:r>
        <w:rPr>
          <w:rFonts w:eastAsia="Times New Roman"/>
          <w:color w:val="000000"/>
          <w:sz w:val="24"/>
          <w:szCs w:val="24"/>
        </w:rPr>
        <w:t>There is</w:t>
      </w:r>
      <w:r w:rsidRPr="00A80179">
        <w:rPr>
          <w:rFonts w:eastAsia="Times New Roman"/>
          <w:color w:val="000000"/>
          <w:sz w:val="24"/>
          <w:szCs w:val="24"/>
        </w:rPr>
        <w:t xml:space="preserve"> another </w:t>
      </w:r>
      <w:r>
        <w:rPr>
          <w:rFonts w:eastAsia="Times New Roman"/>
          <w:color w:val="000000"/>
          <w:sz w:val="24"/>
          <w:szCs w:val="24"/>
        </w:rPr>
        <w:t xml:space="preserve">country-based </w:t>
      </w:r>
      <w:r w:rsidRPr="00A80179">
        <w:rPr>
          <w:rFonts w:eastAsia="Times New Roman"/>
          <w:color w:val="000000"/>
          <w:sz w:val="24"/>
          <w:szCs w:val="24"/>
        </w:rPr>
        <w:t>study</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{"citationID":"txCmGxIn","properties":{"formattedCitation":"\\super 9\\nosupersub{}","plainCitation":"9","noteIndex":0},"citationItems":[{"id":25,"uris":["http://zotero.org/users/local/VWtewyoN/items/AZEAGUBB"],"uri":["http://zotero.org/users/local/VWtewyoN/items/AZEAGUBB"],"itemData":{"id":25,"type":"book","abstract":"Explore millions of resources from scholarly journals, books, newspapers, videos and more, on the ProQuest Platform.","collection-number":"Fisheries and Aquaculture Technical Circular No.1093","event-place":"Rome","language":"en","number-of-pages":"76","publisher":"FAO","publisher-place":"Rome","title":"The Value of African Fisheries","URL":"https://search.proquest.com/openview/0eb4ffd32a181b68220eb1af5853e984/1?pq-origsite=gscholar&amp;cbl=237324","author":[{"family":"FAO","given":""}],"accessed":{"date-parts":[["2020",11,21]]},"issued":{"date-parts":[["2014"]]}}}],"schema":"https://github.com/citation-style-language/schema/raw/master/csl-citation.json"} </w:instrText>
      </w:r>
      <w:r w:rsidRPr="00A80179">
        <w:rPr>
          <w:rFonts w:eastAsia="Times New Roman"/>
          <w:color w:val="000000"/>
          <w:sz w:val="24"/>
          <w:szCs w:val="24"/>
        </w:rPr>
        <w:fldChar w:fldCharType="separate"/>
      </w:r>
      <w:r w:rsidRPr="000112A5">
        <w:rPr>
          <w:color w:val="000000"/>
          <w:sz w:val="24"/>
          <w:vertAlign w:val="superscript"/>
          <w:lang w:val="en-GB"/>
        </w:rPr>
        <w:t>9</w:t>
      </w:r>
      <w:r w:rsidRPr="00A80179">
        <w:rPr>
          <w:rFonts w:eastAsia="Times New Roman"/>
          <w:color w:val="000000"/>
          <w:sz w:val="24"/>
          <w:szCs w:val="24"/>
        </w:rPr>
        <w:fldChar w:fldCharType="end"/>
      </w:r>
      <w:r w:rsidRPr="00A80179">
        <w:rPr>
          <w:rFonts w:eastAsia="Times New Roman"/>
          <w:color w:val="000000"/>
          <w:sz w:val="24"/>
          <w:szCs w:val="24"/>
        </w:rPr>
        <w:t xml:space="preserve"> (</w:t>
      </w:r>
      <w:r>
        <w:rPr>
          <w:rFonts w:eastAsia="Times New Roman"/>
          <w:color w:val="000000"/>
          <w:sz w:val="24"/>
          <w:szCs w:val="24"/>
        </w:rPr>
        <w:t>Fig.</w:t>
      </w:r>
      <w:r w:rsidRPr="00A80179">
        <w:rPr>
          <w:rFonts w:eastAsia="Times New Roman"/>
          <w:color w:val="000000"/>
          <w:sz w:val="24"/>
          <w:szCs w:val="24"/>
        </w:rPr>
        <w:t xml:space="preserve">S1) that </w:t>
      </w:r>
      <w:r w:rsidRPr="00A80179">
        <w:rPr>
          <w:sz w:val="24"/>
          <w:szCs w:val="24"/>
        </w:rPr>
        <w:t>surveyed the publicly available data from 1950 to 2011 on fisheries agreements between countries such as fisheries agreements between the European Union and African States is publicly available on the Internet</w:t>
      </w:r>
      <w:r w:rsidRPr="00A80179">
        <w:rPr>
          <w:sz w:val="24"/>
          <w:szCs w:val="24"/>
        </w:rPr>
        <w:fldChar w:fldCharType="begin"/>
      </w:r>
      <w:r>
        <w:rPr>
          <w:sz w:val="24"/>
          <w:szCs w:val="24"/>
        </w:rPr>
        <w:instrText xml:space="preserve"> ADDIN ZOTERO_ITEM CSL_CITATION {"citationID":"kQ5D0NCe","properties":{"formattedCitation":"\\super 29\\nosupersub{}","plainCitation":"29","noteIndex":0},"citationItems":[{"id":80,"uris":["http://zotero.org/users/local/VWtewyoN/items/N85F93X5"],"uri":["http://zotero.org/users/local/VWtewyoN/items/N85F93X5"],"itemData":{"id":80,"type":"report","title":"Bilateral Agreements with Countries Outside the EU","author":[{"family":"European Commission","given":""}],"issued":{"date-parts":[["2013"]]}}}],"schema":"https://github.com/citation-style-language/schema/raw/master/csl-citation.json"} </w:instrText>
      </w:r>
      <w:r w:rsidRPr="00A80179">
        <w:rPr>
          <w:sz w:val="24"/>
          <w:szCs w:val="24"/>
        </w:rPr>
        <w:fldChar w:fldCharType="separate"/>
      </w:r>
      <w:r w:rsidRPr="00351D55">
        <w:rPr>
          <w:sz w:val="24"/>
          <w:vertAlign w:val="superscript"/>
          <w:lang w:val="en-GB"/>
        </w:rPr>
        <w:t>29</w:t>
      </w:r>
      <w:r w:rsidRPr="00A80179">
        <w:rPr>
          <w:sz w:val="24"/>
          <w:szCs w:val="24"/>
        </w:rPr>
        <w:fldChar w:fldCharType="end"/>
      </w:r>
      <w:r w:rsidRPr="00A80179">
        <w:rPr>
          <w:sz w:val="24"/>
          <w:szCs w:val="24"/>
        </w:rPr>
        <w:t xml:space="preserve"> and reports on distant water fishing from Regional Fishery Bodies</w:t>
      </w:r>
      <w:r>
        <w:rPr>
          <w:sz w:val="24"/>
          <w:szCs w:val="24"/>
        </w:rPr>
        <w:t>. In addition,</w:t>
      </w:r>
      <w:r w:rsidRPr="00A80179">
        <w:rPr>
          <w:sz w:val="24"/>
          <w:szCs w:val="24"/>
        </w:rPr>
        <w:t xml:space="preserve"> </w:t>
      </w:r>
      <w:r>
        <w:rPr>
          <w:sz w:val="24"/>
          <w:szCs w:val="24"/>
        </w:rPr>
        <w:t>this</w:t>
      </w:r>
      <w:r w:rsidRPr="00A80179">
        <w:rPr>
          <w:sz w:val="24"/>
          <w:szCs w:val="24"/>
        </w:rPr>
        <w:t xml:space="preserve"> study</w:t>
      </w:r>
      <w:r>
        <w:rPr>
          <w:sz w:val="24"/>
          <w:szCs w:val="24"/>
        </w:rPr>
        <w:t xml:space="preserve"> also incorporates</w:t>
      </w:r>
      <w:r w:rsidRPr="00A80179">
        <w:rPr>
          <w:sz w:val="24"/>
          <w:szCs w:val="24"/>
        </w:rPr>
        <w:t xml:space="preserve"> </w:t>
      </w:r>
      <w:r>
        <w:rPr>
          <w:sz w:val="24"/>
          <w:szCs w:val="24"/>
        </w:rPr>
        <w:t xml:space="preserve">opinions of </w:t>
      </w:r>
      <w:r w:rsidRPr="00A80179">
        <w:rPr>
          <w:sz w:val="24"/>
          <w:szCs w:val="24"/>
        </w:rPr>
        <w:t xml:space="preserve">local experts from African coastal </w:t>
      </w:r>
      <w:r>
        <w:rPr>
          <w:sz w:val="24"/>
          <w:szCs w:val="24"/>
        </w:rPr>
        <w:t>s</w:t>
      </w:r>
      <w:r w:rsidRPr="00A80179">
        <w:rPr>
          <w:sz w:val="24"/>
          <w:szCs w:val="24"/>
        </w:rPr>
        <w:t>tates</w:t>
      </w:r>
      <w:r w:rsidRPr="00A80179">
        <w:rPr>
          <w:sz w:val="24"/>
          <w:szCs w:val="24"/>
        </w:rPr>
        <w:fldChar w:fldCharType="begin"/>
      </w:r>
      <w:r>
        <w:rPr>
          <w:sz w:val="24"/>
          <w:szCs w:val="24"/>
        </w:rPr>
        <w:instrText xml:space="preserve"> ADDIN ZOTERO_ITEM CSL_CITATION {"citationID":"VaFCcYMT","properties":{"formattedCitation":"\\super 9\\nosupersub{}","plainCitation":"9","noteIndex":0},"citationItems":[{"id":25,"uris":["http://zotero.org/users/local/VWtewyoN/items/AZEAGUBB"],"uri":["http://zotero.org/users/local/VWtewyoN/items/AZEAGUBB"],"itemData":{"id":25,"type":"book","abstract":"Explore millions of resources from scholarly journals, books, newspapers, videos and more, on the ProQuest Platform.","collection-number":"Fisheries and Aquaculture Technical Circular No.1093","event-place":"Rome","language":"en","number-of-pages":"76","publisher":"FAO","publisher-place":"Rome","title":"The Value of African Fisheries","URL":"https://search.proquest.com/openview/0eb4ffd32a181b68220eb1af5853e984/1?pq-origsite=gscholar&amp;cbl=237324","author":[{"family":"FAO","given":""}],"accessed":{"date-parts":[["2020",11,21]]},"issued":{"date-parts":[["2014"]]}}}],"schema":"https://github.com/citation-style-language/schema/raw/master/csl-citation.json"} </w:instrText>
      </w:r>
      <w:r w:rsidRPr="00A80179">
        <w:rPr>
          <w:sz w:val="24"/>
          <w:szCs w:val="24"/>
        </w:rPr>
        <w:fldChar w:fldCharType="separate"/>
      </w:r>
      <w:r w:rsidRPr="000112A5">
        <w:rPr>
          <w:sz w:val="24"/>
          <w:vertAlign w:val="superscript"/>
          <w:lang w:val="en-GB"/>
        </w:rPr>
        <w:t>9</w:t>
      </w:r>
      <w:r w:rsidRPr="00A80179">
        <w:rPr>
          <w:sz w:val="24"/>
          <w:szCs w:val="24"/>
        </w:rPr>
        <w:fldChar w:fldCharType="end"/>
      </w:r>
      <w:r w:rsidRPr="00A80179">
        <w:rPr>
          <w:sz w:val="24"/>
          <w:szCs w:val="24"/>
        </w:rPr>
        <w:t>.</w:t>
      </w:r>
      <w:r>
        <w:rPr>
          <w:rFonts w:eastAsia="Times New Roman"/>
          <w:color w:val="000000"/>
          <w:sz w:val="24"/>
          <w:szCs w:val="24"/>
        </w:rPr>
        <w:t xml:space="preserve"> In general, the country-based approach is more specific and should provide more reliable estimates. However, its estimation is only up to 2011 and not reproducible, and more importantly the disparity in estimates between the two methods were minimal in the last decade from 2000 to 2011.  Fig.S1 presents a </w:t>
      </w:r>
      <w:r w:rsidRPr="00A80179">
        <w:rPr>
          <w:sz w:val="24"/>
          <w:szCs w:val="24"/>
        </w:rPr>
        <w:t xml:space="preserve">comparison </w:t>
      </w:r>
      <w:r>
        <w:rPr>
          <w:sz w:val="24"/>
          <w:szCs w:val="24"/>
        </w:rPr>
        <w:t>that shows the two sets of estimates are highly correlated with R</w:t>
      </w:r>
      <w:r w:rsidRPr="009A1347">
        <w:rPr>
          <w:sz w:val="24"/>
          <w:szCs w:val="24"/>
          <w:vertAlign w:val="superscript"/>
        </w:rPr>
        <w:t>2</w:t>
      </w:r>
      <w:r>
        <w:rPr>
          <w:sz w:val="24"/>
          <w:szCs w:val="24"/>
        </w:rPr>
        <w:t>=0.99 and that overall and that our FVF estimates are 10</w:t>
      </w:r>
      <w:r w:rsidRPr="00A80179">
        <w:rPr>
          <w:sz w:val="24"/>
          <w:szCs w:val="24"/>
        </w:rPr>
        <w:t xml:space="preserve">% </w:t>
      </w:r>
      <w:r>
        <w:rPr>
          <w:sz w:val="24"/>
          <w:szCs w:val="24"/>
        </w:rPr>
        <w:t xml:space="preserve">lower than the country-based estimates, mainly happened between 1980 </w:t>
      </w:r>
      <w:r>
        <w:rPr>
          <w:sz w:val="24"/>
          <w:szCs w:val="24"/>
        </w:rPr>
        <w:lastRenderedPageBreak/>
        <w:t>and 2000 (Fig.S1). Statistical results of a linear model that estimates FVF catches from area-based estimation were presented in Table 1.</w:t>
      </w:r>
    </w:p>
    <w:p w14:paraId="6997D331" w14:textId="77777777" w:rsidR="00627306" w:rsidRPr="00E67EB6" w:rsidRDefault="00627306" w:rsidP="00627306">
      <w:pPr>
        <w:spacing w:line="480" w:lineRule="auto"/>
        <w:rPr>
          <w:rFonts w:eastAsia="Times New Roman"/>
          <w:color w:val="000000"/>
          <w:sz w:val="24"/>
          <w:szCs w:val="24"/>
        </w:rPr>
      </w:pPr>
    </w:p>
    <w:p w14:paraId="008DF27F" w14:textId="77777777" w:rsidR="00627306" w:rsidRDefault="00627306" w:rsidP="00627306">
      <w:pPr>
        <w:spacing w:line="480" w:lineRule="auto"/>
        <w:rPr>
          <w:sz w:val="24"/>
          <w:szCs w:val="24"/>
        </w:rPr>
      </w:pPr>
      <w:r>
        <w:rPr>
          <w:sz w:val="24"/>
          <w:szCs w:val="24"/>
        </w:rPr>
        <w:t xml:space="preserve">Table 1 The results of the linear regression model </w:t>
      </w:r>
    </w:p>
    <w:tbl>
      <w:tblPr>
        <w:tblW w:w="7800" w:type="dxa"/>
        <w:tblLook w:val="04A0" w:firstRow="1" w:lastRow="0" w:firstColumn="1" w:lastColumn="0" w:noHBand="0" w:noVBand="1"/>
      </w:tblPr>
      <w:tblGrid>
        <w:gridCol w:w="1300"/>
        <w:gridCol w:w="1300"/>
        <w:gridCol w:w="1300"/>
        <w:gridCol w:w="1300"/>
        <w:gridCol w:w="1300"/>
        <w:gridCol w:w="1300"/>
      </w:tblGrid>
      <w:tr w:rsidR="00627306" w:rsidRPr="009032B1" w14:paraId="6646F131" w14:textId="77777777" w:rsidTr="00B77A3D">
        <w:trPr>
          <w:trHeight w:val="320"/>
        </w:trPr>
        <w:tc>
          <w:tcPr>
            <w:tcW w:w="1300" w:type="dxa"/>
            <w:tcBorders>
              <w:top w:val="single" w:sz="4" w:space="0" w:color="auto"/>
              <w:left w:val="nil"/>
              <w:bottom w:val="single" w:sz="4" w:space="0" w:color="auto"/>
              <w:right w:val="nil"/>
            </w:tcBorders>
            <w:shd w:val="clear" w:color="auto" w:fill="auto"/>
            <w:noWrap/>
            <w:hideMark/>
          </w:tcPr>
          <w:p w14:paraId="609C90A2"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w:t>
            </w:r>
          </w:p>
        </w:tc>
        <w:tc>
          <w:tcPr>
            <w:tcW w:w="1300" w:type="dxa"/>
            <w:tcBorders>
              <w:top w:val="single" w:sz="4" w:space="0" w:color="auto"/>
              <w:left w:val="nil"/>
              <w:bottom w:val="single" w:sz="4" w:space="0" w:color="auto"/>
              <w:right w:val="nil"/>
            </w:tcBorders>
            <w:shd w:val="clear" w:color="auto" w:fill="auto"/>
            <w:noWrap/>
            <w:hideMark/>
          </w:tcPr>
          <w:p w14:paraId="71656DEB"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Estimate</w:t>
            </w:r>
          </w:p>
        </w:tc>
        <w:tc>
          <w:tcPr>
            <w:tcW w:w="1300" w:type="dxa"/>
            <w:tcBorders>
              <w:top w:val="single" w:sz="4" w:space="0" w:color="auto"/>
              <w:left w:val="nil"/>
              <w:bottom w:val="single" w:sz="4" w:space="0" w:color="auto"/>
              <w:right w:val="nil"/>
            </w:tcBorders>
            <w:shd w:val="clear" w:color="auto" w:fill="auto"/>
            <w:noWrap/>
            <w:hideMark/>
          </w:tcPr>
          <w:p w14:paraId="5B36B838"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Std. Error</w:t>
            </w:r>
          </w:p>
        </w:tc>
        <w:tc>
          <w:tcPr>
            <w:tcW w:w="1300" w:type="dxa"/>
            <w:tcBorders>
              <w:top w:val="single" w:sz="4" w:space="0" w:color="auto"/>
              <w:left w:val="nil"/>
              <w:bottom w:val="single" w:sz="4" w:space="0" w:color="auto"/>
              <w:right w:val="nil"/>
            </w:tcBorders>
            <w:shd w:val="clear" w:color="auto" w:fill="auto"/>
            <w:noWrap/>
            <w:hideMark/>
          </w:tcPr>
          <w:p w14:paraId="5D463341"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t value</w:t>
            </w:r>
          </w:p>
        </w:tc>
        <w:tc>
          <w:tcPr>
            <w:tcW w:w="1300" w:type="dxa"/>
            <w:tcBorders>
              <w:top w:val="single" w:sz="4" w:space="0" w:color="auto"/>
              <w:left w:val="nil"/>
              <w:bottom w:val="single" w:sz="4" w:space="0" w:color="auto"/>
              <w:right w:val="nil"/>
            </w:tcBorders>
            <w:shd w:val="clear" w:color="auto" w:fill="auto"/>
            <w:noWrap/>
            <w:hideMark/>
          </w:tcPr>
          <w:p w14:paraId="69292891"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Pr(&gt;|t|)</w:t>
            </w:r>
          </w:p>
        </w:tc>
        <w:tc>
          <w:tcPr>
            <w:tcW w:w="1300" w:type="dxa"/>
            <w:tcBorders>
              <w:top w:val="single" w:sz="4" w:space="0" w:color="auto"/>
              <w:left w:val="nil"/>
              <w:bottom w:val="single" w:sz="4" w:space="0" w:color="auto"/>
              <w:right w:val="nil"/>
            </w:tcBorders>
            <w:shd w:val="clear" w:color="auto" w:fill="auto"/>
            <w:noWrap/>
            <w:hideMark/>
          </w:tcPr>
          <w:p w14:paraId="6B06285A"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w:t>
            </w:r>
          </w:p>
        </w:tc>
      </w:tr>
      <w:tr w:rsidR="00627306" w:rsidRPr="009032B1" w14:paraId="577837B3" w14:textId="77777777" w:rsidTr="00B77A3D">
        <w:trPr>
          <w:trHeight w:val="320"/>
        </w:trPr>
        <w:tc>
          <w:tcPr>
            <w:tcW w:w="1300" w:type="dxa"/>
            <w:tcBorders>
              <w:top w:val="nil"/>
              <w:left w:val="nil"/>
              <w:bottom w:val="nil"/>
              <w:right w:val="nil"/>
            </w:tcBorders>
            <w:shd w:val="clear" w:color="auto" w:fill="auto"/>
            <w:noWrap/>
            <w:hideMark/>
          </w:tcPr>
          <w:p w14:paraId="4A9FBF3D"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Intercept</w:t>
            </w:r>
          </w:p>
        </w:tc>
        <w:tc>
          <w:tcPr>
            <w:tcW w:w="1300" w:type="dxa"/>
            <w:tcBorders>
              <w:top w:val="nil"/>
              <w:left w:val="nil"/>
              <w:bottom w:val="nil"/>
              <w:right w:val="nil"/>
            </w:tcBorders>
            <w:shd w:val="clear" w:color="auto" w:fill="auto"/>
            <w:noWrap/>
            <w:hideMark/>
          </w:tcPr>
          <w:p w14:paraId="6D786A37" w14:textId="77777777" w:rsidR="00627306" w:rsidRPr="009032B1" w:rsidRDefault="00627306" w:rsidP="00B77A3D">
            <w:pPr>
              <w:spacing w:line="480" w:lineRule="auto"/>
              <w:rPr>
                <w:rFonts w:eastAsia="Times New Roman"/>
                <w:color w:val="000000"/>
                <w:sz w:val="24"/>
                <w:szCs w:val="24"/>
                <w:lang w:val="it-IT" w:eastAsia="zh-CN"/>
              </w:rPr>
            </w:pPr>
          </w:p>
        </w:tc>
        <w:tc>
          <w:tcPr>
            <w:tcW w:w="1300" w:type="dxa"/>
            <w:tcBorders>
              <w:top w:val="nil"/>
              <w:left w:val="nil"/>
              <w:bottom w:val="nil"/>
              <w:right w:val="nil"/>
            </w:tcBorders>
            <w:shd w:val="clear" w:color="auto" w:fill="auto"/>
            <w:noWrap/>
            <w:hideMark/>
          </w:tcPr>
          <w:p w14:paraId="3F8F9EC4" w14:textId="77777777" w:rsidR="00627306" w:rsidRPr="009032B1" w:rsidRDefault="00627306" w:rsidP="00B77A3D">
            <w:pPr>
              <w:spacing w:line="480" w:lineRule="auto"/>
              <w:rPr>
                <w:rFonts w:eastAsia="Times New Roman"/>
                <w:lang w:eastAsia="zh-CN"/>
              </w:rPr>
            </w:pPr>
          </w:p>
        </w:tc>
        <w:tc>
          <w:tcPr>
            <w:tcW w:w="1300" w:type="dxa"/>
            <w:tcBorders>
              <w:top w:val="nil"/>
              <w:left w:val="nil"/>
              <w:bottom w:val="nil"/>
              <w:right w:val="nil"/>
            </w:tcBorders>
            <w:shd w:val="clear" w:color="auto" w:fill="auto"/>
            <w:noWrap/>
            <w:hideMark/>
          </w:tcPr>
          <w:p w14:paraId="03CA9681" w14:textId="77777777" w:rsidR="00627306" w:rsidRPr="009032B1" w:rsidRDefault="00627306" w:rsidP="00B77A3D">
            <w:pPr>
              <w:spacing w:line="480" w:lineRule="auto"/>
              <w:rPr>
                <w:rFonts w:eastAsia="Times New Roman"/>
                <w:lang w:eastAsia="zh-CN"/>
              </w:rPr>
            </w:pPr>
          </w:p>
        </w:tc>
        <w:tc>
          <w:tcPr>
            <w:tcW w:w="1300" w:type="dxa"/>
            <w:tcBorders>
              <w:top w:val="nil"/>
              <w:left w:val="nil"/>
              <w:bottom w:val="nil"/>
              <w:right w:val="nil"/>
            </w:tcBorders>
            <w:shd w:val="clear" w:color="auto" w:fill="auto"/>
            <w:noWrap/>
            <w:hideMark/>
          </w:tcPr>
          <w:p w14:paraId="0DFC896A" w14:textId="77777777" w:rsidR="00627306" w:rsidRPr="009032B1" w:rsidRDefault="00627306" w:rsidP="00B77A3D">
            <w:pPr>
              <w:spacing w:line="480" w:lineRule="auto"/>
              <w:rPr>
                <w:rFonts w:eastAsia="Times New Roman"/>
                <w:lang w:eastAsia="zh-CN"/>
              </w:rPr>
            </w:pPr>
          </w:p>
        </w:tc>
        <w:tc>
          <w:tcPr>
            <w:tcW w:w="1300" w:type="dxa"/>
            <w:tcBorders>
              <w:top w:val="nil"/>
              <w:left w:val="nil"/>
              <w:bottom w:val="nil"/>
              <w:right w:val="nil"/>
            </w:tcBorders>
            <w:shd w:val="clear" w:color="auto" w:fill="auto"/>
            <w:noWrap/>
            <w:hideMark/>
          </w:tcPr>
          <w:p w14:paraId="2C3063FA" w14:textId="77777777" w:rsidR="00627306" w:rsidRPr="009032B1" w:rsidRDefault="00627306" w:rsidP="00B77A3D">
            <w:pPr>
              <w:spacing w:line="480" w:lineRule="auto"/>
              <w:rPr>
                <w:rFonts w:eastAsia="Times New Roman"/>
                <w:lang w:eastAsia="zh-CN"/>
              </w:rPr>
            </w:pPr>
          </w:p>
        </w:tc>
      </w:tr>
      <w:tr w:rsidR="00627306" w:rsidRPr="009032B1" w14:paraId="166054A7" w14:textId="77777777" w:rsidTr="00B77A3D">
        <w:trPr>
          <w:trHeight w:val="320"/>
        </w:trPr>
        <w:tc>
          <w:tcPr>
            <w:tcW w:w="1300" w:type="dxa"/>
            <w:tcBorders>
              <w:top w:val="nil"/>
              <w:left w:val="nil"/>
              <w:bottom w:val="nil"/>
              <w:right w:val="nil"/>
            </w:tcBorders>
            <w:shd w:val="clear" w:color="auto" w:fill="auto"/>
            <w:noWrap/>
            <w:hideMark/>
          </w:tcPr>
          <w:p w14:paraId="39FDAB9D"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Slope</w:t>
            </w:r>
          </w:p>
        </w:tc>
        <w:tc>
          <w:tcPr>
            <w:tcW w:w="1300" w:type="dxa"/>
            <w:tcBorders>
              <w:top w:val="nil"/>
              <w:left w:val="nil"/>
              <w:bottom w:val="nil"/>
              <w:right w:val="nil"/>
            </w:tcBorders>
            <w:shd w:val="clear" w:color="auto" w:fill="auto"/>
            <w:noWrap/>
            <w:hideMark/>
          </w:tcPr>
          <w:p w14:paraId="53AD7ADA"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0.89961</w:t>
            </w:r>
          </w:p>
        </w:tc>
        <w:tc>
          <w:tcPr>
            <w:tcW w:w="1300" w:type="dxa"/>
            <w:tcBorders>
              <w:top w:val="nil"/>
              <w:left w:val="nil"/>
              <w:bottom w:val="nil"/>
              <w:right w:val="nil"/>
            </w:tcBorders>
            <w:shd w:val="clear" w:color="auto" w:fill="auto"/>
            <w:noWrap/>
            <w:hideMark/>
          </w:tcPr>
          <w:p w14:paraId="414EEEB6"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0.00434</w:t>
            </w:r>
          </w:p>
        </w:tc>
        <w:tc>
          <w:tcPr>
            <w:tcW w:w="1300" w:type="dxa"/>
            <w:tcBorders>
              <w:top w:val="nil"/>
              <w:left w:val="nil"/>
              <w:bottom w:val="nil"/>
              <w:right w:val="nil"/>
            </w:tcBorders>
            <w:shd w:val="clear" w:color="auto" w:fill="auto"/>
            <w:noWrap/>
            <w:hideMark/>
          </w:tcPr>
          <w:p w14:paraId="0C289D14"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207.3</w:t>
            </w:r>
          </w:p>
        </w:tc>
        <w:tc>
          <w:tcPr>
            <w:tcW w:w="1300" w:type="dxa"/>
            <w:tcBorders>
              <w:top w:val="nil"/>
              <w:left w:val="nil"/>
              <w:bottom w:val="nil"/>
              <w:right w:val="nil"/>
            </w:tcBorders>
            <w:shd w:val="clear" w:color="auto" w:fill="auto"/>
            <w:noWrap/>
            <w:hideMark/>
          </w:tcPr>
          <w:p w14:paraId="0D1EBD65"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&lt;2e-16</w:t>
            </w:r>
          </w:p>
        </w:tc>
        <w:tc>
          <w:tcPr>
            <w:tcW w:w="1300" w:type="dxa"/>
            <w:tcBorders>
              <w:top w:val="nil"/>
              <w:left w:val="nil"/>
              <w:bottom w:val="nil"/>
              <w:right w:val="nil"/>
            </w:tcBorders>
            <w:shd w:val="clear" w:color="auto" w:fill="auto"/>
            <w:noWrap/>
            <w:hideMark/>
          </w:tcPr>
          <w:p w14:paraId="6F5476D9"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w:t>
            </w:r>
          </w:p>
        </w:tc>
      </w:tr>
      <w:tr w:rsidR="00627306" w:rsidRPr="009032B1" w14:paraId="14E375BD" w14:textId="77777777" w:rsidTr="00B77A3D">
        <w:trPr>
          <w:trHeight w:val="320"/>
        </w:trPr>
        <w:tc>
          <w:tcPr>
            <w:tcW w:w="6500" w:type="dxa"/>
            <w:gridSpan w:val="5"/>
            <w:tcBorders>
              <w:top w:val="nil"/>
              <w:left w:val="nil"/>
              <w:bottom w:val="nil"/>
              <w:right w:val="nil"/>
            </w:tcBorders>
            <w:shd w:val="clear" w:color="auto" w:fill="auto"/>
            <w:noWrap/>
            <w:hideMark/>
          </w:tcPr>
          <w:p w14:paraId="089C3ADA"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xml:space="preserve">Multiple R-squared:  0.9986, Adjusted R-squared:  0.9986 </w:t>
            </w:r>
          </w:p>
        </w:tc>
        <w:tc>
          <w:tcPr>
            <w:tcW w:w="1300" w:type="dxa"/>
            <w:tcBorders>
              <w:top w:val="nil"/>
              <w:left w:val="nil"/>
              <w:bottom w:val="nil"/>
              <w:right w:val="nil"/>
            </w:tcBorders>
            <w:shd w:val="clear" w:color="auto" w:fill="auto"/>
            <w:noWrap/>
            <w:hideMark/>
          </w:tcPr>
          <w:p w14:paraId="6C8A68CD" w14:textId="77777777" w:rsidR="00627306" w:rsidRPr="009032B1" w:rsidRDefault="00627306" w:rsidP="00B77A3D">
            <w:pPr>
              <w:spacing w:line="480" w:lineRule="auto"/>
              <w:rPr>
                <w:rFonts w:eastAsia="Times New Roman"/>
                <w:color w:val="000000"/>
                <w:sz w:val="24"/>
                <w:szCs w:val="24"/>
                <w:lang w:eastAsia="zh-CN"/>
              </w:rPr>
            </w:pPr>
          </w:p>
        </w:tc>
      </w:tr>
      <w:tr w:rsidR="00627306" w:rsidRPr="009032B1" w14:paraId="7CF33FFA" w14:textId="77777777" w:rsidTr="00B77A3D">
        <w:trPr>
          <w:trHeight w:val="320"/>
        </w:trPr>
        <w:tc>
          <w:tcPr>
            <w:tcW w:w="1300" w:type="dxa"/>
            <w:tcBorders>
              <w:top w:val="nil"/>
              <w:left w:val="nil"/>
              <w:bottom w:val="single" w:sz="4" w:space="0" w:color="auto"/>
              <w:right w:val="nil"/>
            </w:tcBorders>
            <w:shd w:val="clear" w:color="auto" w:fill="auto"/>
            <w:noWrap/>
            <w:hideMark/>
          </w:tcPr>
          <w:p w14:paraId="75289179"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xml:space="preserve">Source </w:t>
            </w:r>
          </w:p>
        </w:tc>
        <w:tc>
          <w:tcPr>
            <w:tcW w:w="1300" w:type="dxa"/>
            <w:tcBorders>
              <w:top w:val="nil"/>
              <w:left w:val="nil"/>
              <w:bottom w:val="single" w:sz="4" w:space="0" w:color="auto"/>
              <w:right w:val="nil"/>
            </w:tcBorders>
            <w:shd w:val="clear" w:color="auto" w:fill="auto"/>
            <w:noWrap/>
            <w:hideMark/>
          </w:tcPr>
          <w:p w14:paraId="3061C98A"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df</w:t>
            </w:r>
          </w:p>
        </w:tc>
        <w:tc>
          <w:tcPr>
            <w:tcW w:w="1300" w:type="dxa"/>
            <w:tcBorders>
              <w:top w:val="nil"/>
              <w:left w:val="nil"/>
              <w:bottom w:val="single" w:sz="4" w:space="0" w:color="auto"/>
              <w:right w:val="nil"/>
            </w:tcBorders>
            <w:shd w:val="clear" w:color="auto" w:fill="auto"/>
            <w:noWrap/>
            <w:hideMark/>
          </w:tcPr>
          <w:p w14:paraId="327D9344"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MS</w:t>
            </w:r>
          </w:p>
        </w:tc>
        <w:tc>
          <w:tcPr>
            <w:tcW w:w="1300" w:type="dxa"/>
            <w:tcBorders>
              <w:top w:val="nil"/>
              <w:left w:val="nil"/>
              <w:bottom w:val="single" w:sz="4" w:space="0" w:color="auto"/>
              <w:right w:val="nil"/>
            </w:tcBorders>
            <w:shd w:val="clear" w:color="auto" w:fill="auto"/>
            <w:noWrap/>
            <w:hideMark/>
          </w:tcPr>
          <w:p w14:paraId="16877345"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xml:space="preserve">F </w:t>
            </w:r>
          </w:p>
        </w:tc>
        <w:tc>
          <w:tcPr>
            <w:tcW w:w="1300" w:type="dxa"/>
            <w:tcBorders>
              <w:top w:val="nil"/>
              <w:left w:val="nil"/>
              <w:bottom w:val="single" w:sz="4" w:space="0" w:color="auto"/>
              <w:right w:val="nil"/>
            </w:tcBorders>
            <w:shd w:val="clear" w:color="auto" w:fill="auto"/>
            <w:noWrap/>
            <w:hideMark/>
          </w:tcPr>
          <w:p w14:paraId="655DD031"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P</w:t>
            </w:r>
          </w:p>
        </w:tc>
        <w:tc>
          <w:tcPr>
            <w:tcW w:w="1300" w:type="dxa"/>
            <w:tcBorders>
              <w:top w:val="nil"/>
              <w:left w:val="nil"/>
              <w:bottom w:val="nil"/>
              <w:right w:val="nil"/>
            </w:tcBorders>
            <w:shd w:val="clear" w:color="auto" w:fill="auto"/>
            <w:noWrap/>
            <w:hideMark/>
          </w:tcPr>
          <w:p w14:paraId="5B08D57F" w14:textId="77777777" w:rsidR="00627306" w:rsidRPr="009032B1" w:rsidRDefault="00627306" w:rsidP="00B77A3D">
            <w:pPr>
              <w:spacing w:line="480" w:lineRule="auto"/>
              <w:rPr>
                <w:rFonts w:eastAsia="Times New Roman"/>
                <w:color w:val="000000"/>
                <w:sz w:val="24"/>
                <w:szCs w:val="24"/>
                <w:lang w:eastAsia="zh-CN"/>
              </w:rPr>
            </w:pPr>
          </w:p>
        </w:tc>
      </w:tr>
      <w:tr w:rsidR="00627306" w:rsidRPr="009032B1" w14:paraId="08E952CE" w14:textId="77777777" w:rsidTr="00B77A3D">
        <w:trPr>
          <w:trHeight w:val="320"/>
        </w:trPr>
        <w:tc>
          <w:tcPr>
            <w:tcW w:w="1300" w:type="dxa"/>
            <w:tcBorders>
              <w:top w:val="nil"/>
              <w:left w:val="nil"/>
              <w:bottom w:val="nil"/>
              <w:right w:val="nil"/>
            </w:tcBorders>
            <w:shd w:val="clear" w:color="auto" w:fill="auto"/>
            <w:noWrap/>
            <w:hideMark/>
          </w:tcPr>
          <w:p w14:paraId="1AEA47AB"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Regression</w:t>
            </w:r>
          </w:p>
        </w:tc>
        <w:tc>
          <w:tcPr>
            <w:tcW w:w="1300" w:type="dxa"/>
            <w:tcBorders>
              <w:top w:val="nil"/>
              <w:left w:val="nil"/>
              <w:bottom w:val="nil"/>
              <w:right w:val="nil"/>
            </w:tcBorders>
            <w:shd w:val="clear" w:color="auto" w:fill="auto"/>
            <w:noWrap/>
            <w:hideMark/>
          </w:tcPr>
          <w:p w14:paraId="28CC29B0"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1</w:t>
            </w:r>
          </w:p>
        </w:tc>
        <w:tc>
          <w:tcPr>
            <w:tcW w:w="1300" w:type="dxa"/>
            <w:tcBorders>
              <w:top w:val="nil"/>
              <w:left w:val="nil"/>
              <w:bottom w:val="nil"/>
              <w:right w:val="nil"/>
            </w:tcBorders>
            <w:shd w:val="clear" w:color="auto" w:fill="auto"/>
            <w:noWrap/>
            <w:hideMark/>
          </w:tcPr>
          <w:p w14:paraId="3B68121D"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2.70E+14</w:t>
            </w:r>
          </w:p>
        </w:tc>
        <w:tc>
          <w:tcPr>
            <w:tcW w:w="1300" w:type="dxa"/>
            <w:tcBorders>
              <w:top w:val="nil"/>
              <w:left w:val="nil"/>
              <w:bottom w:val="nil"/>
              <w:right w:val="nil"/>
            </w:tcBorders>
            <w:shd w:val="clear" w:color="auto" w:fill="auto"/>
            <w:noWrap/>
            <w:hideMark/>
          </w:tcPr>
          <w:p w14:paraId="228BBFD3"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42963</w:t>
            </w:r>
          </w:p>
        </w:tc>
        <w:tc>
          <w:tcPr>
            <w:tcW w:w="1300" w:type="dxa"/>
            <w:tcBorders>
              <w:top w:val="nil"/>
              <w:left w:val="nil"/>
              <w:bottom w:val="nil"/>
              <w:right w:val="nil"/>
            </w:tcBorders>
            <w:shd w:val="clear" w:color="auto" w:fill="auto"/>
            <w:noWrap/>
            <w:hideMark/>
          </w:tcPr>
          <w:p w14:paraId="664ABA99"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2.20E-16</w:t>
            </w:r>
          </w:p>
        </w:tc>
        <w:tc>
          <w:tcPr>
            <w:tcW w:w="1300" w:type="dxa"/>
            <w:tcBorders>
              <w:top w:val="single" w:sz="4" w:space="0" w:color="auto"/>
              <w:left w:val="nil"/>
              <w:bottom w:val="nil"/>
              <w:right w:val="nil"/>
            </w:tcBorders>
            <w:shd w:val="clear" w:color="auto" w:fill="auto"/>
            <w:noWrap/>
            <w:hideMark/>
          </w:tcPr>
          <w:p w14:paraId="5BE55B38"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w:t>
            </w:r>
          </w:p>
        </w:tc>
      </w:tr>
      <w:tr w:rsidR="00627306" w:rsidRPr="009032B1" w14:paraId="2FFCAC7F" w14:textId="77777777" w:rsidTr="00B77A3D">
        <w:trPr>
          <w:trHeight w:val="320"/>
        </w:trPr>
        <w:tc>
          <w:tcPr>
            <w:tcW w:w="1300" w:type="dxa"/>
            <w:tcBorders>
              <w:top w:val="nil"/>
              <w:left w:val="nil"/>
              <w:bottom w:val="single" w:sz="4" w:space="0" w:color="auto"/>
              <w:right w:val="nil"/>
            </w:tcBorders>
            <w:shd w:val="clear" w:color="auto" w:fill="auto"/>
            <w:noWrap/>
            <w:hideMark/>
          </w:tcPr>
          <w:p w14:paraId="7A1A6C0B"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Residual</w:t>
            </w:r>
          </w:p>
        </w:tc>
        <w:tc>
          <w:tcPr>
            <w:tcW w:w="1300" w:type="dxa"/>
            <w:tcBorders>
              <w:top w:val="nil"/>
              <w:left w:val="nil"/>
              <w:bottom w:val="single" w:sz="4" w:space="0" w:color="auto"/>
              <w:right w:val="nil"/>
            </w:tcBorders>
            <w:shd w:val="clear" w:color="auto" w:fill="auto"/>
            <w:noWrap/>
            <w:hideMark/>
          </w:tcPr>
          <w:p w14:paraId="62AFDF93"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61</w:t>
            </w:r>
          </w:p>
        </w:tc>
        <w:tc>
          <w:tcPr>
            <w:tcW w:w="1300" w:type="dxa"/>
            <w:tcBorders>
              <w:top w:val="nil"/>
              <w:left w:val="nil"/>
              <w:bottom w:val="single" w:sz="4" w:space="0" w:color="auto"/>
              <w:right w:val="nil"/>
            </w:tcBorders>
            <w:shd w:val="clear" w:color="auto" w:fill="auto"/>
            <w:noWrap/>
            <w:hideMark/>
          </w:tcPr>
          <w:p w14:paraId="1020F4BB"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6.29E+09</w:t>
            </w:r>
          </w:p>
        </w:tc>
        <w:tc>
          <w:tcPr>
            <w:tcW w:w="1300" w:type="dxa"/>
            <w:tcBorders>
              <w:top w:val="nil"/>
              <w:left w:val="nil"/>
              <w:bottom w:val="single" w:sz="4" w:space="0" w:color="auto"/>
              <w:right w:val="nil"/>
            </w:tcBorders>
            <w:shd w:val="clear" w:color="auto" w:fill="auto"/>
            <w:noWrap/>
            <w:hideMark/>
          </w:tcPr>
          <w:p w14:paraId="5B5953BE"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w:t>
            </w:r>
          </w:p>
        </w:tc>
        <w:tc>
          <w:tcPr>
            <w:tcW w:w="1300" w:type="dxa"/>
            <w:tcBorders>
              <w:top w:val="nil"/>
              <w:left w:val="nil"/>
              <w:bottom w:val="single" w:sz="4" w:space="0" w:color="auto"/>
              <w:right w:val="nil"/>
            </w:tcBorders>
            <w:shd w:val="clear" w:color="auto" w:fill="auto"/>
            <w:noWrap/>
            <w:hideMark/>
          </w:tcPr>
          <w:p w14:paraId="0CEE8781"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w:t>
            </w:r>
          </w:p>
        </w:tc>
        <w:tc>
          <w:tcPr>
            <w:tcW w:w="1300" w:type="dxa"/>
            <w:tcBorders>
              <w:top w:val="nil"/>
              <w:left w:val="nil"/>
              <w:bottom w:val="single" w:sz="4" w:space="0" w:color="auto"/>
              <w:right w:val="nil"/>
            </w:tcBorders>
            <w:shd w:val="clear" w:color="auto" w:fill="auto"/>
            <w:noWrap/>
            <w:hideMark/>
          </w:tcPr>
          <w:p w14:paraId="35D10D6C" w14:textId="77777777" w:rsidR="00627306" w:rsidRPr="009032B1" w:rsidRDefault="00627306" w:rsidP="00B77A3D">
            <w:pPr>
              <w:spacing w:line="480" w:lineRule="auto"/>
              <w:rPr>
                <w:rFonts w:eastAsia="Times New Roman"/>
                <w:color w:val="000000"/>
                <w:sz w:val="24"/>
                <w:szCs w:val="24"/>
                <w:lang w:eastAsia="zh-CN"/>
              </w:rPr>
            </w:pPr>
            <w:r w:rsidRPr="009032B1">
              <w:rPr>
                <w:rFonts w:eastAsia="Times New Roman"/>
                <w:color w:val="000000"/>
                <w:sz w:val="24"/>
                <w:szCs w:val="24"/>
                <w:lang w:eastAsia="zh-CN"/>
              </w:rPr>
              <w:t> </w:t>
            </w:r>
          </w:p>
        </w:tc>
      </w:tr>
    </w:tbl>
    <w:p w14:paraId="0B7249D3" w14:textId="77777777" w:rsidR="00627306" w:rsidRPr="005D0F3E" w:rsidRDefault="00627306" w:rsidP="00627306">
      <w:pPr>
        <w:spacing w:line="480" w:lineRule="auto"/>
        <w:rPr>
          <w:sz w:val="24"/>
          <w:szCs w:val="24"/>
        </w:rPr>
      </w:pPr>
    </w:p>
    <w:p w14:paraId="3A86D448" w14:textId="77777777" w:rsidR="00627306" w:rsidRDefault="00627306" w:rsidP="00627306">
      <w:pPr>
        <w:spacing w:line="480" w:lineRule="auto"/>
        <w:rPr>
          <w:lang w:val="en-GB"/>
        </w:rPr>
      </w:pPr>
      <w:r w:rsidRPr="009A1347">
        <w:rPr>
          <w:noProof/>
          <w:lang w:val="en-GB" w:eastAsia="en-GB"/>
        </w:rPr>
        <w:drawing>
          <wp:inline distT="0" distB="0" distL="0" distR="0" wp14:anchorId="3FCB429F" wp14:editId="73C7A6EC">
            <wp:extent cx="3276600" cy="2524991"/>
            <wp:effectExtent l="0" t="0" r="0" b="254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6"/>
                    <a:stretch>
                      <a:fillRect/>
                    </a:stretch>
                  </pic:blipFill>
                  <pic:spPr>
                    <a:xfrm>
                      <a:off x="0" y="0"/>
                      <a:ext cx="3297808" cy="2541334"/>
                    </a:xfrm>
                    <a:prstGeom prst="rect">
                      <a:avLst/>
                    </a:prstGeom>
                  </pic:spPr>
                </pic:pic>
              </a:graphicData>
            </a:graphic>
          </wp:inline>
        </w:drawing>
      </w:r>
    </w:p>
    <w:p w14:paraId="618AA393" w14:textId="77777777" w:rsidR="00627306" w:rsidRDefault="00627306" w:rsidP="00627306">
      <w:pPr>
        <w:spacing w:line="480" w:lineRule="auto"/>
        <w:rPr>
          <w:lang w:val="en-GB"/>
        </w:rPr>
      </w:pPr>
      <w:r w:rsidRPr="00A80179">
        <w:rPr>
          <w:lang w:val="en-GB"/>
        </w:rPr>
        <w:t xml:space="preserve">Fig.S1 Comparison </w:t>
      </w:r>
      <w:r>
        <w:rPr>
          <w:lang w:val="en-GB"/>
        </w:rPr>
        <w:t>of the catch estimates for Foreign Vessels Fishing (</w:t>
      </w:r>
      <w:r w:rsidRPr="00A80179">
        <w:rPr>
          <w:lang w:val="en-GB"/>
        </w:rPr>
        <w:t>FVF</w:t>
      </w:r>
      <w:r>
        <w:rPr>
          <w:lang w:val="en-GB"/>
        </w:rPr>
        <w:t>)</w:t>
      </w:r>
      <w:r w:rsidRPr="00A80179">
        <w:rPr>
          <w:lang w:val="en-GB"/>
        </w:rPr>
        <w:t xml:space="preserve"> </w:t>
      </w:r>
      <w:r>
        <w:rPr>
          <w:lang w:val="en-GB"/>
        </w:rPr>
        <w:t>in African waters between the area-based (blue dots) and country-based methods</w:t>
      </w:r>
      <w:r>
        <w:rPr>
          <w:lang w:val="en-GB"/>
        </w:rPr>
        <w:fldChar w:fldCharType="begin"/>
      </w:r>
      <w:r>
        <w:rPr>
          <w:lang w:val="en-GB"/>
        </w:rPr>
        <w:instrText xml:space="preserve"> ADDIN ZOTERO_ITEM CSL_CITATION {"citationID":"a2jrqumb98j","properties":{"formattedCitation":"\\super 9\\nosupersub{}","plainCitation":"9","noteIndex":0},"citationItems":[{"id":25,"uris":["http://zotero.org/users/local/VWtewyoN/items/AZEAGUBB"],"uri":["http://zotero.org/users/local/VWtewyoN/items/AZEAGUBB"],"itemData":{"id":25,"type":"book","abstract":"Explore millions of resources from scholarly journals, books, newspapers, videos and more, on the ProQuest Platform.","collection-number":"Fisheries and Aquaculture Technical Circular No.1093","event-place":"Rome","language":"en","number-of-pages":"76","publisher":"FAO","publisher-place":"Rome","title":"The Value of African Fisheries","URL":"https://search.proquest.com/openview/0eb4ffd32a181b68220eb1af5853e984/1?pq-origsite=gscholar&amp;cbl=237324","author":[{"family":"FAO","given":""}],"accessed":{"date-parts":[["2020",11,21]]},"issued":{"date-parts":[["2014"]]}}}],"schema":"https://github.com/citation-style-language/schema/raw/master/csl-citation.json"} </w:instrText>
      </w:r>
      <w:r>
        <w:rPr>
          <w:lang w:val="en-GB"/>
        </w:rPr>
        <w:fldChar w:fldCharType="separate"/>
      </w:r>
      <w:r w:rsidRPr="003A584C">
        <w:rPr>
          <w:vertAlign w:val="superscript"/>
          <w:lang w:val="en-GB"/>
        </w:rPr>
        <w:t>9</w:t>
      </w:r>
      <w:r>
        <w:rPr>
          <w:lang w:val="en-GB"/>
        </w:rPr>
        <w:fldChar w:fldCharType="end"/>
      </w:r>
      <w:r w:rsidRPr="00A80179">
        <w:rPr>
          <w:lang w:val="en-GB"/>
        </w:rPr>
        <w:t>.</w:t>
      </w:r>
    </w:p>
    <w:p w14:paraId="1EB21AF1" w14:textId="77777777" w:rsidR="00627306" w:rsidRDefault="00627306" w:rsidP="00627306">
      <w:pPr>
        <w:spacing w:line="480" w:lineRule="auto"/>
        <w:rPr>
          <w:b/>
          <w:bCs/>
          <w:lang w:val="en-GB"/>
        </w:rPr>
      </w:pPr>
      <w:r w:rsidRPr="00542008">
        <w:rPr>
          <w:b/>
          <w:bCs/>
          <w:lang w:val="en-GB"/>
        </w:rPr>
        <w:t>Estimation of IUU catches in African EEZs</w:t>
      </w:r>
    </w:p>
    <w:p w14:paraId="31C04F8A" w14:textId="77777777" w:rsidR="00627306" w:rsidRDefault="00627306" w:rsidP="00627306">
      <w:pPr>
        <w:spacing w:line="480" w:lineRule="auto"/>
        <w:rPr>
          <w:lang w:val="en-GB"/>
        </w:rPr>
      </w:pPr>
    </w:p>
    <w:p w14:paraId="39B83F9E" w14:textId="77777777" w:rsidR="00627306" w:rsidRPr="00542008" w:rsidRDefault="00627306" w:rsidP="00627306">
      <w:pPr>
        <w:spacing w:line="480" w:lineRule="auto"/>
        <w:rPr>
          <w:sz w:val="24"/>
          <w:szCs w:val="24"/>
        </w:rPr>
      </w:pPr>
      <w:r w:rsidRPr="00542008">
        <w:rPr>
          <w:lang w:val="en-GB"/>
        </w:rPr>
        <w:lastRenderedPageBreak/>
        <w:t>The IUU catch estimates in African countries</w:t>
      </w:r>
      <w:r>
        <w:rPr>
          <w:lang w:val="en-GB"/>
        </w:rPr>
        <w:t>’ EEZs</w:t>
      </w:r>
      <w:r w:rsidRPr="00542008">
        <w:rPr>
          <w:lang w:val="en-GB"/>
        </w:rPr>
        <w:t xml:space="preserve"> were </w:t>
      </w:r>
      <w:r>
        <w:rPr>
          <w:lang w:val="en-GB"/>
        </w:rPr>
        <w:t>based on data from Pauly et al.</w:t>
      </w:r>
      <w:r>
        <w:rPr>
          <w:lang w:val="en-GB"/>
        </w:rPr>
        <w:fldChar w:fldCharType="begin"/>
      </w:r>
      <w:r>
        <w:rPr>
          <w:lang w:val="en-GB"/>
        </w:rPr>
        <w:instrText xml:space="preserve"> ADDIN ZOTERO_ITEM CSL_CITATION {"citationID":"a1dg4igmra6","properties":{"formattedCitation":"\\super 32\\nosupersub{}","plainCitation":"32","noteIndex":0},"citationItems":[{"id":71,"uris":["http://zotero.org/users/local/VWtewyoN/items/3XDY2JJD"],"uri":["http://zotero.org/users/local/VWtewyoN/items/3XDY2JJD"],"itemData":{"id":71,"type":"report","title":"Sea Around Us Concepts, Design and Data","URL":"WWW.SeaAroundUs.org","author":[{"family":"Pauly","given":"Daniel"},{"family":"Zeller","given":"Dirk"},{"family":"Palomares","given":"M. L. D."}],"issued":{"date-parts":[["2020"]]}}}],"schema":"https://github.com/citation-style-language/schema/raw/master/csl-citation.json"} </w:instrText>
      </w:r>
      <w:r>
        <w:rPr>
          <w:lang w:val="en-GB"/>
        </w:rPr>
        <w:fldChar w:fldCharType="separate"/>
      </w:r>
      <w:r w:rsidRPr="00351D55">
        <w:rPr>
          <w:vertAlign w:val="superscript"/>
          <w:lang w:val="en-GB"/>
        </w:rPr>
        <w:t>32</w:t>
      </w:r>
      <w:r>
        <w:rPr>
          <w:lang w:val="en-GB"/>
        </w:rPr>
        <w:fldChar w:fldCharType="end"/>
      </w:r>
      <w:r>
        <w:rPr>
          <w:lang w:val="en-GB"/>
        </w:rPr>
        <w:t xml:space="preserve"> and </w:t>
      </w:r>
      <w:r w:rsidRPr="00542008">
        <w:rPr>
          <w:lang w:val="en-GB"/>
        </w:rPr>
        <w:t xml:space="preserve">presented in Fig.S2. </w:t>
      </w:r>
      <w:r>
        <w:rPr>
          <w:lang w:val="en-GB"/>
        </w:rPr>
        <w:t>The total IUU catch experienced a rapid increase before 1970 and fluctuated between 3.0 and 4.2 million tonnes. Foreign vessels’ IUU fishing dominated over most years, reaching 75% in 1967 and declining since to 48% in 2016 (Fig.S3)</w:t>
      </w:r>
    </w:p>
    <w:p w14:paraId="6C6D6C1C" w14:textId="77777777" w:rsidR="00627306" w:rsidRDefault="00627306" w:rsidP="00627306">
      <w:pPr>
        <w:pStyle w:val="NormalWeb"/>
        <w:spacing w:before="0" w:beforeAutospacing="0" w:after="0" w:afterAutospacing="0" w:line="480" w:lineRule="auto"/>
        <w:rPr>
          <w:lang w:val="en-GB"/>
        </w:rPr>
      </w:pPr>
      <w:r w:rsidRPr="003B03F1">
        <w:rPr>
          <w:noProof/>
          <w:lang w:val="en-GB" w:eastAsia="en-GB"/>
        </w:rPr>
        <w:drawing>
          <wp:inline distT="0" distB="0" distL="0" distR="0" wp14:anchorId="4D5BB1C8" wp14:editId="51C01DD9">
            <wp:extent cx="3134995" cy="2624219"/>
            <wp:effectExtent l="0" t="0" r="1905" b="508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7"/>
                    <a:stretch>
                      <a:fillRect/>
                    </a:stretch>
                  </pic:blipFill>
                  <pic:spPr>
                    <a:xfrm>
                      <a:off x="0" y="0"/>
                      <a:ext cx="3145164" cy="2632731"/>
                    </a:xfrm>
                    <a:prstGeom prst="rect">
                      <a:avLst/>
                    </a:prstGeom>
                  </pic:spPr>
                </pic:pic>
              </a:graphicData>
            </a:graphic>
          </wp:inline>
        </w:drawing>
      </w:r>
    </w:p>
    <w:p w14:paraId="3CD95499" w14:textId="77777777" w:rsidR="00627306" w:rsidRDefault="00627306" w:rsidP="00627306">
      <w:pPr>
        <w:pStyle w:val="NormalWeb"/>
        <w:spacing w:before="0" w:beforeAutospacing="0" w:after="0" w:afterAutospacing="0" w:line="480" w:lineRule="auto"/>
        <w:rPr>
          <w:lang w:val="en-GB"/>
        </w:rPr>
      </w:pPr>
      <w:r>
        <w:rPr>
          <w:lang w:val="en-GB"/>
        </w:rPr>
        <w:t>Fig.S2 IUU catch estimates in a million tonnes (mt) from African countries’ EEZs.</w:t>
      </w:r>
    </w:p>
    <w:p w14:paraId="788F571B" w14:textId="77777777" w:rsidR="00627306" w:rsidRDefault="00627306" w:rsidP="00627306">
      <w:pPr>
        <w:pStyle w:val="NormalWeb"/>
        <w:spacing w:before="0" w:beforeAutospacing="0" w:after="0" w:afterAutospacing="0" w:line="480" w:lineRule="auto"/>
        <w:rPr>
          <w:lang w:val="en-GB"/>
        </w:rPr>
      </w:pPr>
      <w:r w:rsidRPr="003B03F1">
        <w:rPr>
          <w:noProof/>
          <w:lang w:val="en-GB" w:eastAsia="en-GB"/>
        </w:rPr>
        <w:drawing>
          <wp:inline distT="0" distB="0" distL="0" distR="0" wp14:anchorId="5245DFA7" wp14:editId="5DA1F0FE">
            <wp:extent cx="3134518" cy="2514600"/>
            <wp:effectExtent l="0" t="0" r="254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8"/>
                    <a:stretch>
                      <a:fillRect/>
                    </a:stretch>
                  </pic:blipFill>
                  <pic:spPr>
                    <a:xfrm>
                      <a:off x="0" y="0"/>
                      <a:ext cx="3145547" cy="2523447"/>
                    </a:xfrm>
                    <a:prstGeom prst="rect">
                      <a:avLst/>
                    </a:prstGeom>
                  </pic:spPr>
                </pic:pic>
              </a:graphicData>
            </a:graphic>
          </wp:inline>
        </w:drawing>
      </w:r>
    </w:p>
    <w:p w14:paraId="2E0DABBC" w14:textId="77777777" w:rsidR="00627306" w:rsidRDefault="00627306" w:rsidP="00627306">
      <w:pPr>
        <w:pStyle w:val="NormalWeb"/>
        <w:spacing w:before="0" w:beforeAutospacing="0" w:after="0" w:afterAutospacing="0" w:line="480" w:lineRule="auto"/>
        <w:rPr>
          <w:lang w:val="en-GB"/>
        </w:rPr>
      </w:pPr>
      <w:r>
        <w:rPr>
          <w:lang w:val="en-GB"/>
        </w:rPr>
        <w:t>Fig.S3. Shares of foreign vessels in IUU fishing of African countries’ EEZs.</w:t>
      </w:r>
    </w:p>
    <w:p w14:paraId="5D8207C3" w14:textId="77777777" w:rsidR="00627306" w:rsidRDefault="00627306" w:rsidP="00627306">
      <w:pPr>
        <w:pStyle w:val="NormalWeb"/>
        <w:spacing w:before="0" w:beforeAutospacing="0" w:after="0" w:afterAutospacing="0" w:line="480" w:lineRule="auto"/>
        <w:rPr>
          <w:b/>
          <w:bCs/>
          <w:lang w:val="en-GB"/>
        </w:rPr>
      </w:pPr>
    </w:p>
    <w:p w14:paraId="6070B415" w14:textId="77777777" w:rsidR="00627306" w:rsidRDefault="00627306" w:rsidP="00627306">
      <w:pPr>
        <w:pStyle w:val="NormalWeb"/>
        <w:spacing w:before="0" w:beforeAutospacing="0" w:after="0" w:afterAutospacing="0" w:line="480" w:lineRule="auto"/>
        <w:rPr>
          <w:b/>
          <w:bCs/>
          <w:lang w:val="en-GB"/>
        </w:rPr>
      </w:pPr>
      <w:r w:rsidRPr="002729CF">
        <w:rPr>
          <w:b/>
          <w:bCs/>
          <w:lang w:val="en-GB"/>
        </w:rPr>
        <w:t>Average prices of import and export fish products from African countries</w:t>
      </w:r>
    </w:p>
    <w:p w14:paraId="5EB96736" w14:textId="77777777" w:rsidR="00627306" w:rsidRDefault="00627306" w:rsidP="00627306">
      <w:pPr>
        <w:pStyle w:val="NormalWeb"/>
        <w:spacing w:before="0" w:beforeAutospacing="0" w:after="0" w:afterAutospacing="0" w:line="480" w:lineRule="auto"/>
        <w:rPr>
          <w:lang w:val="en-GB"/>
        </w:rPr>
      </w:pPr>
    </w:p>
    <w:p w14:paraId="09B97DCE" w14:textId="77777777" w:rsidR="00627306" w:rsidRPr="00E67EB6" w:rsidRDefault="00627306" w:rsidP="00627306">
      <w:pPr>
        <w:pStyle w:val="NormalWeb"/>
        <w:spacing w:before="0" w:beforeAutospacing="0" w:after="0" w:afterAutospacing="0" w:line="480" w:lineRule="auto"/>
        <w:rPr>
          <w:lang w:val="en-GB"/>
        </w:rPr>
      </w:pPr>
      <w:r w:rsidRPr="002729CF">
        <w:rPr>
          <w:lang w:val="en-GB"/>
        </w:rPr>
        <w:t xml:space="preserve">The average prices of imported and export </w:t>
      </w:r>
      <w:r>
        <w:rPr>
          <w:lang w:val="en-GB"/>
        </w:rPr>
        <w:t xml:space="preserve">fish </w:t>
      </w:r>
      <w:r w:rsidRPr="002729CF">
        <w:rPr>
          <w:lang w:val="en-GB"/>
        </w:rPr>
        <w:t xml:space="preserve">products </w:t>
      </w:r>
      <w:r>
        <w:rPr>
          <w:lang w:val="en-GB"/>
        </w:rPr>
        <w:t>were directly estimated from the food balance sheets of fish and fishery products</w:t>
      </w:r>
      <w:r>
        <w:rPr>
          <w:lang w:val="en-GB"/>
        </w:rPr>
        <w:fldChar w:fldCharType="begin"/>
      </w:r>
      <w:r>
        <w:rPr>
          <w:lang w:val="en-GB"/>
        </w:rPr>
        <w:instrText xml:space="preserve"> ADDIN ZOTERO_ITEM CSL_CITATION {"citationID":"a2i6ejrf9t4","properties":{"formattedCitation":"\\super 8\\nosupersub{}","plainCitation":"8","noteIndex":0},"citationItems":[{"id":35,"uris":["http://zotero.org/users/local/VWtewyoN/items/U2CXUJZC"],"uri":["http://zotero.org/users/local/VWtewyoN/items/U2CXUJZC"],"itemData":{"id":35,"type":"book","title":"Fisheries and aquaculture software. FishStatJ - Software for Fishery and Aquaculture Statistical Time Series. In: FAO Fisheries Division [online].","URL":"http://www.fao.org/fishery/statistics/software/fishstatj/en","author":[{"literal":"FAO"}],"accessed":{"date-parts":[["2020",12,14]]},"issued":{"date-parts":[["2020"]]}}}],"schema":"https://github.com/citation-style-language/schema/raw/master/csl-citation.json"} </w:instrText>
      </w:r>
      <w:r>
        <w:rPr>
          <w:lang w:val="en-GB"/>
        </w:rPr>
        <w:fldChar w:fldCharType="separate"/>
      </w:r>
      <w:r w:rsidRPr="00A33A08">
        <w:rPr>
          <w:vertAlign w:val="superscript"/>
          <w:lang w:val="en-GB"/>
        </w:rPr>
        <w:t>8</w:t>
      </w:r>
      <w:r>
        <w:rPr>
          <w:lang w:val="en-GB"/>
        </w:rPr>
        <w:fldChar w:fldCharType="end"/>
      </w:r>
      <w:r>
        <w:rPr>
          <w:lang w:val="en-GB"/>
        </w:rPr>
        <w:t>. Clearly, export prices are always higher than import prices, more than doubled in some years (Fig.S4). This is a common practice in many developing countries, exporting valuable products that can fetch a high price and importing low-valued fish to meet the quantitative needs of domestic markets.</w:t>
      </w:r>
    </w:p>
    <w:p w14:paraId="2C1BECA1" w14:textId="77777777" w:rsidR="00627306" w:rsidRPr="00A80179" w:rsidRDefault="00627306" w:rsidP="00627306">
      <w:pPr>
        <w:spacing w:line="480" w:lineRule="auto"/>
        <w:rPr>
          <w:sz w:val="24"/>
          <w:szCs w:val="24"/>
        </w:rPr>
      </w:pPr>
      <w:r w:rsidRPr="00A80179">
        <w:rPr>
          <w:noProof/>
          <w:sz w:val="24"/>
          <w:szCs w:val="24"/>
          <w:lang w:val="en-GB" w:eastAsia="en-GB"/>
        </w:rPr>
        <w:drawing>
          <wp:inline distT="0" distB="0" distL="0" distR="0" wp14:anchorId="28A72C9F" wp14:editId="30679C44">
            <wp:extent cx="3789329" cy="30269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322" cy="3142003"/>
                    </a:xfrm>
                    <a:prstGeom prst="rect">
                      <a:avLst/>
                    </a:prstGeom>
                  </pic:spPr>
                </pic:pic>
              </a:graphicData>
            </a:graphic>
          </wp:inline>
        </w:drawing>
      </w:r>
    </w:p>
    <w:p w14:paraId="46519715" w14:textId="77777777" w:rsidR="00627306" w:rsidRPr="00A80179" w:rsidRDefault="00627306" w:rsidP="00627306">
      <w:pPr>
        <w:spacing w:line="480" w:lineRule="auto"/>
        <w:rPr>
          <w:sz w:val="24"/>
          <w:szCs w:val="24"/>
        </w:rPr>
      </w:pPr>
      <w:r w:rsidRPr="00A80179">
        <w:rPr>
          <w:sz w:val="24"/>
          <w:szCs w:val="24"/>
        </w:rPr>
        <w:t>Fig.S4 Prices of imported and exported fish and fishery products in Africa extracted from</w:t>
      </w:r>
      <w:r>
        <w:rPr>
          <w:sz w:val="24"/>
          <w:szCs w:val="24"/>
        </w:rPr>
        <w:t xml:space="preserve"> FAO</w:t>
      </w:r>
      <w:r w:rsidRPr="00A80179">
        <w:rPr>
          <w:sz w:val="24"/>
          <w:szCs w:val="24"/>
        </w:rPr>
        <w:fldChar w:fldCharType="begin"/>
      </w:r>
      <w:r>
        <w:rPr>
          <w:sz w:val="24"/>
          <w:szCs w:val="24"/>
        </w:rPr>
        <w:instrText xml:space="preserve"> ADDIN ZOTERO_ITEM CSL_CITATION {"citationID":"JZUc6BrE","properties":{"formattedCitation":"\\super 8\\nosupersub{}","plainCitation":"8","noteIndex":0},"citationItems":[{"id":35,"uris":["http://zotero.org/users/local/VWtewyoN/items/U2CXUJZC"],"uri":["http://zotero.org/users/local/VWtewyoN/items/U2CXUJZC"],"itemData":{"id":35,"type":"book","title":"Fisheries and aquaculture software. FishStatJ - Software for Fishery and Aquaculture Statistical Time Series. In: FAO Fisheries Division [online].","URL":"http://www.fao.org/fishery/statistics/software/fishstatj/en","author":[{"literal":"FAO"}],"accessed":{"date-parts":[["2020",12,14]]},"issued":{"date-parts":[["2020"]]}}}],"schema":"https://github.com/citation-style-language/schema/raw/master/csl-citation.json"} </w:instrText>
      </w:r>
      <w:r w:rsidRPr="00A80179">
        <w:rPr>
          <w:sz w:val="24"/>
          <w:szCs w:val="24"/>
        </w:rPr>
        <w:fldChar w:fldCharType="separate"/>
      </w:r>
      <w:r w:rsidRPr="00A33A08">
        <w:rPr>
          <w:sz w:val="24"/>
          <w:vertAlign w:val="superscript"/>
          <w:lang w:val="en-GB"/>
        </w:rPr>
        <w:t>8</w:t>
      </w:r>
      <w:r w:rsidRPr="00A80179">
        <w:rPr>
          <w:sz w:val="24"/>
          <w:szCs w:val="24"/>
        </w:rPr>
        <w:fldChar w:fldCharType="end"/>
      </w:r>
      <w:bookmarkStart w:id="1" w:name="Tables"/>
      <w:bookmarkStart w:id="2" w:name="MaterialsMethods"/>
      <w:bookmarkEnd w:id="1"/>
      <w:bookmarkEnd w:id="2"/>
    </w:p>
    <w:p w14:paraId="431DDC1E" w14:textId="77777777" w:rsidR="00627306" w:rsidRDefault="00627306" w:rsidP="00627306">
      <w:pPr>
        <w:spacing w:line="480" w:lineRule="auto"/>
        <w:rPr>
          <w:rFonts w:eastAsia="Times New Roman"/>
          <w:b/>
          <w:bCs/>
          <w:color w:val="000000"/>
          <w:sz w:val="24"/>
          <w:szCs w:val="24"/>
        </w:rPr>
      </w:pPr>
    </w:p>
    <w:p w14:paraId="6B923C6B" w14:textId="77777777" w:rsidR="00627306" w:rsidRPr="0095751F" w:rsidRDefault="00627306" w:rsidP="00627306">
      <w:pPr>
        <w:spacing w:line="480" w:lineRule="auto"/>
        <w:rPr>
          <w:rFonts w:eastAsia="Times New Roman"/>
          <w:b/>
          <w:bCs/>
          <w:color w:val="000000"/>
          <w:sz w:val="24"/>
          <w:szCs w:val="24"/>
        </w:rPr>
      </w:pPr>
      <w:r w:rsidRPr="0095751F">
        <w:rPr>
          <w:rFonts w:eastAsia="Times New Roman"/>
          <w:b/>
          <w:bCs/>
          <w:color w:val="000000"/>
          <w:sz w:val="24"/>
          <w:szCs w:val="24"/>
        </w:rPr>
        <w:t>The vicious circle of overfishing</w:t>
      </w:r>
      <w:r>
        <w:rPr>
          <w:rFonts w:eastAsia="Times New Roman"/>
          <w:b/>
          <w:bCs/>
          <w:color w:val="000000"/>
          <w:sz w:val="24"/>
          <w:szCs w:val="24"/>
        </w:rPr>
        <w:t xml:space="preserve"> in Africa</w:t>
      </w:r>
    </w:p>
    <w:p w14:paraId="6424C6AF" w14:textId="77777777" w:rsidR="00627306" w:rsidRDefault="00627306" w:rsidP="00627306">
      <w:pPr>
        <w:spacing w:line="480" w:lineRule="auto"/>
        <w:rPr>
          <w:rFonts w:eastAsia="Times New Roman"/>
          <w:color w:val="000000"/>
          <w:sz w:val="24"/>
          <w:szCs w:val="24"/>
        </w:rPr>
      </w:pPr>
    </w:p>
    <w:p w14:paraId="71E7247A" w14:textId="77777777" w:rsidR="00627306" w:rsidRDefault="00627306" w:rsidP="00627306">
      <w:pPr>
        <w:spacing w:line="480" w:lineRule="auto"/>
        <w:rPr>
          <w:rFonts w:eastAsia="Times New Roman"/>
          <w:color w:val="000000"/>
          <w:sz w:val="24"/>
          <w:szCs w:val="24"/>
        </w:rPr>
      </w:pPr>
      <w:r w:rsidRPr="00A80179">
        <w:rPr>
          <w:rFonts w:eastAsia="Times New Roman"/>
          <w:color w:val="000000"/>
          <w:sz w:val="24"/>
          <w:szCs w:val="24"/>
        </w:rPr>
        <w:t>Both science and experience have shown that overfishing will result in declining stocks which</w:t>
      </w:r>
      <w:r>
        <w:rPr>
          <w:rFonts w:eastAsia="Times New Roman"/>
          <w:color w:val="000000"/>
          <w:sz w:val="24"/>
          <w:szCs w:val="24"/>
        </w:rPr>
        <w:t>,</w:t>
      </w:r>
      <w:r w:rsidRPr="00A80179">
        <w:rPr>
          <w:rFonts w:eastAsia="Times New Roman"/>
          <w:color w:val="000000"/>
          <w:sz w:val="24"/>
          <w:szCs w:val="24"/>
        </w:rPr>
        <w:t xml:space="preserve"> once below a certain level</w:t>
      </w:r>
      <w:r>
        <w:rPr>
          <w:rFonts w:eastAsia="Times New Roman"/>
          <w:color w:val="000000"/>
          <w:sz w:val="24"/>
          <w:szCs w:val="24"/>
        </w:rPr>
        <w:t>,</w:t>
      </w:r>
      <w:r w:rsidRPr="00A80179">
        <w:rPr>
          <w:rFonts w:eastAsia="Times New Roman"/>
          <w:color w:val="000000"/>
          <w:sz w:val="24"/>
          <w:szCs w:val="24"/>
        </w:rPr>
        <w:t xml:space="preserve"> will impair fish stocks’ reproductivity and reduce the long-term catch a stock can produce</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{"citationID":"LMjnc3uM","properties":{"formattedCitation":"\\super 35\\nosupersub{}","plainCitation":"35","noteIndex":0},"citationItems":[{"id":90,"uris":["http://zotero.org/users/local/VWtewyoN/items/CJHMQ82G"],"uri":["http://zotero.org/users/local/VWtewyoN/items/CJHMQ82G"],"itemData":{"id":90,"type":"book","abstract":"Over the past twenty years considerable public attention has been focused on the decline of marine fisheries, the sustainability of world fish production, and the impacts of fishing on marine ecosystems. Many have voiced their concerns about marine conservation, as well as the sustainable and ethical consumption of fish. But are fisheries in danger of collapse? Will we soon need to find ways to replace this food system? Should we be worried that we could be fishing certain species to extinction? Can commercial fishing be carried out in a sustainable way? While overblown prognoses concerning the dire state of fisheries are plentiful, clear scientific explanations of the basic issues surrounding overfishing are less so - and there remains great confusion about the actual amount of overfishing and its ecological impact. Overfishing: What Everyone Needs to Know® will provide a balanced explanation of the broad issues associated with overfishing. Guiding readers through the scientific, political, economic, and ethical issues associated with harvesting fish from the ocean, it will provide answers to questions about which fisheries are sustainably managed and which are not. Ray and Ulrike Hilborn address topics including historical overfishing, high seas fisheries, recreational fisheries, illegal fishing, climate and fisheries, trawling, economic and biological overfishing, and marine protected areas. In order to illustrate the effects of each of these issues, they will incorporate case studies of different species of fish. Overall, the authors present a hopeful view of the future of fisheries. Most of the world's fisheries are not overfished, and many once overfished stocks are now rebuilding. In fact, we can learn from the management failures and successes to ensure that fisheries are sustainable and contribute to national wealth and food security. Concise and clear, this book presents a compelling \"big picture\" of the state of oceans and the solutions to ending overfishing. What Everyone Needs to Know® is a registered trademark of Oxford University Press.","ISBN":"978-0-19-979824-7","language":"en","note":"Google-Books-ID: 5otpAgAAQBAJ","number-of-pages":"169","publisher":"Oxford University Press","source":"Google Books","title":"Overfishing: What Everyone Needs to Know®","title-short":"Overfishing","author":[{"family":"Hilborn","given":"Ray"}],"issued":{"date-parts":[["2011",10,1]]}}}],"schema":"https://github.com/citation-style-language/schema/raw/master/csl-citation.json"}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35</w:t>
      </w:r>
      <w:r w:rsidRPr="00A80179">
        <w:rPr>
          <w:rFonts w:eastAsia="Times New Roman"/>
          <w:color w:val="000000"/>
          <w:sz w:val="24"/>
          <w:szCs w:val="24"/>
        </w:rPr>
        <w:fldChar w:fldCharType="end"/>
      </w:r>
      <w:r w:rsidRPr="00A80179">
        <w:rPr>
          <w:rFonts w:eastAsia="Times New Roman"/>
          <w:color w:val="000000"/>
          <w:sz w:val="24"/>
          <w:szCs w:val="24"/>
        </w:rPr>
        <w:t>. The declining stock will in turn</w:t>
      </w:r>
      <w:r>
        <w:rPr>
          <w:rFonts w:eastAsia="Times New Roman"/>
          <w:color w:val="000000"/>
          <w:sz w:val="24"/>
          <w:szCs w:val="24"/>
        </w:rPr>
        <w:t>,</w:t>
      </w:r>
      <w:r w:rsidRPr="00A80179">
        <w:rPr>
          <w:rFonts w:eastAsia="Times New Roman"/>
          <w:color w:val="000000"/>
          <w:sz w:val="24"/>
          <w:szCs w:val="24"/>
        </w:rPr>
        <w:t xml:space="preserve"> intensify competition among fishe</w:t>
      </w:r>
      <w:r>
        <w:rPr>
          <w:rFonts w:eastAsia="Times New Roman"/>
          <w:color w:val="000000"/>
          <w:sz w:val="24"/>
          <w:szCs w:val="24"/>
        </w:rPr>
        <w:t>rs</w:t>
      </w:r>
      <w:r w:rsidRPr="00A80179">
        <w:rPr>
          <w:rFonts w:eastAsia="Times New Roman"/>
          <w:color w:val="000000"/>
          <w:sz w:val="24"/>
          <w:szCs w:val="24"/>
        </w:rPr>
        <w:t xml:space="preserve"> to catch the limited stock and lead to the fall of catch, which will push up fish price in the market. </w:t>
      </w:r>
      <w:r w:rsidRPr="00A80179">
        <w:rPr>
          <w:rFonts w:eastAsia="Times New Roman"/>
          <w:color w:val="000000"/>
          <w:sz w:val="24"/>
          <w:szCs w:val="24"/>
        </w:rPr>
        <w:lastRenderedPageBreak/>
        <w:t xml:space="preserve">The higher price and lower abundance will </w:t>
      </w:r>
      <w:r w:rsidRPr="00A80179">
        <w:rPr>
          <w:color w:val="202122"/>
          <w:sz w:val="24"/>
          <w:szCs w:val="24"/>
          <w:shd w:val="clear" w:color="auto" w:fill="FFFFFF"/>
        </w:rPr>
        <w:t>subsequently motivate more investment in additional uncontrolled inputs and fishing effort</w:t>
      </w:r>
      <w:r>
        <w:rPr>
          <w:color w:val="202122"/>
          <w:sz w:val="24"/>
          <w:szCs w:val="24"/>
          <w:shd w:val="clear" w:color="auto" w:fill="FFFFFF"/>
        </w:rPr>
        <w:t>s</w:t>
      </w:r>
      <w:r w:rsidRPr="00A80179">
        <w:rPr>
          <w:rFonts w:eastAsia="Times New Roman"/>
          <w:color w:val="000000"/>
          <w:sz w:val="24"/>
          <w:szCs w:val="24"/>
        </w:rPr>
        <w:t>. Fig.S3 shows the trajectory of price, fishing effort and overfishing from 1974 to 2017 of the African marine fisheries. Increasing fishing will ultimately deplete stocks and reduce landings, although such consequences often appear in a time lag</w:t>
      </w:r>
      <w:r>
        <w:rPr>
          <w:rFonts w:eastAsia="Times New Roman"/>
          <w:color w:val="000000"/>
          <w:sz w:val="24"/>
          <w:szCs w:val="24"/>
        </w:rPr>
        <w:fldChar w:fldCharType="begin"/>
      </w:r>
      <w:r>
        <w:rPr>
          <w:rFonts w:eastAsia="Times New Roman"/>
          <w:color w:val="000000"/>
          <w:sz w:val="24"/>
          <w:szCs w:val="24"/>
        </w:rPr>
        <w:instrText xml:space="preserve"> ADDIN ZOTERO_ITEM CSL_CITATION {"citationID":"a1lfa48ik24","properties":{"formattedCitation":"\\super 26\\nosupersub{}","plainCitation":"26","noteIndex":0},"citationItems":[{"id":160,"uris":["http://zotero.org/users/local/VWtewyoN/items/SWW4DKLE"],"uri":["http://zotero.org/users/local/VWtewyoN/items/SWW4DKLE"],"itemData":{"id":160,"type":"article-journal","abstract":"This paper reviews the progress made over the last 20 years in achieving sustainable, economically efficient and socially just marine fisheries, referred to here as reconciled fisheries. It examines the substantial changes that have occurred in policies, practices and the challenges to fisheries. These include greater awareness of the impacts of climate change, implementation of ecosystem approaches, recognition of the needs and role of small-scale fisheries, greater demands for fish and seafood and greater pressure from other sectors. Progress has been made in some countries and fisheries in improving sustainability and economic efficiency but much less in many others. Globally, substantial problems remain in the status of stocks, threats to biodiversity, incidence of undesirable ecological impacts, economic inefficiencies, and poverty, food insecurity and marginalization of fishers and other dependents on fisheries, particularly small-scale fishers. Effectiveness of management and governance is linked to the development status of countries, so the challenges are most marked in developing countries but developed countries are also failing, particularly in achievement of socially equitable fisheries, while also transferring some of their problems to developing countries. The paper argues that reconciled fisheries will only be attainable in conjunction with meeting human development needs as a whole, which are reflected in the 17 United Nations sustainable development goals (SDGs). This requires that the global commitment to address the SDGs as being “integrated and indivisible” and in “a spirit of global solidarity” needs to be taken much more seriously than it currently appears to be.","container-title":"Fish and Fisheries","DOI":"https://doi.org/10.1111/faf.12521","ISSN":"1467-2979","issue":"2","language":"en","note":"_eprint: https://onlinelibrary.wiley.com/doi/pdf/10.1111/faf.12521","page":"298-323","source":"Wiley Online Library","title":"Reconciling sustainability, economic efficiency and equity in marine fisheries: Has there been progress in the last 20 years?","title-short":"Reconciling sustainability, economic efficiency and equity in marine fisheries","volume":"22","author":[{"family":"Cochrane","given":"Kevern L."}],"issued":{"date-parts":[["2021"]]}}}],"schema":"https://github.com/citation-style-language/schema/raw/master/csl-citation.json"} </w:instrText>
      </w:r>
      <w:r>
        <w:rPr>
          <w:rFonts w:eastAsia="Times New Roman"/>
          <w:color w:val="000000"/>
          <w:sz w:val="24"/>
          <w:szCs w:val="24"/>
        </w:rPr>
        <w:fldChar w:fldCharType="separate"/>
      </w:r>
      <w:r w:rsidRPr="00351D55">
        <w:rPr>
          <w:color w:val="000000"/>
          <w:sz w:val="24"/>
          <w:vertAlign w:val="superscript"/>
          <w:lang w:val="en-GB"/>
        </w:rPr>
        <w:t>26</w:t>
      </w:r>
      <w:r>
        <w:rPr>
          <w:rFonts w:eastAsia="Times New Roman"/>
          <w:color w:val="000000"/>
          <w:sz w:val="24"/>
          <w:szCs w:val="24"/>
        </w:rPr>
        <w:fldChar w:fldCharType="end"/>
      </w:r>
      <w:r w:rsidRPr="00A80179">
        <w:rPr>
          <w:rFonts w:eastAsia="Times New Roman"/>
          <w:color w:val="000000"/>
          <w:sz w:val="24"/>
          <w:szCs w:val="24"/>
        </w:rPr>
        <w:t xml:space="preserve">. </w:t>
      </w:r>
    </w:p>
    <w:p w14:paraId="4B6F54A8" w14:textId="77777777" w:rsidR="00627306" w:rsidRPr="00E67EB6" w:rsidRDefault="00627306" w:rsidP="00627306">
      <w:pPr>
        <w:spacing w:line="480" w:lineRule="auto"/>
        <w:rPr>
          <w:color w:val="000000"/>
          <w:sz w:val="24"/>
          <w:szCs w:val="24"/>
        </w:rPr>
      </w:pPr>
      <w:r w:rsidRPr="00A80179">
        <w:rPr>
          <w:rFonts w:eastAsia="Times New Roman"/>
          <w:color w:val="000000"/>
          <w:sz w:val="24"/>
          <w:szCs w:val="24"/>
        </w:rPr>
        <w:t xml:space="preserve">This vicious cycle of declining resources and increasing fishing effort is a double whammy for the fishing industry and can only be </w:t>
      </w:r>
      <w:r>
        <w:rPr>
          <w:rFonts w:eastAsia="Times New Roman"/>
          <w:color w:val="000000"/>
          <w:sz w:val="24"/>
          <w:szCs w:val="24"/>
        </w:rPr>
        <w:t xml:space="preserve">stopped </w:t>
      </w:r>
      <w:r w:rsidRPr="00A80179">
        <w:rPr>
          <w:rFonts w:eastAsia="Times New Roman"/>
          <w:color w:val="000000"/>
          <w:sz w:val="24"/>
          <w:szCs w:val="24"/>
        </w:rPr>
        <w:t>by introducing strict regulations</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{"citationID":"dtMKkslr","properties":{"formattedCitation":"\\super 36\\nosupersub{}","plainCitation":"36","noteIndex":0},"citationItems":[{"id":104,"uris":["http://zotero.org/users/local/VWtewyoN/items/CMNV4IPW"],"uri":["http://zotero.org/users/local/VWtewyoN/items/CMNV4IPW"],"itemData":{"id":104,"type":"article-journal","abstract":"The United Nations has launched several initiatives to achieve sustainable development, with the most recent being the Sustainable Development Goals within the 2030 Agenda. In a fisheries context, this initiative sets a target of ending overexploitation by 2020. Despite such efforts, the percentage of overfished fish stocks has oscillated around 30% globally since 2009. Here, we show that while developed countries are improving the way they manage their fisheries, developing countries face a worsening situation in terms of overcapacity, production per unit of effort and stock status. This situation is fuelled by economic interdependencies through international trade and fisheries agreements coupled with limited management and governance capacities in developing countries. We conclude that the present successes accomplished in some countries and regions are not sufficient to address the fisheries crisis and achieve the Sustainable Development Goals target globally. We highlight an urgent need to replicate and readapt successful policies and measures in the light of the realities of specific fisheries, and to implement transformational changes in fishery management and governance that influence entire sectors of the economy.","container-title":"Nature Ecology &amp; Evolution","DOI":"10.1038/s41559-017-0179","ISSN":"2397-334X","issue":"7","language":"en","note":"number: 7\npublisher: Nature Publishing Group","page":"1-5","source":"www.nature.com","title":"Ending fishery overexploitation by expanding from local successes to globalized solutions","volume":"1","author":[{"family":"Ye","given":"Yimin"},{"family":"Gutierrez","given":"Nicolas L."}],"issued":{"date-parts":[["2017",6,5]]}}}],"schema":"https://github.com/citation-style-language/schema/raw/master/csl-citation.json"}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36</w:t>
      </w:r>
      <w:r w:rsidRPr="00A80179">
        <w:rPr>
          <w:rFonts w:eastAsia="Times New Roman"/>
          <w:color w:val="000000"/>
          <w:sz w:val="24"/>
          <w:szCs w:val="24"/>
        </w:rPr>
        <w:fldChar w:fldCharType="end"/>
      </w:r>
      <w:r w:rsidRPr="00A80179">
        <w:rPr>
          <w:rFonts w:eastAsia="Times New Roman"/>
          <w:color w:val="000000"/>
          <w:sz w:val="24"/>
          <w:szCs w:val="24"/>
        </w:rPr>
        <w:t>. Effective management can rebuild overfishing stocks, sustain social and economic benefits and protect the fishery resources and environment</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{"citationID":"WFIJLioq","properties":{"formattedCitation":"\\super 37\\nosupersub{}","plainCitation":"37","noteIndex":0},"citationItems":[{"id":92,"uris":["http://zotero.org/users/local/VWtewyoN/items/ZFLT5M2X"],"uri":["http://zotero.org/users/local/VWtewyoN/items/ZFLT5M2X"],"itemData":{"id":92,"type":"article-journal","abstract":"Marine fish stocks are an important part of the world food system and are particularly important for many of the poorest people of the world. Most existing analyses suggest overfishing is increasing, and there is widespread concern that fish stocks are decreasing throughout most of the world. We assembled trends in abundance and harvest rate of stocks that are scientifically assessed, constituting half of the reported global marine fish catch. For these stocks, on average, abundance is increasing and is at proposed target levels. Compared with regions that are intensively managed, regions with less-developed fisheries management have, on average, 3-fold greater harvest rates and half the abundance as assessed stocks. Available evidence suggests that the regions without assessments of abundance have little fisheries management, and stocks are in poor shape. Increased application of area-appropriate fisheries science recommendations and management tools are still needed for sustaining fisheries in places where they are lacking.","container-title":"Proceedings of the National Academy of Sciences","DOI":"10.1073/pnas.1909726116","ISSN":"0027-8424, 1091-6490","issue":"4","journalAbbreviation":"PNAS","language":"en","note":"publisher: National Academy of Sciences\nsection: Biological Sciences\nPMID: 31932439","page":"2218-2224","source":"www.pnas.org","title":"Effective fisheries management instrumental in improving fish stock status","volume":"117","author":[{"family":"Hilborn","given":"Ray"},{"family":"Amoroso","given":"Ricardo Oscar"},{"family":"Anderson","given":"Christopher M."},{"family":"Baum","given":"Julia K."},{"family":"Branch","given":"Trevor A."},{"family":"Costello","given":"Christopher"},{"family":"Moor","given":"Carryn L.","dropping-particle":"de"},{"family":"Faraj","given":"Abdelmalek"},{"family":"Hively","given":"Daniel"},{"family":"Jensen","given":"Olaf P."},{"family":"Kurota","given":"Hiroyuki"},{"family":"Little","given":"L. Richard"},{"family":"Mace","given":"Pamela"},{"family":"McClanahan","given":"Tim"},{"family":"Melnychuk","given":"Michael C."},{"family":"Minto","given":"Cóilín"},{"family":"Osio","given":"Giacomo Chato"},{"family":"Parma","given":"Ana M."},{"family":"Pons","given":"Maite"},{"family":"Segurado","given":"Susana"},{"family":"Szuwalski","given":"Cody S."},{"family":"Wilson","given":"Jono R."},{"family":"Ye","given":"Yimin"}],"issued":{"date-parts":[["2020",1,28]]}}}],"schema":"https://github.com/citation-style-language/schema/raw/master/csl-citation.json"}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37</w:t>
      </w:r>
      <w:r w:rsidRPr="00A80179">
        <w:rPr>
          <w:rFonts w:eastAsia="Times New Roman"/>
          <w:color w:val="000000"/>
          <w:sz w:val="24"/>
          <w:szCs w:val="24"/>
        </w:rPr>
        <w:fldChar w:fldCharType="end"/>
      </w:r>
      <w:r w:rsidRPr="00A80179">
        <w:rPr>
          <w:rFonts w:eastAsia="Times New Roman"/>
          <w:color w:val="000000"/>
          <w:sz w:val="24"/>
          <w:szCs w:val="24"/>
        </w:rPr>
        <w:t xml:space="preserve">. </w:t>
      </w:r>
    </w:p>
    <w:p w14:paraId="090F8016" w14:textId="77777777" w:rsidR="00627306" w:rsidRPr="00A80179" w:rsidRDefault="00627306" w:rsidP="00627306">
      <w:pPr>
        <w:spacing w:line="480" w:lineRule="auto"/>
        <w:rPr>
          <w:color w:val="000000"/>
          <w:sz w:val="24"/>
          <w:szCs w:val="24"/>
        </w:rPr>
      </w:pPr>
      <w:r w:rsidRPr="00A80179">
        <w:rPr>
          <w:noProof/>
          <w:sz w:val="24"/>
          <w:szCs w:val="24"/>
          <w:lang w:val="en-GB" w:eastAsia="en-GB"/>
        </w:rPr>
        <w:drawing>
          <wp:inline distT="0" distB="0" distL="0" distR="0" wp14:anchorId="11E2A1A4" wp14:editId="3E5FC840">
            <wp:extent cx="3789045" cy="2750295"/>
            <wp:effectExtent l="0" t="0" r="0" b="571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0"/>
                    <a:stretch>
                      <a:fillRect/>
                    </a:stretch>
                  </pic:blipFill>
                  <pic:spPr>
                    <a:xfrm>
                      <a:off x="0" y="0"/>
                      <a:ext cx="3824931" cy="2776343"/>
                    </a:xfrm>
                    <a:prstGeom prst="rect">
                      <a:avLst/>
                    </a:prstGeom>
                  </pic:spPr>
                </pic:pic>
              </a:graphicData>
            </a:graphic>
          </wp:inline>
        </w:drawing>
      </w:r>
    </w:p>
    <w:p w14:paraId="32B1714F" w14:textId="77777777" w:rsidR="00627306" w:rsidRPr="00A80179" w:rsidRDefault="00627306" w:rsidP="00627306">
      <w:pPr>
        <w:spacing w:line="480" w:lineRule="auto"/>
        <w:rPr>
          <w:color w:val="000000"/>
          <w:sz w:val="24"/>
          <w:szCs w:val="24"/>
        </w:rPr>
      </w:pPr>
      <w:r w:rsidRPr="00A80179">
        <w:rPr>
          <w:color w:val="000000"/>
          <w:sz w:val="24"/>
          <w:szCs w:val="24"/>
        </w:rPr>
        <w:t>Fig.S</w:t>
      </w:r>
      <w:r>
        <w:rPr>
          <w:color w:val="000000"/>
          <w:sz w:val="24"/>
          <w:szCs w:val="24"/>
        </w:rPr>
        <w:t>5</w:t>
      </w:r>
      <w:r w:rsidRPr="00A80179">
        <w:rPr>
          <w:color w:val="000000"/>
          <w:sz w:val="24"/>
          <w:szCs w:val="24"/>
        </w:rPr>
        <w:t xml:space="preserve">. The Vicious circle of overfishing in African fisheries. Overfishing is in </w:t>
      </w:r>
      <w:r>
        <w:rPr>
          <w:color w:val="000000"/>
          <w:sz w:val="24"/>
          <w:szCs w:val="24"/>
        </w:rPr>
        <w:t xml:space="preserve">the </w:t>
      </w:r>
      <w:r w:rsidRPr="00A80179">
        <w:rPr>
          <w:color w:val="000000"/>
          <w:sz w:val="24"/>
          <w:szCs w:val="24"/>
        </w:rPr>
        <w:t>percentage of overfished stocks from</w:t>
      </w:r>
      <w:r w:rsidRPr="00A80179">
        <w:rPr>
          <w:color w:val="000000"/>
          <w:sz w:val="24"/>
          <w:szCs w:val="24"/>
        </w:rPr>
        <w:fldChar w:fldCharType="begin"/>
      </w:r>
      <w:r>
        <w:rPr>
          <w:color w:val="000000"/>
          <w:sz w:val="24"/>
          <w:szCs w:val="24"/>
        </w:rPr>
        <w:instrText xml:space="preserve"> ADDIN ZOTERO_ITEM CSL_CITATION {"citationID":"Uxr8pjiG","properties":{"formattedCitation":"\\super 10,16\\uc0\\u8211{}19\\nosupersub{}","plainCitation":"10,16–19","noteIndex":0},"citationItems":[{"id":37,"uris":["http://zotero.org/users/local/VWtewyoN/items/DM8NIHJG"],"uri":["http://zotero.org/users/local/VWtewyoN/items/DM8NIHJG"],"itemData":{"id":37,"type":"book","event-place":"Rome","ISBN":"978-92-5-132692-3","language":"en","note":"DOI: 10.4060/ca9229en","publisher":"FAO","publisher-place":"Rome","source":"DOI.org (Crossref)","title":"The State of World Fisheries and Aquaculture 2020","URL":"http://www.fao.org/documents/card/en/c/ca9229en","author":[{"literal":"FAO"}],"accessed":{"date-parts":[["2020",12,22]]},"issued":{"date-parts":[["2020"]]}},"label":"page"},{"id":99,"uris":["http://zotero.org/users/local/VWtewyoN/items/KI493UWP"],"uri":["http://zotero.org/users/local/VWtewyoN/items/KI493UWP"],"itemData":{"id":99,"type":"book","event-place":"Rome","publisher":"Food and Agriculture Organization","publisher-place":"Rome","title":"Review of the state of world fishery resources","volume":"FAO Fisheries Circular No.C328","author":[{"family":"FAO","given":""}],"issued":{"date-parts":[["1974"]]}},"label":"page"},{"id":98,"uris":["http://zotero.org/users/local/VWtewyoN/items/9IXS62KY"],"uri":["http://zotero.org/users/local/VWtewyoN/items/9IXS62KY"],"itemData":{"id":98,"type":"book","event-place":"Rome, Italy","number-of-pages":"114","publisher":"Food and Agriculture Organization","publisher-place":"Rome, Italy","title":"Review of the state of world fishery resources","volume":"FAO Fisheries Circular No.710, Rev.1-8","author":[{"family":"FAO","given":""}],"issued":{"date-parts":[["1992"]]}},"label":"page"},{"id":100,"uris":["http://zotero.org/users/local/VWtewyoN/items/SKTXGNYB"],"uri":["http://zotero.org/users/local/VWtewyoN/items/SKTXGNYB"],"itemData":{"id":100,"type":"book","event-place":"Rome, Italy","publisher":"Food and Agriculture Organization","publisher-place":"Rome, Italy","title":"Review of the state of world fishery resources","volume":"FAO Fisheries Circular No.C884","author":[{"family":"FAO","given":""}],"issued":{"date-parts":[["1995"]]}},"label":"page"},{"id":101,"uris":["http://zotero.org/users/local/VWtewyoN/items/5EAMEYCJ"],"uri":["http://zotero.org/users/local/VWtewyoN/items/5EAMEYCJ"],"itemData":{"id":101,"type":"book","event-place":"Rome, Italy","publisher":"Food and Agriculture Organization","publisher-place":"Rome, Italy","title":"Review of the state of world marine fishery resources: marine fisheries","volume":"FAO Fisheries Circular No.C920","author":[{"family":"FAO","given":""}],"issued":{"date-parts":[["1997"]]}},"label":"page"}],"schema":"https://github.com/citation-style-language/schema/raw/master/csl-citation.json"} </w:instrText>
      </w:r>
      <w:r w:rsidRPr="00A80179">
        <w:rPr>
          <w:color w:val="000000"/>
          <w:sz w:val="24"/>
          <w:szCs w:val="24"/>
        </w:rPr>
        <w:fldChar w:fldCharType="separate"/>
      </w:r>
      <w:r w:rsidRPr="00BF5357">
        <w:rPr>
          <w:color w:val="000000"/>
          <w:sz w:val="24"/>
          <w:vertAlign w:val="superscript"/>
          <w:lang w:val="en-GB"/>
        </w:rPr>
        <w:t>10,16–19</w:t>
      </w:r>
      <w:r w:rsidRPr="00A80179">
        <w:rPr>
          <w:color w:val="000000"/>
          <w:sz w:val="24"/>
          <w:szCs w:val="24"/>
        </w:rPr>
        <w:fldChar w:fldCharType="end"/>
      </w:r>
      <w:r w:rsidRPr="00A80179">
        <w:rPr>
          <w:color w:val="000000"/>
          <w:sz w:val="24"/>
          <w:szCs w:val="24"/>
        </w:rPr>
        <w:t>. Price data was derived from</w:t>
      </w:r>
      <w:r w:rsidRPr="00A80179">
        <w:rPr>
          <w:color w:val="000000"/>
          <w:sz w:val="24"/>
          <w:szCs w:val="24"/>
        </w:rPr>
        <w:fldChar w:fldCharType="begin"/>
      </w:r>
      <w:r>
        <w:rPr>
          <w:color w:val="000000"/>
          <w:sz w:val="24"/>
          <w:szCs w:val="24"/>
        </w:rPr>
        <w:instrText xml:space="preserve"> ADDIN ZOTERO_ITEM CSL_CITATION {"citationID":"Bi1EyjKB","properties":{"formattedCitation":"\\super 8\\nosupersub{}","plainCitation":"8","noteIndex":0},"citationItems":[{"id":35,"uris":["http://zotero.org/users/local/VWtewyoN/items/U2CXUJZC"],"uri":["http://zotero.org/users/local/VWtewyoN/items/U2CXUJZC"],"itemData":{"id":35,"type":"book","title":"Fisheries and aquaculture software. FishStatJ - Software for Fishery and Aquaculture Statistical Time Series. In: FAO Fisheries Division [online].","URL":"http://www.fao.org/fishery/statistics/software/fishstatj/en","author":[{"literal":"FAO"}],"accessed":{"date-parts":[["2020",12,14]]},"issued":{"date-parts":[["2020"]]}}}],"schema":"https://github.com/citation-style-language/schema/raw/master/csl-citation.json"} </w:instrText>
      </w:r>
      <w:r w:rsidRPr="00A80179">
        <w:rPr>
          <w:color w:val="000000"/>
          <w:sz w:val="24"/>
          <w:szCs w:val="24"/>
        </w:rPr>
        <w:fldChar w:fldCharType="separate"/>
      </w:r>
      <w:r w:rsidRPr="00A33A08">
        <w:rPr>
          <w:color w:val="000000"/>
          <w:sz w:val="24"/>
          <w:vertAlign w:val="superscript"/>
          <w:lang w:val="en-GB"/>
        </w:rPr>
        <w:t>8</w:t>
      </w:r>
      <w:r w:rsidRPr="00A80179">
        <w:rPr>
          <w:color w:val="000000"/>
          <w:sz w:val="24"/>
          <w:szCs w:val="24"/>
        </w:rPr>
        <w:fldChar w:fldCharType="end"/>
      </w:r>
      <w:r w:rsidRPr="00A80179">
        <w:rPr>
          <w:color w:val="000000"/>
          <w:sz w:val="24"/>
          <w:szCs w:val="24"/>
        </w:rPr>
        <w:t xml:space="preserve"> and effort data from</w:t>
      </w:r>
      <w:r w:rsidRPr="00A80179">
        <w:rPr>
          <w:color w:val="000000"/>
          <w:sz w:val="24"/>
          <w:szCs w:val="24"/>
        </w:rPr>
        <w:fldChar w:fldCharType="begin"/>
      </w:r>
      <w:r>
        <w:rPr>
          <w:color w:val="000000"/>
          <w:sz w:val="24"/>
          <w:szCs w:val="24"/>
        </w:rPr>
        <w:instrText xml:space="preserve"> ADDIN ZOTERO_ITEM CSL_CITATION {"citationID":"WU1zlrpG","properties":{"formattedCitation":"\\super 38\\nosupersub{}","plainCitation":"38","noteIndex":0},"citationItems":[{"id":106,"uris":["http://zotero.org/users/local/VWtewyoN/items/DB8J974Q"],"uri":["http://zotero.org/users/local/VWtewyoN/items/DB8J974Q"],"itemData":{"id":106,"type":"article-journal","abstract":"Previous reconstructions of marine fishing fleets have aggregated data without regard to the artisanal and industrial sectors. Engine power has often been estimated from subsets of the developed world, leading to inflated results. We disaggregated data into three sectors, artisanal (unpowered/powered) and industrial, and reconstructed the evolution of the fleet and its fishing effort. We found that the global fishing fleet doubled between 1950 and 2015—from 1.7 to 3.7 million vessels. This has been driven by substantial expansion of the motorized fleet, particularly, of the powered-artisanal fleet. By 2015, 68% of the global fishing fleet was motorized. Although the global fleet is dominated by small powered vessels under 50 kW, they contribute only 27% of the global engine power, which has increased from 25 to 145 GW (combined powered-artisanal and industrial fleets). Alongside an expansion of the fleets, the effective catch per unit of effort (CPUE) has consistently decreased since 1950, showing the increasing pressure of fisheries on ocean resources. The effective CPUE of most countries in 2015 was a fifth of its 1950s value, which was compared with a global decline in abundance. There are signs, however, of stabilization and more effective management in recent years, with a reduction in fleet sizes in developed countries. Based on historical patterns and allowing for the slowing rate of expansion, 1 million more motorized vessels could join the global fleet by midcentury as developing countries continue to transition away from subsistence fisheries, challenging sustainable use of fisheries' resources.","container-title":"Proceedings of the National Academy of Sciences","DOI":"10.1073/pnas.1820344116","ISSN":"0027-8424, 1091-6490","issue":"25","journalAbbreviation":"PNAS","language":"en","note":"publisher: National Academy of Sciences\nsection: Social Sciences\nPMID: 31138680","page":"12238-12243","source":"www.pnas.org","title":"Evolution of global marine fishing fleets and the response of fished resources","volume":"116","author":[{"family":"Rousseau","given":"Yannick"},{"family":"Watson","given":"Reg A."},{"family":"Blanchard","given":"Julia L."},{"family":"Fulton","given":"Elizabeth A."}],"issued":{"date-parts":[["2019",6,18]]}}}],"schema":"https://github.com/citation-style-language/schema/raw/master/csl-citation.json"} </w:instrText>
      </w:r>
      <w:r w:rsidRPr="00A80179">
        <w:rPr>
          <w:color w:val="000000"/>
          <w:sz w:val="24"/>
          <w:szCs w:val="24"/>
        </w:rPr>
        <w:fldChar w:fldCharType="separate"/>
      </w:r>
      <w:r w:rsidRPr="00351D55">
        <w:rPr>
          <w:color w:val="000000"/>
          <w:sz w:val="24"/>
          <w:vertAlign w:val="superscript"/>
          <w:lang w:val="en-GB"/>
        </w:rPr>
        <w:t>38</w:t>
      </w:r>
      <w:r w:rsidRPr="00A80179">
        <w:rPr>
          <w:color w:val="000000"/>
          <w:sz w:val="24"/>
          <w:szCs w:val="24"/>
        </w:rPr>
        <w:fldChar w:fldCharType="end"/>
      </w:r>
      <w:r w:rsidRPr="00A80179">
        <w:rPr>
          <w:color w:val="000000"/>
          <w:sz w:val="24"/>
          <w:szCs w:val="24"/>
        </w:rPr>
        <w:t>.</w:t>
      </w:r>
    </w:p>
    <w:p w14:paraId="5C54A8B5" w14:textId="77777777" w:rsidR="00627306" w:rsidRPr="00A80179" w:rsidRDefault="00627306" w:rsidP="00627306">
      <w:pPr>
        <w:spacing w:line="480" w:lineRule="auto"/>
        <w:rPr>
          <w:sz w:val="24"/>
          <w:szCs w:val="24"/>
          <w:lang w:val="en-GB"/>
        </w:rPr>
      </w:pPr>
    </w:p>
    <w:p w14:paraId="36D90CC2" w14:textId="77777777" w:rsidR="00627306" w:rsidRPr="00A80179" w:rsidRDefault="00627306" w:rsidP="00627306">
      <w:pPr>
        <w:pStyle w:val="NormalWeb"/>
        <w:spacing w:before="0" w:beforeAutospacing="0" w:after="0" w:afterAutospacing="0" w:line="480" w:lineRule="auto"/>
        <w:rPr>
          <w:lang w:val="en-GB"/>
        </w:rPr>
      </w:pPr>
    </w:p>
    <w:p w14:paraId="79EB4E3E" w14:textId="77777777" w:rsidR="00B96F00" w:rsidRDefault="00B96F00"/>
    <w:sectPr w:rsidR="00B96F00" w:rsidSect="000112A5">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431" w:footer="720" w:gutter="0"/>
      <w:lnNumType w:countBy="1"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E8655" w14:textId="77777777" w:rsidR="004646BD" w:rsidRDefault="004646BD">
      <w:r>
        <w:separator/>
      </w:r>
    </w:p>
  </w:endnote>
  <w:endnote w:type="continuationSeparator" w:id="0">
    <w:p w14:paraId="59821569" w14:textId="77777777" w:rsidR="004646BD" w:rsidRDefault="0046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A052" w14:textId="77777777" w:rsidR="00366E52" w:rsidRDefault="0036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1783" w14:textId="3361BADE" w:rsidR="000112A5" w:rsidRDefault="00627306">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66E52">
      <w:rPr>
        <w:caps/>
        <w:noProof/>
        <w:color w:val="4472C4" w:themeColor="accent1"/>
      </w:rPr>
      <w:t>1</w:t>
    </w:r>
    <w:r>
      <w:rPr>
        <w:caps/>
        <w:noProof/>
        <w:color w:val="4472C4" w:themeColor="accent1"/>
      </w:rPr>
      <w:fldChar w:fldCharType="end"/>
    </w:r>
  </w:p>
  <w:p w14:paraId="2E9CFBBF" w14:textId="77777777" w:rsidR="000112A5" w:rsidRDefault="00464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A3F9E" w14:textId="77777777" w:rsidR="000112A5" w:rsidRDefault="00627306">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6D4768D0" w14:textId="77777777" w:rsidR="000112A5" w:rsidRDefault="00464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E40FF" w14:textId="77777777" w:rsidR="004646BD" w:rsidRDefault="004646BD">
      <w:r>
        <w:separator/>
      </w:r>
    </w:p>
  </w:footnote>
  <w:footnote w:type="continuationSeparator" w:id="0">
    <w:p w14:paraId="49A92083" w14:textId="77777777" w:rsidR="004646BD" w:rsidRDefault="0046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1A45" w14:textId="77777777" w:rsidR="00366E52" w:rsidRDefault="00366E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31F07" w14:textId="77777777" w:rsidR="00366E52" w:rsidRDefault="00366E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6FCA9" w14:textId="77777777" w:rsidR="000112A5" w:rsidRPr="00204015" w:rsidRDefault="00627306" w:rsidP="0047138E">
    <w:pPr>
      <w:pStyle w:val="Header"/>
    </w:pPr>
    <w:r>
      <w:rPr>
        <w:noProof/>
        <w:lang w:val="en-GB" w:eastAsia="en-GB"/>
      </w:rPr>
      <w:drawing>
        <wp:anchor distT="0" distB="0" distL="114300" distR="114300" simplePos="0" relativeHeight="251659264" behindDoc="1" locked="0" layoutInCell="1" allowOverlap="1" wp14:anchorId="219F23EC" wp14:editId="7131E2CF">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0427CA9F" w14:textId="77777777" w:rsidR="000112A5" w:rsidRDefault="004646BD" w:rsidP="004713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306"/>
    <w:rsid w:val="00366E52"/>
    <w:rsid w:val="004646BD"/>
    <w:rsid w:val="00627306"/>
    <w:rsid w:val="007551C1"/>
    <w:rsid w:val="00B96F00"/>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57C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306"/>
    <w:rPr>
      <w:rFonts w:ascii="Times New Roman" w:eastAsia="Calibri" w:hAnsi="Times New Roman" w:cs="Times New Roman"/>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306"/>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627306"/>
    <w:rPr>
      <w:rFonts w:ascii="Times New Roman" w:eastAsia="Times New Roman" w:hAnsi="Times New Roman" w:cs="Times New Roman"/>
      <w:sz w:val="20"/>
      <w:szCs w:val="20"/>
      <w:lang w:val="en-US" w:eastAsia="en-US"/>
    </w:rPr>
  </w:style>
  <w:style w:type="paragraph" w:styleId="Header">
    <w:name w:val="header"/>
    <w:basedOn w:val="Normal"/>
    <w:link w:val="HeaderChar"/>
    <w:rsid w:val="00627306"/>
    <w:pPr>
      <w:tabs>
        <w:tab w:val="center" w:pos="4320"/>
        <w:tab w:val="right" w:pos="8640"/>
      </w:tabs>
    </w:pPr>
    <w:rPr>
      <w:rFonts w:eastAsia="Times New Roman"/>
    </w:rPr>
  </w:style>
  <w:style w:type="character" w:customStyle="1" w:styleId="HeaderChar">
    <w:name w:val="Header Char"/>
    <w:basedOn w:val="DefaultParagraphFont"/>
    <w:link w:val="Header"/>
    <w:rsid w:val="00627306"/>
    <w:rPr>
      <w:rFonts w:ascii="Times New Roman" w:eastAsia="Times New Roman" w:hAnsi="Times New Roman" w:cs="Times New Roman"/>
      <w:sz w:val="20"/>
      <w:szCs w:val="20"/>
      <w:lang w:val="en-US" w:eastAsia="en-US"/>
    </w:rPr>
  </w:style>
  <w:style w:type="paragraph" w:styleId="NormalWeb">
    <w:name w:val="Normal (Web)"/>
    <w:basedOn w:val="Normal"/>
    <w:uiPriority w:val="99"/>
    <w:unhideWhenUsed/>
    <w:rsid w:val="00627306"/>
    <w:pPr>
      <w:spacing w:before="100" w:beforeAutospacing="1" w:after="100" w:afterAutospacing="1"/>
    </w:pPr>
    <w:rPr>
      <w:rFonts w:eastAsia="Times New Roman"/>
      <w:sz w:val="24"/>
      <w:szCs w:val="24"/>
    </w:rPr>
  </w:style>
  <w:style w:type="character" w:styleId="LineNumber">
    <w:name w:val="line number"/>
    <w:basedOn w:val="DefaultParagraphFont"/>
    <w:uiPriority w:val="99"/>
    <w:semiHidden/>
    <w:unhideWhenUsed/>
    <w:rsid w:val="00627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4235</Words>
  <Characters>24146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2021-06-01T10:49:00Z</dcterms:created>
  <dcterms:modified xsi:type="dcterms:W3CDTF">2021-06-01T10:49:00Z</dcterms:modified>
</cp:coreProperties>
</file>