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805FA" w14:textId="54B145A6" w:rsidR="00081A21" w:rsidRPr="00081A21" w:rsidRDefault="006B46CF" w:rsidP="00081A21">
      <w:pPr>
        <w:rPr>
          <w:bCs/>
        </w:rPr>
      </w:pPr>
      <w:r>
        <w:rPr>
          <w:bCs/>
        </w:rPr>
        <w:t>Supplementary Figure 3</w:t>
      </w:r>
      <w:r w:rsidR="00081A21" w:rsidRPr="00081A21">
        <w:rPr>
          <w:bCs/>
        </w:rPr>
        <w:t>: Average monthly variance in daily thermal maxima and minima of selected sites (± 1 standard error; log</w:t>
      </w:r>
      <w:r w:rsidR="00081A21" w:rsidRPr="00081A21">
        <w:rPr>
          <w:bCs/>
          <w:vertAlign w:val="subscript"/>
        </w:rPr>
        <w:t>10</w:t>
      </w:r>
      <w:r w:rsidR="00081A21" w:rsidRPr="00081A21">
        <w:rPr>
          <w:bCs/>
        </w:rPr>
        <w:t xml:space="preserve"> transformed) over a 101-year time period. VarMax= variance in daily maxima, VarMin = variance in daily minima. </w:t>
      </w:r>
      <w:proofErr w:type="gramStart"/>
      <w:r w:rsidR="00081A21" w:rsidRPr="00081A21">
        <w:rPr>
          <w:bCs/>
        </w:rPr>
        <w:t>With regard to</w:t>
      </w:r>
      <w:proofErr w:type="gramEnd"/>
      <w:r w:rsidR="00081A21" w:rsidRPr="00081A21">
        <w:rPr>
          <w:bCs/>
        </w:rPr>
        <w:t xml:space="preserve"> variance in daily maxima, only the KY-IL, VA-IL, and VA-KY comparisons were not significant (Tukey HSD; p = 0.97, 0.263, and 0.064, respectively; p &lt; 0.001 for all other site comparisons). </w:t>
      </w:r>
      <w:proofErr w:type="gramStart"/>
      <w:r w:rsidR="00081A21" w:rsidRPr="00081A21">
        <w:rPr>
          <w:bCs/>
        </w:rPr>
        <w:t>With regard to</w:t>
      </w:r>
      <w:proofErr w:type="gramEnd"/>
      <w:r w:rsidR="00081A21" w:rsidRPr="00081A21">
        <w:rPr>
          <w:bCs/>
        </w:rPr>
        <w:t xml:space="preserve"> variance in daily minima, only the KS-IL, MO-IL, MO-KS, and VA-KY comparisons were not significant (Tukey HSD; p = 0.982, 0.776, 0.436, and 0.69, respectively; p = 0.044 for the MO-KY comparison, p &lt; 0.001 for all other site comparisons). Data from the 101-year period came from March. 1, 1915-Oct. 31, 2015; data from the months of November, December, January, and February were omitted.</w:t>
      </w:r>
    </w:p>
    <w:p w14:paraId="4E0B0F9F" w14:textId="3C91C949" w:rsidR="00BE7B3E" w:rsidRDefault="00BE7B3E"/>
    <w:p w14:paraId="3FE3D188" w14:textId="219ABD73" w:rsidR="00081A21" w:rsidRDefault="00081A21">
      <w:r w:rsidRPr="00B4490B">
        <w:rPr>
          <w:bCs/>
          <w:noProof/>
        </w:rPr>
        <w:drawing>
          <wp:inline distT="0" distB="0" distL="0" distR="0" wp14:anchorId="4862A212" wp14:editId="0AF05659">
            <wp:extent cx="5565258" cy="2743200"/>
            <wp:effectExtent l="19050" t="0" r="16392" b="0"/>
            <wp:docPr id="10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081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BFA"/>
    <w:rsid w:val="00081A21"/>
    <w:rsid w:val="00620BFA"/>
    <w:rsid w:val="006B46CF"/>
    <w:rsid w:val="00B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A069C"/>
  <w15:chartTrackingRefBased/>
  <w15:docId w15:val="{E15EBE0D-B49F-4965-9523-B9C5186C0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BP\Desktop\Full%20degrees%20C%20LogMonthVarDTMaxMin\Summar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Sheet1!$B$10</c:f>
              <c:strCache>
                <c:ptCount val="1"/>
                <c:pt idx="0">
                  <c:v>VarMax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Sheet1!$E$2:$E$6</c:f>
                <c:numCache>
                  <c:formatCode>General</c:formatCode>
                  <c:ptCount val="5"/>
                  <c:pt idx="0">
                    <c:v>9.7056052935830771E-3</c:v>
                  </c:pt>
                  <c:pt idx="1">
                    <c:v>1.090302278125704E-2</c:v>
                  </c:pt>
                  <c:pt idx="2">
                    <c:v>1.0729062661069341E-2</c:v>
                  </c:pt>
                  <c:pt idx="3">
                    <c:v>1.0956323389809281E-2</c:v>
                  </c:pt>
                  <c:pt idx="4">
                    <c:v>1.0691435229589531E-2</c:v>
                  </c:pt>
                </c:numCache>
              </c:numRef>
            </c:plus>
            <c:minus>
              <c:numRef>
                <c:f>Sheet1!$E$2:$E$6</c:f>
                <c:numCache>
                  <c:formatCode>General</c:formatCode>
                  <c:ptCount val="5"/>
                  <c:pt idx="0">
                    <c:v>9.7056052935830771E-3</c:v>
                  </c:pt>
                  <c:pt idx="1">
                    <c:v>1.090302278125704E-2</c:v>
                  </c:pt>
                  <c:pt idx="2">
                    <c:v>1.0729062661069341E-2</c:v>
                  </c:pt>
                  <c:pt idx="3">
                    <c:v>1.0956323389809281E-2</c:v>
                  </c:pt>
                  <c:pt idx="4">
                    <c:v>1.0691435229589531E-2</c:v>
                  </c:pt>
                </c:numCache>
              </c:numRef>
            </c:minus>
          </c:errBars>
          <c:cat>
            <c:strRef>
              <c:f>Sheet1!$A$11:$A$15</c:f>
              <c:strCache>
                <c:ptCount val="5"/>
                <c:pt idx="0">
                  <c:v>KS</c:v>
                </c:pt>
                <c:pt idx="1">
                  <c:v>MO</c:v>
                </c:pt>
                <c:pt idx="2">
                  <c:v>IL</c:v>
                </c:pt>
                <c:pt idx="3">
                  <c:v>KY</c:v>
                </c:pt>
                <c:pt idx="4">
                  <c:v>VA</c:v>
                </c:pt>
              </c:strCache>
            </c:strRef>
          </c:cat>
          <c:val>
            <c:numRef>
              <c:f>Sheet1!$B$11:$B$15</c:f>
              <c:numCache>
                <c:formatCode>General</c:formatCode>
                <c:ptCount val="5"/>
                <c:pt idx="0">
                  <c:v>1.3690233917551933</c:v>
                </c:pt>
                <c:pt idx="1">
                  <c:v>1.2878101101346455</c:v>
                </c:pt>
                <c:pt idx="2">
                  <c:v>1.2264703699609243</c:v>
                </c:pt>
                <c:pt idx="3">
                  <c:v>1.235856495268391</c:v>
                </c:pt>
                <c:pt idx="4">
                  <c:v>1.1965014694737388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AB1-4CDF-AFD4-2850164053E2}"/>
            </c:ext>
          </c:extLst>
        </c:ser>
        <c:ser>
          <c:idx val="1"/>
          <c:order val="1"/>
          <c:tx>
            <c:strRef>
              <c:f>Sheet1!$C$10</c:f>
              <c:strCache>
                <c:ptCount val="1"/>
                <c:pt idx="0">
                  <c:v>VarMin</c:v>
                </c:pt>
              </c:strCache>
            </c:strRef>
          </c:tx>
          <c:spPr>
            <a:solidFill>
              <a:srgbClr val="0070C0"/>
            </a:solidFill>
          </c:spPr>
          <c:invertIfNegative val="0"/>
          <c:errBars>
            <c:errBarType val="both"/>
            <c:errValType val="cust"/>
            <c:noEndCap val="0"/>
            <c:plus>
              <c:numRef>
                <c:f>Sheet1!$J$2:$J$6</c:f>
                <c:numCache>
                  <c:formatCode>General</c:formatCode>
                  <c:ptCount val="5"/>
                  <c:pt idx="0">
                    <c:v>9.2521967159929046E-3</c:v>
                  </c:pt>
                  <c:pt idx="1">
                    <c:v>9.7986223797985588E-3</c:v>
                  </c:pt>
                  <c:pt idx="2">
                    <c:v>8.964024050171996E-3</c:v>
                  </c:pt>
                  <c:pt idx="3">
                    <c:v>1.0176129395889254E-2</c:v>
                  </c:pt>
                  <c:pt idx="4">
                    <c:v>9.5791187167469823E-3</c:v>
                  </c:pt>
                </c:numCache>
              </c:numRef>
            </c:plus>
            <c:minus>
              <c:numRef>
                <c:f>Sheet1!$J$2:$J$6</c:f>
                <c:numCache>
                  <c:formatCode>General</c:formatCode>
                  <c:ptCount val="5"/>
                  <c:pt idx="0">
                    <c:v>9.2521967159929046E-3</c:v>
                  </c:pt>
                  <c:pt idx="1">
                    <c:v>9.7986223797985588E-3</c:v>
                  </c:pt>
                  <c:pt idx="2">
                    <c:v>8.964024050171996E-3</c:v>
                  </c:pt>
                  <c:pt idx="3">
                    <c:v>1.0176129395889254E-2</c:v>
                  </c:pt>
                  <c:pt idx="4">
                    <c:v>9.5791187167469823E-3</c:v>
                  </c:pt>
                </c:numCache>
              </c:numRef>
            </c:minus>
          </c:errBars>
          <c:cat>
            <c:strRef>
              <c:f>Sheet1!$A$11:$A$15</c:f>
              <c:strCache>
                <c:ptCount val="5"/>
                <c:pt idx="0">
                  <c:v>KS</c:v>
                </c:pt>
                <c:pt idx="1">
                  <c:v>MO</c:v>
                </c:pt>
                <c:pt idx="2">
                  <c:v>IL</c:v>
                </c:pt>
                <c:pt idx="3">
                  <c:v>KY</c:v>
                </c:pt>
                <c:pt idx="4">
                  <c:v>VA</c:v>
                </c:pt>
              </c:strCache>
            </c:strRef>
          </c:cat>
          <c:val>
            <c:numRef>
              <c:f>Sheet1!$C$11:$C$15</c:f>
              <c:numCache>
                <c:formatCode>General</c:formatCode>
                <c:ptCount val="5"/>
                <c:pt idx="0">
                  <c:v>1.236815134080349</c:v>
                </c:pt>
                <c:pt idx="1">
                  <c:v>1.2136138841937663</c:v>
                </c:pt>
                <c:pt idx="2">
                  <c:v>1.2293445335202773</c:v>
                </c:pt>
                <c:pt idx="3">
                  <c:v>1.1759182072178358</c:v>
                </c:pt>
                <c:pt idx="4">
                  <c:v>1.1584229148220404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AB1-4CDF-AFD4-2850164053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2780672"/>
        <c:axId val="122790656"/>
      </c:barChart>
      <c:catAx>
        <c:axId val="1227806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2790656"/>
        <c:crosses val="autoZero"/>
        <c:auto val="1"/>
        <c:lblAlgn val="ctr"/>
        <c:lblOffset val="100"/>
        <c:noMultiLvlLbl val="0"/>
      </c:catAx>
      <c:valAx>
        <c:axId val="122790656"/>
        <c:scaling>
          <c:orientation val="minMax"/>
          <c:max val="1.4"/>
          <c:min val="1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Log</a:t>
                </a:r>
                <a:r>
                  <a:rPr lang="en-US" baseline="-25000"/>
                  <a:t>10</a:t>
                </a:r>
                <a:r>
                  <a:rPr lang="en-US"/>
                  <a:t> Montly Variance in Daily Temperatures (˚C)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227806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38589909039258"/>
          <c:y val="0.4116531787693205"/>
          <c:w val="0.13877084422263064"/>
          <c:h val="0.1674343832021005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Preston</dc:creator>
  <cp:keywords/>
  <dc:description/>
  <cp:lastModifiedBy>Devin Preston</cp:lastModifiedBy>
  <cp:revision>3</cp:revision>
  <dcterms:created xsi:type="dcterms:W3CDTF">2021-05-03T21:16:00Z</dcterms:created>
  <dcterms:modified xsi:type="dcterms:W3CDTF">2021-05-14T20:50:00Z</dcterms:modified>
</cp:coreProperties>
</file>