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ADE98" w14:textId="77777777" w:rsidR="00E436CC" w:rsidRPr="004A00AB" w:rsidRDefault="00E436CC" w:rsidP="00E436CC">
      <w:pPr>
        <w:pStyle w:val="Heading1"/>
        <w:spacing w:beforeLines="100" w:before="240" w:afterLines="100" w:after="240" w:line="240" w:lineRule="auto"/>
        <w:rPr>
          <w:sz w:val="26"/>
          <w:szCs w:val="26"/>
        </w:rPr>
      </w:pPr>
      <w:r w:rsidRPr="004A00AB">
        <w:rPr>
          <w:rFonts w:hint="eastAsia"/>
          <w:sz w:val="26"/>
          <w:szCs w:val="26"/>
        </w:rPr>
        <w:t>Extended Data Figure</w:t>
      </w:r>
    </w:p>
    <w:p w14:paraId="69FA2EA1" w14:textId="77777777" w:rsidR="00E436CC" w:rsidRPr="00196D2E" w:rsidRDefault="00E436CC" w:rsidP="00E436CC">
      <w:pPr>
        <w:pStyle w:val="Figure"/>
        <w:spacing w:afterLines="100" w:after="240" w:line="259" w:lineRule="auto"/>
      </w:pPr>
      <w:r w:rsidRPr="00580CD3">
        <w:drawing>
          <wp:inline distT="0" distB="0" distL="0" distR="0" wp14:anchorId="38CD18A7" wp14:editId="2F378E65">
            <wp:extent cx="5943600" cy="2428875"/>
            <wp:effectExtent l="0" t="0" r="0" b="9525"/>
            <wp:docPr id="17923390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BC648" w14:textId="77777777" w:rsidR="00E436CC" w:rsidRPr="00196D2E" w:rsidRDefault="00E436CC" w:rsidP="00E436CC">
      <w:pPr>
        <w:jc w:val="both"/>
        <w:rPr>
          <w:rFonts w:cs="Times New Roman"/>
          <w:bCs/>
          <w:color w:val="000000" w:themeColor="text1"/>
          <w:sz w:val="24"/>
          <w:szCs w:val="24"/>
          <w:lang w:eastAsia="zh-CN"/>
        </w:rPr>
      </w:pPr>
      <w:bookmarkStart w:id="0" w:name="OLE_LINK1"/>
      <w:bookmarkStart w:id="1" w:name="OLE_LINK2"/>
      <w:r w:rsidRPr="00196D2E">
        <w:rPr>
          <w:rFonts w:cs="Times New Roman"/>
          <w:b/>
          <w:color w:val="000000" w:themeColor="text1"/>
          <w:sz w:val="24"/>
          <w:szCs w:val="24"/>
        </w:rPr>
        <w:t>Extended Data Figure 1. Real GDP per capita and urbanization rate during 1960-202</w:t>
      </w:r>
      <w:r w:rsidRPr="00196D2E">
        <w:rPr>
          <w:rFonts w:cs="Times New Roman"/>
          <w:b/>
          <w:color w:val="000000" w:themeColor="text1"/>
          <w:sz w:val="24"/>
          <w:szCs w:val="24"/>
          <w:lang w:eastAsia="zh-CN"/>
        </w:rPr>
        <w:t>3</w:t>
      </w:r>
      <w:r w:rsidRPr="00196D2E">
        <w:rPr>
          <w:rFonts w:cs="Times New Roman"/>
          <w:b/>
          <w:color w:val="000000" w:themeColor="text1"/>
          <w:sz w:val="24"/>
          <w:szCs w:val="24"/>
        </w:rPr>
        <w:t>.</w:t>
      </w:r>
      <w:r w:rsidRPr="00196D2E">
        <w:rPr>
          <w:color w:val="000000" w:themeColor="text1"/>
        </w:rPr>
        <w:t xml:space="preserve"> After an initial lag, real income per capita has been </w:t>
      </w:r>
      <w:r>
        <w:rPr>
          <w:color w:val="000000" w:themeColor="text1"/>
        </w:rPr>
        <w:t>growing in tandem (and faster) with</w:t>
      </w:r>
      <w:r w:rsidRPr="00196D2E">
        <w:rPr>
          <w:color w:val="000000" w:themeColor="text1"/>
        </w:rPr>
        <w:t xml:space="preserve"> urbanization</w:t>
      </w:r>
      <w:r w:rsidRPr="00196D2E">
        <w:rPr>
          <w:rFonts w:hint="eastAsia"/>
          <w:color w:val="000000" w:themeColor="text1"/>
          <w:lang w:eastAsia="zh-CN"/>
        </w:rPr>
        <w:t xml:space="preserve"> </w:t>
      </w:r>
      <w:r w:rsidRPr="00196D2E">
        <w:rPr>
          <w:rFonts w:hint="eastAsia"/>
          <w:b/>
          <w:bCs/>
          <w:color w:val="000000" w:themeColor="text1"/>
          <w:lang w:eastAsia="zh-CN"/>
        </w:rPr>
        <w:t>(a)</w:t>
      </w:r>
      <w:r w:rsidRPr="00196D2E">
        <w:rPr>
          <w:color w:val="000000" w:themeColor="text1"/>
        </w:rPr>
        <w:t>. Real GDP per capita versus urbanization rate for several nations. On average, a nations GDP per capita increases 4.0% (</w:t>
      </w:r>
      <w:r w:rsidRPr="00196D2E">
        <w:rPr>
          <w:rFonts w:hint="eastAsia"/>
          <w:color w:val="000000" w:themeColor="text1"/>
        </w:rPr>
        <w:t>±</w:t>
      </w:r>
      <w:r w:rsidRPr="00196D2E">
        <w:rPr>
          <w:color w:val="000000" w:themeColor="text1"/>
          <w:lang w:eastAsia="zh-CN"/>
        </w:rPr>
        <w:t>0.05</w:t>
      </w:r>
      <w:r w:rsidRPr="00196D2E">
        <w:rPr>
          <w:color w:val="000000" w:themeColor="text1"/>
        </w:rPr>
        <w:t>) with each percent of urbanization (black line). China’s GDP per capita has risen faster, at an average rate of 5.8% (</w:t>
      </w:r>
      <w:r w:rsidRPr="00196D2E">
        <w:rPr>
          <w:rFonts w:hint="eastAsia"/>
          <w:color w:val="000000" w:themeColor="text1"/>
        </w:rPr>
        <w:t>±</w:t>
      </w:r>
      <w:r w:rsidRPr="00196D2E">
        <w:rPr>
          <w:color w:val="000000" w:themeColor="text1"/>
        </w:rPr>
        <w:t>0.35) with each percent of additional urbanization</w:t>
      </w:r>
      <w:r w:rsidRPr="00196D2E">
        <w:rPr>
          <w:rFonts w:hint="eastAsia"/>
          <w:color w:val="000000" w:themeColor="text1"/>
          <w:lang w:eastAsia="zh-CN"/>
        </w:rPr>
        <w:t xml:space="preserve"> </w:t>
      </w:r>
      <w:r w:rsidRPr="00196D2E">
        <w:rPr>
          <w:rFonts w:hint="eastAsia"/>
          <w:b/>
          <w:bCs/>
          <w:color w:val="000000" w:themeColor="text1"/>
          <w:lang w:eastAsia="zh-CN"/>
        </w:rPr>
        <w:t>(b)</w:t>
      </w:r>
      <w:r w:rsidRPr="00196D2E">
        <w:rPr>
          <w:color w:val="000000" w:themeColor="text1"/>
        </w:rPr>
        <w:t xml:space="preserve">. </w:t>
      </w:r>
      <w:r w:rsidRPr="00196D2E">
        <w:rPr>
          <w:rFonts w:cs="Times New Roman"/>
          <w:bCs/>
          <w:color w:val="000000" w:themeColor="text1"/>
          <w:sz w:val="24"/>
          <w:szCs w:val="24"/>
        </w:rPr>
        <w:t>Real GDP per capita and urbanization in China are derived from World Bank data</w:t>
      </w:r>
      <w:r w:rsidRPr="00196D2E">
        <w:rPr>
          <w:rFonts w:cs="Times New Roman"/>
          <w:bCs/>
          <w:color w:val="000000" w:themeColor="text1"/>
          <w:sz w:val="24"/>
          <w:szCs w:val="24"/>
        </w:rPr>
        <w:fldChar w:fldCharType="begin"/>
      </w:r>
      <w:r w:rsidRPr="00196D2E">
        <w:rPr>
          <w:rFonts w:cs="Times New Roman"/>
          <w:bCs/>
          <w:color w:val="000000" w:themeColor="text1"/>
          <w:sz w:val="24"/>
          <w:szCs w:val="24"/>
        </w:rPr>
        <w:instrText xml:space="preserve"> ADDIN EN.CITE &lt;EndNote&gt;&lt;Cite&gt;&lt;Author&gt;World Bank&lt;/Author&gt;&lt;Year&gt;2024&lt;/Year&gt;&lt;RecNum&gt;1031&lt;/RecNum&gt;&lt;DisplayText&gt;&lt;style face="superscript"&gt;1&lt;/style&gt;&lt;/DisplayText&gt;&lt;record&gt;&lt;rec-number&gt;1031&lt;/rec-number&gt;&lt;foreign-keys&gt;&lt;key app="EN" db-id="pzswzsvwnewez9ee5fuxtde1sep9909tddsz" timestamp="1716432468"&gt;1031&lt;/key&gt;&lt;/foreign-keys&gt;&lt;ref-type name="Web Page"&gt;12&lt;/ref-type&gt;&lt;contributors&gt;&lt;authors&gt;&lt;author&gt;World Bank, &lt;/author&gt;&lt;/authors&gt;&lt;/contributors&gt;&lt;titles&gt;&lt;title&gt;&lt;style face="normal" font="default" size="100%"&gt;World Bank national accounts data, and OECD National Accounts data files. &lt;/style&gt;&lt;style face="underline" font="default" size="100%"&gt;https://data.worldbank.org/country/china?view=chart&lt;/style&gt;&lt;/title&gt;&lt;/titles&gt;&lt;dates&gt;&lt;year&gt;2024&lt;/year&gt;&lt;/dates&gt;&lt;urls&gt;&lt;/urls&gt;&lt;/record&gt;&lt;/Cite&gt;&lt;/EndNote&gt;</w:instrText>
      </w:r>
      <w:r w:rsidRPr="00196D2E">
        <w:rPr>
          <w:rFonts w:cs="Times New Roman"/>
          <w:bCs/>
          <w:color w:val="000000" w:themeColor="text1"/>
          <w:sz w:val="24"/>
          <w:szCs w:val="24"/>
        </w:rPr>
        <w:fldChar w:fldCharType="separate"/>
      </w:r>
      <w:r w:rsidRPr="00196D2E">
        <w:rPr>
          <w:rFonts w:cs="Times New Roman"/>
          <w:bCs/>
          <w:noProof/>
          <w:color w:val="000000" w:themeColor="text1"/>
          <w:sz w:val="24"/>
          <w:szCs w:val="24"/>
          <w:vertAlign w:val="superscript"/>
        </w:rPr>
        <w:t>1</w:t>
      </w:r>
      <w:r w:rsidRPr="00196D2E">
        <w:rPr>
          <w:rFonts w:cs="Times New Roman"/>
          <w:bCs/>
          <w:color w:val="000000" w:themeColor="text1"/>
          <w:sz w:val="24"/>
          <w:szCs w:val="24"/>
        </w:rPr>
        <w:fldChar w:fldCharType="end"/>
      </w:r>
      <w:r w:rsidRPr="00196D2E">
        <w:rPr>
          <w:rFonts w:cs="Times New Roman" w:hint="eastAsia"/>
          <w:bCs/>
          <w:color w:val="000000" w:themeColor="text1"/>
          <w:sz w:val="24"/>
          <w:szCs w:val="24"/>
          <w:lang w:eastAsia="zh-CN"/>
        </w:rPr>
        <w:t>.</w:t>
      </w:r>
      <w:bookmarkEnd w:id="0"/>
      <w:bookmarkEnd w:id="1"/>
    </w:p>
    <w:p w14:paraId="3352924C" w14:textId="77777777" w:rsidR="00E436CC" w:rsidRPr="00196D2E" w:rsidRDefault="00E436CC" w:rsidP="00E436CC">
      <w:pPr>
        <w:spacing w:before="0" w:after="0"/>
        <w:jc w:val="center"/>
        <w:rPr>
          <w:rFonts w:cs="Times New Roman"/>
          <w:sz w:val="24"/>
          <w:szCs w:val="24"/>
          <w:lang w:eastAsia="zh-CN"/>
        </w:rPr>
      </w:pPr>
      <w:r w:rsidRPr="00F445F9">
        <w:rPr>
          <w:noProof/>
          <w:lang w:eastAsia="zh-CN"/>
        </w:rPr>
        <w:drawing>
          <wp:inline distT="0" distB="0" distL="0" distR="0" wp14:anchorId="015E8D5D" wp14:editId="2361E601">
            <wp:extent cx="5943600" cy="219784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97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334CC" w14:textId="77777777" w:rsidR="00E436CC" w:rsidRPr="00196D2E" w:rsidRDefault="00E436CC" w:rsidP="00E436CC">
      <w:pPr>
        <w:spacing w:before="0" w:after="0"/>
        <w:jc w:val="both"/>
        <w:rPr>
          <w:rFonts w:cs="Times New Roman"/>
          <w:bCs/>
          <w:sz w:val="24"/>
          <w:szCs w:val="24"/>
          <w:lang w:eastAsia="zh-CN"/>
        </w:rPr>
      </w:pPr>
      <w:r w:rsidRPr="00196D2E">
        <w:rPr>
          <w:rFonts w:cs="Times New Roman" w:hint="eastAsia"/>
          <w:b/>
          <w:sz w:val="24"/>
          <w:szCs w:val="24"/>
          <w:lang w:eastAsia="zh-CN"/>
        </w:rPr>
        <w:t xml:space="preserve">Extended Data </w:t>
      </w:r>
      <w:r w:rsidRPr="00196D2E">
        <w:rPr>
          <w:rFonts w:cs="Times New Roman"/>
          <w:b/>
          <w:sz w:val="24"/>
          <w:szCs w:val="24"/>
        </w:rPr>
        <w:t>Fig</w:t>
      </w:r>
      <w:r w:rsidRPr="00196D2E">
        <w:rPr>
          <w:rFonts w:cs="Times New Roman" w:hint="eastAsia"/>
          <w:b/>
          <w:sz w:val="24"/>
          <w:szCs w:val="24"/>
          <w:lang w:eastAsia="zh-CN"/>
        </w:rPr>
        <w:t>ure 2.</w:t>
      </w:r>
      <w:r w:rsidRPr="00196D2E">
        <w:rPr>
          <w:rFonts w:cs="Times New Roman"/>
          <w:b/>
          <w:sz w:val="24"/>
          <w:szCs w:val="24"/>
        </w:rPr>
        <w:t xml:space="preserve"> The spatial units and their composition</w:t>
      </w:r>
      <w:r w:rsidRPr="00196D2E">
        <w:rPr>
          <w:rFonts w:cs="Times New Roman" w:hint="eastAsia"/>
          <w:b/>
          <w:sz w:val="24"/>
          <w:szCs w:val="24"/>
          <w:lang w:eastAsia="zh-CN"/>
        </w:rPr>
        <w:t>.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 The a</w:t>
      </w:r>
      <w:r w:rsidRPr="00196D2E">
        <w:rPr>
          <w:rFonts w:cs="Times New Roman"/>
          <w:bCs/>
          <w:sz w:val="24"/>
          <w:szCs w:val="24"/>
        </w:rPr>
        <w:t>dministrative boundar</w:t>
      </w:r>
      <w:r w:rsidRPr="00196D2E">
        <w:rPr>
          <w:rFonts w:cs="Times New Roman" w:hint="eastAsia"/>
          <w:bCs/>
          <w:sz w:val="24"/>
          <w:szCs w:val="24"/>
          <w:lang w:eastAsia="zh-CN"/>
        </w:rPr>
        <w:t>ies</w:t>
      </w:r>
      <w:r w:rsidRPr="00196D2E">
        <w:rPr>
          <w:rFonts w:cs="Times New Roman"/>
          <w:bCs/>
          <w:sz w:val="24"/>
          <w:szCs w:val="24"/>
        </w:rPr>
        <w:t xml:space="preserve"> of 293 Chinese prefecture-level cities 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(highlighted in yellow) </w:t>
      </w:r>
      <w:r w:rsidRPr="00196D2E">
        <w:rPr>
          <w:rFonts w:cs="Times New Roman"/>
          <w:bCs/>
          <w:sz w:val="24"/>
          <w:szCs w:val="24"/>
          <w:lang w:eastAsia="zh-CN"/>
        </w:rPr>
        <w:t xml:space="preserve">and </w:t>
      </w:r>
      <w:r w:rsidRPr="00196D2E">
        <w:rPr>
          <w:rFonts w:cs="Times New Roman"/>
          <w:bCs/>
          <w:sz w:val="24"/>
          <w:szCs w:val="24"/>
        </w:rPr>
        <w:t>4 municipalities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 (highlighted in red) selected for this study</w:t>
      </w:r>
      <w:r w:rsidRPr="00196D2E">
        <w:rPr>
          <w:rFonts w:cs="Times New Roman"/>
          <w:bCs/>
          <w:sz w:val="24"/>
          <w:szCs w:val="24"/>
        </w:rPr>
        <w:t xml:space="preserve">. The white parts 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on the map </w:t>
      </w:r>
      <w:r>
        <w:rPr>
          <w:rFonts w:cs="Times New Roman"/>
          <w:bCs/>
          <w:sz w:val="24"/>
          <w:szCs w:val="24"/>
        </w:rPr>
        <w:t>are regions, autonomous prefectures,</w:t>
      </w:r>
      <w:r>
        <w:rPr>
          <w:rFonts w:cs="Times New Roman"/>
          <w:bCs/>
          <w:sz w:val="24"/>
          <w:szCs w:val="24"/>
          <w:lang w:eastAsia="zh-CN"/>
        </w:rPr>
        <w:t xml:space="preserve"> and </w:t>
      </w:r>
      <w:r w:rsidRPr="00196D2E">
        <w:rPr>
          <w:rFonts w:cs="Times New Roman"/>
          <w:bCs/>
          <w:sz w:val="24"/>
          <w:szCs w:val="24"/>
        </w:rPr>
        <w:t>leagues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, </w:t>
      </w:r>
      <w:r w:rsidRPr="00196D2E">
        <w:rPr>
          <w:rFonts w:cs="Times New Roman"/>
          <w:bCs/>
          <w:sz w:val="24"/>
          <w:szCs w:val="24"/>
          <w:lang w:eastAsia="zh-CN"/>
        </w:rPr>
        <w:t>which are administrative units equivalent to prefecture-level cities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, and are excluded from our study due to missing data </w:t>
      </w:r>
      <w:r w:rsidRPr="00196D2E">
        <w:rPr>
          <w:rFonts w:cs="Times New Roman" w:hint="eastAsia"/>
          <w:b/>
          <w:sz w:val="24"/>
          <w:szCs w:val="24"/>
          <w:lang w:eastAsia="zh-CN"/>
        </w:rPr>
        <w:t>(a)</w:t>
      </w:r>
      <w:r w:rsidRPr="00196D2E">
        <w:rPr>
          <w:rFonts w:cs="Times New Roman"/>
          <w:bCs/>
          <w:sz w:val="24"/>
          <w:szCs w:val="24"/>
        </w:rPr>
        <w:t>.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 </w:t>
      </w:r>
      <w:r w:rsidRPr="00196D2E">
        <w:rPr>
          <w:rFonts w:cs="Times New Roman"/>
          <w:bCs/>
          <w:sz w:val="24"/>
          <w:szCs w:val="24"/>
          <w:lang w:eastAsia="zh-CN"/>
        </w:rPr>
        <w:t>Schematic diagram of administrative divisions within a prefecture-level city.</w:t>
      </w:r>
      <w:r w:rsidRPr="00196D2E">
        <w:rPr>
          <w:rFonts w:cs="Times New Roman"/>
          <w:bCs/>
          <w:sz w:val="24"/>
          <w:szCs w:val="24"/>
        </w:rPr>
        <w:t xml:space="preserve"> Prefecture-level cities are composed of urban districts as well as counties and county-level cities outside of the urban districts.</w:t>
      </w:r>
      <w:r w:rsidRPr="00196D2E">
        <w:rPr>
          <w:rFonts w:cs="Times New Roman" w:hint="eastAsia"/>
          <w:bCs/>
          <w:sz w:val="24"/>
          <w:szCs w:val="24"/>
          <w:lang w:eastAsia="zh-CN"/>
        </w:rPr>
        <w:t xml:space="preserve"> </w:t>
      </w:r>
      <w:r w:rsidRPr="00FC70EE">
        <w:rPr>
          <w:rFonts w:cs="Times New Roman"/>
          <w:bCs/>
          <w:sz w:val="24"/>
          <w:szCs w:val="24"/>
        </w:rPr>
        <w:t xml:space="preserve">Prefecture-level cities and urban districts are both national-level administrative units that do not necessarily correspond to </w:t>
      </w:r>
      <w:r w:rsidRPr="00FC70EE">
        <w:rPr>
          <w:rFonts w:cs="Times New Roman"/>
          <w:bCs/>
          <w:sz w:val="24"/>
          <w:szCs w:val="24"/>
        </w:rPr>
        <w:lastRenderedPageBreak/>
        <w:t>metropolitan areas</w:t>
      </w:r>
      <w:r>
        <w:rPr>
          <w:rFonts w:cs="Times New Roman"/>
          <w:bCs/>
          <w:sz w:val="24"/>
          <w:szCs w:val="24"/>
        </w:rPr>
        <w:t xml:space="preserve"> </w:t>
      </w:r>
      <w:r w:rsidRPr="00196D2E">
        <w:rPr>
          <w:rFonts w:cs="Times New Roman" w:hint="eastAsia"/>
          <w:b/>
          <w:sz w:val="24"/>
          <w:szCs w:val="24"/>
          <w:lang w:eastAsia="zh-CN"/>
        </w:rPr>
        <w:t>(b)</w:t>
      </w:r>
      <w:r>
        <w:rPr>
          <w:rFonts w:cs="Times New Roman" w:hint="eastAsia"/>
          <w:bCs/>
          <w:sz w:val="24"/>
          <w:szCs w:val="24"/>
          <w:lang w:eastAsia="zh-CN"/>
        </w:rPr>
        <w:t>.</w:t>
      </w:r>
      <w:r>
        <w:rPr>
          <w:rFonts w:cs="Times New Roman"/>
          <w:bCs/>
          <w:sz w:val="24"/>
          <w:szCs w:val="24"/>
          <w:lang w:eastAsia="zh-CN"/>
        </w:rPr>
        <w:t xml:space="preserve"> </w:t>
      </w:r>
      <w:r w:rsidRPr="008C6610">
        <w:rPr>
          <w:rFonts w:cs="Times New Roman"/>
          <w:bCs/>
          <w:sz w:val="24"/>
          <w:szCs w:val="24"/>
          <w:lang w:eastAsia="zh-CN"/>
        </w:rPr>
        <w:t>Administrative</w:t>
      </w:r>
      <w:r>
        <w:rPr>
          <w:rFonts w:cs="Times New Roman"/>
          <w:bCs/>
          <w:sz w:val="24"/>
          <w:szCs w:val="24"/>
          <w:lang w:eastAsia="zh-CN"/>
        </w:rPr>
        <w:t xml:space="preserve"> divisions of China. </w:t>
      </w:r>
      <w:r w:rsidRPr="008C6610">
        <w:rPr>
          <w:rFonts w:cs="Times New Roman"/>
          <w:bCs/>
          <w:sz w:val="24"/>
          <w:szCs w:val="24"/>
          <w:lang w:eastAsia="zh-CN"/>
        </w:rPr>
        <w:t>This diagram only illustrates the structures relevant to this study</w:t>
      </w:r>
      <w:r>
        <w:rPr>
          <w:rFonts w:cs="Times New Roman"/>
          <w:bCs/>
          <w:sz w:val="24"/>
          <w:szCs w:val="24"/>
          <w:lang w:eastAsia="zh-CN"/>
        </w:rPr>
        <w:t xml:space="preserve"> </w:t>
      </w:r>
      <w:r w:rsidRPr="008C6610">
        <w:rPr>
          <w:rFonts w:cs="Times New Roman"/>
          <w:b/>
          <w:sz w:val="24"/>
          <w:szCs w:val="24"/>
          <w:lang w:eastAsia="zh-CN"/>
        </w:rPr>
        <w:t>(c)</w:t>
      </w:r>
      <w:r w:rsidRPr="008C6610">
        <w:rPr>
          <w:rFonts w:cs="Times New Roman"/>
          <w:bCs/>
          <w:sz w:val="24"/>
          <w:szCs w:val="24"/>
          <w:lang w:eastAsia="zh-CN"/>
        </w:rPr>
        <w:t>.</w:t>
      </w:r>
    </w:p>
    <w:p w14:paraId="6B8B1AE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6CC"/>
    <w:rsid w:val="003C2EF4"/>
    <w:rsid w:val="00554051"/>
    <w:rsid w:val="00B74216"/>
    <w:rsid w:val="00D62F8C"/>
    <w:rsid w:val="00E436C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97B0C"/>
  <w15:chartTrackingRefBased/>
  <w15:docId w15:val="{F89E1DD4-E304-4374-9846-97B4551BC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6CC"/>
    <w:pPr>
      <w:spacing w:before="120" w:after="120"/>
    </w:pPr>
    <w:rPr>
      <w:rFonts w:ascii="Times New Roman" w:eastAsiaTheme="minorEastAsia" w:hAnsi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36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36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6C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6C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6C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6C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6C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6CC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6CC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6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36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6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6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6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6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6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6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6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36CC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36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6CC"/>
    <w:pPr>
      <w:numPr>
        <w:ilvl w:val="1"/>
      </w:numPr>
      <w:spacing w:before="0"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36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36CC"/>
    <w:pPr>
      <w:spacing w:before="160" w:after="160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36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36CC"/>
    <w:pPr>
      <w:spacing w:before="0" w:after="160"/>
      <w:ind w:left="720"/>
      <w:contextualSpacing/>
    </w:pPr>
    <w:rPr>
      <w:rFonts w:asciiTheme="minorHAnsi" w:eastAsiaTheme="minorHAnsi" w:hAnsi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36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6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6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36CC"/>
    <w:rPr>
      <w:b/>
      <w:bCs/>
      <w:smallCaps/>
      <w:color w:val="0F4761" w:themeColor="accent1" w:themeShade="BF"/>
      <w:spacing w:val="5"/>
    </w:rPr>
  </w:style>
  <w:style w:type="paragraph" w:customStyle="1" w:styleId="Figure">
    <w:name w:val="Figure"/>
    <w:basedOn w:val="NoSpacing"/>
    <w:qFormat/>
    <w:rsid w:val="00E436CC"/>
    <w:pPr>
      <w:jc w:val="center"/>
    </w:pPr>
    <w:rPr>
      <w:rFonts w:cs="Times New Roman"/>
      <w:noProof/>
      <w:sz w:val="24"/>
      <w:szCs w:val="20"/>
      <w:lang w:eastAsia="zh-CN"/>
    </w:rPr>
  </w:style>
  <w:style w:type="paragraph" w:styleId="NoSpacing">
    <w:name w:val="No Spacing"/>
    <w:uiPriority w:val="1"/>
    <w:qFormat/>
    <w:rsid w:val="00E436CC"/>
    <w:pPr>
      <w:spacing w:after="0" w:line="240" w:lineRule="auto"/>
    </w:pPr>
    <w:rPr>
      <w:rFonts w:ascii="Times New Roman" w:eastAsiaTheme="minorEastAsia" w:hAnsi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1935</Characters>
  <Application>Microsoft Office Word</Application>
  <DocSecurity>0</DocSecurity>
  <Lines>16</Lines>
  <Paragraphs>4</Paragraphs>
  <ScaleCrop>false</ScaleCrop>
  <Company>Springer Nature</Company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2025-02-11T11:12:00Z</dcterms:created>
  <dcterms:modified xsi:type="dcterms:W3CDTF">2025-02-11T11:12:00Z</dcterms:modified>
</cp:coreProperties>
</file>