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A264A">
      <w:pP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drawing>
          <wp:anchor distT="0" distB="0" distL="0" distR="0" simplePos="0" relativeHeight="251659264" behindDoc="0" locked="0" layoutInCell="1" allowOverlap="0">
            <wp:simplePos x="0" y="0"/>
            <wp:positionH relativeFrom="margin">
              <wp:posOffset>0</wp:posOffset>
            </wp:positionH>
            <wp:positionV relativeFrom="paragraph">
              <wp:posOffset>0</wp:posOffset>
            </wp:positionV>
            <wp:extent cx="5372100" cy="25400"/>
            <wp:effectExtent l="0" t="0" r="0" b="0"/>
            <wp:wrapTopAndBottom/>
            <wp:docPr id="1" name="header_line_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_line_image1.jpeg"/>
                    <pic:cNvPicPr>
                      <a:picLocks noChangeAspect="1"/>
                    </pic:cNvPicPr>
                  </pic:nvPicPr>
                  <pic:blipFill>
                    <a:blip r:embed="rId4"/>
                    <a:stretch>
                      <a:fillRect/>
                    </a:stretch>
                  </pic:blipFill>
                  <pic:spPr>
                    <a:xfrm>
                      <a:off x="0" y="0"/>
                      <a:ext cx="5372100" cy="25400"/>
                    </a:xfrm>
                    <a:prstGeom prst="rect">
                      <a:avLst/>
                    </a:prstGeom>
                  </pic:spPr>
                </pic:pic>
              </a:graphicData>
            </a:graphic>
          </wp:anchor>
        </w:drawing>
      </w:r>
    </w:p>
    <w:p w14:paraId="13F24900">
      <w:pPr>
        <w:spacing w:before="1000" w:after="0"/>
        <w:jc w:val="center"/>
        <w:rPr>
          <w:rFonts w:hint="default" w:ascii="Times New Roman Bold" w:hAnsi="Times New Roman Bold" w:eastAsia="宋体" w:cs="Times New Roman Bold"/>
          <w:b/>
          <w:bCs/>
          <w:sz w:val="28"/>
          <w:szCs w:val="28"/>
        </w:rPr>
      </w:pPr>
      <w:r>
        <w:rPr>
          <w:rFonts w:hint="default" w:ascii="Times New Roman Bold" w:hAnsi="Times New Roman Bold" w:eastAsia="宋体" w:cs="Times New Roman Bold"/>
          <w:b/>
          <w:bCs/>
          <w:color w:val="000000"/>
          <w:sz w:val="28"/>
          <w:szCs w:val="28"/>
          <w:u w:val="none"/>
        </w:rPr>
        <w:t>Informed consent form for scientific research project</w:t>
      </w:r>
    </w:p>
    <w:p w14:paraId="2C858380">
      <w:pPr>
        <w:spacing w:before="360" w:after="0"/>
        <w:jc w:val="center"/>
        <w:rPr>
          <w:rFonts w:hint="default" w:ascii="Times New Roman Bold" w:hAnsi="Times New Roman Bold" w:eastAsia="宋体" w:cs="Times New Roman Bold"/>
          <w:b/>
          <w:bCs/>
          <w:sz w:val="24"/>
          <w:szCs w:val="24"/>
        </w:rPr>
      </w:pPr>
      <w:r>
        <w:rPr>
          <w:rFonts w:hint="default" w:ascii="Times New Roman Bold" w:hAnsi="Times New Roman Bold" w:eastAsia="宋体" w:cs="Times New Roman Bold"/>
          <w:b/>
          <w:bCs/>
          <w:color w:val="000000"/>
          <w:sz w:val="24"/>
          <w:szCs w:val="24"/>
          <w:u w:val="none"/>
        </w:rPr>
        <w:t>Effect of no opioid anesthesia and analgesia on postoperative nausea, vomiting and recovery in obese patients undergoing laparoscopic gastric volume reduction surgery</w:t>
      </w:r>
      <w:r>
        <w:rPr>
          <w:rFonts w:hint="eastAsia" w:ascii="Times New Roman Bold" w:hAnsi="Times New Roman Bold" w:eastAsia="宋体" w:cs="Times New Roman Bold"/>
          <w:b/>
          <w:bCs/>
          <w:color w:val="000000"/>
          <w:sz w:val="24"/>
          <w:szCs w:val="24"/>
          <w:u w:val="none"/>
          <w:lang w:val="en-US" w:eastAsia="zh-CN"/>
        </w:rPr>
        <w:t xml:space="preserve"> </w:t>
      </w:r>
      <w:r>
        <w:rPr>
          <w:rFonts w:hint="default" w:ascii="Times New Roman Bold" w:hAnsi="Times New Roman Bold" w:eastAsia="宋体" w:cs="Times New Roman Bold"/>
          <w:b/>
          <w:bCs/>
          <w:color w:val="000000"/>
          <w:sz w:val="24"/>
          <w:szCs w:val="24"/>
          <w:u w:val="none"/>
        </w:rPr>
        <w:t>Effects on recovery quality</w:t>
      </w:r>
    </w:p>
    <w:p w14:paraId="60552609">
      <w:pPr>
        <w:spacing w:before="246"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Applicant: </w:t>
      </w:r>
      <w:r>
        <w:rPr>
          <w:rFonts w:hint="default" w:ascii="Times New Roman" w:hAnsi="Times New Roman" w:eastAsia="Songti SC" w:cs="Times New Roman Regular"/>
          <w:i w:val="0"/>
          <w:iCs w:val="0"/>
          <w:caps w:val="0"/>
          <w:color w:val="auto"/>
          <w:spacing w:val="0"/>
          <w:kern w:val="0"/>
          <w:sz w:val="24"/>
          <w:szCs w:val="24"/>
          <w:u w:val="none"/>
          <w:shd w:val="clear" w:fill="FFFFFF"/>
          <w:lang w:val="en-US" w:eastAsia="zh-CN" w:bidi="ar"/>
        </w:rPr>
        <w:t>Beijing Friendship Hospital, Capital Medical University</w:t>
      </w:r>
    </w:p>
    <w:p w14:paraId="3ADC72C4">
      <w:pPr>
        <w:spacing w:before="246"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Research</w:t>
      </w:r>
      <w:r>
        <w:rPr>
          <w:rFonts w:hint="eastAsia" w:ascii="Times New Roman Regular" w:hAnsi="Times New Roman Regular" w:eastAsia="宋体" w:cs="Times New Roman Regular"/>
          <w:b w:val="0"/>
          <w:color w:val="000000"/>
          <w:sz w:val="24"/>
          <w:szCs w:val="24"/>
          <w:u w:val="none"/>
          <w:lang w:val="en-US" w:eastAsia="zh-CN"/>
        </w:rPr>
        <w:t xml:space="preserve"> </w:t>
      </w:r>
      <w:r>
        <w:rPr>
          <w:rFonts w:hint="default" w:ascii="Times New Roman Regular" w:hAnsi="Times New Roman Regular" w:eastAsia="宋体" w:cs="Times New Roman Regular"/>
          <w:b w:val="0"/>
          <w:color w:val="000000"/>
          <w:sz w:val="24"/>
          <w:szCs w:val="24"/>
          <w:u w:val="none"/>
          <w:lang w:val="en-US" w:eastAsia="zh-CN"/>
        </w:rPr>
        <w:t>H</w:t>
      </w:r>
      <w:r>
        <w:rPr>
          <w:rFonts w:hint="eastAsia" w:ascii="Times New Roman Regular" w:hAnsi="Times New Roman Regular" w:eastAsia="宋体" w:cs="Times New Roman Regular"/>
          <w:b w:val="0"/>
          <w:color w:val="000000"/>
          <w:sz w:val="24"/>
          <w:szCs w:val="24"/>
          <w:u w:val="none"/>
          <w:lang w:val="en-US" w:eastAsia="zh-CN"/>
        </w:rPr>
        <w:t>ospital</w:t>
      </w:r>
      <w:r>
        <w:rPr>
          <w:rFonts w:hint="default" w:ascii="Times New Roman Regular" w:hAnsi="Times New Roman Regular" w:eastAsia="宋体" w:cs="Times New Roman Regular"/>
          <w:b w:val="0"/>
          <w:color w:val="000000"/>
          <w:sz w:val="24"/>
          <w:szCs w:val="24"/>
          <w:u w:val="none"/>
        </w:rPr>
        <w:t xml:space="preserve">: </w:t>
      </w:r>
      <w:r>
        <w:rPr>
          <w:rFonts w:hint="default" w:ascii="Times New Roman" w:hAnsi="Times New Roman" w:eastAsia="Songti SC" w:cs="Times New Roman Regular"/>
          <w:i w:val="0"/>
          <w:iCs w:val="0"/>
          <w:caps w:val="0"/>
          <w:color w:val="auto"/>
          <w:spacing w:val="0"/>
          <w:kern w:val="0"/>
          <w:sz w:val="24"/>
          <w:szCs w:val="24"/>
          <w:u w:val="none"/>
          <w:shd w:val="clear" w:fill="FFFFFF"/>
          <w:lang w:val="en-US" w:eastAsia="zh-CN" w:bidi="ar"/>
        </w:rPr>
        <w:t>Beijing Friendship Hospital, Capital Medical University</w:t>
      </w:r>
    </w:p>
    <w:p w14:paraId="0B918AE1">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Center's main researcher: Song bijia</w:t>
      </w:r>
    </w:p>
    <w:p w14:paraId="57A03D26">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Dear </w:t>
      </w:r>
      <w:r>
        <w:rPr>
          <w:rFonts w:hint="eastAsia" w:ascii="Times New Roman Regular" w:hAnsi="Times New Roman Regular" w:eastAsia="宋体" w:cs="Times New Roman Regular"/>
          <w:b w:val="0"/>
          <w:color w:val="000000"/>
          <w:sz w:val="24"/>
          <w:szCs w:val="24"/>
          <w:u w:val="none"/>
          <w:lang w:val="en-US" w:eastAsia="zh-CN"/>
        </w:rPr>
        <w:t>patient</w:t>
      </w:r>
      <w:r>
        <w:rPr>
          <w:rFonts w:hint="default" w:ascii="Times New Roman Regular" w:hAnsi="Times New Roman Regular" w:eastAsia="宋体" w:cs="Times New Roman Regular"/>
          <w:b w:val="0"/>
          <w:color w:val="000000"/>
          <w:sz w:val="24"/>
          <w:szCs w:val="24"/>
          <w:u w:val="none"/>
        </w:rPr>
        <w:t>:</w:t>
      </w:r>
    </w:p>
    <w:p w14:paraId="42D4D5EE">
      <w:pPr>
        <w:spacing w:before="35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You are invited to participate in the study of the effects of opioid-free anesthesia and analgesia on nausea, vomiting and recovery quality in obese patients undergoing laparoscopic gastric volume reduction surgery. Please read this informed consent form carefully and make the decision to participate in this study. When your research physician or researcher discusses the consent form with you, you can ask him or her to explain what you don't understand. We encourage you to discuss your decision to participate in this study with your family and friends. If you are participating in another study, please inform your research physician or research staff. The purpose, background, procedure, and other important information of this study are as follows:</w:t>
      </w:r>
    </w:p>
    <w:p w14:paraId="1DE4D6D9">
      <w:pPr>
        <w:spacing w:before="447" w:after="0"/>
        <w:jc w:val="left"/>
        <w:rPr>
          <w:rFonts w:hint="default" w:ascii="Times New Roman Bold" w:hAnsi="Times New Roman Bold" w:eastAsia="宋体" w:cs="Times New Roman Bold"/>
          <w:b/>
          <w:bCs/>
          <w:sz w:val="24"/>
          <w:szCs w:val="24"/>
        </w:rPr>
      </w:pPr>
      <w:r>
        <w:rPr>
          <w:rFonts w:hint="default" w:ascii="Times New Roman Regular" w:hAnsi="Times New Roman Regular" w:eastAsia="宋体" w:cs="Times New Roman Regular"/>
          <w:b w:val="0"/>
          <w:color w:val="000000"/>
          <w:sz w:val="24"/>
          <w:szCs w:val="24"/>
          <w:u w:val="none"/>
        </w:rPr>
        <w:t xml:space="preserve">I. </w:t>
      </w:r>
      <w:r>
        <w:rPr>
          <w:rFonts w:hint="default" w:ascii="Times New Roman Regular" w:hAnsi="Times New Roman Regular" w:eastAsia="宋体" w:cs="Times New Roman Regular"/>
          <w:b w:val="0"/>
          <w:color w:val="000000"/>
          <w:sz w:val="24"/>
          <w:szCs w:val="24"/>
          <w:u w:val="none"/>
          <w:lang w:val="en-US"/>
        </w:rPr>
        <w:t>B</w:t>
      </w:r>
      <w:r>
        <w:rPr>
          <w:rFonts w:hint="default" w:ascii="Times New Roman Bold" w:hAnsi="Times New Roman Bold" w:eastAsia="宋体" w:cs="Times New Roman Bold"/>
          <w:b/>
          <w:bCs/>
          <w:color w:val="000000"/>
          <w:sz w:val="24"/>
          <w:szCs w:val="24"/>
          <w:u w:val="none"/>
        </w:rPr>
        <w:t>ackground</w:t>
      </w:r>
    </w:p>
    <w:p w14:paraId="2CAC3F9A">
      <w:pPr>
        <w:spacing w:before="28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background of this study is that the incidence of obesity is on the rise and currently exceeds 60% worldwide. The prevalence of overweight and obesity among adults in our country is approximately 46% . Obesity and its related complications not only reduce people's quality of life, affect the mental state of patients, increase the medical burden of society, known as the immortal cancer.</w:t>
      </w:r>
    </w:p>
    <w:p w14:paraId="40693371">
      <w:pPr>
        <w:spacing w:before="16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After years of practice and development, bariatric and metabolic surgery has become the“Gold standard” for the treatment of obesity and other metabolic diseases. In recent years, with the continuous change of People's health awareness, the number of bariatric surgery has increased year by year. Studies have found that bariatric surgery can lead to long-term weight loss, help patients control blood sugar, reduce the risk of cardiovascular disease, reduce the incidence of other comorbidities, and significantly reduce the overall risk of obesity, mortality and the development of related diseases. There are various methods of bariatric surgery, and now they are commonly used in clinical practice: Laparoscopic Gastric Bypass (LRYGB) , laparoscopic sleeve gastrectomy (LSG) . LSG makes a sleeve-shaped stomach along the greater curvature of the stomach, reduces gastric volume, and utilizes the endocrine regulation mechanism of the stomach to reduce body weight, thereby alleviating metabolic syndrome due to the surgical procedureSimple, less complications, weight loss and obesity-related complications to alleviate the effect of good, has become the most commonly used weight loss, surgery. Despite the advantages of LSG, there are complications such as gastric leakage, bleeding, gastroesophageal acid reflux disease, postoperative nausea and vomiting (PONV) . Ponv is the most common, adverse reaction of LSG, with an incidence of up to 80% . At the same time, it is worth our attention that obesity will have a great impact on the respiratory and circulatory systems. It will make the patients' cardiorespiratory reserve capacity and body compensation capacity decrease, which will affect the patients with obesity, anesthesia and postoperative management of patients with obesity. Opioids are an important component of general anesthesia and perioperative analgesia. Perioperative use of opioids is not only associated with postoperative nausea and vomiting, excessive sedation, intestinal obstruction and other adverse reactions, it can also lead to postoperative hypoxemia, hyperalgesia, postoperative chronic pain and cognitive impairment. The residual effect of opioids is the main factor of early postoperative hypoxemia, and postoperative respiratory depression caused by opioids is the main cause of death and brain injury. And studies have shown that prescription-related morbidity and mortality increase when perioperative opioid use becomes the standard surgical procedure. Due to the large weight of obese patients and their own pathophysiological reasons, their demand for opioids is greater, which increases the risk of adverse postoperative complications. Furthermore, opioids induce dose-dependent pain, hyperesthesia, and tolerability, leading to postoperative pain exacerbation and ultimately contributing to the development of postoperative chronic pain. Postoperative pain is one of the high-risk factors for cognitive dysfunction, and the use of opioids during surgery can also increase the risk of postoperative delirium. Effective multimodal analgesia and anesthesia protocols are the basis for the success of ERAS. These multimodal regimens are designed to accelerate postoperative recovery by reducing postoperative pain, intraoperative and postoperative opioid requirements, and opioid-related adverse effects. Multimodal analgesia regimens that reduce opioid use have become the gold standard for postoperative analgesia, while the effectiveness of opioid-free multimodal analgesia has been demonstrated in patients undergoing abdominal, and pelvic surgery. Opioid-free anesthesia, or OFA, is based on the same idea. OFA is a combination of multiple anesthetic drugs and/or anesthetic techniques, including the combined use of an N-methyl-D-aspartate (NMDA) receptor antagonist, a local anesthetic, anti-inflammatory, and anti-inflammatory agents, drugs and α-2 adrenergic receptor agonists, among others, allow for hemodynamics, stable, high-quality general anesthesia without the use of opioids [37] . Althou</w:t>
      </w:r>
      <w:r>
        <w:rPr>
          <w:rFonts w:hint="default" w:ascii="Times New Roman Regular" w:hAnsi="Times New Roman Regular" w:eastAsia="宋体" w:cs="Times New Roman Regular"/>
          <w:b w:val="0"/>
          <w:color w:val="000000"/>
          <w:sz w:val="24"/>
          <w:szCs w:val="24"/>
          <w:u w:val="none"/>
        </w:rPr>
        <w:t>gh studies have confirmed the safety and feasibility of OFA for LSG, there is great heterogeneity in how to select and combine antinociceptive drugs instead of opioids. Therefore, while ensuring the effective suppression of surgical stress, reducing the potential adverse reactions and complications of the combination of multiple drugs, the formulation of the OFA protocol strategy plays a vital role.</w:t>
      </w:r>
    </w:p>
    <w:p w14:paraId="2186B1AD">
      <w:pPr>
        <w:rPr>
          <w:rFonts w:hint="default" w:ascii="Times New Roman Regular" w:hAnsi="Times New Roman Regular" w:eastAsia="宋体" w:cs="Times New Roman Regular"/>
          <w:sz w:val="24"/>
          <w:szCs w:val="24"/>
        </w:rPr>
      </w:pPr>
    </w:p>
    <w:p w14:paraId="6420E38F">
      <w:pPr>
        <w:spacing w:before="439" w:after="0"/>
        <w:jc w:val="left"/>
        <w:rPr>
          <w:rFonts w:hint="default" w:ascii="Times New Roman Regular" w:hAnsi="Times New Roman Regular" w:eastAsia="宋体" w:cs="Times New Roman Regular"/>
          <w:b w:val="0"/>
          <w:color w:val="000000"/>
          <w:sz w:val="24"/>
          <w:szCs w:val="24"/>
          <w:u w:val="none"/>
          <w:lang w:val="en-US"/>
        </w:rPr>
      </w:pPr>
    </w:p>
    <w:p w14:paraId="436BC61B">
      <w:pPr>
        <w:spacing w:before="439" w:after="0"/>
        <w:jc w:val="left"/>
        <w:rPr>
          <w:rFonts w:hint="default" w:ascii="Times New Roman Bold" w:hAnsi="Times New Roman Bold" w:eastAsia="宋体" w:cs="Times New Roman Bold"/>
          <w:b/>
          <w:bCs/>
          <w:sz w:val="24"/>
          <w:szCs w:val="24"/>
        </w:rPr>
      </w:pPr>
      <w:r>
        <w:rPr>
          <w:rFonts w:hint="default" w:ascii="Times New Roman Regular" w:hAnsi="Times New Roman Regular" w:eastAsia="宋体" w:cs="Times New Roman Regular"/>
          <w:b w:val="0"/>
          <w:color w:val="000000"/>
          <w:sz w:val="24"/>
          <w:szCs w:val="24"/>
          <w:u w:val="none"/>
          <w:lang w:val="en-US"/>
        </w:rPr>
        <w:t>II.</w:t>
      </w:r>
      <w:r>
        <w:rPr>
          <w:rFonts w:hint="default" w:ascii="Times New Roman Bold" w:hAnsi="Times New Roman Bold" w:eastAsia="宋体" w:cs="Times New Roman Bold"/>
          <w:b/>
          <w:bCs/>
          <w:color w:val="000000"/>
          <w:sz w:val="24"/>
          <w:szCs w:val="24"/>
          <w:u w:val="none"/>
        </w:rPr>
        <w:t>Objectives of the study</w:t>
      </w:r>
    </w:p>
    <w:p w14:paraId="26A6CCDD">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aim of this study was to evaluate, using a prospective observational study, the feasibility of using the TEDOFA protocol in LSG surgery, and to assess whether TEDOFA will improve the quality of rehabilitation of patients after LSG surgery using a randomized, single-blind controlled study compared with a traditional opioid-based anesthesia (Oba) and analgesia regimen, to provide a safer and more reasonable multimodal protocol for OFA and explore the direction of further improvement to improve the ERAS process after LSG in obese patients.</w:t>
      </w:r>
    </w:p>
    <w:p w14:paraId="38ABA052">
      <w:pPr>
        <w:spacing w:before="70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lang w:val="en-US"/>
        </w:rPr>
        <w:t>III</w:t>
      </w:r>
      <w:r>
        <w:rPr>
          <w:rFonts w:hint="default" w:ascii="Times New Roman Regular" w:hAnsi="Times New Roman Regular" w:eastAsia="宋体" w:cs="Times New Roman Regular"/>
          <w:b w:val="0"/>
          <w:color w:val="000000"/>
          <w:sz w:val="24"/>
          <w:szCs w:val="24"/>
          <w:u w:val="none"/>
        </w:rPr>
        <w:t>.</w:t>
      </w:r>
      <w:r>
        <w:rPr>
          <w:rFonts w:hint="default" w:ascii="Times New Roman Bold" w:hAnsi="Times New Roman Bold" w:eastAsia="宋体" w:cs="Times New Roman Bold"/>
          <w:b/>
          <w:bCs/>
          <w:color w:val="000000"/>
          <w:sz w:val="24"/>
          <w:szCs w:val="24"/>
          <w:u w:val="none"/>
        </w:rPr>
        <w:t xml:space="preserve"> Study process</w:t>
      </w:r>
    </w:p>
    <w:p w14:paraId="464616B7">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1. How many people will participate in the study?</w:t>
      </w:r>
    </w:p>
    <w:p w14:paraId="03183C49">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About 76 people will take part in the study, which will be carried out in a list of hospitals in Beijing</w:t>
      </w:r>
    </w:p>
    <w:p w14:paraId="6C984EAB">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2. Research process</w:t>
      </w:r>
    </w:p>
    <w:p w14:paraId="006A3A76">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If you agree to participate in this study, you are requested to sign this informed consent form.</w:t>
      </w:r>
    </w:p>
    <w:p w14:paraId="6CF9EB00">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Study population </w:t>
      </w:r>
      <w:r>
        <w:rPr>
          <w:rFonts w:hint="default" w:ascii="Times New Roman Regular" w:hAnsi="Times New Roman Regular" w:eastAsia="宋体" w:cs="Times New Roman Regular"/>
          <w:b w:val="0"/>
          <w:color w:val="000000"/>
          <w:sz w:val="24"/>
          <w:szCs w:val="24"/>
          <w:u w:val="none"/>
          <w:lang w:val="en-US"/>
        </w:rPr>
        <w:t>:</w:t>
      </w:r>
      <w:r>
        <w:rPr>
          <w:rFonts w:hint="default" w:ascii="Times New Roman Regular" w:hAnsi="Times New Roman Regular" w:eastAsia="宋体" w:cs="Times New Roman Regular"/>
          <w:b w:val="0"/>
          <w:color w:val="000000"/>
          <w:sz w:val="24"/>
          <w:szCs w:val="24"/>
          <w:u w:val="none"/>
        </w:rPr>
        <w:t xml:space="preserve"> patients scheduled for elective laparoscopic sleeve gastrectomy</w:t>
      </w:r>
    </w:p>
    <w:p w14:paraId="6E95D4AD">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Research Center</w:t>
      </w:r>
      <w:r>
        <w:rPr>
          <w:rFonts w:hint="default" w:ascii="Times New Roman Regular" w:hAnsi="Times New Roman Regular" w:eastAsia="宋体" w:cs="Times New Roman Regular"/>
          <w:b w:val="0"/>
          <w:color w:val="000000"/>
          <w:sz w:val="24"/>
          <w:szCs w:val="24"/>
          <w:u w:val="none"/>
          <w:lang w:val="en-US"/>
        </w:rPr>
        <w:t xml:space="preserve"> : </w:t>
      </w:r>
      <w:r>
        <w:rPr>
          <w:rFonts w:hint="default" w:ascii="Times New Roman Regular" w:hAnsi="Times New Roman Regular" w:eastAsia="宋体" w:cs="Times New Roman Regular"/>
          <w:b w:val="0"/>
          <w:color w:val="000000"/>
          <w:sz w:val="24"/>
          <w:szCs w:val="24"/>
          <w:u w:val="none"/>
        </w:rPr>
        <w:t>a list of hospitals in Beijing</w:t>
      </w:r>
    </w:p>
    <w:p w14:paraId="682DE6A1">
      <w:pPr>
        <w:spacing w:before="246"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Planned number of patients enrolled the study was divided into two groups, 38 patients in each group, a total of 76 patients required, entry and exit criteria</w:t>
      </w:r>
    </w:p>
    <w:p w14:paraId="6F0C6AD0">
      <w:pPr>
        <w:spacing w:before="27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Inclusion criteria: Inclusion criteria: 1</w:t>
      </w:r>
      <w:r>
        <w:rPr>
          <w:rFonts w:hint="default" w:ascii="Times New Roman Regular" w:hAnsi="Times New Roman Regular" w:eastAsia="宋体" w:cs="Times New Roman Regular"/>
          <w:b w:val="0"/>
          <w:color w:val="000000"/>
          <w:sz w:val="24"/>
          <w:szCs w:val="24"/>
          <w:u w:val="none"/>
          <w:lang w:val="en-US"/>
        </w:rPr>
        <w:t>.</w:t>
      </w:r>
      <w:r>
        <w:rPr>
          <w:rFonts w:hint="default" w:ascii="Times New Roman Regular" w:hAnsi="Times New Roman Regular" w:eastAsia="宋体" w:cs="Times New Roman Regular"/>
          <w:b w:val="0"/>
          <w:color w:val="000000"/>
          <w:sz w:val="24"/>
          <w:szCs w:val="24"/>
          <w:u w:val="none"/>
        </w:rPr>
        <w:t xml:space="preserve"> patients scheduled for elective laparoscopic sleeve gastrectomy 2</w:t>
      </w:r>
      <w:r>
        <w:rPr>
          <w:rFonts w:hint="default" w:ascii="Times New Roman Regular" w:hAnsi="Times New Roman Regular" w:eastAsia="宋体" w:cs="Times New Roman Regular"/>
          <w:b w:val="0"/>
          <w:color w:val="000000"/>
          <w:sz w:val="24"/>
          <w:szCs w:val="24"/>
          <w:u w:val="none"/>
          <w:lang w:val="en-US"/>
        </w:rPr>
        <w:t>.</w:t>
      </w:r>
      <w:r>
        <w:rPr>
          <w:rFonts w:hint="default" w:ascii="Times New Roman Regular" w:hAnsi="Times New Roman Regular" w:eastAsia="宋体" w:cs="Times New Roman Regular"/>
          <w:b w:val="0"/>
          <w:color w:val="000000"/>
          <w:sz w:val="24"/>
          <w:szCs w:val="24"/>
          <w:u w:val="none"/>
        </w:rPr>
        <w:t>ASA I or II; 3</w:t>
      </w:r>
      <w:r>
        <w:rPr>
          <w:rFonts w:hint="default" w:ascii="Times New Roman Regular" w:hAnsi="Times New Roman Regular" w:eastAsia="宋体" w:cs="Times New Roman Regular"/>
          <w:b w:val="0"/>
          <w:color w:val="000000"/>
          <w:sz w:val="24"/>
          <w:szCs w:val="24"/>
          <w:u w:val="none"/>
          <w:lang w:val="en-US"/>
        </w:rPr>
        <w:t xml:space="preserve">. </w:t>
      </w:r>
      <w:r>
        <w:rPr>
          <w:rFonts w:hint="default" w:ascii="Times New Roman Regular" w:hAnsi="Times New Roman Regular" w:eastAsia="宋体" w:cs="Times New Roman Regular"/>
          <w:b w:val="0"/>
          <w:color w:val="000000"/>
          <w:sz w:val="24"/>
          <w:szCs w:val="24"/>
          <w:u w:val="none"/>
        </w:rPr>
        <w:t>voluntary participation in this trial with signed informed consent; 4</w:t>
      </w:r>
      <w:r>
        <w:rPr>
          <w:rFonts w:hint="default" w:ascii="Times New Roman Regular" w:hAnsi="Times New Roman Regular" w:eastAsia="宋体" w:cs="Times New Roman Regular"/>
          <w:b w:val="0"/>
          <w:color w:val="000000"/>
          <w:sz w:val="24"/>
          <w:szCs w:val="24"/>
          <w:u w:val="none"/>
          <w:lang w:val="en-US"/>
        </w:rPr>
        <w:t xml:space="preserve">. </w:t>
      </w:r>
      <w:r>
        <w:rPr>
          <w:rFonts w:hint="default" w:ascii="Times New Roman Regular" w:hAnsi="Times New Roman Regular" w:eastAsia="宋体" w:cs="Times New Roman Regular"/>
          <w:b w:val="0"/>
          <w:color w:val="000000"/>
          <w:sz w:val="24"/>
          <w:szCs w:val="24"/>
          <w:u w:val="none"/>
        </w:rPr>
        <w:t>age 18-65 years; 5bmi &gt; 30 kg/m2.</w:t>
      </w:r>
    </w:p>
    <w:p w14:paraId="00E39864">
      <w:pPr>
        <w:spacing w:before="28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Exclusion Criteria: Allergy or contraindication to study medication; chronic pain; severe liver dysfunction (total bilirubin ≥2 MG DL-1) ; severe renal dysfunction (glomerular filtration rate ≤60 ml Min-11.73 m-2) ; pregnancy or lactation; Preoperative heart rate &lt; 50 bpm, sick sinus syndrome, severe heart block; body mass index &gt; 30 kg m-2; dementia or, significant neurological disorder (such as stroke, epilepsy, intracranial tumor, Parkinson's disease, etc.) ; history of alcohol or drug abuse.</w:t>
      </w:r>
    </w:p>
    <w:p w14:paraId="36793995">
      <w:pPr>
        <w:spacing w:before="184"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lang w:val="en-US"/>
        </w:rPr>
        <w:t>3.</w:t>
      </w:r>
      <w:r>
        <w:rPr>
          <w:rFonts w:hint="default" w:ascii="Times New Roman Regular" w:hAnsi="Times New Roman Regular" w:eastAsia="宋体" w:cs="Times New Roman Regular"/>
          <w:b w:val="0"/>
          <w:color w:val="000000"/>
          <w:sz w:val="24"/>
          <w:szCs w:val="24"/>
          <w:u w:val="none"/>
        </w:rPr>
        <w:t>Course of study</w:t>
      </w:r>
    </w:p>
    <w:p w14:paraId="0F4F74EC">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Preoperative visit and screening</w:t>
      </w:r>
    </w:p>
    <w:p w14:paraId="774F63D5">
      <w:pPr>
        <w:spacing w:before="237" w:after="53"/>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Patients were strictly screened for enrollment according to the surgical schedule and admission criteria on the day before surgery, informed of eligible patients, and studied to ensure that prospective patients were fully informed, written study informed, informed consent was signed after patients had voluntarily enrolled. Patients' relevant baseline data were collected simultaneously at the preoperative visit.</w:t>
      </w:r>
    </w:p>
    <w:p w14:paraId="7154D047">
      <w:pPr>
        <w:spacing w:before="430"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Randomization</w:t>
      </w:r>
    </w:p>
    <w:p w14:paraId="1B294D77">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Anaesthetic procedure</w:t>
      </w:r>
    </w:p>
    <w:p w14:paraId="0506D10D">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Electrocardiography</w:t>
      </w:r>
    </w:p>
    <w:p w14:paraId="64B545B5">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Patients underwent routine ECG monitoring after admission, including electrocardiogram (ECG) monitoring of heart rate (HR) , non-invasive blood pressure (NIBP) , pulse oxygenation saturation (Spo2) , and depth of anesthesia monitoring (BIS) , after opening of the peripheral vein, patients in both groups underwent continuous invasive arterial monitoring with radial artery puncture catheterization under local anesthesia. In the no-opioid group, a loading dose of dexmedetomidine 1 μg · KG-1 was infused within 10 min immediately after the opening of the peripheral vein.</w:t>
      </w:r>
    </w:p>
    <w:p w14:paraId="6F2FF464">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3.3.2 induction and intubation of general anesthesia</w:t>
      </w:r>
    </w:p>
    <w:p w14:paraId="7042F03E">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Patients in both groups received intravenous dexamethasone 10 mg before induction of general anesthesia to prevent postoperative nausea and vomiting, intravenous flurbiprofen axetil 50 mg for preemptive analgesia.</w:t>
      </w:r>
    </w:p>
    <w:p w14:paraId="053143C7">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Patients in the no-opioid group received intravenous midazolam 2 mg, propofol 2 mg · KG-1, Esketamine 0.5 mg · KG-1, and rocuronium 0.6-1 mg · KG-1 after a loading dose of dexmedetomidine, intubation.</w:t>
      </w:r>
    </w:p>
    <w:p w14:paraId="414957CE">
      <w:pPr>
        <w:spacing w:before="20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Patients in the opioid group received intravenous midazolam 2 mg, propofol 2 mg · KG-1, sufentanil 0.3-0.5 μg · KG-1, and rocuronium 0.6-1 mg · KG-1. Tracheal intubation was performed 3 min later.</w:t>
      </w:r>
    </w:p>
    <w:p w14:paraId="556302D2">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3.3.3 ultrasound-guided abdominal transverse fascial block for intraoperative and postoperative analgesia</w:t>
      </w:r>
    </w:p>
    <w:p w14:paraId="168E32CA">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Anesthesia maintenance</w:t>
      </w:r>
    </w:p>
    <w:p w14:paraId="74CA9C6A">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No opioid group: after successful endotracheal intubation, continuous intravenous infusion of propofol, esketamine and right hydrochloride was started, 0.1 ml · 10 KG-1 · H-1-0.2 ML · 10 KG-1 · H-1(equivalent to 0.1-0.2 mg · KG-1 · H-1 of esketamine; 0.3-0.6 μg · KG-1 · H-1 of dexmedetomidine hydrochloride) in the same 50 ml syringe, rocuronium 10-20 mg/session was added intraoperatively, as appropriate. At the beginning of the operation, the patients' blood pressure and heart rate were adjusted to add 0.1 mg · KG-1 of esketamine. At 40 min before the end of the operation, the infusion of the mixture of esketamine and dexmedetomidine hydrochloride was stopped. Tropisetron 5 mg and flurbiprofen axetil 50 mg were injected before the end of the operation. Propofol was stopped at the end of the operation.</w:t>
      </w:r>
    </w:p>
    <w:p w14:paraId="19EC4935">
      <w:pPr>
        <w:spacing w:before="202" w:after="36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In the opioid group, continuous intravenous infusion of propofol, remifentanil, and additional rocuronium (10-20 mg/session, as appropriate) was started after successful intubation. Sufentanil 10-20 μg, tropisetron 5 mg and flurbiprofen axetil 50 mg were injected before the end of the operation</w:t>
      </w:r>
    </w:p>
    <w:p w14:paraId="6EE78F4C">
      <w:pPr>
        <w:rPr>
          <w:rFonts w:hint="default" w:ascii="Times New Roman Regular" w:hAnsi="Times New Roman Regular" w:eastAsia="宋体" w:cs="Times New Roman Regular"/>
          <w:sz w:val="24"/>
          <w:szCs w:val="24"/>
        </w:rPr>
      </w:pPr>
    </w:p>
    <w:p w14:paraId="5C284EE6">
      <w:pPr>
        <w:spacing w:before="44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infusion of propofol and Remifentanil was stopped at the time of beam.</w:t>
      </w:r>
    </w:p>
    <w:p w14:paraId="107435FF">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After the operation, the tracheal catheter was removed after the patient was fully awake, the muscle relaxation was completely reversed (intravenous atropine 0.5 mg, neostigmine 1 mg) and the muscle strength was completely restored.</w:t>
      </w:r>
    </w:p>
    <w:p w14:paraId="7064E02A">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Postoperative analgesia</w:t>
      </w:r>
    </w:p>
    <w:p w14:paraId="3437106D">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Patients in both groups were returned to the postoperative recovery room (PACU) by anesthesiologists and anesthesiologists who were blinded to group status, continued in standard care, and titrated intravenous sufentanil 2.5-5 μg to an NRS score of ≤3 when necessary, patients were transferred back to the ward when their Aldrete score was &gt; 9.</w:t>
      </w:r>
    </w:p>
    <w:p w14:paraId="71E88BD3">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All patients were administered intravenous analgesia (PCIA) after surgery. After returning to the ward, Flurbiprofen Axetil (50 mg/time) was administered intravenously twice daily in the morning and evening. When the patient had a resting NRS score of ≥4, additional intravenous flurbiprofen axetil 50 mg and, if necessary, intramuscular pethidine hydrochloride 50 mg or morphine hydrochloride 10 mg were administered.</w:t>
      </w:r>
    </w:p>
    <w:p w14:paraId="67344AA4">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Management of anesthesia-related complications</w:t>
      </w:r>
    </w:p>
    <w:p w14:paraId="167CDCC4">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During anesthesia, the heart rate decreased to less than 50 beats per minute with intravenous atropine 0.5 mg or ephedrine 5-10 mg, and increased to more than 100 beats per minute with intravenous esmolol 10-20 mg During anesthesia, blood pressure increased more than 20% of the basic value, excluding the depth of anesthesia is too shallow or insufficient analgesia, intravenous urapidil 5-10 mg; 5-10 mg of methamphetamine or 5-10 mg of ephedrine intravenously, except in cases of inadequate volume or depth of anesthesia;</w:t>
      </w:r>
    </w:p>
    <w:p w14:paraId="55CF4CFE">
      <w:pPr>
        <w:spacing w:before="7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lang w:val="en-US"/>
        </w:rPr>
        <w:t>4.</w:t>
      </w:r>
      <w:r>
        <w:rPr>
          <w:rFonts w:hint="default" w:ascii="Times New Roman Regular" w:hAnsi="Times New Roman Regular" w:eastAsia="宋体" w:cs="Times New Roman Regular"/>
          <w:b w:val="0"/>
          <w:color w:val="000000"/>
          <w:sz w:val="24"/>
          <w:szCs w:val="24"/>
          <w:u w:val="none"/>
        </w:rPr>
        <w:t>How long will the study last?</w:t>
      </w:r>
    </w:p>
    <w:p w14:paraId="1CD3A2AC">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We will follow you until you are discharged, and you can opt out of the study at any time with no penalty and no loss of any benefits you would otherwise have received. However, if you decide to withdraw from the study during the course of the study, you are encouraged to consult with your doctor first. Given your safety concerns, it is possible that a post-withdrawal examination may be performed.</w:t>
      </w:r>
    </w:p>
    <w:p w14:paraId="737B2CF4">
      <w:pPr>
        <w:spacing w:before="728" w:after="0"/>
        <w:jc w:val="left"/>
        <w:rPr>
          <w:rFonts w:hint="default" w:ascii="Times New Roman Regular" w:hAnsi="Times New Roman Regular" w:eastAsia="宋体" w:cs="Times New Roman Regular"/>
          <w:sz w:val="24"/>
          <w:szCs w:val="24"/>
        </w:rPr>
      </w:pPr>
      <w:bookmarkStart w:id="0" w:name="_GoBack"/>
      <w:bookmarkEnd w:id="0"/>
      <w:r>
        <w:rPr>
          <w:rFonts w:hint="default" w:ascii="Times New Roman Regular" w:hAnsi="Times New Roman Regular" w:eastAsia="宋体" w:cs="Times New Roman Regular"/>
          <w:b w:val="0"/>
          <w:color w:val="000000"/>
          <w:sz w:val="24"/>
          <w:szCs w:val="24"/>
          <w:u w:val="none"/>
        </w:rPr>
        <w:t>Risks and benefits</w:t>
      </w:r>
    </w:p>
    <w:p w14:paraId="5F6BAC87">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1. What are the risks or adverse effects of participating in this study?</w:t>
      </w:r>
    </w:p>
    <w:p w14:paraId="57A03003">
      <w:pPr>
        <w:spacing w:before="219" w:after="377"/>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risks associated with participating in this study are as follows. You should discuss these risks with your research doctor or, if you prefer, with the Doctor Who Looks after you on a daily basis. During the study, you may experience some, all, or none of these adverse effects, such as the risk of transverse fascial block: injury to the bowel or large</w:t>
      </w:r>
    </w:p>
    <w:p w14:paraId="3666FE28">
      <w:pP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drawing>
          <wp:anchor distT="0" distB="0" distL="0" distR="0" simplePos="0" relativeHeight="251659264" behindDoc="0" locked="0" layoutInCell="1" allowOverlap="0">
            <wp:simplePos x="0" y="0"/>
            <wp:positionH relativeFrom="margin">
              <wp:posOffset>12700</wp:posOffset>
            </wp:positionH>
            <wp:positionV relativeFrom="paragraph">
              <wp:posOffset>0</wp:posOffset>
            </wp:positionV>
            <wp:extent cx="5346700" cy="25400"/>
            <wp:effectExtent l="0" t="0" r="0" b="0"/>
            <wp:wrapTopAndBottom/>
            <wp:docPr id="6" name="header_line_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eader_line_image6.jpeg"/>
                    <pic:cNvPicPr>
                      <a:picLocks noChangeAspect="1"/>
                    </pic:cNvPicPr>
                  </pic:nvPicPr>
                  <pic:blipFill>
                    <a:blip r:embed="rId5"/>
                    <a:stretch>
                      <a:fillRect/>
                    </a:stretch>
                  </pic:blipFill>
                  <pic:spPr>
                    <a:xfrm>
                      <a:off x="0" y="0"/>
                      <a:ext cx="5346700" cy="25400"/>
                    </a:xfrm>
                    <a:prstGeom prst="rect">
                      <a:avLst/>
                    </a:prstGeom>
                  </pic:spPr>
                </pic:pic>
              </a:graphicData>
            </a:graphic>
          </wp:anchor>
        </w:drawing>
      </w:r>
    </w:p>
    <w:p w14:paraId="76AF9FDD">
      <w:pPr>
        <w:spacing w:before="41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risk of blood vessels, puncture in place when the injection of local anesthetics into the blood, the risk of poisoning. Dodging Protocol: all procedures are performed under ultrasound guidance by an experienced anesthesiologist. The needle must reach the paravertebral space under the direct vision of the ultrasound beam, the patient's vital signs were closely monitored during the injection process. When there were potential manifestations of local anesthetic poisoning, the treatment process of local anesthetic poisoning should be strictly followed.</w:t>
      </w:r>
    </w:p>
    <w:p w14:paraId="4DE6049F">
      <w:pPr>
        <w:spacing w:before="193"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In the no-opioid group, adverse reactions were more common (more than 10%)(the common adverse reactions are listed below) </w:t>
      </w:r>
    </w:p>
    <w:p w14:paraId="7AA2D63A">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Dexmedetomidine hydrochloride was associated with a risk of bradycardia</w:t>
      </w:r>
    </w:p>
    <w:p w14:paraId="05D64ACC">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Less common (adverse reactions are listed below) </w:t>
      </w:r>
    </w:p>
    <w:p w14:paraId="749CFF88">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Dexmedetomidine allergy</w:t>
      </w:r>
    </w:p>
    <w:p w14:paraId="588A5E2F">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Nausea, vomiting, diarrhea</w:t>
      </w:r>
    </w:p>
    <w:p w14:paraId="2139912F">
      <w:pPr>
        <w:spacing w:before="246"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Lethargy and fatigue</w:t>
      </w:r>
    </w:p>
    <w:p w14:paraId="12A97D8E">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Opioids were more common (occurring in 10% or more of the patients)(the common adverse reactions are listed below) </w:t>
      </w:r>
    </w:p>
    <w:p w14:paraId="76DA2C40">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More common (incidence &gt; 10%) </w:t>
      </w:r>
    </w:p>
    <w:p w14:paraId="4E20FB06">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Nausea, vomiting, diarrhea</w:t>
      </w:r>
    </w:p>
    <w:p w14:paraId="7F83BD0E">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Lethargy and fatigue</w:t>
      </w:r>
    </w:p>
    <w:p w14:paraId="6AEF635C">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It's rare</w:t>
      </w:r>
    </w:p>
    <w:p w14:paraId="56EC5949">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Elevated blood pressure, palpitations</w:t>
      </w:r>
    </w:p>
    <w:p w14:paraId="7E077EA4">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 skin is itchy</w:t>
      </w:r>
    </w:p>
    <w:p w14:paraId="793E4784">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 rare disorder of consciousness with shock</w:t>
      </w:r>
    </w:p>
    <w:p w14:paraId="780C52B5">
      <w:pPr>
        <w:spacing w:before="7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2. What are the benefits of participating in research?</w:t>
      </w:r>
    </w:p>
    <w:p w14:paraId="53698628">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There is no direct benefit from this study, we hope to receive feedback from your participation in this study, so as to better perform perioperative management and promote postoperative prognosis.</w:t>
      </w:r>
    </w:p>
    <w:p w14:paraId="384E88FD">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Will my information be kept secret?</w:t>
      </w:r>
    </w:p>
    <w:p w14:paraId="1B8FDD16">
      <w:pPr>
        <w:spacing w:before="219" w:after="395"/>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With the understanding and assistance of you and other subjects, the results of this study may be published in a medical journal. However, your records will be kept confidential as required by law. The personal information of study subjects will be kept strictly confidential. Your personal information will not be disclosed unless required to do so by law. Government, administrative, and hospital ethics committees and other relevant researchers have access to your data as required.</w:t>
      </w:r>
    </w:p>
    <w:p w14:paraId="6401DBA2">
      <w:pP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drawing>
          <wp:anchor distT="0" distB="0" distL="0" distR="0" simplePos="0" relativeHeight="251659264" behindDoc="0" locked="0" layoutInCell="1" allowOverlap="0">
            <wp:simplePos x="0" y="0"/>
            <wp:positionH relativeFrom="margin">
              <wp:posOffset>12700</wp:posOffset>
            </wp:positionH>
            <wp:positionV relativeFrom="paragraph">
              <wp:posOffset>0</wp:posOffset>
            </wp:positionV>
            <wp:extent cx="5346700" cy="25400"/>
            <wp:effectExtent l="0" t="0" r="0" b="0"/>
            <wp:wrapTopAndBottom/>
            <wp:docPr id="7" name="header_line_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eader_line_image6.jpeg"/>
                    <pic:cNvPicPr>
                      <a:picLocks noChangeAspect="1"/>
                    </pic:cNvPicPr>
                  </pic:nvPicPr>
                  <pic:blipFill>
                    <a:blip r:embed="rId5"/>
                    <a:stretch>
                      <a:fillRect/>
                    </a:stretch>
                  </pic:blipFill>
                  <pic:spPr>
                    <a:xfrm>
                      <a:off x="0" y="0"/>
                      <a:ext cx="5346700" cy="25400"/>
                    </a:xfrm>
                    <a:prstGeom prst="rect">
                      <a:avLst/>
                    </a:prstGeom>
                  </pic:spPr>
                </pic:pic>
              </a:graphicData>
            </a:graphic>
          </wp:anchor>
        </w:drawing>
      </w:r>
    </w:p>
    <w:p w14:paraId="10152C67">
      <w:pPr>
        <w:spacing w:before="43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Vii. Information on research costs and related compensation</w:t>
      </w:r>
    </w:p>
    <w:p w14:paraId="0B165592">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1. Drugs used in the study and costs associated with testing</w:t>
      </w:r>
    </w:p>
    <w:p w14:paraId="6F27E798">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This study is a routine anesthesia procedure and does not incur additional costs</w:t>
      </w:r>
    </w:p>
    <w:p w14:paraId="7AE5B9B1">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Compensation for participation in research</w:t>
      </w:r>
    </w:p>
    <w:p w14:paraId="443F8B65">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This is a routine anesthesia procedure with no additional compensation</w:t>
      </w:r>
    </w:p>
    <w:p w14:paraId="2F5F0E6D">
      <w:pPr>
        <w:spacing w:before="246"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Compensation in the event of injury</w:t>
      </w:r>
    </w:p>
    <w:p w14:paraId="60653E37">
      <w:pPr>
        <w:spacing w:before="228"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In the event of injury related to the study, you may receive the necessary medical care provided by the Beijing Friendship Hospital affiliated to the Capital University of Medical Sciences, compensation/indemnity shall be made in accordance with the relevant laws and regulations after the relevant units have been identified in accordance with the relevant laws and regulations of China.</w:t>
      </w:r>
    </w:p>
    <w:p w14:paraId="34E083D5">
      <w:pPr>
        <w:spacing w:before="23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Rights of subjects</w:t>
      </w:r>
    </w:p>
    <w:p w14:paraId="0AFDDAD2">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You volunteered to participate in the study the entire time. If you decide not to participate in this study, it won't affect the other treatments you should receive. If you decide to participate, you will be asked to sign this written informed consent form. You have the right to withdraw from the trial at any stage without discrimination or unfair treatment. Your medical treatment and rights will not be affected.</w:t>
      </w:r>
    </w:p>
    <w:p w14:paraId="17CD41E8">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If you experience a serious adverse reaction, or if your study physician feels that it is not in your best interest, to continue participating in the study, he or she may decide to withdraw you from the study. Without your consent, the funder or regulatory agency may also terminate the study at any time during the study. If this happens, you will be notified and your research physician will discuss other options with you.</w:t>
      </w:r>
    </w:p>
    <w:p w14:paraId="03FDD043">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9. Subject Responsibility</w:t>
      </w:r>
    </w:p>
    <w:p w14:paraId="460E8603">
      <w:pPr>
        <w:spacing w:before="21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As a subject, you need to provide a true picture of your medical history and current medical condition, and tell the study about any discomfort the doctor noticed during the study Do not take restricted medications, foods, etc. that your doctor has told you about; tell your doctor if you have recently participated in another study, or are currently participating in another study.</w:t>
      </w:r>
    </w:p>
    <w:p w14:paraId="62DD349F">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Who should I contact if I have questions or difficulties?</w:t>
      </w:r>
    </w:p>
    <w:p w14:paraId="077444A9">
      <w:pPr>
        <w:spacing w:before="2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If you have any questions related to this study, please contact song at 15330237527 during weekdays, and during off-hours, weekends or holidays.</w:t>
      </w:r>
    </w:p>
    <w:p w14:paraId="7B898815">
      <w:pPr>
        <w:spacing w:before="228" w:after="395"/>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If you have any questions related to your rights/interests, or you would like to report any difficulties, dissatisfactions, or concerns you have encountered in participating in this study, or would like to provide comments and suggestions related to this study, please contact the Bioethics Committee of Beijing Friendship Hospital, Capital Medical University, TEL: 010-63139006.</w:t>
      </w:r>
    </w:p>
    <w:p w14:paraId="10A75332">
      <w:pP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drawing>
          <wp:anchor distT="0" distB="0" distL="0" distR="0" simplePos="0" relativeHeight="251659264" behindDoc="0" locked="0" layoutInCell="1" allowOverlap="0">
            <wp:simplePos x="0" y="0"/>
            <wp:positionH relativeFrom="margin">
              <wp:posOffset>0</wp:posOffset>
            </wp:positionH>
            <wp:positionV relativeFrom="paragraph">
              <wp:posOffset>0</wp:posOffset>
            </wp:positionV>
            <wp:extent cx="5372100" cy="12700"/>
            <wp:effectExtent l="0" t="0" r="0" b="0"/>
            <wp:wrapTopAndBottom/>
            <wp:docPr id="8" name="header_line_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eader_line_image7.jpeg"/>
                    <pic:cNvPicPr>
                      <a:picLocks noChangeAspect="1"/>
                    </pic:cNvPicPr>
                  </pic:nvPicPr>
                  <pic:blipFill>
                    <a:blip r:embed="rId6"/>
                    <a:stretch>
                      <a:fillRect/>
                    </a:stretch>
                  </pic:blipFill>
                  <pic:spPr>
                    <a:xfrm>
                      <a:off x="0" y="0"/>
                      <a:ext cx="5372100" cy="12700"/>
                    </a:xfrm>
                    <a:prstGeom prst="rect">
                      <a:avLst/>
                    </a:prstGeom>
                  </pic:spPr>
                </pic:pic>
              </a:graphicData>
            </a:graphic>
          </wp:anchor>
        </w:drawing>
      </w:r>
    </w:p>
    <w:p w14:paraId="4C17B34B">
      <w:pPr>
        <w:spacing w:before="598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Investigator Notification Statement</w:t>
      </w:r>
    </w:p>
    <w:p w14:paraId="166A902A">
      <w:pPr>
        <w:spacing w:before="421"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 have informed the subject of the background, purpose, procedure, risks, and benefits of the study on the effects of opioid anesthesia and analgesia on nausea and vomiting and recovery quality in obese patients undergoing laparoscopic gastric volume reduction surgery, given him/her sufficient time to read the informed consent form, discuss it with others, and answer his/her questions about the study; I have informed the subject that he/she may contact Dr. B. G. Song whenever there are research-related questions and the Bioethics Committee of Friendship Hospital whenever there are questions about his/her rights/interests, and have provided accurate contact information; I have informed the subject that he/she may withdraw from the study; and I have informed the subject that he/she will receive a copy of this informed consent form with my and his/her signatures.”</w:t>
      </w:r>
    </w:p>
    <w:p w14:paraId="482688B4">
      <w:pPr>
        <w:spacing w:before="20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Signature of the researcher who gave informed consent, date</w:t>
      </w:r>
    </w:p>
    <w:p w14:paraId="29E65CC0">
      <w:pPr>
        <w:spacing w:before="0"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Subject informed consent statement</w:t>
      </w:r>
    </w:p>
    <w:p w14:paraId="53C8E6C5">
      <w:pPr>
        <w:spacing w:before="465" w:after="114"/>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 have been informed of the background, objectives, procedures, risks, and benefits of studies on the impact of opioid-free anesthesia and analgesia on nausea and vomiting and recovery quality in obese patients undergoing laparoscopic gastric volume reduction surgery. I had ample time and opportunity to ask questions, and I was satisfied with the answers. I was also told who to contact when I had questions, wanted to report difficulties, concerns, suggestions for research, or wanted further information or help with research. I have read this informed consent form and have agreed to participate in the study. I know that I can withdraw from this study at any time during the study period without any reason. I was informed that I would receive a copy of this informed consent form, above</w:t>
      </w:r>
    </w:p>
    <w:p w14:paraId="0F1416E0">
      <w:pPr>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drawing>
          <wp:anchor distT="0" distB="0" distL="0" distR="0" simplePos="0" relativeHeight="251659264" behindDoc="0" locked="0" layoutInCell="1" allowOverlap="0">
            <wp:simplePos x="0" y="0"/>
            <wp:positionH relativeFrom="margin">
              <wp:posOffset>0</wp:posOffset>
            </wp:positionH>
            <wp:positionV relativeFrom="paragraph">
              <wp:posOffset>0</wp:posOffset>
            </wp:positionV>
            <wp:extent cx="5384800" cy="25400"/>
            <wp:effectExtent l="0" t="0" r="0" b="0"/>
            <wp:wrapTopAndBottom/>
            <wp:docPr id="9" name="header_line_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eader_line_image8.jpeg"/>
                    <pic:cNvPicPr>
                      <a:picLocks noChangeAspect="1"/>
                    </pic:cNvPicPr>
                  </pic:nvPicPr>
                  <pic:blipFill>
                    <a:blip r:embed="rId7"/>
                    <a:stretch>
                      <a:fillRect/>
                    </a:stretch>
                  </pic:blipFill>
                  <pic:spPr>
                    <a:xfrm>
                      <a:off x="0" y="0"/>
                      <a:ext cx="5384800" cy="25400"/>
                    </a:xfrm>
                    <a:prstGeom prst="rect">
                      <a:avLst/>
                    </a:prstGeom>
                  </pic:spPr>
                </pic:pic>
              </a:graphicData>
            </a:graphic>
          </wp:anchor>
        </w:drawing>
      </w:r>
    </w:p>
    <w:p w14:paraId="768E854B">
      <w:pPr>
        <w:spacing w:before="377"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Include my signature and the researcher's signature.” Subject signature, date</w:t>
      </w:r>
    </w:p>
    <w:p w14:paraId="71E4EBED">
      <w:pPr>
        <w:spacing w:before="78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Contact telephone number of the subject</w:t>
      </w:r>
    </w:p>
    <w:p w14:paraId="3FA0B077">
      <w:pPr>
        <w:spacing w:before="719"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 xml:space="preserve">(when the subject's ability to give informed consent is deficient or insufficient, add or replace the following:) </w:t>
      </w:r>
    </w:p>
    <w:p w14:paraId="6FD36EFF">
      <w:pPr>
        <w:spacing w:before="632"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Signature of the Guardian, relationship to the subject</w:t>
      </w:r>
    </w:p>
    <w:p w14:paraId="6EA681AD">
      <w:pPr>
        <w:spacing w:before="0" w:after="0"/>
        <w:jc w:val="left"/>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b w:val="0"/>
          <w:color w:val="000000"/>
          <w:sz w:val="24"/>
          <w:szCs w:val="24"/>
          <w:u w:val="none"/>
        </w:rPr>
        <w:t>Guardian contact telephone number, date</w:t>
      </w:r>
    </w:p>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Songti SC">
    <w:panose1 w:val="02010800040101010101"/>
    <w:charset w:val="86"/>
    <w:family w:val="auto"/>
    <w:pitch w:val="default"/>
    <w:sig w:usb0="00000001" w:usb1="080F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documentProtection w:enforcement="0"/>
  <w:compat>
    <w:useFELayout/>
    <w:splitPgBreakAndParaMark/>
    <w:compatSetting w:name="compatibilityMode" w:uri="http://schemas.microsoft.com/office/word" w:val="12"/>
  </w:compat>
  <w:rsids>
    <w:rsidRoot w:val="00000000"/>
    <w:rsid w:val="DFFBF7B2"/>
    <w:rsid w:val="FE4CDD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TotalTime>7</TotalTime>
  <ScaleCrop>false</ScaleCrop>
  <LinksUpToDate>false</LinksUpToDate>
  <Application>WPS Office_6.15.1.8935_F1E327BC-269C-435d-A152-05C5408002CA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2025-02-18T17:58:00Z</dcterms:created>
  <dc:creator>Apache POI</dc:creator>
  <cp:lastModifiedBy>WPS_1677555577</cp:lastModifiedBy>
  <dcterms:modified xsi:type="dcterms:W3CDTF">2025-02-18T10:27:36Z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FB64C08DDFA3FABCD1EDB3670FFDEC9A_42</vt:lpwstr>
  </property>
</Properties>
</file>