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3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870"/>
        <w:gridCol w:w="1656"/>
        <w:gridCol w:w="16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434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zh-CN"/>
              </w:rPr>
              <w:t>Table S2 . Correlation of clinicopathological characteristics and gene expression in the  patients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No. of </w:t>
            </w:r>
            <w:bookmarkStart w:id="0" w:name="OLE_LINK1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patients</w:t>
            </w:r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(n=819)</w:t>
            </w:r>
          </w:p>
        </w:tc>
        <w:tc>
          <w:tcPr>
            <w:tcW w:w="352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expression</w:t>
            </w:r>
          </w:p>
        </w:tc>
        <w:tc>
          <w:tcPr>
            <w:tcW w:w="16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Low(409)</w:t>
            </w: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High(410)</w:t>
            </w:r>
          </w:p>
        </w:tc>
        <w:tc>
          <w:tcPr>
            <w:tcW w:w="16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 (yr)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＜45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68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1668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Tumor invasion (T)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T1+T2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T3+T4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Clinical stage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0.357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II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III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IV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I+II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0.382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Stage III+IV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Lymph nodes metastasis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0.032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Distant metastasitc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8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0.143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34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 p&lt;0.05. Pearson's Chi-squared test and Fisher's Exact Test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2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11769</dc:creator>
  <cp:lastModifiedBy>涛理不言</cp:lastModifiedBy>
  <dcterms:modified xsi:type="dcterms:W3CDTF">2020-08-10T02:35:38Z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