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sz w:val="24"/>
          <w:szCs w:val="24"/>
        </w:rPr>
        <w:t>. Sequences of PCR primers used in this study</w:t>
      </w:r>
      <w:bookmarkStart w:id="0" w:name="_GoBack"/>
    </w:p>
    <w:bookmarkEnd w:id="0"/>
    <w:p>
      <w:pPr>
        <w:rPr>
          <w:rFonts w:hint="default" w:ascii="Times New Roman" w:hAnsi="Times New Roman" w:cs="Times New Roman"/>
          <w:sz w:val="24"/>
          <w:szCs w:val="24"/>
          <w:vertAlign w:val="baseline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1725"/>
        <w:gridCol w:w="48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PCDHB17P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TTCTTGGGTGAAGGGACTGG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TCACGACCTGTTGTCAGATTCC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MELK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AAGAAGGCTCGGGGAAAACC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GCAGGTGTTCTGCATAAGGC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IL-8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ACTCCAAACCTTTCCACCCC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ATGAATTCTCAGCCCTCTTCAA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VEGFA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TGCCCGCTGCTGTCTAATG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GCGAGTCTGTGTTTTTGCAGG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FGF2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GCAAAAACGGGGGCTTCTTC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AACGGTTAGCACACACTCCT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PDGFC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ATGAGCCTCTTCGGGCTTCT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TACTCAGGTTGGATTCCGCC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PDGFD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GCACCGGCTCATCTTTGTCT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GATTGCTCTCATCTCGCCTG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AGGF1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TGGAGGAATGAAAACGCCGA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TGAGGATGGTTTGCCTGTCC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miR-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145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p 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AGGGATTCCTGGAAATACTGT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AD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11769</dc:creator>
  <cp:lastModifiedBy>涛理不言</cp:lastModifiedBy>
  <dcterms:modified xsi:type="dcterms:W3CDTF">2020-08-10T02:35:16Z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