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5093" w:rsidRPr="004D7C17" w:rsidRDefault="00565093" w:rsidP="00565093">
      <w:pPr>
        <w:adjustRightInd w:val="0"/>
        <w:snapToGrid w:val="0"/>
        <w:spacing w:line="360" w:lineRule="auto"/>
        <w:jc w:val="center"/>
        <w:rPr>
          <w:rFonts w:eastAsiaTheme="majorEastAsia" w:cs="Times New Roman"/>
          <w:b/>
          <w:kern w:val="0"/>
          <w:sz w:val="28"/>
          <w:szCs w:val="24"/>
        </w:rPr>
      </w:pPr>
      <w:r w:rsidRPr="004D7C17">
        <w:rPr>
          <w:rFonts w:eastAsiaTheme="majorEastAsia" w:cs="Times New Roman"/>
          <w:b/>
          <w:kern w:val="0"/>
          <w:sz w:val="28"/>
          <w:szCs w:val="24"/>
        </w:rPr>
        <w:t>Supplementary materials</w:t>
      </w:r>
    </w:p>
    <w:p w:rsidR="00565093" w:rsidRPr="004D7C17" w:rsidRDefault="00565093" w:rsidP="00AB009B">
      <w:pPr>
        <w:adjustRightInd w:val="0"/>
        <w:snapToGrid w:val="0"/>
        <w:spacing w:line="360" w:lineRule="auto"/>
        <w:jc w:val="left"/>
        <w:rPr>
          <w:rFonts w:eastAsiaTheme="majorEastAsia" w:cs="Times New Roman"/>
          <w:b/>
          <w:kern w:val="0"/>
          <w:sz w:val="24"/>
          <w:szCs w:val="24"/>
        </w:rPr>
      </w:pPr>
    </w:p>
    <w:p w:rsidR="00AB009B" w:rsidRPr="004D7C17" w:rsidRDefault="00AB009B" w:rsidP="00AB009B">
      <w:pPr>
        <w:adjustRightInd w:val="0"/>
        <w:snapToGrid w:val="0"/>
        <w:spacing w:line="360" w:lineRule="auto"/>
        <w:jc w:val="left"/>
        <w:rPr>
          <w:rFonts w:eastAsiaTheme="majorEastAsia" w:cs="Times New Roman"/>
          <w:b/>
          <w:kern w:val="0"/>
          <w:sz w:val="24"/>
          <w:szCs w:val="24"/>
        </w:rPr>
      </w:pPr>
      <w:r w:rsidRPr="004D7C17">
        <w:rPr>
          <w:rFonts w:eastAsiaTheme="majorEastAsia" w:cs="Times New Roman"/>
          <w:b/>
          <w:kern w:val="0"/>
          <w:sz w:val="24"/>
          <w:szCs w:val="24"/>
        </w:rPr>
        <w:t>Table S</w:t>
      </w:r>
      <w:r w:rsidR="008F22EA">
        <w:rPr>
          <w:rFonts w:eastAsiaTheme="majorEastAsia" w:cs="Times New Roman"/>
          <w:b/>
          <w:kern w:val="0"/>
          <w:sz w:val="24"/>
          <w:szCs w:val="24"/>
        </w:rPr>
        <w:t>1</w:t>
      </w:r>
      <w:r w:rsidRPr="004D7C17">
        <w:rPr>
          <w:rFonts w:eastAsiaTheme="majorEastAsia" w:cs="Times New Roman"/>
          <w:b/>
          <w:kern w:val="0"/>
          <w:sz w:val="24"/>
          <w:szCs w:val="24"/>
        </w:rPr>
        <w:t>. Detailed inclusion and exclusion criteria</w:t>
      </w:r>
    </w:p>
    <w:tbl>
      <w:tblPr>
        <w:tblStyle w:val="a3"/>
        <w:tblW w:w="5000" w:type="pct"/>
        <w:tblLook w:val="04A0" w:firstRow="1" w:lastRow="0" w:firstColumn="1" w:lastColumn="0" w:noHBand="0" w:noVBand="1"/>
      </w:tblPr>
      <w:tblGrid>
        <w:gridCol w:w="1465"/>
        <w:gridCol w:w="12483"/>
      </w:tblGrid>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Inclusion criteria</w:t>
            </w: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Participants meeting all of the following criteria are eligible for enrollment</w:t>
            </w:r>
          </w:p>
        </w:tc>
      </w:tr>
      <w:tr w:rsidR="00AB009B" w:rsidRPr="004D7C17" w:rsidTr="00BA2E97">
        <w:trPr>
          <w:trHeight w:val="503"/>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All subjects or legal representatives must sign a written informed consent approved by the ethics committee before initiating any screening procedures.</w:t>
            </w:r>
          </w:p>
        </w:tc>
      </w:tr>
      <w:tr w:rsidR="00AB009B" w:rsidRPr="004D7C17" w:rsidTr="00BA2E97">
        <w:trPr>
          <w:trHeight w:val="2202"/>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Patients aged 18 and above with advanced solid tumor, confirmed by histology or cytology:</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a) Single-agent dose-escalation phase (Phase Ia): Recurrent or metastatic late-stage solid tumors without standard treatment options or with failed standard treatment or intolerance, including hepatocellular carcinoma (HCC), triple-negative and/or inflammatory breast cancer, colorectal cancer, esophageal cancer, gastric cancer, non-small cell lung cancer, head and neck cancer.</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b) Combination therapy phase (Phase Ib/Ic): Recurrent or metastatic late-stage solid tumors without standard treatment options or with failed standard treatment or intolerance, including but not limited to colorectal cancer, esophageal cancer, gastric cancer (including gastroesophageal junction adenocarcinoma, applicable to Phase Ic only), cholangiocarcinoma, triple-negative breast cancer. Pathological requirements for different tumor types are as follows:</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i. Colorectal cancer patients confirmed as microsatellite stable (MSS).</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ii. Breast cancer patients confirmed negative for HER2, ER, and PR by histology.</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3) Able to provide archived tissue samples within the last 3 years and/or fresh tumor tissue samples within the last 3 months for biomarker detection during the screening period. This criterion is applicable only to patients in the combination therapy phase (Phase Ib/Ic).</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4) According to RECIST 1.1 criteria, at least one measurable lesion (non-lymph node, longest diameter ≥ 10 mm, lymph node short diameter ≥ 15 mm) must be present. Previously irradiated lesions cannot be considered as target lesions unless there is clear progression.</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5) No central nervous system metastasis, or asymptomatic brain metastasis untreated or clinically and radiologically stable for at least 4 weeks before screening. For the latter two cases, patients should not have used steroids for the past 14 days and do not require long-term corticosteroid therapy. The number of brain metastatic lesions should be ≤2, and the maximum diameter of the lesions should be &lt;10 mm.</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6) Expected survival period ≥ 12 weeks.</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7) Baseline Eastern Cooperative Oncology Group (ECOG) score of 0 or 1. For hepatocellular carcinoma patients, Child-Pugh liver function grade A is required.</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8) Patients must meet the following laboratory examination requirements during the screening period:</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Marrow function (subjects cannot meet this requirement through transfusion within 14 days before screening):</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Absolute neutrophil count (ANC) &gt; 1.5×109/L (1500/mm3).</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Platelets ≥ 100×109/L (1×105/mm3).</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Hemoglobin ≥ 90 g/L.</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lastRenderedPageBreak/>
              <w:t xml:space="preserve">   - Renal function: Serum creatinine ≤ 1.5 times the upper limit of normal (ULN) or creatinine clearance (CCr) ≥ 60 mL/min, calculated using the Cockcroft-Gault formula.</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Liver function:</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Total bilirubin &lt; 1.5×ULN, or &lt;3×ULN for hepatocellular carcinoma or patients with liver metastasis.</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Aspartate aminotransferase (AST) and alanine aminotransferase (ALT) ≤ 2×ULN; ≤ 5×ULN for hepatocellular carcinoma or patients with liver metastasis.</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Coagulation function is essentially normal (international normalized ratio ≤ 1.5).</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9) Hemodynamic stability confirmed by echocardiography or multiple-gated acquisition (MUGA) with left ventricular ejection fraction (LVEF) ≥ 50%.</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10) The investigator determines that the patient has fully recovered from previous treatment toxicity or has Common Terminology Criteria for Adverse Events (CTCAE) grade ≤ 1, excluding conditions such as a. alopecia; b. pigmentation; c. late toxicities caused by radiotherapy judged to be irrecoverable; d. grade 2 or lower neurotoxicity caused by platinum agents (CTCAE 5.0).</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11) Fertile males and females of childbearing potential must use effective contraception from the signing of the informed consent to 6 months after the last dose of the investigational drug. Women of childbearing potential include premenopausal women and women within 2 years of menopause. Pregnancy test results for women of childbearing potential must be negative.</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Exclusion Criteria</w:t>
            </w: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Patients meeting any of the following criteria are not eligible for enrollment</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Known allergy to any active ingredient or excipient of RMX1002 tablets or Tepilimumab injection (applicable only to the combination therapy phase), or a history of specific hypersensitivity reactions (such as asthma, rheumatism, eczematous dermatitis) judged by the investigator as unsuitable for experimental drug treatment.</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Prior treatment with EP4 inhibitors.</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3) Patients with a history of significant or intolerable toxicity to COX-2 inhibitors, such as cardiovascular toxicity, renal toxicity, or allergies.</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4) Patients with significant or intolerable toxicity after previous treatment with PD-1 monoclonal antibodies and judged by the investigator as unsuitable for PD-1 monoclonal antibody treatment. This criterion is applicable only to patients in the combination therapy phase (Phase Ib/Ic).</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5) Use of COX-2 inhibitors or NSAIDs within 14 days before the administration of the investigational drug or during the study.</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6) Receipt of any investigational drug treatment or use of investigational devices within 30 days before the first administration of the investigational drug.</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7) Systemic anti-tumor therapy within 28 days before the first administration of the investigational drug, including systemic chemotherapy, radiotherapy, immunotherapy, hormone therapy, targeted therapy (small-molecule targeted drugs within 2 weeks before the first administration), systemic immunomodulators (including but not limited to interferons, interleukin-2, and tumor necrosis factor). Use of traditional Chinese medicine or traditional Chinese medicine with anti-tumor effects within the first 2 weeks before the first administration.</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8) Diagnosis of another malignancy within the past 5 years, except for cured in situ cervical cancer and non-melanoma skin cancer.</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9) Use of corticosteroids (&gt;10 mg/day prednisone equivalent) or other immunosuppressive drugs for systemic treatment within 14 days before the first administration of the investigational drug.</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10) Presence of abdominal fistula, gastrointestinal perforation, or abdominal abscess within the 30 days before screening.</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11) Significant gastrointestinal history or current diseases at the time of signing the informed consent, such as difficulty swallowing, uncontrolled nausea and vomiting, chronic diarrhea, active digestive ulcer within the last 12 months, or history of total or subtotal small intestine or stomach resection judged by the investigator to affect the intake, transport, or absorption of the investigational drug. (Exception: In the gastric cancer expansion cohort [Phase Ic], patients with a history of total or subtotal stomach resection are allowed).</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12) History of organ transplantation or planned organ transplantation.</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13) Major surgery or significant traumatic injury within the 4 weeks before the first administration of the investigational drug.</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14) Past or current interstitial pneumonia or active pulmonary disease. This criterion is applicable only to patients in the combination therapy phase (Phase Ib/Ic).</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15) Vaccination with live vaccines within 30 days before the first administration of the investigational drug or planning to receive live vaccines during the study. This criterion is applicable only to patients in the combination therapy phase (Phase Ib/Ic).</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16) Pregnant or lactating female patients.</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17) Uncontrolled hypertension (&gt;150/90), clinically significant abnormal QTcF interval (&gt;470 msec at rest, defined as having clinical significance), unstable coronary artery disease confirmed by uncontrolled arrhythmia, unstable angina, decompensated congestive heart failure (&gt;New York Heart Association class II), or myocardial infarction within 6 months before the administration of the investigational drug.</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18) Any uncontrolled serious clinical study-related problems (such as drug abuse, uncontrolled mental illness, or cognitive impairment, uncontrollable pleural effusion and/or pericardial effusion, uncontrolled complications, including active infection, arterial thrombosis, and symptomatic pulmonary embolism).</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19) Active infection, including tuberculosis, syphilis, human immunodeficiency virus (HIV antibody positive), positive for hepatitis C virus antibodies, or active hepatitis B patients (defined as HBV DNA ≥ 1000 IU/ml, HBV DNA testing is performed only in HBsAg-positive patients) [patients with HBV DNA ≤ 1000 IU/ml after antiviral treatment are allowed to enroll, all HBsAg-positive patients need to receive antiviral treatment during the study].</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20) Active, known, or suspected autoimmune diseases or a history of autoimmune diseases, except for the following: vitiligo, alopecia, Grave's disease, psoriasis, or eczema that does not require systemic treatment within the last 2 years, asymptomatic or requiring stable doses of hormone replacement therapy for hypothyroidism, and requiring stable doses of insulin replacement therapy for type I diabetes.</w:t>
            </w:r>
          </w:p>
        </w:tc>
      </w:tr>
      <w:tr w:rsidR="00AB009B" w:rsidRPr="004D7C17" w:rsidTr="00BA2E97">
        <w:trPr>
          <w:trHeight w:val="277"/>
        </w:trPr>
        <w:tc>
          <w:tcPr>
            <w:tcW w:w="52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447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21) Other situations deemed unsuitable for participation in this study by the investigator, such as poor compliance.</w:t>
            </w:r>
          </w:p>
        </w:tc>
      </w:tr>
    </w:tbl>
    <w:p w:rsidR="00AB009B" w:rsidRPr="004D7C17" w:rsidRDefault="00AB009B" w:rsidP="00AB009B">
      <w:pPr>
        <w:adjustRightInd w:val="0"/>
        <w:snapToGrid w:val="0"/>
        <w:spacing w:line="360" w:lineRule="auto"/>
        <w:jc w:val="left"/>
        <w:rPr>
          <w:rFonts w:eastAsiaTheme="majorEastAsia" w:cs="Times New Roman"/>
          <w:b/>
          <w:kern w:val="0"/>
          <w:sz w:val="24"/>
          <w:szCs w:val="24"/>
        </w:rPr>
      </w:pPr>
    </w:p>
    <w:p w:rsidR="00AB009B" w:rsidRPr="004D7C17" w:rsidRDefault="00AB009B" w:rsidP="00AB009B">
      <w:pPr>
        <w:rPr>
          <w:rFonts w:eastAsiaTheme="majorEastAsia" w:cs="Times New Roman"/>
          <w:b/>
          <w:kern w:val="0"/>
          <w:sz w:val="24"/>
          <w:szCs w:val="24"/>
        </w:rPr>
      </w:pPr>
      <w:r w:rsidRPr="004D7C17">
        <w:rPr>
          <w:rFonts w:eastAsiaTheme="majorEastAsia" w:cs="Times New Roman"/>
          <w:b/>
          <w:kern w:val="0"/>
          <w:sz w:val="24"/>
          <w:szCs w:val="24"/>
        </w:rPr>
        <w:br w:type="page"/>
      </w:r>
    </w:p>
    <w:p w:rsidR="00AB009B" w:rsidRPr="004D7C17" w:rsidRDefault="008F22EA" w:rsidP="00AB009B">
      <w:pPr>
        <w:adjustRightInd w:val="0"/>
        <w:snapToGrid w:val="0"/>
        <w:spacing w:line="360" w:lineRule="auto"/>
        <w:jc w:val="left"/>
        <w:rPr>
          <w:rFonts w:eastAsiaTheme="majorEastAsia" w:cs="Times New Roman"/>
          <w:b/>
          <w:kern w:val="0"/>
          <w:sz w:val="24"/>
          <w:szCs w:val="24"/>
        </w:rPr>
      </w:pPr>
      <w:r>
        <w:rPr>
          <w:rFonts w:eastAsiaTheme="majorEastAsia" w:cs="Times New Roman"/>
          <w:b/>
          <w:kern w:val="0"/>
          <w:sz w:val="24"/>
          <w:szCs w:val="24"/>
        </w:rPr>
        <w:lastRenderedPageBreak/>
        <w:t xml:space="preserve">Table </w:t>
      </w:r>
      <w:r w:rsidR="00BB5B9D">
        <w:rPr>
          <w:rFonts w:eastAsiaTheme="majorEastAsia" w:cs="Times New Roman"/>
          <w:b/>
          <w:kern w:val="0"/>
          <w:sz w:val="24"/>
          <w:szCs w:val="24"/>
        </w:rPr>
        <w:t>S</w:t>
      </w:r>
      <w:r>
        <w:rPr>
          <w:rFonts w:eastAsiaTheme="majorEastAsia" w:cs="Times New Roman"/>
          <w:b/>
          <w:kern w:val="0"/>
          <w:sz w:val="24"/>
          <w:szCs w:val="24"/>
        </w:rPr>
        <w:t>2</w:t>
      </w:r>
      <w:r w:rsidR="00AB009B" w:rsidRPr="004D7C17">
        <w:rPr>
          <w:rFonts w:eastAsiaTheme="majorEastAsia" w:cs="Times New Roman"/>
          <w:b/>
          <w:kern w:val="0"/>
          <w:sz w:val="24"/>
          <w:szCs w:val="24"/>
        </w:rPr>
        <w:t>. Detailed definition criteria for DLT</w:t>
      </w:r>
    </w:p>
    <w:tbl>
      <w:tblPr>
        <w:tblStyle w:val="a3"/>
        <w:tblW w:w="5000" w:type="pct"/>
        <w:tblLook w:val="04A0" w:firstRow="1" w:lastRow="0" w:firstColumn="1" w:lastColumn="0" w:noHBand="0" w:noVBand="1"/>
      </w:tblPr>
      <w:tblGrid>
        <w:gridCol w:w="3724"/>
        <w:gridCol w:w="10224"/>
      </w:tblGrid>
      <w:tr w:rsidR="00AB009B" w:rsidRPr="004D7C17" w:rsidTr="00BA2E97">
        <w:trPr>
          <w:trHeight w:val="21"/>
        </w:trPr>
        <w:tc>
          <w:tcPr>
            <w:tcW w:w="133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DLT in phase Ia</w:t>
            </w:r>
          </w:p>
        </w:tc>
        <w:tc>
          <w:tcPr>
            <w:tcW w:w="366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r>
      <w:tr w:rsidR="00AB009B" w:rsidRPr="004D7C17" w:rsidTr="00BA2E97">
        <w:trPr>
          <w:trHeight w:val="170"/>
        </w:trPr>
        <w:tc>
          <w:tcPr>
            <w:tcW w:w="133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Hematologic toxicity </w:t>
            </w:r>
          </w:p>
        </w:tc>
        <w:tc>
          <w:tcPr>
            <w:tcW w:w="366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Grade 4 anemia or anemia requiring transfusion; </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Febrile neutropenia; </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Any other ≥ grade 3 hematologic toxicity.</w:t>
            </w:r>
          </w:p>
        </w:tc>
      </w:tr>
      <w:tr w:rsidR="00AB009B" w:rsidRPr="004D7C17" w:rsidTr="009A2CF6">
        <w:trPr>
          <w:trHeight w:val="132"/>
        </w:trPr>
        <w:tc>
          <w:tcPr>
            <w:tcW w:w="133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Non-hematologic toxicity </w:t>
            </w:r>
          </w:p>
        </w:tc>
        <w:tc>
          <w:tcPr>
            <w:tcW w:w="366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Gastrointestinal toxicity: </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 Grade 3 diarrhea/abdominal pain persisting despite symptomatic intervention for ≥ 48 hours; </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 Grade 3 nausea/vomiting persisting despite symptomatic intervention for ≥ 48 hours; </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Any other ≥ grade 3 gastrointestinal toxicity.</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Neurological toxicity: </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 Grade 3 headache persisting despite symptomatic intervention for ≥ 48 hours; </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Any other ≥ grade 3 neurological toxicity.</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Renal toxicity: </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 Grade 3 elevation of serum creatinine or serum creatinine &gt; 2 times ULN persisting for more than 7 days; </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Any other ≥ grade 3 renal toxicity.</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Cardiovascular toxicity: </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 Grade 3 hypertension; </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Any other ≥ grade 3 cardiovascular toxicity.</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lastRenderedPageBreak/>
              <w:t>- Any other ≥ grade 3 non-hematologic toxicity.</w:t>
            </w:r>
          </w:p>
        </w:tc>
      </w:tr>
      <w:tr w:rsidR="00AB009B" w:rsidRPr="004D7C17" w:rsidTr="00BA2E97">
        <w:trPr>
          <w:trHeight w:val="170"/>
        </w:trPr>
        <w:tc>
          <w:tcPr>
            <w:tcW w:w="133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lastRenderedPageBreak/>
              <w:t>DLT in phase Ib</w:t>
            </w:r>
          </w:p>
        </w:tc>
        <w:tc>
          <w:tcPr>
            <w:tcW w:w="366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p>
        </w:tc>
      </w:tr>
      <w:tr w:rsidR="00AB009B" w:rsidRPr="004D7C17" w:rsidTr="00BA2E97">
        <w:trPr>
          <w:trHeight w:val="170"/>
        </w:trPr>
        <w:tc>
          <w:tcPr>
            <w:tcW w:w="133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Hematologic toxicity </w:t>
            </w:r>
          </w:p>
        </w:tc>
        <w:tc>
          <w:tcPr>
            <w:tcW w:w="366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Grade 4 anemia or anemia requiring blood transfusion</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Febrile neutropenia</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Any other grade 3 hematologic toxicity, excluding the following:</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Grade 3 or 4 neutropenia lasting ≤7 days without fever or systemic infection</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Grade 3 or 4 lymphocyte count decrease</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Grade 3 thrombocytopenia without bleeding or requirement for platelet transfusion </w:t>
            </w:r>
          </w:p>
        </w:tc>
      </w:tr>
      <w:tr w:rsidR="00AB009B" w:rsidRPr="004D7C17" w:rsidTr="00BA2E97">
        <w:trPr>
          <w:trHeight w:val="170"/>
        </w:trPr>
        <w:tc>
          <w:tcPr>
            <w:tcW w:w="133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Immune-related toxicity</w:t>
            </w:r>
          </w:p>
        </w:tc>
        <w:tc>
          <w:tcPr>
            <w:tcW w:w="366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Any grade 4 immune-related adverse event, irrespective of duration</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Any grade 3 immune-related colitis, irrespective of duration</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Any grade 3 immune-related non-infectious pneumonia, irrespective of duration</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Any grade 3 immune-related adverse event related to the central nervous system</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Any other grade 3 immune-related adverse event not resolving to ≤2 within 7 days or returning to ≤1 or baseline within 14 days after adequate intervention, excluding:</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Grade 3 rash well controlled with systemic medications</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Grade 3 endocrine-related adverse events adequately controlled with hormone replacement therapy</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Grade ≥2 immune-related uveitis or eye pain that is unresponsive to local treatment and does not improve to grade 1 within the re-treatment period (21 days), or requires systemic therapy.</w:t>
            </w:r>
          </w:p>
        </w:tc>
      </w:tr>
      <w:tr w:rsidR="00AB009B" w:rsidRPr="004D7C17" w:rsidTr="00BA2E97">
        <w:trPr>
          <w:trHeight w:val="170"/>
        </w:trPr>
        <w:tc>
          <w:tcPr>
            <w:tcW w:w="133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Non-immune-related toxicity</w:t>
            </w:r>
          </w:p>
        </w:tc>
        <w:tc>
          <w:tcPr>
            <w:tcW w:w="3665"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Any non-immune-related grade ≥3 adverse event, excluding:</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lastRenderedPageBreak/>
              <w:t xml:space="preserve">  • Grade 3 fatigue lasting ≤7 days</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Recovery after adequate intervention for grade 3 infusion-related adverse events</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Recovery within 3 days to ≤2 for grade 3 nausea/vomiting after adequate intervention</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Recovery within 3 days to ≤2 for grade 3 diarrhea/abdominal pain after adequate intervention</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Recovery within 3 days to ≤2 for grade 3 headache after adequate intervention</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Grade 3 elevation of lipase or amylase without symptoms, signs of pancreatitis, or imaging findings</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  • Grade 3 non-hematologic laboratory abnormalities, requiring or not requiring medical intervention, lasting ≤7 days without associated clinical symptoms/signs or clinical sequelae (for certain grade 4 laboratory abnormalities, comprehensive evaluation based on clinical symptoms/signs should be conducted, and determination of whether it constitutes a dose-limiting toxicity should be made through discussions between investigators and sponsors.)</w:t>
            </w:r>
          </w:p>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AST or ALT &gt; 3×ULN simultaneously with total bilirubin &gt; 2×ULN, without evidence of bile stasis (e.g., elevated ALP) or other relevant causes such as viral hepatitis or progression of liver disease.</w:t>
            </w:r>
          </w:p>
        </w:tc>
      </w:tr>
    </w:tbl>
    <w:p w:rsidR="00AB009B" w:rsidRPr="004D7C17" w:rsidRDefault="00AB009B" w:rsidP="00AB009B">
      <w:pPr>
        <w:adjustRightInd w:val="0"/>
        <w:snapToGrid w:val="0"/>
        <w:spacing w:afterLines="50" w:after="156" w:line="360" w:lineRule="auto"/>
        <w:ind w:firstLineChars="200" w:firstLine="480"/>
        <w:rPr>
          <w:rFonts w:eastAsiaTheme="majorEastAsia" w:cs="Times New Roman"/>
          <w:kern w:val="0"/>
          <w:sz w:val="24"/>
          <w:szCs w:val="24"/>
        </w:rPr>
      </w:pPr>
    </w:p>
    <w:p w:rsidR="00AB009B" w:rsidRPr="004D7C17" w:rsidRDefault="00AB009B" w:rsidP="00AB009B">
      <w:pPr>
        <w:spacing w:line="360" w:lineRule="auto"/>
        <w:rPr>
          <w:rFonts w:eastAsiaTheme="majorEastAsia" w:cs="Times New Roman"/>
          <w:kern w:val="0"/>
          <w:sz w:val="24"/>
          <w:szCs w:val="24"/>
        </w:rPr>
      </w:pPr>
      <w:r w:rsidRPr="004D7C17">
        <w:rPr>
          <w:rFonts w:eastAsiaTheme="majorEastAsia" w:cs="Times New Roman"/>
          <w:kern w:val="0"/>
          <w:sz w:val="24"/>
          <w:szCs w:val="24"/>
        </w:rPr>
        <w:br w:type="page"/>
      </w:r>
    </w:p>
    <w:p w:rsidR="00AB009B" w:rsidRPr="004D7C17" w:rsidRDefault="008F22EA" w:rsidP="00AB009B">
      <w:pPr>
        <w:adjustRightInd w:val="0"/>
        <w:snapToGrid w:val="0"/>
        <w:spacing w:line="360" w:lineRule="auto"/>
        <w:jc w:val="left"/>
        <w:rPr>
          <w:rFonts w:eastAsiaTheme="majorEastAsia" w:cs="Times New Roman"/>
          <w:kern w:val="0"/>
          <w:sz w:val="24"/>
          <w:szCs w:val="24"/>
        </w:rPr>
      </w:pPr>
      <w:r>
        <w:rPr>
          <w:rFonts w:eastAsiaTheme="majorEastAsia" w:cs="Times New Roman"/>
          <w:b/>
          <w:kern w:val="0"/>
          <w:sz w:val="24"/>
          <w:szCs w:val="24"/>
        </w:rPr>
        <w:lastRenderedPageBreak/>
        <w:t>Table S3</w:t>
      </w:r>
      <w:r w:rsidR="00AB009B" w:rsidRPr="004D7C17">
        <w:rPr>
          <w:rFonts w:eastAsiaTheme="majorEastAsia" w:cs="Times New Roman"/>
          <w:b/>
          <w:kern w:val="0"/>
          <w:sz w:val="24"/>
          <w:szCs w:val="24"/>
        </w:rPr>
        <w:t>. Summary of most common treatment-emergent adverse events which occurred in ≥ 10% patients in either of three phases</w:t>
      </w:r>
    </w:p>
    <w:tbl>
      <w:tblPr>
        <w:tblStyle w:val="a3"/>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22"/>
        <w:gridCol w:w="1566"/>
        <w:gridCol w:w="1432"/>
        <w:gridCol w:w="1566"/>
        <w:gridCol w:w="1507"/>
        <w:gridCol w:w="1658"/>
        <w:gridCol w:w="1507"/>
      </w:tblGrid>
      <w:tr w:rsidR="00AB009B" w:rsidRPr="004D7C17" w:rsidTr="00BA2E97">
        <w:trPr>
          <w:trHeight w:val="249"/>
        </w:trPr>
        <w:tc>
          <w:tcPr>
            <w:tcW w:w="1691" w:type="pct"/>
            <w:tcBorders>
              <w:bottom w:val="single" w:sz="4" w:space="0" w:color="auto"/>
            </w:tcBorders>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Patients with adverse events, n (%)</w:t>
            </w:r>
          </w:p>
        </w:tc>
        <w:tc>
          <w:tcPr>
            <w:tcW w:w="1074" w:type="pct"/>
            <w:gridSpan w:val="2"/>
            <w:tcBorders>
              <w:bottom w:val="single" w:sz="4" w:space="0" w:color="auto"/>
            </w:tcBorders>
            <w:vAlign w:val="center"/>
          </w:tcPr>
          <w:p w:rsidR="00AB009B" w:rsidRPr="004D7C17" w:rsidRDefault="00AB009B" w:rsidP="00BA2E97">
            <w:pPr>
              <w:adjustRightInd w:val="0"/>
              <w:snapToGrid w:val="0"/>
              <w:spacing w:line="360" w:lineRule="auto"/>
              <w:jc w:val="center"/>
              <w:rPr>
                <w:rFonts w:eastAsiaTheme="majorEastAsia" w:cs="Times New Roman"/>
                <w:kern w:val="0"/>
                <w:sz w:val="24"/>
                <w:szCs w:val="24"/>
              </w:rPr>
            </w:pPr>
            <w:r w:rsidRPr="004D7C17">
              <w:rPr>
                <w:rFonts w:eastAsiaTheme="majorEastAsia" w:cs="Times New Roman"/>
                <w:kern w:val="0"/>
                <w:sz w:val="24"/>
                <w:szCs w:val="24"/>
              </w:rPr>
              <w:t>Ia</w:t>
            </w:r>
          </w:p>
          <w:p w:rsidR="00AB009B" w:rsidRPr="004D7C17" w:rsidRDefault="00AB009B" w:rsidP="00BA2E97">
            <w:pPr>
              <w:adjustRightInd w:val="0"/>
              <w:snapToGrid w:val="0"/>
              <w:spacing w:line="360" w:lineRule="auto"/>
              <w:jc w:val="center"/>
              <w:rPr>
                <w:rFonts w:eastAsiaTheme="majorEastAsia" w:cs="Times New Roman"/>
                <w:kern w:val="0"/>
                <w:sz w:val="24"/>
                <w:szCs w:val="24"/>
              </w:rPr>
            </w:pPr>
            <w:r w:rsidRPr="004D7C17">
              <w:rPr>
                <w:rFonts w:eastAsiaTheme="majorEastAsia" w:cs="Times New Roman"/>
                <w:kern w:val="0"/>
                <w:sz w:val="24"/>
                <w:szCs w:val="24"/>
              </w:rPr>
              <w:t>(N=17)</w:t>
            </w:r>
          </w:p>
        </w:tc>
        <w:tc>
          <w:tcPr>
            <w:tcW w:w="1101" w:type="pct"/>
            <w:gridSpan w:val="2"/>
            <w:tcBorders>
              <w:bottom w:val="single" w:sz="4" w:space="0" w:color="auto"/>
            </w:tcBorders>
            <w:vAlign w:val="center"/>
          </w:tcPr>
          <w:p w:rsidR="00AB009B" w:rsidRPr="004D7C17" w:rsidRDefault="00AB009B" w:rsidP="00BA2E97">
            <w:pPr>
              <w:adjustRightInd w:val="0"/>
              <w:snapToGrid w:val="0"/>
              <w:spacing w:line="360" w:lineRule="auto"/>
              <w:jc w:val="center"/>
              <w:rPr>
                <w:rFonts w:eastAsiaTheme="majorEastAsia" w:cs="Times New Roman"/>
                <w:kern w:val="0"/>
                <w:sz w:val="24"/>
                <w:szCs w:val="24"/>
              </w:rPr>
            </w:pPr>
            <w:r w:rsidRPr="004D7C17">
              <w:rPr>
                <w:rFonts w:eastAsiaTheme="majorEastAsia" w:cs="Times New Roman"/>
                <w:kern w:val="0"/>
                <w:sz w:val="24"/>
                <w:szCs w:val="24"/>
              </w:rPr>
              <w:t>Ib</w:t>
            </w:r>
          </w:p>
          <w:p w:rsidR="00AB009B" w:rsidRPr="004D7C17" w:rsidRDefault="00AB009B" w:rsidP="00BA2E97">
            <w:pPr>
              <w:adjustRightInd w:val="0"/>
              <w:snapToGrid w:val="0"/>
              <w:spacing w:line="360" w:lineRule="auto"/>
              <w:jc w:val="center"/>
              <w:rPr>
                <w:rFonts w:eastAsiaTheme="majorEastAsia" w:cs="Times New Roman"/>
                <w:kern w:val="0"/>
                <w:sz w:val="24"/>
                <w:szCs w:val="24"/>
              </w:rPr>
            </w:pPr>
            <w:r w:rsidRPr="004D7C17">
              <w:rPr>
                <w:rFonts w:eastAsiaTheme="majorEastAsia" w:cs="Times New Roman"/>
                <w:kern w:val="0"/>
                <w:sz w:val="24"/>
                <w:szCs w:val="24"/>
              </w:rPr>
              <w:t>(N=12)</w:t>
            </w:r>
          </w:p>
        </w:tc>
        <w:tc>
          <w:tcPr>
            <w:tcW w:w="1134" w:type="pct"/>
            <w:gridSpan w:val="2"/>
            <w:tcBorders>
              <w:bottom w:val="single" w:sz="4" w:space="0" w:color="auto"/>
            </w:tcBorders>
            <w:vAlign w:val="center"/>
          </w:tcPr>
          <w:p w:rsidR="00AB009B" w:rsidRPr="004D7C17" w:rsidRDefault="00AB009B" w:rsidP="00BA2E97">
            <w:pPr>
              <w:adjustRightInd w:val="0"/>
              <w:snapToGrid w:val="0"/>
              <w:spacing w:line="360" w:lineRule="auto"/>
              <w:jc w:val="center"/>
              <w:rPr>
                <w:rFonts w:eastAsiaTheme="majorEastAsia" w:cs="Times New Roman"/>
                <w:kern w:val="0"/>
                <w:sz w:val="24"/>
                <w:szCs w:val="24"/>
              </w:rPr>
            </w:pPr>
            <w:r w:rsidRPr="004D7C17">
              <w:rPr>
                <w:rFonts w:eastAsiaTheme="majorEastAsia" w:cs="Times New Roman"/>
                <w:kern w:val="0"/>
                <w:sz w:val="24"/>
                <w:szCs w:val="24"/>
              </w:rPr>
              <w:t>Ic</w:t>
            </w:r>
          </w:p>
          <w:p w:rsidR="00AB009B" w:rsidRPr="004D7C17" w:rsidRDefault="00AB009B" w:rsidP="00BA2E97">
            <w:pPr>
              <w:adjustRightInd w:val="0"/>
              <w:snapToGrid w:val="0"/>
              <w:spacing w:line="360" w:lineRule="auto"/>
              <w:jc w:val="center"/>
              <w:rPr>
                <w:rFonts w:eastAsiaTheme="majorEastAsia" w:cs="Times New Roman"/>
                <w:kern w:val="0"/>
                <w:sz w:val="24"/>
                <w:szCs w:val="24"/>
              </w:rPr>
            </w:pPr>
            <w:r w:rsidRPr="004D7C17">
              <w:rPr>
                <w:rFonts w:eastAsiaTheme="majorEastAsia" w:cs="Times New Roman"/>
                <w:kern w:val="0"/>
                <w:sz w:val="24"/>
                <w:szCs w:val="24"/>
              </w:rPr>
              <w:t>(N=16)</w:t>
            </w:r>
          </w:p>
        </w:tc>
      </w:tr>
      <w:tr w:rsidR="00AB009B" w:rsidRPr="004D7C17" w:rsidTr="00BA2E97">
        <w:trPr>
          <w:trHeight w:val="280"/>
        </w:trPr>
        <w:tc>
          <w:tcPr>
            <w:tcW w:w="1691" w:type="pct"/>
            <w:tcBorders>
              <w:top w:val="single" w:sz="4" w:space="0" w:color="auto"/>
              <w:bottom w:val="single" w:sz="4" w:space="0" w:color="auto"/>
            </w:tcBorders>
          </w:tcPr>
          <w:p w:rsidR="00AB009B" w:rsidRPr="004D7C17" w:rsidRDefault="00AB009B" w:rsidP="00BA2E97">
            <w:pPr>
              <w:adjustRightInd w:val="0"/>
              <w:snapToGrid w:val="0"/>
              <w:spacing w:line="360" w:lineRule="auto"/>
              <w:rPr>
                <w:rFonts w:eastAsiaTheme="majorEastAsia" w:cs="Times New Roman"/>
                <w:kern w:val="0"/>
                <w:sz w:val="24"/>
                <w:szCs w:val="24"/>
              </w:rPr>
            </w:pPr>
          </w:p>
        </w:tc>
        <w:tc>
          <w:tcPr>
            <w:tcW w:w="561" w:type="pct"/>
            <w:tcBorders>
              <w:top w:val="single" w:sz="4" w:space="0" w:color="auto"/>
              <w:bottom w:val="single" w:sz="4" w:space="0" w:color="auto"/>
            </w:tcBorders>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Any grade</w:t>
            </w:r>
          </w:p>
        </w:tc>
        <w:tc>
          <w:tcPr>
            <w:tcW w:w="513" w:type="pct"/>
            <w:tcBorders>
              <w:top w:val="single" w:sz="4" w:space="0" w:color="auto"/>
              <w:bottom w:val="single" w:sz="4" w:space="0" w:color="auto"/>
            </w:tcBorders>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Grade ≥3</w:t>
            </w:r>
          </w:p>
        </w:tc>
        <w:tc>
          <w:tcPr>
            <w:tcW w:w="561" w:type="pct"/>
            <w:tcBorders>
              <w:top w:val="single" w:sz="4" w:space="0" w:color="auto"/>
              <w:bottom w:val="single" w:sz="4" w:space="0" w:color="auto"/>
            </w:tcBorders>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Any grade</w:t>
            </w:r>
          </w:p>
        </w:tc>
        <w:tc>
          <w:tcPr>
            <w:tcW w:w="540" w:type="pct"/>
            <w:tcBorders>
              <w:top w:val="single" w:sz="4" w:space="0" w:color="auto"/>
              <w:bottom w:val="single" w:sz="4" w:space="0" w:color="auto"/>
            </w:tcBorders>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Grade ≥3</w:t>
            </w:r>
          </w:p>
        </w:tc>
        <w:tc>
          <w:tcPr>
            <w:tcW w:w="594" w:type="pct"/>
            <w:tcBorders>
              <w:top w:val="single" w:sz="4" w:space="0" w:color="auto"/>
              <w:bottom w:val="single" w:sz="4" w:space="0" w:color="auto"/>
            </w:tcBorders>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Any grade</w:t>
            </w:r>
          </w:p>
        </w:tc>
        <w:tc>
          <w:tcPr>
            <w:tcW w:w="540" w:type="pct"/>
            <w:tcBorders>
              <w:top w:val="single" w:sz="4" w:space="0" w:color="auto"/>
              <w:bottom w:val="single" w:sz="4" w:space="0" w:color="auto"/>
            </w:tcBorders>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Grade ≥3</w:t>
            </w:r>
          </w:p>
        </w:tc>
      </w:tr>
      <w:tr w:rsidR="00AB009B" w:rsidRPr="004D7C17" w:rsidTr="00BA2E97">
        <w:trPr>
          <w:trHeight w:val="139"/>
        </w:trPr>
        <w:tc>
          <w:tcPr>
            <w:tcW w:w="1691" w:type="pct"/>
            <w:tcBorders>
              <w:top w:val="single" w:sz="4" w:space="0" w:color="auto"/>
              <w:bottom w:val="nil"/>
            </w:tcBorders>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Anemia</w:t>
            </w:r>
          </w:p>
        </w:tc>
        <w:tc>
          <w:tcPr>
            <w:tcW w:w="561" w:type="pct"/>
            <w:tcBorders>
              <w:top w:val="single" w:sz="4" w:space="0" w:color="auto"/>
              <w:bottom w:val="nil"/>
            </w:tcBorders>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10 (58.8%)</w:t>
            </w:r>
          </w:p>
        </w:tc>
        <w:tc>
          <w:tcPr>
            <w:tcW w:w="513" w:type="pct"/>
            <w:tcBorders>
              <w:top w:val="single" w:sz="4" w:space="0" w:color="auto"/>
              <w:bottom w:val="nil"/>
            </w:tcBorders>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Borders>
              <w:top w:val="single" w:sz="4" w:space="0" w:color="auto"/>
              <w:bottom w:val="nil"/>
            </w:tcBorders>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3 (25.0%)</w:t>
            </w:r>
          </w:p>
        </w:tc>
        <w:tc>
          <w:tcPr>
            <w:tcW w:w="540" w:type="pct"/>
            <w:tcBorders>
              <w:top w:val="single" w:sz="4" w:space="0" w:color="auto"/>
              <w:bottom w:val="nil"/>
            </w:tcBorders>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Borders>
              <w:top w:val="single" w:sz="4" w:space="0" w:color="auto"/>
              <w:bottom w:val="nil"/>
            </w:tcBorders>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13 (81.3%)</w:t>
            </w:r>
          </w:p>
        </w:tc>
        <w:tc>
          <w:tcPr>
            <w:tcW w:w="540" w:type="pct"/>
            <w:tcBorders>
              <w:top w:val="single" w:sz="4" w:space="0" w:color="auto"/>
              <w:bottom w:val="nil"/>
            </w:tcBorders>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tcBorders>
              <w:top w:val="nil"/>
            </w:tcBorders>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Pyrexia</w:t>
            </w:r>
          </w:p>
        </w:tc>
        <w:tc>
          <w:tcPr>
            <w:tcW w:w="561" w:type="pct"/>
            <w:tcBorders>
              <w:top w:val="nil"/>
            </w:tcBorders>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6 (35.3%)</w:t>
            </w:r>
          </w:p>
        </w:tc>
        <w:tc>
          <w:tcPr>
            <w:tcW w:w="513" w:type="pct"/>
            <w:tcBorders>
              <w:top w:val="nil"/>
            </w:tcBorders>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Borders>
              <w:top w:val="nil"/>
            </w:tcBorders>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4 (33.3%) </w:t>
            </w:r>
          </w:p>
        </w:tc>
        <w:tc>
          <w:tcPr>
            <w:tcW w:w="540" w:type="pct"/>
            <w:tcBorders>
              <w:top w:val="nil"/>
            </w:tcBorders>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Borders>
              <w:top w:val="nil"/>
            </w:tcBorders>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3 (18.8%)</w:t>
            </w:r>
          </w:p>
        </w:tc>
        <w:tc>
          <w:tcPr>
            <w:tcW w:w="540" w:type="pct"/>
            <w:tcBorders>
              <w:top w:val="nil"/>
            </w:tcBorders>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Hypoalbuminemia</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6 (35.3%)</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(16.7%)</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6 (37.5%)</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Leukopenia</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cs="Times New Roman"/>
                <w:sz w:val="24"/>
                <w:szCs w:val="24"/>
              </w:rPr>
              <w:t>5 (29.4%)</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(5.9%)</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4 (33.3%) </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280"/>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Increased aspartate aminotransferase </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5 (29.4%)</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7 (58.3%)</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(8.3%)</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7 (43.8%)</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(6.3%)</w:t>
            </w:r>
          </w:p>
        </w:tc>
      </w:tr>
      <w:tr w:rsidR="00AB009B" w:rsidRPr="004D7C17" w:rsidTr="00BA2E97">
        <w:trPr>
          <w:trHeight w:val="139"/>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Elevated bilirubin</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4 (23.5%)</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(5.9%)</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8 (66.7%)</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(8.3%)</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(6.3%)</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Fatigue</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4 (23.5%)</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5 (31.3%)</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(6.3%)</w:t>
            </w:r>
          </w:p>
        </w:tc>
      </w:tr>
      <w:tr w:rsidR="00AB009B" w:rsidRPr="004D7C17" w:rsidTr="00BA2E97">
        <w:trPr>
          <w:trHeight w:val="139"/>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Proteinuria</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4 (23.5%)</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3 (25.0%)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5 (31.3%)</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Protein in urine</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4 (23.5%)</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8 (66.7%)</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(12.5%)</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Cough</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cs="Times New Roman"/>
                <w:sz w:val="24"/>
                <w:szCs w:val="24"/>
              </w:rPr>
              <w:t>4 (23.5%)</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Neutropenia</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3 (17.6%)</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(5.9%)</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(8.3%)</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Rash</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3 (17.6%)</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3 (25.0%)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Thrombocytopenia</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3 (17.6%)</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6 (50.0%)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5 (31.3%)</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275"/>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Increased alanine aminotransferase </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3 (17.6%)</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4 (33.3%) </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(16.7%)</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5 (31.3%)</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(12.5%)</w:t>
            </w:r>
          </w:p>
        </w:tc>
      </w:tr>
      <w:tr w:rsidR="00AB009B" w:rsidRPr="004D7C17" w:rsidTr="00BA2E97">
        <w:trPr>
          <w:trHeight w:val="135"/>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Increased blood creatinine</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3 (17.6%)</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10 (62.5%)</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(6.3%)</w:t>
            </w:r>
          </w:p>
        </w:tc>
      </w:tr>
      <w:tr w:rsidR="00AB009B" w:rsidRPr="004D7C17" w:rsidTr="00BA2E97">
        <w:trPr>
          <w:trHeight w:val="139"/>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lastRenderedPageBreak/>
              <w:t>Abdominal discomfort</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3 (17.6%)</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cs="Times New Roman"/>
                <w:color w:val="000000"/>
                <w:sz w:val="24"/>
                <w:szCs w:val="24"/>
              </w:rPr>
              <w:t>Intestinal obstruction</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(11.8%)</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(5.9%)</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cs="Times New Roman"/>
                <w:color w:val="000000"/>
                <w:sz w:val="24"/>
                <w:szCs w:val="24"/>
              </w:rPr>
              <w:t>Diarrhea</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(11.8%)</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(5.9%)</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(16.7%)</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3 (18.8%)</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Dizziness</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(11.8%)</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(5.9%)</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(16.7%)</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3 (18.8%)</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Peripheral edema</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(11.8%)</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5 (31.3%)</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Increased conjugated bilirubin</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(11.8%)</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7 (58.3%) </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(16.7%)</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(12.5%)</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Elevated alkaline phosphatase</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(11.8%)</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(16.7%)</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cs="Times New Roman"/>
                <w:color w:val="000000"/>
                <w:sz w:val="24"/>
                <w:szCs w:val="24"/>
              </w:rPr>
              <w:t>Epigastric pain</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(11.8%)</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cs="Times New Roman"/>
                <w:color w:val="000000"/>
                <w:sz w:val="24"/>
                <w:szCs w:val="24"/>
              </w:rPr>
              <w:t>Toothache</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(11.8%)</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Hypocalcemia</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(11.8%)</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(16.7%)</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3 (18.8%)</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Back pain</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(11.8%)</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Lumbar and rib pain</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(11.8%)</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Abnormal liver function</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(11.8%)</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Vomiting</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(5.9%)</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(5.9%)</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6 (50.0%)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8 (50.0%)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Nausea</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(5.9%)</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(5.9%)</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4 (33.3%) </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3 (18.8%)</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cs="Times New Roman"/>
                <w:color w:val="000000"/>
                <w:sz w:val="24"/>
                <w:szCs w:val="24"/>
              </w:rPr>
              <w:t>Elevated gamma-glutamyl transferase</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1 (5.9%) </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1 (5.9%) </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(16.7%)</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(8.3%)</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280"/>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Increased unconjugated bilirubin</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(5.9%)</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3 (25.0%)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Hyperglycemia</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(5.9%)</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(16.7%)</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4 (25.0%)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Hypokalemia</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(5.9%)</w:t>
            </w:r>
            <w:r w:rsidRPr="004D7C17">
              <w:rPr>
                <w:rFonts w:eastAsiaTheme="majorEastAsia" w:cs="Times New Roman"/>
                <w:kern w:val="0"/>
                <w:sz w:val="24"/>
                <w:szCs w:val="24"/>
              </w:rPr>
              <w:tab/>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3 (25.0%)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(8.3%)</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2 (12.5%) </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5"/>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Hyponatremia</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(5.9%)</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3 (25.0%)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6 (37.5%)</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(12.5%)</w:t>
            </w:r>
          </w:p>
        </w:tc>
      </w:tr>
      <w:tr w:rsidR="00AB009B" w:rsidRPr="004D7C17" w:rsidTr="00BA2E97">
        <w:trPr>
          <w:trHeight w:val="139"/>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lastRenderedPageBreak/>
              <w:t>Hypomagnesemia</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(5.9%)</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(16.7%)</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5 (31.3%)</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cs="Times New Roman"/>
                <w:color w:val="000000"/>
                <w:sz w:val="24"/>
                <w:szCs w:val="24"/>
              </w:rPr>
              <w:t>Elevated blood thyroid-stimulating hormone</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(5.9%)</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(16.7%)</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(12.5%)</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tcPr>
          <w:p w:rsidR="00AB009B" w:rsidRPr="004D7C17" w:rsidRDefault="00AB009B" w:rsidP="00BA2E97">
            <w:pPr>
              <w:adjustRightInd w:val="0"/>
              <w:snapToGrid w:val="0"/>
              <w:spacing w:line="360" w:lineRule="auto"/>
              <w:rPr>
                <w:rFonts w:cs="Times New Roman"/>
                <w:color w:val="000000"/>
                <w:sz w:val="24"/>
                <w:szCs w:val="24"/>
              </w:rPr>
            </w:pPr>
            <w:r w:rsidRPr="004D7C17">
              <w:rPr>
                <w:rFonts w:cs="Times New Roman"/>
                <w:color w:val="000000"/>
                <w:sz w:val="24"/>
                <w:szCs w:val="24"/>
              </w:rPr>
              <w:t>Decreased appetite</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1 (5.9%) </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(8.3%)</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3 (18.8%)</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tcPr>
          <w:p w:rsidR="00AB009B" w:rsidRPr="004D7C17" w:rsidRDefault="00AB009B" w:rsidP="00BA2E97">
            <w:pPr>
              <w:adjustRightInd w:val="0"/>
              <w:snapToGrid w:val="0"/>
              <w:spacing w:line="360" w:lineRule="auto"/>
              <w:rPr>
                <w:rFonts w:cs="Times New Roman"/>
                <w:color w:val="000000"/>
                <w:sz w:val="24"/>
                <w:szCs w:val="24"/>
              </w:rPr>
            </w:pPr>
            <w:r w:rsidRPr="004D7C17">
              <w:rPr>
                <w:rFonts w:cs="Times New Roman"/>
                <w:color w:val="000000"/>
                <w:sz w:val="24"/>
                <w:szCs w:val="24"/>
              </w:rPr>
              <w:t>Itching</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(5.9%)</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(12.5%)</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Hypophosphatemia</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(8.3%)</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5 (31.3%)</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Urinary tract infection</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3 (25.0%)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280"/>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Cytokine release syndrome</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4 (33.3%) </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(8.3%)</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5 (31.3%)</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(6.3%)</w:t>
            </w:r>
          </w:p>
        </w:tc>
      </w:tr>
      <w:tr w:rsidR="00AB009B" w:rsidRPr="004D7C17" w:rsidTr="00BA2E97">
        <w:trPr>
          <w:trHeight w:val="139"/>
        </w:trPr>
        <w:tc>
          <w:tcPr>
            <w:tcW w:w="169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cs="Times New Roman"/>
                <w:color w:val="000000"/>
                <w:sz w:val="24"/>
                <w:szCs w:val="24"/>
              </w:rPr>
              <w:t>Increased pro-brain natriuretic peptide N-terminal fragment</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(16.7%)</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cs="Times New Roman"/>
                <w:color w:val="000000"/>
                <w:sz w:val="24"/>
                <w:szCs w:val="24"/>
              </w:rPr>
              <w:t>Prolonged prothrombin time</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(16.7%)</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cs="Times New Roman"/>
                <w:color w:val="000000"/>
                <w:sz w:val="24"/>
                <w:szCs w:val="24"/>
              </w:rPr>
              <w:t>Elevated fibrin D-dimer</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(16.7%)</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cs="Times New Roman"/>
                <w:color w:val="000000"/>
                <w:sz w:val="24"/>
                <w:szCs w:val="24"/>
              </w:rPr>
              <w:t>Elevated creatine kinase MB</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(16.7%)</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cs="Times New Roman"/>
                <w:color w:val="000000"/>
                <w:sz w:val="24"/>
                <w:szCs w:val="24"/>
              </w:rPr>
              <w:t>Decreased free thyroxine</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(16.7%)</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cs="Times New Roman"/>
                <w:color w:val="000000"/>
                <w:sz w:val="24"/>
                <w:szCs w:val="24"/>
              </w:rPr>
              <w:t>Elevated lipase</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(16.7%)</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 xml:space="preserve">1 (8.3%) </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vAlign w:val="center"/>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Hyperthyroidism</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(16.7%)</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cs="Times New Roman"/>
                <w:color w:val="000000"/>
                <w:sz w:val="24"/>
                <w:szCs w:val="24"/>
              </w:rPr>
              <w:t>Decreased fibrinogen</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1 (8.3%)</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(12.5%)</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r>
      <w:tr w:rsidR="00AB009B" w:rsidRPr="004D7C17" w:rsidTr="00BA2E97">
        <w:trPr>
          <w:trHeight w:val="139"/>
        </w:trPr>
        <w:tc>
          <w:tcPr>
            <w:tcW w:w="1691" w:type="pct"/>
          </w:tcPr>
          <w:p w:rsidR="00AB009B" w:rsidRPr="004D7C17" w:rsidRDefault="00AB009B" w:rsidP="00BA2E97">
            <w:pPr>
              <w:adjustRightInd w:val="0"/>
              <w:snapToGrid w:val="0"/>
              <w:spacing w:line="360" w:lineRule="auto"/>
              <w:rPr>
                <w:rFonts w:cs="Times New Roman"/>
                <w:color w:val="000000"/>
                <w:sz w:val="24"/>
                <w:szCs w:val="24"/>
              </w:rPr>
            </w:pPr>
            <w:r w:rsidRPr="004D7C17">
              <w:rPr>
                <w:rFonts w:cs="Times New Roman"/>
                <w:color w:val="000000"/>
                <w:sz w:val="24"/>
                <w:szCs w:val="24"/>
              </w:rPr>
              <w:t>Death</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13"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61"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0</w:t>
            </w:r>
          </w:p>
        </w:tc>
        <w:tc>
          <w:tcPr>
            <w:tcW w:w="594"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(12.5%)</w:t>
            </w:r>
          </w:p>
        </w:tc>
        <w:tc>
          <w:tcPr>
            <w:tcW w:w="540" w:type="pct"/>
          </w:tcPr>
          <w:p w:rsidR="00AB009B" w:rsidRPr="004D7C17" w:rsidRDefault="00AB009B" w:rsidP="00BA2E97">
            <w:pPr>
              <w:adjustRightInd w:val="0"/>
              <w:snapToGrid w:val="0"/>
              <w:spacing w:line="360" w:lineRule="auto"/>
              <w:rPr>
                <w:rFonts w:eastAsiaTheme="majorEastAsia" w:cs="Times New Roman"/>
                <w:kern w:val="0"/>
                <w:sz w:val="24"/>
                <w:szCs w:val="24"/>
              </w:rPr>
            </w:pPr>
            <w:r w:rsidRPr="004D7C17">
              <w:rPr>
                <w:rFonts w:eastAsiaTheme="majorEastAsia" w:cs="Times New Roman"/>
                <w:kern w:val="0"/>
                <w:sz w:val="24"/>
                <w:szCs w:val="24"/>
              </w:rPr>
              <w:t>2 (12.5%)</w:t>
            </w:r>
          </w:p>
        </w:tc>
      </w:tr>
    </w:tbl>
    <w:p w:rsidR="00A04DD9" w:rsidRDefault="00A04DD9">
      <w:pPr>
        <w:jc w:val="left"/>
        <w:rPr>
          <w:rFonts w:cs="Times New Roman"/>
        </w:rPr>
      </w:pPr>
    </w:p>
    <w:p w:rsidR="00A04DD9" w:rsidRDefault="00A04DD9">
      <w:pPr>
        <w:jc w:val="left"/>
        <w:rPr>
          <w:rFonts w:cs="Times New Roman"/>
        </w:rPr>
      </w:pPr>
      <w:r>
        <w:rPr>
          <w:rFonts w:cs="Times New Roman"/>
        </w:rPr>
        <w:br w:type="page"/>
      </w:r>
    </w:p>
    <w:p w:rsidR="00A04DD9" w:rsidRPr="006E6F23" w:rsidRDefault="00A04DD9" w:rsidP="00A04DD9">
      <w:pPr>
        <w:spacing w:line="360" w:lineRule="auto"/>
        <w:rPr>
          <w:rFonts w:cs="Times New Roman"/>
          <w:b/>
          <w:kern w:val="0"/>
          <w:sz w:val="24"/>
          <w:szCs w:val="24"/>
        </w:rPr>
      </w:pPr>
      <w:r w:rsidRPr="006E6F23">
        <w:rPr>
          <w:rFonts w:cs="Times New Roman"/>
          <w:b/>
          <w:kern w:val="0"/>
          <w:sz w:val="24"/>
          <w:szCs w:val="24"/>
        </w:rPr>
        <w:lastRenderedPageBreak/>
        <w:t>Tabl</w:t>
      </w:r>
      <w:r w:rsidRPr="00D54B2A">
        <w:rPr>
          <w:rFonts w:cs="Times New Roman"/>
          <w:b/>
          <w:kern w:val="0"/>
          <w:sz w:val="24"/>
          <w:szCs w:val="24"/>
        </w:rPr>
        <w:t xml:space="preserve">e </w:t>
      </w:r>
      <w:r>
        <w:rPr>
          <w:rFonts w:cs="Times New Roman" w:hint="eastAsia"/>
          <w:b/>
          <w:kern w:val="0"/>
          <w:sz w:val="24"/>
          <w:szCs w:val="24"/>
        </w:rPr>
        <w:t>S4</w:t>
      </w:r>
      <w:r w:rsidRPr="00D54B2A">
        <w:rPr>
          <w:rFonts w:cs="Times New Roman"/>
          <w:b/>
          <w:kern w:val="0"/>
          <w:sz w:val="24"/>
          <w:szCs w:val="24"/>
        </w:rPr>
        <w:t>. PK pro</w:t>
      </w:r>
      <w:r w:rsidRPr="006E6F23">
        <w:rPr>
          <w:rFonts w:cs="Times New Roman"/>
          <w:b/>
          <w:kern w:val="0"/>
          <w:sz w:val="24"/>
          <w:szCs w:val="24"/>
        </w:rPr>
        <w:t xml:space="preserve">file of RMX1002 as monotherapy </w:t>
      </w:r>
      <w:r w:rsidRPr="006E6F23">
        <w:rPr>
          <w:rFonts w:eastAsiaTheme="majorEastAsia" w:cs="Times New Roman"/>
          <w:b/>
          <w:kern w:val="0"/>
          <w:sz w:val="24"/>
          <w:szCs w:val="24"/>
        </w:rPr>
        <w:t>or</w:t>
      </w:r>
      <w:r w:rsidRPr="006E6F23">
        <w:rPr>
          <w:rFonts w:cs="Times New Roman"/>
          <w:b/>
          <w:kern w:val="0"/>
          <w:sz w:val="24"/>
          <w:szCs w:val="24"/>
        </w:rPr>
        <w:t xml:space="preserve"> in combination with </w:t>
      </w:r>
      <w:r w:rsidRPr="006E6F23">
        <w:rPr>
          <w:rFonts w:eastAsiaTheme="majorEastAsia" w:cs="Times New Roman"/>
          <w:b/>
          <w:kern w:val="0"/>
          <w:sz w:val="24"/>
          <w:szCs w:val="24"/>
        </w:rPr>
        <w:t>toripalimab</w:t>
      </w:r>
    </w:p>
    <w:tbl>
      <w:tblPr>
        <w:tblStyle w:val="a3"/>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8"/>
        <w:gridCol w:w="1552"/>
        <w:gridCol w:w="1552"/>
        <w:gridCol w:w="1552"/>
        <w:gridCol w:w="1552"/>
        <w:gridCol w:w="1558"/>
        <w:gridCol w:w="1552"/>
        <w:gridCol w:w="1552"/>
      </w:tblGrid>
      <w:tr w:rsidR="00A04DD9" w:rsidRPr="006E6F23" w:rsidTr="00086813">
        <w:trPr>
          <w:trHeight w:val="70"/>
        </w:trPr>
        <w:tc>
          <w:tcPr>
            <w:tcW w:w="1106" w:type="pct"/>
            <w:tcBorders>
              <w:bottom w:val="single" w:sz="4" w:space="0" w:color="auto"/>
            </w:tcBorders>
          </w:tcPr>
          <w:p w:rsidR="00A04DD9" w:rsidRPr="006E6F23" w:rsidRDefault="00A04DD9" w:rsidP="00086813">
            <w:pPr>
              <w:adjustRightInd w:val="0"/>
              <w:snapToGrid w:val="0"/>
              <w:spacing w:line="360" w:lineRule="auto"/>
              <w:rPr>
                <w:rFonts w:eastAsiaTheme="majorEastAsia" w:cs="Times New Roman"/>
                <w:kern w:val="0"/>
                <w:sz w:val="20"/>
                <w:szCs w:val="20"/>
              </w:rPr>
            </w:pPr>
            <w:r w:rsidRPr="006E6F23">
              <w:rPr>
                <w:rFonts w:eastAsiaTheme="majorEastAsia" w:cs="Times New Roman"/>
                <w:kern w:val="0"/>
                <w:sz w:val="20"/>
                <w:szCs w:val="20"/>
              </w:rPr>
              <w:t>PK parameters</w:t>
            </w:r>
          </w:p>
        </w:tc>
        <w:tc>
          <w:tcPr>
            <w:tcW w:w="2782" w:type="pct"/>
            <w:gridSpan w:val="5"/>
            <w:tcBorders>
              <w:bottom w:val="single" w:sz="4" w:space="0" w:color="auto"/>
            </w:tcBorders>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Ia</w:t>
            </w:r>
          </w:p>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(N=17)</w:t>
            </w:r>
          </w:p>
        </w:tc>
        <w:tc>
          <w:tcPr>
            <w:tcW w:w="1112" w:type="pct"/>
            <w:gridSpan w:val="2"/>
            <w:tcBorders>
              <w:bottom w:val="single" w:sz="4" w:space="0" w:color="auto"/>
            </w:tcBorders>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Ib+Ic</w:t>
            </w:r>
          </w:p>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(N=28)</w:t>
            </w:r>
          </w:p>
        </w:tc>
      </w:tr>
      <w:tr w:rsidR="00A04DD9" w:rsidRPr="006E6F23" w:rsidTr="00086813">
        <w:trPr>
          <w:trHeight w:val="143"/>
        </w:trPr>
        <w:tc>
          <w:tcPr>
            <w:tcW w:w="1106" w:type="pct"/>
            <w:tcBorders>
              <w:top w:val="single" w:sz="4" w:space="0" w:color="auto"/>
              <w:bottom w:val="single" w:sz="4" w:space="0" w:color="auto"/>
            </w:tcBorders>
          </w:tcPr>
          <w:p w:rsidR="00A04DD9" w:rsidRPr="006E6F23" w:rsidRDefault="00A04DD9" w:rsidP="00086813">
            <w:pPr>
              <w:adjustRightInd w:val="0"/>
              <w:snapToGrid w:val="0"/>
              <w:spacing w:line="360" w:lineRule="auto"/>
              <w:rPr>
                <w:rFonts w:eastAsiaTheme="majorEastAsia" w:cs="Times New Roman"/>
                <w:kern w:val="0"/>
                <w:sz w:val="20"/>
                <w:szCs w:val="20"/>
              </w:rPr>
            </w:pPr>
          </w:p>
        </w:tc>
        <w:tc>
          <w:tcPr>
            <w:tcW w:w="556" w:type="pct"/>
            <w:tcBorders>
              <w:top w:val="single" w:sz="4" w:space="0" w:color="auto"/>
              <w:bottom w:val="single" w:sz="4" w:space="0" w:color="auto"/>
            </w:tcBorders>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200 mg BID</w:t>
            </w:r>
          </w:p>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(N=1)</w:t>
            </w:r>
          </w:p>
        </w:tc>
        <w:tc>
          <w:tcPr>
            <w:tcW w:w="556" w:type="pct"/>
            <w:tcBorders>
              <w:top w:val="single" w:sz="4" w:space="0" w:color="auto"/>
              <w:bottom w:val="single" w:sz="4" w:space="0" w:color="auto"/>
            </w:tcBorders>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300 mg BID</w:t>
            </w:r>
          </w:p>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(N=3)</w:t>
            </w:r>
          </w:p>
        </w:tc>
        <w:tc>
          <w:tcPr>
            <w:tcW w:w="556" w:type="pct"/>
            <w:tcBorders>
              <w:top w:val="single" w:sz="4" w:space="0" w:color="auto"/>
              <w:bottom w:val="single" w:sz="4" w:space="0" w:color="auto"/>
            </w:tcBorders>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400 mg BID</w:t>
            </w:r>
          </w:p>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(N=4)</w:t>
            </w:r>
          </w:p>
        </w:tc>
        <w:tc>
          <w:tcPr>
            <w:tcW w:w="556" w:type="pct"/>
            <w:tcBorders>
              <w:top w:val="single" w:sz="4" w:space="0" w:color="auto"/>
              <w:bottom w:val="single" w:sz="4" w:space="0" w:color="auto"/>
            </w:tcBorders>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500 mg BID</w:t>
            </w:r>
          </w:p>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(N=3)</w:t>
            </w:r>
          </w:p>
        </w:tc>
        <w:tc>
          <w:tcPr>
            <w:tcW w:w="557" w:type="pct"/>
            <w:tcBorders>
              <w:top w:val="single" w:sz="4" w:space="0" w:color="auto"/>
              <w:bottom w:val="single" w:sz="4" w:space="0" w:color="auto"/>
            </w:tcBorders>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650 mg BID</w:t>
            </w:r>
          </w:p>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(N=6)</w:t>
            </w:r>
          </w:p>
        </w:tc>
        <w:tc>
          <w:tcPr>
            <w:tcW w:w="556" w:type="pct"/>
            <w:tcBorders>
              <w:top w:val="single" w:sz="4" w:space="0" w:color="auto"/>
              <w:bottom w:val="single" w:sz="4" w:space="0" w:color="auto"/>
            </w:tcBorders>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500 mg BID</w:t>
            </w:r>
          </w:p>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(N=23)</w:t>
            </w:r>
          </w:p>
        </w:tc>
        <w:tc>
          <w:tcPr>
            <w:tcW w:w="556" w:type="pct"/>
            <w:tcBorders>
              <w:top w:val="single" w:sz="4" w:space="0" w:color="auto"/>
              <w:bottom w:val="single" w:sz="4" w:space="0" w:color="auto"/>
            </w:tcBorders>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650 mg BID</w:t>
            </w:r>
          </w:p>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(N=5)</w:t>
            </w:r>
          </w:p>
        </w:tc>
      </w:tr>
      <w:tr w:rsidR="00A04DD9" w:rsidRPr="006E6F23" w:rsidTr="00086813">
        <w:trPr>
          <w:trHeight w:val="38"/>
        </w:trPr>
        <w:tc>
          <w:tcPr>
            <w:tcW w:w="1106" w:type="pct"/>
            <w:tcBorders>
              <w:top w:val="single" w:sz="4" w:space="0" w:color="auto"/>
            </w:tcBorders>
          </w:tcPr>
          <w:p w:rsidR="00A04DD9" w:rsidRPr="006E6F23" w:rsidRDefault="00A04DD9" w:rsidP="00086813">
            <w:pPr>
              <w:adjustRightInd w:val="0"/>
              <w:snapToGrid w:val="0"/>
              <w:spacing w:line="360" w:lineRule="auto"/>
              <w:rPr>
                <w:rFonts w:eastAsiaTheme="majorEastAsia" w:cs="Times New Roman"/>
                <w:kern w:val="0"/>
                <w:sz w:val="20"/>
                <w:szCs w:val="20"/>
              </w:rPr>
            </w:pPr>
            <w:r w:rsidRPr="006E6F23">
              <w:rPr>
                <w:rFonts w:eastAsiaTheme="majorEastAsia" w:cs="Times New Roman"/>
                <w:kern w:val="0"/>
                <w:sz w:val="20"/>
                <w:szCs w:val="20"/>
              </w:rPr>
              <w:t>C</w:t>
            </w:r>
            <w:r w:rsidRPr="006E6F23">
              <w:rPr>
                <w:rFonts w:eastAsiaTheme="majorEastAsia" w:cs="Times New Roman"/>
                <w:kern w:val="0"/>
                <w:sz w:val="20"/>
                <w:szCs w:val="20"/>
                <w:vertAlign w:val="subscript"/>
              </w:rPr>
              <w:t xml:space="preserve">max </w:t>
            </w:r>
            <w:r w:rsidRPr="006E6F23">
              <w:rPr>
                <w:rFonts w:eastAsiaTheme="majorEastAsia" w:cs="Times New Roman"/>
                <w:kern w:val="0"/>
                <w:sz w:val="20"/>
                <w:szCs w:val="20"/>
              </w:rPr>
              <w:t>(ng/mL)</w:t>
            </w:r>
          </w:p>
        </w:tc>
        <w:tc>
          <w:tcPr>
            <w:tcW w:w="556" w:type="pct"/>
            <w:tcBorders>
              <w:top w:val="single" w:sz="4" w:space="0" w:color="auto"/>
            </w:tcBorders>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3740</w:t>
            </w:r>
          </w:p>
        </w:tc>
        <w:tc>
          <w:tcPr>
            <w:tcW w:w="556" w:type="pct"/>
            <w:tcBorders>
              <w:top w:val="single" w:sz="4" w:space="0" w:color="auto"/>
            </w:tcBorders>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9100</w:t>
            </w:r>
          </w:p>
        </w:tc>
        <w:tc>
          <w:tcPr>
            <w:tcW w:w="556" w:type="pct"/>
            <w:tcBorders>
              <w:top w:val="single" w:sz="4" w:space="0" w:color="auto"/>
            </w:tcBorders>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13100</w:t>
            </w:r>
          </w:p>
        </w:tc>
        <w:tc>
          <w:tcPr>
            <w:tcW w:w="556" w:type="pct"/>
            <w:tcBorders>
              <w:top w:val="single" w:sz="4" w:space="0" w:color="auto"/>
            </w:tcBorders>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36900</w:t>
            </w:r>
          </w:p>
        </w:tc>
        <w:tc>
          <w:tcPr>
            <w:tcW w:w="557" w:type="pct"/>
            <w:tcBorders>
              <w:top w:val="single" w:sz="4" w:space="0" w:color="auto"/>
            </w:tcBorders>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44900</w:t>
            </w:r>
          </w:p>
        </w:tc>
        <w:tc>
          <w:tcPr>
            <w:tcW w:w="556" w:type="pct"/>
            <w:tcBorders>
              <w:top w:val="single" w:sz="4" w:space="0" w:color="auto"/>
            </w:tcBorders>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25800</w:t>
            </w:r>
          </w:p>
        </w:tc>
        <w:tc>
          <w:tcPr>
            <w:tcW w:w="556" w:type="pct"/>
            <w:tcBorders>
              <w:top w:val="single" w:sz="4" w:space="0" w:color="auto"/>
            </w:tcBorders>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22800</w:t>
            </w:r>
          </w:p>
        </w:tc>
      </w:tr>
      <w:tr w:rsidR="00A04DD9" w:rsidRPr="006E6F23" w:rsidTr="00086813">
        <w:trPr>
          <w:trHeight w:val="38"/>
        </w:trPr>
        <w:tc>
          <w:tcPr>
            <w:tcW w:w="1106" w:type="pct"/>
          </w:tcPr>
          <w:p w:rsidR="00A04DD9" w:rsidRPr="006E6F23" w:rsidRDefault="00A04DD9" w:rsidP="00086813">
            <w:pPr>
              <w:adjustRightInd w:val="0"/>
              <w:snapToGrid w:val="0"/>
              <w:spacing w:line="360" w:lineRule="auto"/>
              <w:rPr>
                <w:rFonts w:eastAsiaTheme="majorEastAsia" w:cs="Times New Roman"/>
                <w:kern w:val="0"/>
                <w:sz w:val="20"/>
                <w:szCs w:val="20"/>
              </w:rPr>
            </w:pPr>
            <w:r w:rsidRPr="006E6F23">
              <w:rPr>
                <w:rFonts w:eastAsiaTheme="majorEastAsia" w:cs="Times New Roman"/>
                <w:kern w:val="0"/>
                <w:sz w:val="20"/>
                <w:szCs w:val="20"/>
              </w:rPr>
              <w:t>T</w:t>
            </w:r>
            <w:r w:rsidRPr="006E6F23">
              <w:rPr>
                <w:rFonts w:eastAsiaTheme="majorEastAsia" w:cs="Times New Roman"/>
                <w:kern w:val="0"/>
                <w:sz w:val="20"/>
                <w:szCs w:val="20"/>
                <w:vertAlign w:val="subscript"/>
              </w:rPr>
              <w:t>max</w:t>
            </w:r>
            <w:r w:rsidRPr="006E6F23">
              <w:rPr>
                <w:rFonts w:eastAsiaTheme="majorEastAsia" w:cs="Times New Roman"/>
                <w:kern w:val="0"/>
                <w:sz w:val="20"/>
                <w:szCs w:val="20"/>
              </w:rPr>
              <w:t xml:space="preserve"> (h)</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1.980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2.323</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4.475</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2.310</w:t>
            </w:r>
          </w:p>
        </w:tc>
        <w:tc>
          <w:tcPr>
            <w:tcW w:w="557"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2.480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cs="Times New Roman"/>
                <w:sz w:val="20"/>
                <w:szCs w:val="20"/>
              </w:rPr>
              <w:t>2.510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cs="Times New Roman"/>
                <w:sz w:val="20"/>
                <w:szCs w:val="20"/>
              </w:rPr>
              <w:t>3.982</w:t>
            </w:r>
          </w:p>
        </w:tc>
      </w:tr>
      <w:tr w:rsidR="00A04DD9" w:rsidRPr="006E6F23" w:rsidTr="00086813">
        <w:trPr>
          <w:trHeight w:val="34"/>
        </w:trPr>
        <w:tc>
          <w:tcPr>
            <w:tcW w:w="1106" w:type="pct"/>
          </w:tcPr>
          <w:p w:rsidR="00A04DD9" w:rsidRPr="006E6F23" w:rsidRDefault="00A04DD9" w:rsidP="00086813">
            <w:pPr>
              <w:adjustRightInd w:val="0"/>
              <w:snapToGrid w:val="0"/>
              <w:spacing w:line="360" w:lineRule="auto"/>
              <w:rPr>
                <w:rFonts w:eastAsiaTheme="majorEastAsia" w:cs="Times New Roman"/>
                <w:kern w:val="0"/>
                <w:sz w:val="20"/>
                <w:szCs w:val="20"/>
              </w:rPr>
            </w:pPr>
            <w:r w:rsidRPr="006E6F23">
              <w:rPr>
                <w:rFonts w:eastAsiaTheme="majorEastAsia" w:cs="Times New Roman"/>
                <w:kern w:val="0"/>
                <w:sz w:val="20"/>
                <w:szCs w:val="20"/>
              </w:rPr>
              <w:t>T</w:t>
            </w:r>
            <w:r w:rsidRPr="006E6F23">
              <w:rPr>
                <w:rFonts w:eastAsiaTheme="majorEastAsia" w:cs="Times New Roman"/>
                <w:kern w:val="0"/>
                <w:sz w:val="20"/>
                <w:szCs w:val="20"/>
                <w:vertAlign w:val="subscript"/>
              </w:rPr>
              <w:t>1/2</w:t>
            </w:r>
            <w:r w:rsidRPr="006E6F23">
              <w:rPr>
                <w:rFonts w:eastAsiaTheme="majorEastAsia" w:cs="Times New Roman"/>
                <w:kern w:val="0"/>
                <w:sz w:val="20"/>
                <w:szCs w:val="20"/>
              </w:rPr>
              <w:t xml:space="preserve"> (h)</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3.670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3.463</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2.465</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2.540</w:t>
            </w:r>
          </w:p>
        </w:tc>
        <w:tc>
          <w:tcPr>
            <w:tcW w:w="557"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2.355</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cs="Times New Roman"/>
                <w:sz w:val="20"/>
                <w:szCs w:val="20"/>
              </w:rPr>
              <w:t>2.895</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cs="Times New Roman"/>
                <w:sz w:val="20"/>
                <w:szCs w:val="20"/>
              </w:rPr>
              <w:t>2.496</w:t>
            </w:r>
          </w:p>
        </w:tc>
      </w:tr>
      <w:tr w:rsidR="00A04DD9" w:rsidRPr="006E6F23" w:rsidTr="00086813">
        <w:trPr>
          <w:trHeight w:val="120"/>
        </w:trPr>
        <w:tc>
          <w:tcPr>
            <w:tcW w:w="1106" w:type="pct"/>
          </w:tcPr>
          <w:p w:rsidR="00A04DD9" w:rsidRPr="006E6F23" w:rsidRDefault="00A04DD9" w:rsidP="00086813">
            <w:pPr>
              <w:adjustRightInd w:val="0"/>
              <w:snapToGrid w:val="0"/>
              <w:spacing w:line="360" w:lineRule="auto"/>
              <w:rPr>
                <w:rFonts w:eastAsiaTheme="majorEastAsia" w:cs="Times New Roman"/>
                <w:kern w:val="0"/>
                <w:sz w:val="20"/>
                <w:szCs w:val="20"/>
              </w:rPr>
            </w:pPr>
            <w:r w:rsidRPr="006E6F23">
              <w:rPr>
                <w:rFonts w:eastAsiaTheme="majorEastAsia" w:cs="Times New Roman"/>
                <w:kern w:val="0"/>
                <w:sz w:val="20"/>
                <w:szCs w:val="20"/>
              </w:rPr>
              <w:t>AUC</w:t>
            </w:r>
            <w:r w:rsidRPr="006E6F23">
              <w:rPr>
                <w:rFonts w:eastAsiaTheme="majorEastAsia" w:cs="Times New Roman"/>
                <w:kern w:val="0"/>
                <w:sz w:val="20"/>
                <w:szCs w:val="20"/>
                <w:vertAlign w:val="subscript"/>
              </w:rPr>
              <w:t>0-t</w:t>
            </w:r>
            <w:r w:rsidRPr="006E6F23">
              <w:rPr>
                <w:rFonts w:eastAsiaTheme="majorEastAsia" w:cs="Times New Roman"/>
                <w:kern w:val="0"/>
                <w:sz w:val="20"/>
                <w:szCs w:val="20"/>
              </w:rPr>
              <w:t xml:space="preserve"> (h*ng/mL)</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17700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33500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53700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110000</w:t>
            </w:r>
          </w:p>
        </w:tc>
        <w:tc>
          <w:tcPr>
            <w:tcW w:w="557"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176000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92700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93500</w:t>
            </w:r>
          </w:p>
        </w:tc>
      </w:tr>
      <w:tr w:rsidR="00A04DD9" w:rsidRPr="006E6F23" w:rsidTr="00086813">
        <w:trPr>
          <w:trHeight w:val="38"/>
        </w:trPr>
        <w:tc>
          <w:tcPr>
            <w:tcW w:w="1106" w:type="pct"/>
          </w:tcPr>
          <w:p w:rsidR="00A04DD9" w:rsidRPr="006E6F23" w:rsidRDefault="00A04DD9" w:rsidP="00086813">
            <w:pPr>
              <w:adjustRightInd w:val="0"/>
              <w:snapToGrid w:val="0"/>
              <w:spacing w:line="360" w:lineRule="auto"/>
              <w:rPr>
                <w:rFonts w:eastAsiaTheme="majorEastAsia" w:cs="Times New Roman"/>
                <w:kern w:val="0"/>
                <w:sz w:val="20"/>
                <w:szCs w:val="20"/>
              </w:rPr>
            </w:pPr>
            <w:r w:rsidRPr="006E6F23">
              <w:rPr>
                <w:rFonts w:eastAsiaTheme="majorEastAsia" w:cs="Times New Roman"/>
                <w:kern w:val="0"/>
                <w:sz w:val="20"/>
                <w:szCs w:val="20"/>
              </w:rPr>
              <w:t>AUC</w:t>
            </w:r>
            <w:r w:rsidRPr="006E6F23">
              <w:rPr>
                <w:rFonts w:eastAsiaTheme="majorEastAsia" w:cs="Times New Roman"/>
                <w:kern w:val="0"/>
                <w:sz w:val="20"/>
                <w:szCs w:val="20"/>
                <w:vertAlign w:val="subscript"/>
              </w:rPr>
              <w:t>0-∞</w:t>
            </w:r>
            <w:r w:rsidRPr="006E6F23">
              <w:rPr>
                <w:rFonts w:eastAsiaTheme="majorEastAsia" w:cs="Times New Roman"/>
                <w:kern w:val="0"/>
                <w:sz w:val="20"/>
                <w:szCs w:val="20"/>
              </w:rPr>
              <w:t xml:space="preserve"> (h*ng/mL)</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19700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36800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58000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113000</w:t>
            </w:r>
          </w:p>
        </w:tc>
        <w:tc>
          <w:tcPr>
            <w:tcW w:w="557"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183000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99700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97600</w:t>
            </w:r>
          </w:p>
        </w:tc>
      </w:tr>
      <w:tr w:rsidR="00A04DD9" w:rsidRPr="006E6F23" w:rsidTr="00086813">
        <w:trPr>
          <w:trHeight w:val="38"/>
        </w:trPr>
        <w:tc>
          <w:tcPr>
            <w:tcW w:w="1106" w:type="pct"/>
          </w:tcPr>
          <w:p w:rsidR="00A04DD9" w:rsidRPr="006E6F23" w:rsidRDefault="00A04DD9" w:rsidP="00086813">
            <w:pPr>
              <w:adjustRightInd w:val="0"/>
              <w:snapToGrid w:val="0"/>
              <w:spacing w:line="360" w:lineRule="auto"/>
              <w:rPr>
                <w:rFonts w:eastAsiaTheme="majorEastAsia" w:cs="Times New Roman"/>
                <w:kern w:val="0"/>
                <w:sz w:val="20"/>
                <w:szCs w:val="20"/>
              </w:rPr>
            </w:pPr>
            <w:r w:rsidRPr="006E6F23">
              <w:rPr>
                <w:rFonts w:eastAsiaTheme="majorEastAsia" w:cs="Times New Roman"/>
                <w:kern w:val="0"/>
                <w:sz w:val="20"/>
                <w:szCs w:val="20"/>
              </w:rPr>
              <w:t>C</w:t>
            </w:r>
            <w:r w:rsidRPr="006E6F23">
              <w:rPr>
                <w:rFonts w:eastAsiaTheme="majorEastAsia" w:cs="Times New Roman"/>
                <w:kern w:val="0"/>
                <w:sz w:val="20"/>
                <w:szCs w:val="20"/>
                <w:vertAlign w:val="subscript"/>
              </w:rPr>
              <w:t>max</w:t>
            </w:r>
            <w:r w:rsidRPr="006E6F23">
              <w:rPr>
                <w:rFonts w:eastAsiaTheme="majorEastAsia" w:cs="Times New Roman"/>
                <w:kern w:val="0"/>
                <w:sz w:val="20"/>
                <w:szCs w:val="20"/>
              </w:rPr>
              <w:t>,ss (ng/mL)</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4370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6910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13000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27800</w:t>
            </w:r>
          </w:p>
        </w:tc>
        <w:tc>
          <w:tcPr>
            <w:tcW w:w="557"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40900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31700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23900</w:t>
            </w:r>
          </w:p>
        </w:tc>
      </w:tr>
      <w:tr w:rsidR="00A04DD9" w:rsidRPr="006E6F23" w:rsidTr="00086813">
        <w:trPr>
          <w:trHeight w:val="244"/>
        </w:trPr>
        <w:tc>
          <w:tcPr>
            <w:tcW w:w="1106" w:type="pct"/>
          </w:tcPr>
          <w:p w:rsidR="00A04DD9" w:rsidRPr="006E6F23" w:rsidRDefault="00A04DD9" w:rsidP="00086813">
            <w:pPr>
              <w:adjustRightInd w:val="0"/>
              <w:snapToGrid w:val="0"/>
              <w:spacing w:line="360" w:lineRule="auto"/>
              <w:rPr>
                <w:rFonts w:eastAsiaTheme="majorEastAsia" w:cs="Times New Roman"/>
                <w:kern w:val="0"/>
                <w:sz w:val="20"/>
                <w:szCs w:val="20"/>
              </w:rPr>
            </w:pPr>
            <w:r w:rsidRPr="006E6F23">
              <w:rPr>
                <w:rFonts w:eastAsiaTheme="majorEastAsia" w:cs="Times New Roman"/>
                <w:kern w:val="0"/>
                <w:sz w:val="20"/>
                <w:szCs w:val="20"/>
              </w:rPr>
              <w:t>T</w:t>
            </w:r>
            <w:r w:rsidRPr="006E6F23">
              <w:rPr>
                <w:rFonts w:eastAsiaTheme="majorEastAsia" w:cs="Times New Roman"/>
                <w:kern w:val="0"/>
                <w:sz w:val="20"/>
                <w:szCs w:val="20"/>
                <w:vertAlign w:val="subscript"/>
              </w:rPr>
              <w:t>max</w:t>
            </w:r>
            <w:r w:rsidRPr="006E6F23">
              <w:rPr>
                <w:rFonts w:eastAsiaTheme="majorEastAsia" w:cs="Times New Roman"/>
                <w:kern w:val="0"/>
                <w:sz w:val="20"/>
                <w:szCs w:val="20"/>
              </w:rPr>
              <w:t>,ss (h)</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2.030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3.007</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3.667</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2.970</w:t>
            </w:r>
          </w:p>
        </w:tc>
        <w:tc>
          <w:tcPr>
            <w:tcW w:w="557"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1.975</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cs="Times New Roman"/>
                <w:kern w:val="0"/>
                <w:sz w:val="20"/>
                <w:szCs w:val="20"/>
              </w:rPr>
              <w:t>3.069</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cs="Times New Roman"/>
                <w:kern w:val="0"/>
                <w:sz w:val="20"/>
                <w:szCs w:val="20"/>
              </w:rPr>
              <w:t>2.800</w:t>
            </w:r>
          </w:p>
        </w:tc>
      </w:tr>
      <w:tr w:rsidR="00A04DD9" w:rsidRPr="006E6F23" w:rsidTr="00086813">
        <w:trPr>
          <w:trHeight w:val="38"/>
        </w:trPr>
        <w:tc>
          <w:tcPr>
            <w:tcW w:w="1106" w:type="pct"/>
          </w:tcPr>
          <w:p w:rsidR="00A04DD9" w:rsidRPr="006E6F23" w:rsidRDefault="00A04DD9" w:rsidP="00086813">
            <w:pPr>
              <w:adjustRightInd w:val="0"/>
              <w:snapToGrid w:val="0"/>
              <w:spacing w:line="360" w:lineRule="auto"/>
              <w:rPr>
                <w:rFonts w:cs="Times New Roman"/>
                <w:sz w:val="20"/>
                <w:szCs w:val="20"/>
              </w:rPr>
            </w:pPr>
            <w:r w:rsidRPr="006E6F23">
              <w:rPr>
                <w:rFonts w:cs="Times New Roman"/>
                <w:sz w:val="20"/>
                <w:szCs w:val="20"/>
              </w:rPr>
              <w:t>T</w:t>
            </w:r>
            <w:r w:rsidRPr="006E6F23">
              <w:rPr>
                <w:rFonts w:eastAsiaTheme="majorEastAsia" w:cs="Times New Roman"/>
                <w:kern w:val="0"/>
                <w:sz w:val="20"/>
                <w:szCs w:val="20"/>
                <w:vertAlign w:val="subscript"/>
              </w:rPr>
              <w:t>1/2</w:t>
            </w:r>
            <w:r w:rsidRPr="006E6F23">
              <w:rPr>
                <w:rFonts w:cs="Times New Roman"/>
                <w:sz w:val="20"/>
                <w:szCs w:val="20"/>
              </w:rPr>
              <w:t>, ss (h)</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2.660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3.677</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2.620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2.233</w:t>
            </w:r>
          </w:p>
        </w:tc>
        <w:tc>
          <w:tcPr>
            <w:tcW w:w="557"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2.705</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cs="Times New Roman"/>
                <w:kern w:val="0"/>
                <w:sz w:val="20"/>
                <w:szCs w:val="20"/>
              </w:rPr>
              <w:t>3.006</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cs="Times New Roman"/>
                <w:kern w:val="0"/>
                <w:sz w:val="20"/>
                <w:szCs w:val="20"/>
              </w:rPr>
              <w:t>2.348</w:t>
            </w:r>
          </w:p>
        </w:tc>
      </w:tr>
      <w:tr w:rsidR="00A04DD9" w:rsidRPr="006E6F23" w:rsidTr="00086813">
        <w:trPr>
          <w:trHeight w:val="38"/>
        </w:trPr>
        <w:tc>
          <w:tcPr>
            <w:tcW w:w="1106" w:type="pct"/>
          </w:tcPr>
          <w:p w:rsidR="00A04DD9" w:rsidRPr="006E6F23" w:rsidRDefault="00A04DD9" w:rsidP="00086813">
            <w:pPr>
              <w:adjustRightInd w:val="0"/>
              <w:snapToGrid w:val="0"/>
              <w:spacing w:line="360" w:lineRule="auto"/>
              <w:rPr>
                <w:rFonts w:cs="Times New Roman"/>
                <w:sz w:val="20"/>
                <w:szCs w:val="20"/>
              </w:rPr>
            </w:pPr>
            <w:r w:rsidRPr="006E6F23">
              <w:rPr>
                <w:rFonts w:cs="Times New Roman"/>
                <w:sz w:val="20"/>
                <w:szCs w:val="20"/>
              </w:rPr>
              <w:t>AUC</w:t>
            </w:r>
            <w:r w:rsidRPr="006E6F23">
              <w:rPr>
                <w:rFonts w:eastAsiaTheme="majorEastAsia" w:cs="Times New Roman"/>
                <w:kern w:val="0"/>
                <w:sz w:val="20"/>
                <w:szCs w:val="20"/>
                <w:vertAlign w:val="subscript"/>
              </w:rPr>
              <w:t>0-t</w:t>
            </w:r>
            <w:r w:rsidRPr="006E6F23">
              <w:rPr>
                <w:rFonts w:cs="Times New Roman"/>
                <w:sz w:val="20"/>
                <w:szCs w:val="20"/>
              </w:rPr>
              <w:t>,ss (h*ng/mL)</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22800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36000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72900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110000</w:t>
            </w:r>
          </w:p>
        </w:tc>
        <w:tc>
          <w:tcPr>
            <w:tcW w:w="557"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167000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cs="Times New Roman"/>
                <w:kern w:val="0"/>
                <w:sz w:val="20"/>
                <w:szCs w:val="20"/>
              </w:rPr>
              <w:t>135000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cs="Times New Roman"/>
                <w:kern w:val="0"/>
                <w:sz w:val="20"/>
                <w:szCs w:val="20"/>
              </w:rPr>
              <w:t>122000</w:t>
            </w:r>
          </w:p>
        </w:tc>
      </w:tr>
      <w:tr w:rsidR="00A04DD9" w:rsidRPr="006E6F23" w:rsidTr="00086813">
        <w:trPr>
          <w:trHeight w:val="38"/>
        </w:trPr>
        <w:tc>
          <w:tcPr>
            <w:tcW w:w="1106" w:type="pct"/>
          </w:tcPr>
          <w:p w:rsidR="00A04DD9" w:rsidRPr="006E6F23" w:rsidRDefault="00A04DD9" w:rsidP="00086813">
            <w:pPr>
              <w:adjustRightInd w:val="0"/>
              <w:snapToGrid w:val="0"/>
              <w:spacing w:line="360" w:lineRule="auto"/>
              <w:rPr>
                <w:rFonts w:cs="Times New Roman"/>
                <w:sz w:val="20"/>
                <w:szCs w:val="20"/>
              </w:rPr>
            </w:pPr>
            <w:r w:rsidRPr="006E6F23">
              <w:rPr>
                <w:rFonts w:cs="Times New Roman"/>
                <w:sz w:val="20"/>
                <w:szCs w:val="20"/>
              </w:rPr>
              <w:t>AUC</w:t>
            </w:r>
            <w:r w:rsidRPr="006E6F23">
              <w:rPr>
                <w:rFonts w:eastAsiaTheme="majorEastAsia" w:cs="Times New Roman"/>
                <w:kern w:val="0"/>
                <w:sz w:val="20"/>
                <w:szCs w:val="20"/>
                <w:vertAlign w:val="subscript"/>
              </w:rPr>
              <w:t>tau</w:t>
            </w:r>
            <w:r w:rsidRPr="006E6F23">
              <w:rPr>
                <w:rFonts w:cs="Times New Roman"/>
                <w:sz w:val="20"/>
                <w:szCs w:val="20"/>
              </w:rPr>
              <w:t>,ss (h*ng/mL)</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24500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41700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122000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114000</w:t>
            </w:r>
          </w:p>
        </w:tc>
        <w:tc>
          <w:tcPr>
            <w:tcW w:w="557"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176000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161000</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114000</w:t>
            </w:r>
          </w:p>
        </w:tc>
      </w:tr>
      <w:tr w:rsidR="00A04DD9" w:rsidRPr="006E6F23" w:rsidTr="00086813">
        <w:trPr>
          <w:trHeight w:val="38"/>
        </w:trPr>
        <w:tc>
          <w:tcPr>
            <w:tcW w:w="1106" w:type="pct"/>
          </w:tcPr>
          <w:p w:rsidR="00A04DD9" w:rsidRPr="006E6F23" w:rsidRDefault="00A04DD9" w:rsidP="00086813">
            <w:pPr>
              <w:adjustRightInd w:val="0"/>
              <w:snapToGrid w:val="0"/>
              <w:spacing w:line="360" w:lineRule="auto"/>
              <w:rPr>
                <w:rFonts w:cs="Times New Roman"/>
                <w:sz w:val="20"/>
                <w:szCs w:val="20"/>
              </w:rPr>
            </w:pPr>
            <w:r w:rsidRPr="006E6F23">
              <w:rPr>
                <w:rFonts w:cs="Times New Roman"/>
                <w:sz w:val="20"/>
                <w:szCs w:val="20"/>
              </w:rPr>
              <w:t>C</w:t>
            </w:r>
            <w:r w:rsidRPr="006E6F23">
              <w:rPr>
                <w:rFonts w:eastAsiaTheme="majorEastAsia" w:cs="Times New Roman"/>
                <w:kern w:val="0"/>
                <w:sz w:val="20"/>
                <w:szCs w:val="20"/>
                <w:vertAlign w:val="subscript"/>
              </w:rPr>
              <w:t>max</w:t>
            </w:r>
            <w:r w:rsidRPr="006E6F23">
              <w:rPr>
                <w:rFonts w:cs="Times New Roman"/>
                <w:sz w:val="20"/>
                <w:szCs w:val="20"/>
              </w:rPr>
              <w:t xml:space="preserve"> accumulation index</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1.17</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0.714</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1.32</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0.763</w:t>
            </w:r>
          </w:p>
        </w:tc>
        <w:tc>
          <w:tcPr>
            <w:tcW w:w="557"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0.907</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cs="Times New Roman"/>
                <w:kern w:val="0"/>
                <w:sz w:val="20"/>
                <w:szCs w:val="20"/>
              </w:rPr>
              <w:t>1.27</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cs="Times New Roman"/>
                <w:kern w:val="0"/>
                <w:sz w:val="20"/>
                <w:szCs w:val="20"/>
              </w:rPr>
              <w:t>1.06</w:t>
            </w:r>
          </w:p>
        </w:tc>
      </w:tr>
      <w:tr w:rsidR="00A04DD9" w:rsidRPr="006E6F23" w:rsidTr="00086813">
        <w:trPr>
          <w:trHeight w:val="38"/>
        </w:trPr>
        <w:tc>
          <w:tcPr>
            <w:tcW w:w="1106" w:type="pct"/>
          </w:tcPr>
          <w:p w:rsidR="00A04DD9" w:rsidRPr="006E6F23" w:rsidRDefault="00A04DD9" w:rsidP="00086813">
            <w:pPr>
              <w:adjustRightInd w:val="0"/>
              <w:snapToGrid w:val="0"/>
              <w:spacing w:line="360" w:lineRule="auto"/>
              <w:rPr>
                <w:rFonts w:cs="Times New Roman"/>
                <w:sz w:val="20"/>
                <w:szCs w:val="20"/>
              </w:rPr>
            </w:pPr>
            <w:r w:rsidRPr="006E6F23">
              <w:rPr>
                <w:rFonts w:cs="Times New Roman"/>
                <w:sz w:val="20"/>
                <w:szCs w:val="20"/>
              </w:rPr>
              <w:t>AUC</w:t>
            </w:r>
            <w:r w:rsidRPr="006E6F23">
              <w:rPr>
                <w:rFonts w:eastAsiaTheme="majorEastAsia" w:cs="Times New Roman"/>
                <w:kern w:val="0"/>
                <w:sz w:val="20"/>
                <w:szCs w:val="20"/>
                <w:vertAlign w:val="subscript"/>
              </w:rPr>
              <w:t>0-t</w:t>
            </w:r>
            <w:r w:rsidRPr="006E6F23">
              <w:rPr>
                <w:rFonts w:cs="Times New Roman"/>
                <w:sz w:val="20"/>
                <w:szCs w:val="20"/>
              </w:rPr>
              <w:t xml:space="preserve"> accumulation index</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1.29</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1.04</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1.39</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1.03</w:t>
            </w:r>
          </w:p>
        </w:tc>
        <w:tc>
          <w:tcPr>
            <w:tcW w:w="557"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eastAsiaTheme="majorEastAsia" w:cs="Times New Roman"/>
                <w:kern w:val="0"/>
                <w:sz w:val="20"/>
                <w:szCs w:val="20"/>
              </w:rPr>
              <w:t>0.996</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cs="Times New Roman"/>
                <w:kern w:val="0"/>
                <w:sz w:val="20"/>
                <w:szCs w:val="20"/>
              </w:rPr>
              <w:t>1.46</w:t>
            </w:r>
          </w:p>
        </w:tc>
        <w:tc>
          <w:tcPr>
            <w:tcW w:w="556" w:type="pct"/>
          </w:tcPr>
          <w:p w:rsidR="00A04DD9" w:rsidRPr="006E6F23" w:rsidRDefault="00A04DD9" w:rsidP="00086813">
            <w:pPr>
              <w:adjustRightInd w:val="0"/>
              <w:snapToGrid w:val="0"/>
              <w:spacing w:line="360" w:lineRule="auto"/>
              <w:jc w:val="center"/>
              <w:rPr>
                <w:rFonts w:eastAsiaTheme="majorEastAsia" w:cs="Times New Roman"/>
                <w:kern w:val="0"/>
                <w:sz w:val="20"/>
                <w:szCs w:val="20"/>
              </w:rPr>
            </w:pPr>
            <w:r w:rsidRPr="006E6F23">
              <w:rPr>
                <w:rFonts w:cs="Times New Roman"/>
                <w:kern w:val="0"/>
                <w:sz w:val="20"/>
                <w:szCs w:val="20"/>
              </w:rPr>
              <w:t>1.28</w:t>
            </w:r>
          </w:p>
        </w:tc>
      </w:tr>
    </w:tbl>
    <w:p w:rsidR="00991E80" w:rsidRDefault="00A04DD9" w:rsidP="004A6B03">
      <w:pPr>
        <w:adjustRightInd w:val="0"/>
        <w:snapToGrid w:val="0"/>
        <w:spacing w:beforeLines="50" w:before="156" w:line="360" w:lineRule="auto"/>
        <w:rPr>
          <w:rFonts w:cs="Times New Roman"/>
        </w:rPr>
      </w:pPr>
      <w:r w:rsidRPr="006E6F23">
        <w:rPr>
          <w:rFonts w:eastAsiaTheme="majorEastAsia" w:cs="Times New Roman"/>
          <w:bCs/>
          <w:kern w:val="0"/>
          <w:sz w:val="20"/>
          <w:szCs w:val="24"/>
        </w:rPr>
        <w:t xml:space="preserve">BID, twice daily; PK, pharmacokinetic; Cmax, maximum concentration; Tmax, time to maximum concentration; T1/2, half-life; AUC0-t, area under the concentration-time curve from time zero to last measurable concentration; AUC0-∞, </w:t>
      </w:r>
      <w:bookmarkStart w:id="0" w:name="OLE_LINK1064"/>
      <w:r w:rsidRPr="006E6F23">
        <w:rPr>
          <w:rFonts w:eastAsiaTheme="majorEastAsia" w:cs="Times New Roman"/>
          <w:bCs/>
          <w:kern w:val="0"/>
          <w:sz w:val="20"/>
          <w:szCs w:val="24"/>
        </w:rPr>
        <w:t>area under the concentration-time curve</w:t>
      </w:r>
      <w:bookmarkEnd w:id="0"/>
      <w:r w:rsidRPr="006E6F23">
        <w:rPr>
          <w:rFonts w:eastAsiaTheme="majorEastAsia" w:cs="Times New Roman"/>
          <w:bCs/>
          <w:kern w:val="0"/>
          <w:sz w:val="20"/>
          <w:szCs w:val="24"/>
        </w:rPr>
        <w:t xml:space="preserve"> from time zero to infinity; Cmax,ss, steady-state maximum concentration; Tmax,ss, steady-state time to reach maximum concentration; T1/2,ss, steady-state half-life; AUC0-t,ss, steady-state area under the concentration-time curve from time zero to last measurable concentration; AUCtau,ss, area under the concentration-time curve over the dosing interval at steady state.</w:t>
      </w:r>
      <w:bookmarkStart w:id="1" w:name="_GoBack"/>
      <w:bookmarkEnd w:id="1"/>
    </w:p>
    <w:p w:rsidR="00DB53BC" w:rsidRPr="004D7C17" w:rsidRDefault="00991E80" w:rsidP="00991E80">
      <w:pPr>
        <w:tabs>
          <w:tab w:val="left" w:pos="1770"/>
        </w:tabs>
        <w:rPr>
          <w:rFonts w:cs="Times New Roman"/>
        </w:rPr>
      </w:pPr>
      <w:r>
        <w:rPr>
          <w:rFonts w:cs="Times New Roman"/>
        </w:rPr>
        <w:tab/>
      </w:r>
    </w:p>
    <w:sectPr w:rsidR="00DB53BC" w:rsidRPr="004D7C17" w:rsidSect="00991E80">
      <w:pgSz w:w="16838" w:h="11906" w:orient="landscape"/>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2E0B" w:rsidRDefault="00F32E0B" w:rsidP="00991E80">
      <w:r>
        <w:separator/>
      </w:r>
    </w:p>
  </w:endnote>
  <w:endnote w:type="continuationSeparator" w:id="0">
    <w:p w:rsidR="00F32E0B" w:rsidRDefault="00F32E0B" w:rsidP="00991E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2E0B" w:rsidRDefault="00F32E0B" w:rsidP="00991E80">
      <w:r>
        <w:separator/>
      </w:r>
    </w:p>
  </w:footnote>
  <w:footnote w:type="continuationSeparator" w:id="0">
    <w:p w:rsidR="00F32E0B" w:rsidRDefault="00F32E0B" w:rsidP="00991E8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009B"/>
    <w:rsid w:val="00462A77"/>
    <w:rsid w:val="004A6B03"/>
    <w:rsid w:val="004D7C17"/>
    <w:rsid w:val="00565093"/>
    <w:rsid w:val="008F22EA"/>
    <w:rsid w:val="00937A59"/>
    <w:rsid w:val="00991E80"/>
    <w:rsid w:val="009A2CF6"/>
    <w:rsid w:val="00A04DD9"/>
    <w:rsid w:val="00AB009B"/>
    <w:rsid w:val="00BB5B9D"/>
    <w:rsid w:val="00D23741"/>
    <w:rsid w:val="00DB53BC"/>
    <w:rsid w:val="00F32E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0C522F-1216-499B-A9F8-BF8660B6E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B009B"/>
    <w:pPr>
      <w:jc w:val="both"/>
    </w:pPr>
    <w:rPr>
      <w:rFonts w:ascii="Times New Roman" w:eastAsia="宋体"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unhideWhenUsed/>
    <w:qFormat/>
    <w:rsid w:val="00AB009B"/>
    <w:pPr>
      <w:jc w:val="both"/>
    </w:pPr>
    <w:rPr>
      <w:rFonts w:ascii="Times New Roman" w:eastAsia="宋体"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991E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991E80"/>
    <w:rPr>
      <w:rFonts w:ascii="Times New Roman" w:eastAsia="宋体" w:hAnsi="Times New Roman"/>
      <w:sz w:val="18"/>
      <w:szCs w:val="18"/>
    </w:rPr>
  </w:style>
  <w:style w:type="paragraph" w:styleId="a5">
    <w:name w:val="footer"/>
    <w:basedOn w:val="a"/>
    <w:link w:val="Char0"/>
    <w:uiPriority w:val="99"/>
    <w:unhideWhenUsed/>
    <w:rsid w:val="00991E80"/>
    <w:pPr>
      <w:tabs>
        <w:tab w:val="center" w:pos="4153"/>
        <w:tab w:val="right" w:pos="8306"/>
      </w:tabs>
      <w:snapToGrid w:val="0"/>
      <w:jc w:val="left"/>
    </w:pPr>
    <w:rPr>
      <w:sz w:val="18"/>
      <w:szCs w:val="18"/>
    </w:rPr>
  </w:style>
  <w:style w:type="character" w:customStyle="1" w:styleId="Char0">
    <w:name w:val="页脚 Char"/>
    <w:basedOn w:val="a0"/>
    <w:link w:val="a5"/>
    <w:uiPriority w:val="99"/>
    <w:rsid w:val="00991E80"/>
    <w:rPr>
      <w:rFonts w:ascii="Times New Roman" w:eastAsia="宋体"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13</Pages>
  <Words>2613</Words>
  <Characters>14898</Characters>
  <Application>Microsoft Office Word</Application>
  <DocSecurity>0</DocSecurity>
  <Lines>124</Lines>
  <Paragraphs>34</Paragraphs>
  <ScaleCrop>false</ScaleCrop>
  <Company/>
  <LinksUpToDate>false</LinksUpToDate>
  <CharactersWithSpaces>17477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9</cp:revision>
  <dcterms:created xsi:type="dcterms:W3CDTF">2024-06-24T05:21:00Z</dcterms:created>
  <dcterms:modified xsi:type="dcterms:W3CDTF">2024-11-18T03:47:00Z</dcterms:modified>
</cp:coreProperties>
</file>