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70CE7F" w14:textId="77777777" w:rsidR="00B26E5C" w:rsidRDefault="00B26E5C" w:rsidP="00843960">
      <w:pPr>
        <w:spacing w:before="120" w:after="120" w:line="480" w:lineRule="auto"/>
        <w:jc w:val="both"/>
        <w:rPr>
          <w:rFonts w:ascii="Calibri" w:eastAsia="Calibri" w:hAnsi="Calibri" w:cs="Times New Roman"/>
          <w:b/>
          <w:sz w:val="24"/>
          <w:lang w:val="en-IE"/>
        </w:rPr>
      </w:pPr>
      <w:bookmarkStart w:id="0" w:name="_GoBack"/>
      <w:bookmarkEnd w:id="0"/>
      <w:r w:rsidRPr="00B26E5C">
        <w:rPr>
          <w:rFonts w:ascii="Calibri" w:eastAsia="Calibri" w:hAnsi="Calibri" w:cs="Times New Roman"/>
          <w:b/>
          <w:sz w:val="24"/>
          <w:lang w:val="en-IE"/>
        </w:rPr>
        <w:t>Comparison of single and repeated dosing of anti-inflammatory human umbilical cord mesenchymal stromal cells in a mouse model of polymicrobial sepsis</w:t>
      </w:r>
    </w:p>
    <w:p w14:paraId="169AE127" w14:textId="117D8A4F" w:rsidR="00B26E5C" w:rsidRDefault="00B26E5C" w:rsidP="00843960">
      <w:pPr>
        <w:spacing w:before="120" w:after="120" w:line="480" w:lineRule="auto"/>
        <w:jc w:val="both"/>
        <w:rPr>
          <w:rFonts w:ascii="Calibri" w:eastAsia="Calibri" w:hAnsi="Calibri" w:cs="Times New Roman"/>
          <w:sz w:val="24"/>
          <w:lang w:val="en-IE"/>
        </w:rPr>
      </w:pPr>
      <w:r w:rsidRPr="00B26E5C">
        <w:rPr>
          <w:rFonts w:ascii="Calibri" w:eastAsia="Calibri" w:hAnsi="Calibri" w:cs="Times New Roman"/>
          <w:sz w:val="24"/>
          <w:lang w:val="en-IE"/>
        </w:rPr>
        <w:t>Barbara Fazekas,</w:t>
      </w:r>
      <w:r>
        <w:rPr>
          <w:rFonts w:ascii="Calibri" w:eastAsia="Calibri" w:hAnsi="Calibri" w:cs="Times New Roman"/>
          <w:sz w:val="24"/>
          <w:lang w:val="en-IE"/>
        </w:rPr>
        <w:t xml:space="preserve"> </w:t>
      </w:r>
      <w:r w:rsidRPr="00B26E5C">
        <w:rPr>
          <w:rFonts w:ascii="Calibri" w:eastAsia="Calibri" w:hAnsi="Calibri" w:cs="Times New Roman"/>
          <w:sz w:val="24"/>
          <w:lang w:val="en-IE"/>
        </w:rPr>
        <w:t>Senthilkumar Alagesan, Luke Watson, Olivia Ng, Callum M. Conroy, Cristina Català, Maria Velasco de Andres, Neema Negi, Jared Q. Gerlach, Francisco Lozano, Stephen J. Elliman and Matthew D. Griffi</w:t>
      </w:r>
      <w:r>
        <w:rPr>
          <w:rFonts w:ascii="Calibri" w:eastAsia="Calibri" w:hAnsi="Calibri" w:cs="Times New Roman"/>
          <w:sz w:val="24"/>
          <w:lang w:val="en-IE"/>
        </w:rPr>
        <w:t>n</w:t>
      </w:r>
    </w:p>
    <w:p w14:paraId="182FC414" w14:textId="7B8202C3" w:rsidR="00F909AD" w:rsidRDefault="00F909AD" w:rsidP="00843960">
      <w:pPr>
        <w:spacing w:before="120" w:after="120" w:line="480" w:lineRule="auto"/>
        <w:jc w:val="both"/>
        <w:rPr>
          <w:rFonts w:ascii="Calibri" w:eastAsia="Calibri" w:hAnsi="Calibri" w:cs="Times New Roman"/>
          <w:sz w:val="24"/>
          <w:lang w:val="en-IE"/>
        </w:rPr>
      </w:pPr>
    </w:p>
    <w:p w14:paraId="45B0E854" w14:textId="05F530D3" w:rsidR="00F909AD" w:rsidRPr="00F909AD" w:rsidRDefault="00F909AD" w:rsidP="00843960">
      <w:pPr>
        <w:spacing w:before="120" w:after="120" w:line="480" w:lineRule="auto"/>
        <w:jc w:val="center"/>
        <w:rPr>
          <w:rFonts w:ascii="Calibri" w:eastAsia="Calibri" w:hAnsi="Calibri" w:cs="Times New Roman"/>
          <w:b/>
          <w:bCs/>
          <w:sz w:val="24"/>
          <w:lang w:val="en-IE"/>
        </w:rPr>
      </w:pPr>
      <w:r>
        <w:rPr>
          <w:rFonts w:ascii="Calibri" w:eastAsia="Calibri" w:hAnsi="Calibri" w:cs="Times New Roman"/>
          <w:b/>
          <w:bCs/>
          <w:sz w:val="24"/>
          <w:lang w:val="en-IE"/>
        </w:rPr>
        <w:t>Supplementary Material</w:t>
      </w:r>
    </w:p>
    <w:p w14:paraId="5720D097" w14:textId="77777777" w:rsidR="00B26E5C" w:rsidRDefault="00B26E5C" w:rsidP="00843960">
      <w:pPr>
        <w:spacing w:before="120" w:after="120" w:line="480" w:lineRule="auto"/>
        <w:jc w:val="both"/>
        <w:rPr>
          <w:rFonts w:ascii="Calibri" w:eastAsia="Calibri" w:hAnsi="Calibri" w:cs="Times New Roman"/>
          <w:b/>
          <w:bCs/>
          <w:sz w:val="24"/>
          <w:lang w:val="en-IE"/>
        </w:rPr>
      </w:pPr>
    </w:p>
    <w:p w14:paraId="667EF2BD" w14:textId="2F331E5E" w:rsidR="00B26E5C" w:rsidRDefault="00B26E5C" w:rsidP="00843960">
      <w:pPr>
        <w:spacing w:before="120" w:after="120" w:line="480" w:lineRule="auto"/>
        <w:jc w:val="both"/>
        <w:rPr>
          <w:rFonts w:ascii="Calibri" w:eastAsia="Calibri" w:hAnsi="Calibri" w:cs="Times New Roman"/>
          <w:b/>
          <w:bCs/>
          <w:sz w:val="24"/>
          <w:lang w:val="en-IE"/>
        </w:rPr>
      </w:pPr>
      <w:r>
        <w:rPr>
          <w:rFonts w:ascii="Calibri" w:eastAsia="Calibri" w:hAnsi="Calibri" w:cs="Times New Roman"/>
          <w:b/>
          <w:bCs/>
          <w:sz w:val="24"/>
          <w:lang w:val="en-IE"/>
        </w:rPr>
        <w:t>Supplementary Methods</w:t>
      </w:r>
    </w:p>
    <w:p w14:paraId="0FB4F959" w14:textId="35DD9751" w:rsidR="0092396F" w:rsidRDefault="00B26E5C" w:rsidP="00843960">
      <w:pPr>
        <w:spacing w:before="120" w:after="120" w:line="480" w:lineRule="auto"/>
        <w:jc w:val="both"/>
        <w:rPr>
          <w:rFonts w:ascii="Calibri" w:eastAsia="Calibri" w:hAnsi="Calibri" w:cs="Times New Roman"/>
          <w:sz w:val="24"/>
          <w:lang w:val="en-IE"/>
        </w:rPr>
      </w:pPr>
      <w:r>
        <w:rPr>
          <w:rFonts w:ascii="Calibri" w:eastAsia="Calibri" w:hAnsi="Calibri" w:cs="Times New Roman"/>
          <w:i/>
          <w:iCs/>
          <w:sz w:val="24"/>
          <w:lang w:val="en-IE"/>
        </w:rPr>
        <w:t xml:space="preserve">Flow cytometric analysis of kidney immune cell subpopulations: </w:t>
      </w:r>
      <w:r w:rsidRPr="00B26E5C">
        <w:rPr>
          <w:rFonts w:ascii="Calibri" w:eastAsia="Calibri" w:hAnsi="Calibri" w:cs="Times New Roman"/>
          <w:sz w:val="24"/>
          <w:lang w:val="en-IE"/>
        </w:rPr>
        <w:t xml:space="preserve">The kidneys were de-capsulated, manually chopped and digested in 1mL of Dulbecco’s modified Eagle’s medium (DMEM) containing 0.25unit/mL of recombinant collagenase class I and II originating from </w:t>
      </w:r>
      <w:r w:rsidRPr="00B26E5C">
        <w:rPr>
          <w:rFonts w:ascii="Calibri" w:eastAsia="Calibri" w:hAnsi="Calibri" w:cs="Times New Roman"/>
          <w:i/>
          <w:sz w:val="24"/>
          <w:lang w:val="en-IE"/>
        </w:rPr>
        <w:t>Clostridium histolyticum</w:t>
      </w:r>
      <w:r w:rsidRPr="00B26E5C">
        <w:rPr>
          <w:rFonts w:ascii="Calibri" w:eastAsia="Calibri" w:hAnsi="Calibri" w:cs="Times New Roman"/>
          <w:sz w:val="24"/>
          <w:lang w:val="en-IE"/>
        </w:rPr>
        <w:t xml:space="preserve"> (KITECH, South Korea), 0.06mg/mL of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Thermolysine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(Sigma-Aldrich,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Arklow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, Ireland) and 0.4mg/mL DNase I (Sigma-Aldrich). Samples </w:t>
      </w:r>
      <w:proofErr w:type="gramStart"/>
      <w:r w:rsidRPr="00B26E5C">
        <w:rPr>
          <w:rFonts w:ascii="Calibri" w:eastAsia="Calibri" w:hAnsi="Calibri" w:cs="Times New Roman"/>
          <w:sz w:val="24"/>
          <w:lang w:val="en-IE"/>
        </w:rPr>
        <w:t>were incubated</w:t>
      </w:r>
      <w:proofErr w:type="gramEnd"/>
      <w:r w:rsidRPr="00B26E5C">
        <w:rPr>
          <w:rFonts w:ascii="Calibri" w:eastAsia="Calibri" w:hAnsi="Calibri" w:cs="Times New Roman"/>
          <w:sz w:val="24"/>
          <w:lang w:val="en-IE"/>
        </w:rPr>
        <w:t xml:space="preserve"> at 37°C for </w:t>
      </w:r>
      <w:r w:rsidR="00700A55">
        <w:rPr>
          <w:rFonts w:ascii="Calibri" w:eastAsia="Calibri" w:hAnsi="Calibri" w:cs="Times New Roman"/>
          <w:sz w:val="24"/>
          <w:lang w:val="en-IE"/>
        </w:rPr>
        <w:t xml:space="preserve">40 minutes with rotation at 250 </w:t>
      </w:r>
      <w:r w:rsidRPr="00B26E5C">
        <w:rPr>
          <w:rFonts w:ascii="Calibri" w:eastAsia="Calibri" w:hAnsi="Calibri" w:cs="Times New Roman"/>
          <w:sz w:val="24"/>
          <w:lang w:val="en-IE"/>
        </w:rPr>
        <w:t>rpm. Upon completion of digestion, cell suspensions were washed with Hank’s balanced salt solution (HBSS, Sigma-Aldrich), strained through a 40</w:t>
      </w:r>
      <w:r w:rsidRPr="00B26E5C">
        <w:rPr>
          <w:rFonts w:ascii="Calibri" w:eastAsia="Calibri" w:hAnsi="Calibri" w:cs="Calibri"/>
          <w:sz w:val="24"/>
          <w:lang w:val="en-IE"/>
        </w:rPr>
        <w:t>μ</w:t>
      </w:r>
      <w:r w:rsidRPr="00B26E5C">
        <w:rPr>
          <w:rFonts w:ascii="Calibri" w:eastAsia="Calibri" w:hAnsi="Calibri" w:cs="Times New Roman"/>
          <w:sz w:val="24"/>
          <w:lang w:val="en-IE"/>
        </w:rPr>
        <w:t>m cell strainer and treated with ACK lysis buffer (150mM NH</w:t>
      </w:r>
      <w:r w:rsidRPr="00B26E5C">
        <w:rPr>
          <w:rFonts w:ascii="Calibri" w:eastAsia="Calibri" w:hAnsi="Calibri" w:cs="Times New Roman"/>
          <w:sz w:val="24"/>
          <w:vertAlign w:val="subscript"/>
          <w:lang w:val="en-IE"/>
        </w:rPr>
        <w:t>4</w:t>
      </w:r>
      <w:r w:rsidRPr="00B26E5C">
        <w:rPr>
          <w:rFonts w:ascii="Calibri" w:eastAsia="Calibri" w:hAnsi="Calibri" w:cs="Times New Roman"/>
          <w:sz w:val="24"/>
          <w:lang w:val="en-IE"/>
        </w:rPr>
        <w:t>Cl, 10mM KHCO</w:t>
      </w:r>
      <w:r w:rsidRPr="00B26E5C">
        <w:rPr>
          <w:rFonts w:ascii="Calibri" w:eastAsia="Calibri" w:hAnsi="Calibri" w:cs="Times New Roman"/>
          <w:sz w:val="24"/>
          <w:vertAlign w:val="subscript"/>
          <w:lang w:val="en-IE"/>
        </w:rPr>
        <w:t>3</w:t>
      </w:r>
      <w:r w:rsidRPr="00B26E5C">
        <w:rPr>
          <w:rFonts w:ascii="Calibri" w:eastAsia="Calibri" w:hAnsi="Calibri" w:cs="Times New Roman"/>
          <w:sz w:val="24"/>
          <w:lang w:val="en-IE"/>
        </w:rPr>
        <w:t xml:space="preserve"> and 0.1mM Na</w:t>
      </w:r>
      <w:r w:rsidRPr="00B26E5C">
        <w:rPr>
          <w:rFonts w:ascii="Calibri" w:eastAsia="Calibri" w:hAnsi="Calibri" w:cs="Times New Roman"/>
          <w:sz w:val="24"/>
          <w:vertAlign w:val="subscript"/>
          <w:lang w:val="en-IE"/>
        </w:rPr>
        <w:t>2</w:t>
      </w:r>
      <w:r w:rsidRPr="00B26E5C">
        <w:rPr>
          <w:rFonts w:ascii="Calibri" w:eastAsia="Calibri" w:hAnsi="Calibri" w:cs="Times New Roman"/>
          <w:sz w:val="24"/>
          <w:lang w:val="en-IE"/>
        </w:rPr>
        <w:t>EDTA dissolved in dH</w:t>
      </w:r>
      <w:r w:rsidRPr="00B26E5C">
        <w:rPr>
          <w:rFonts w:ascii="Calibri" w:eastAsia="Calibri" w:hAnsi="Calibri" w:cs="Times New Roman"/>
          <w:sz w:val="24"/>
          <w:vertAlign w:val="subscript"/>
          <w:lang w:val="en-IE"/>
        </w:rPr>
        <w:t>2</w:t>
      </w:r>
      <w:r w:rsidRPr="00B26E5C">
        <w:rPr>
          <w:rFonts w:ascii="Calibri" w:eastAsia="Calibri" w:hAnsi="Calibri" w:cs="Times New Roman"/>
          <w:sz w:val="24"/>
          <w:lang w:val="en-IE"/>
        </w:rPr>
        <w:t>O, pH 7.2-7.4). The suspensions were washed once in HBSS, then twice with Dulbecco’s phosphate buffered saline (D-PBS, Thermo Fisher Scientific) and then suspended in FACS buffer at 2.5x10</w:t>
      </w:r>
      <w:r w:rsidRPr="00B26E5C">
        <w:rPr>
          <w:rFonts w:ascii="Calibri" w:eastAsia="Calibri" w:hAnsi="Calibri" w:cs="Times New Roman"/>
          <w:sz w:val="24"/>
          <w:vertAlign w:val="superscript"/>
          <w:lang w:val="en-IE"/>
        </w:rPr>
        <w:t>5</w:t>
      </w:r>
      <w:r w:rsidRPr="00B26E5C">
        <w:rPr>
          <w:rFonts w:ascii="Calibri" w:eastAsia="Calibri" w:hAnsi="Calibri" w:cs="Times New Roman"/>
          <w:sz w:val="24"/>
          <w:lang w:val="en-IE"/>
        </w:rPr>
        <w:t xml:space="preserve"> cells/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mL.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For CD45</w:t>
      </w:r>
      <w:r w:rsidRPr="00B26E5C">
        <w:rPr>
          <w:rFonts w:ascii="Calibri" w:eastAsia="Calibri" w:hAnsi="Calibri" w:cs="Times New Roman"/>
          <w:sz w:val="24"/>
          <w:vertAlign w:val="superscript"/>
          <w:lang w:val="en-IE"/>
        </w:rPr>
        <w:t>+</w:t>
      </w:r>
      <w:r w:rsidRPr="00B26E5C">
        <w:rPr>
          <w:rFonts w:ascii="Calibri" w:eastAsia="Calibri" w:hAnsi="Calibri" w:cs="Times New Roman"/>
          <w:sz w:val="24"/>
          <w:lang w:val="en-IE"/>
        </w:rPr>
        <w:t xml:space="preserve"> cell enrichment, magnetic column separation of kidney cell suspensions was carried out in MACS buffer (PBS, 0.5% BSA and 100mM EDTA) by manufacturer-recommended protocols using MS columns and an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lastRenderedPageBreak/>
        <w:t>OctoMACS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>® separator (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Miltenyi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Biotec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Inc.,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Bisley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,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Surray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>, UK). Aliquots of the kidney cell suspensions were stained with combinations of fluorochrome-labelled antibodies for 30 min at 4°C: anti-TCR</w:t>
      </w:r>
      <w:r w:rsidRPr="00B26E5C">
        <w:rPr>
          <w:rFonts w:ascii="Calibri" w:eastAsia="Calibri" w:hAnsi="Calibri" w:cs="Calibri"/>
          <w:sz w:val="24"/>
          <w:lang w:val="en-IE"/>
        </w:rPr>
        <w:t xml:space="preserve">β-PE (H57-597), anti-CD19-FITC (1D3) and anti-CD45-FITC (EM-05) </w:t>
      </w:r>
      <w:r w:rsidRPr="00B26E5C">
        <w:rPr>
          <w:rFonts w:ascii="Calibri" w:eastAsia="Calibri" w:hAnsi="Calibri" w:cs="Times New Roman"/>
          <w:sz w:val="24"/>
          <w:lang w:val="en-IE"/>
        </w:rPr>
        <w:t xml:space="preserve">from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Immunotools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,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Friesoythe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, Germany; anti-CD4-PerCp-Cy5.5 (RM4-5), anti-CD11c-PE (HL3) and anti-CD45-V450 (30F11) from BD Biosciences, Berkshire, UK; anti-CD8 -PE-Cy7 (53-6.7), anti-NK1.1-APC (DX5), anti-CD45-APC-Cy7 (30-F11), anti-Ly6C-PerCp-Cy5.5 (HK1.4), anti-Ly6G (1A8), anti-CD206-V450 (C068C2) and anti-MHC-II-FITC (AF6-120.1) from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Biolegend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>, London, UK; anti-F4/80 (BM8) from Invitrogen/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eBioSciences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(Bio-Sciences Ltd., Dublin, Ireland); and anti-CD64-APC-Cy7 (REA286)  from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Miltenyi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Biotech. Cell viability was analysed by using the fixable Viability Dye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eFluor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>™ 506 (Invitrogen/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eBioSciences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). After staining, the cells were washed in FACS buffer, fixed in 1% paraformaldehyde and re-suspended in FACS buffer before being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analyzed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on a FACS Canto II cytometer (BD Biosciences). A total of 150,000 events were collected for each sample and the acquired data were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analyzed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using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FlowJo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6 software. Fluorescence minus one (FMO) controls were prepared for fluorophores identifying infrequent cell populations and </w:t>
      </w:r>
      <w:proofErr w:type="gramStart"/>
      <w:r w:rsidRPr="00B26E5C">
        <w:rPr>
          <w:rFonts w:ascii="Calibri" w:eastAsia="Calibri" w:hAnsi="Calibri" w:cs="Times New Roman"/>
          <w:sz w:val="24"/>
          <w:lang w:val="en-IE"/>
        </w:rPr>
        <w:t>were used</w:t>
      </w:r>
      <w:proofErr w:type="gramEnd"/>
      <w:r w:rsidRPr="00B26E5C">
        <w:rPr>
          <w:rFonts w:ascii="Calibri" w:eastAsia="Calibri" w:hAnsi="Calibri" w:cs="Times New Roman"/>
          <w:sz w:val="24"/>
          <w:lang w:val="en-IE"/>
        </w:rPr>
        <w:t xml:space="preserve"> to define positive staining. Compensation was performed with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OneComp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beads (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eBioscience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) stained with appropriate antibodies. Absolute cell numbers were calculated by using the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CountBright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Absolute Counting Beads (Thermo Fisher Scientific, Bio-Sciences Ltd.).</w:t>
      </w:r>
    </w:p>
    <w:p w14:paraId="47F5BC03" w14:textId="1972F603" w:rsidR="00836F71" w:rsidRPr="00836F71" w:rsidRDefault="00836F71" w:rsidP="00843960">
      <w:pPr>
        <w:spacing w:before="120" w:after="120" w:line="480" w:lineRule="auto"/>
        <w:jc w:val="both"/>
        <w:rPr>
          <w:rFonts w:ascii="Calibri" w:eastAsia="Calibri" w:hAnsi="Calibri" w:cs="Times New Roman"/>
          <w:sz w:val="24"/>
          <w:lang w:val="en-IE"/>
        </w:rPr>
      </w:pPr>
      <w:r>
        <w:rPr>
          <w:rFonts w:ascii="Calibri" w:eastAsia="Calibri" w:hAnsi="Calibri" w:cs="Times New Roman"/>
          <w:i/>
          <w:iCs/>
          <w:sz w:val="24"/>
          <w:lang w:val="en-IE"/>
        </w:rPr>
        <w:t xml:space="preserve">ELISA of plasma for NGAL: </w:t>
      </w:r>
      <w:r w:rsidRPr="00836F71">
        <w:rPr>
          <w:rFonts w:ascii="Calibri" w:eastAsia="Calibri" w:hAnsi="Calibri" w:cs="Times New Roman"/>
          <w:sz w:val="24"/>
          <w:lang w:val="en-IE"/>
        </w:rPr>
        <w:t xml:space="preserve">96-well microtiter plates (Thermo-Fisher Scientific) were coated with the capture antibody, and non-specific binding sites were blocked with reagent diluent (1% BSA in PBS, pH 7.2–7.4). Adequately-diluted </w:t>
      </w:r>
      <w:r>
        <w:rPr>
          <w:rFonts w:ascii="Calibri" w:eastAsia="Calibri" w:hAnsi="Calibri" w:cs="Times New Roman"/>
          <w:sz w:val="24"/>
          <w:lang w:val="en-IE"/>
        </w:rPr>
        <w:t xml:space="preserve">plasma </w:t>
      </w:r>
      <w:r w:rsidRPr="00836F71">
        <w:rPr>
          <w:rFonts w:ascii="Calibri" w:eastAsia="Calibri" w:hAnsi="Calibri" w:cs="Times New Roman"/>
          <w:sz w:val="24"/>
          <w:lang w:val="en-IE"/>
        </w:rPr>
        <w:t>samples (0.4x10</w:t>
      </w:r>
      <w:r w:rsidRPr="00836F71">
        <w:rPr>
          <w:rFonts w:ascii="Calibri" w:eastAsia="Calibri" w:hAnsi="Calibri" w:cs="Times New Roman"/>
          <w:sz w:val="24"/>
          <w:vertAlign w:val="superscript"/>
          <w:lang w:val="en-IE"/>
        </w:rPr>
        <w:t>3</w:t>
      </w:r>
      <w:r w:rsidRPr="00836F71">
        <w:rPr>
          <w:rFonts w:ascii="Calibri" w:eastAsia="Calibri" w:hAnsi="Calibri" w:cs="Times New Roman"/>
          <w:sz w:val="24"/>
          <w:lang w:val="en-IE"/>
        </w:rPr>
        <w:t>, 10</w:t>
      </w:r>
      <w:r w:rsidRPr="00836F71">
        <w:rPr>
          <w:rFonts w:ascii="Calibri" w:eastAsia="Calibri" w:hAnsi="Calibri" w:cs="Times New Roman"/>
          <w:sz w:val="24"/>
          <w:vertAlign w:val="superscript"/>
          <w:lang w:val="en-IE"/>
        </w:rPr>
        <w:t>4</w:t>
      </w:r>
      <w:r w:rsidRPr="00836F71">
        <w:rPr>
          <w:rFonts w:ascii="Calibri" w:eastAsia="Calibri" w:hAnsi="Calibri" w:cs="Times New Roman"/>
          <w:sz w:val="24"/>
          <w:lang w:val="en-IE"/>
        </w:rPr>
        <w:t xml:space="preserve"> to 10</w:t>
      </w:r>
      <w:r w:rsidRPr="00836F71">
        <w:rPr>
          <w:rFonts w:ascii="Calibri" w:eastAsia="Calibri" w:hAnsi="Calibri" w:cs="Times New Roman"/>
          <w:sz w:val="24"/>
          <w:vertAlign w:val="superscript"/>
          <w:lang w:val="en-IE"/>
        </w:rPr>
        <w:t>5</w:t>
      </w:r>
      <w:r w:rsidRPr="00836F71">
        <w:rPr>
          <w:rFonts w:ascii="Calibri" w:eastAsia="Calibri" w:hAnsi="Calibri" w:cs="Times New Roman"/>
          <w:sz w:val="24"/>
          <w:lang w:val="en-IE"/>
        </w:rPr>
        <w:t>-fold) were incubated in duplicates for 2 hours, and then the detection antibody was added. Next, Streptavidin-HRP was added for 20 minutes, followed by addition of 50</w:t>
      </w:r>
      <w:r w:rsidRPr="00836F71">
        <w:rPr>
          <w:rFonts w:ascii="Calibri" w:eastAsia="Calibri" w:hAnsi="Calibri" w:cs="Calibri"/>
          <w:sz w:val="24"/>
          <w:lang w:val="en-IE"/>
        </w:rPr>
        <w:t>μ</w:t>
      </w:r>
      <w:r w:rsidRPr="00836F71">
        <w:rPr>
          <w:rFonts w:ascii="Calibri" w:eastAsia="Calibri" w:hAnsi="Calibri" w:cs="Times New Roman"/>
          <w:sz w:val="24"/>
          <w:lang w:val="en-IE"/>
        </w:rPr>
        <w:t xml:space="preserve">L of 3,3',5,5'-Tetramethylbenzidine (TMB) substrate (Sigma-Aldrich). Between each step, plates were </w:t>
      </w:r>
      <w:r w:rsidRPr="00836F71">
        <w:rPr>
          <w:rFonts w:ascii="Calibri" w:eastAsia="Calibri" w:hAnsi="Calibri" w:cs="Times New Roman"/>
          <w:sz w:val="24"/>
          <w:lang w:val="en-IE"/>
        </w:rPr>
        <w:lastRenderedPageBreak/>
        <w:t>washed three times with wash buffer. The enzymatic reaction was terminated by addition of 25</w:t>
      </w:r>
      <w:r w:rsidRPr="00836F71">
        <w:rPr>
          <w:rFonts w:ascii="Calibri" w:eastAsia="Calibri" w:hAnsi="Calibri" w:cs="Calibri"/>
          <w:sz w:val="24"/>
          <w:lang w:val="en-IE"/>
        </w:rPr>
        <w:t>μ</w:t>
      </w:r>
      <w:r w:rsidRPr="00836F71">
        <w:rPr>
          <w:rFonts w:ascii="Calibri" w:eastAsia="Calibri" w:hAnsi="Calibri" w:cs="Times New Roman"/>
          <w:sz w:val="24"/>
          <w:lang w:val="en-IE"/>
        </w:rPr>
        <w:t>L of stop solution containing H</w:t>
      </w:r>
      <w:r w:rsidRPr="00836F71">
        <w:rPr>
          <w:rFonts w:ascii="Calibri" w:eastAsia="Calibri" w:hAnsi="Calibri" w:cs="Times New Roman"/>
          <w:sz w:val="24"/>
          <w:vertAlign w:val="subscript"/>
          <w:lang w:val="en-IE"/>
        </w:rPr>
        <w:t>2</w:t>
      </w:r>
      <w:r w:rsidRPr="00836F71">
        <w:rPr>
          <w:rFonts w:ascii="Calibri" w:eastAsia="Calibri" w:hAnsi="Calibri" w:cs="Times New Roman"/>
          <w:sz w:val="24"/>
          <w:lang w:val="en-IE"/>
        </w:rPr>
        <w:t>SO</w:t>
      </w:r>
      <w:r w:rsidRPr="00836F71">
        <w:rPr>
          <w:rFonts w:ascii="Calibri" w:eastAsia="Calibri" w:hAnsi="Calibri" w:cs="Times New Roman"/>
          <w:sz w:val="24"/>
          <w:vertAlign w:val="subscript"/>
          <w:lang w:val="en-IE"/>
        </w:rPr>
        <w:t>4</w:t>
      </w:r>
      <w:r w:rsidRPr="00836F71">
        <w:rPr>
          <w:rFonts w:ascii="Calibri" w:eastAsia="Calibri" w:hAnsi="Calibri" w:cs="Times New Roman"/>
          <w:sz w:val="24"/>
          <w:lang w:val="en-IE"/>
        </w:rPr>
        <w:t xml:space="preserve">. The optical density was measured with Victor3™ 1420 </w:t>
      </w:r>
      <w:proofErr w:type="spellStart"/>
      <w:r w:rsidRPr="00836F71">
        <w:rPr>
          <w:rFonts w:ascii="Calibri" w:eastAsia="Calibri" w:hAnsi="Calibri" w:cs="Times New Roman"/>
          <w:sz w:val="24"/>
          <w:lang w:val="en-IE"/>
        </w:rPr>
        <w:t>Multilabel</w:t>
      </w:r>
      <w:proofErr w:type="spellEnd"/>
      <w:r w:rsidRPr="00836F71">
        <w:rPr>
          <w:rFonts w:ascii="Calibri" w:eastAsia="Calibri" w:hAnsi="Calibri" w:cs="Times New Roman"/>
          <w:sz w:val="24"/>
          <w:lang w:val="en-IE"/>
        </w:rPr>
        <w:t xml:space="preserve"> Counter (PerkinElmer, </w:t>
      </w:r>
      <w:proofErr w:type="spellStart"/>
      <w:r w:rsidRPr="00836F71">
        <w:rPr>
          <w:rFonts w:ascii="Calibri" w:eastAsia="Calibri" w:hAnsi="Calibri" w:cs="Times New Roman"/>
          <w:sz w:val="24"/>
          <w:lang w:val="en-IE"/>
        </w:rPr>
        <w:t>Wallac</w:t>
      </w:r>
      <w:proofErr w:type="spellEnd"/>
      <w:r w:rsidRPr="00836F71">
        <w:rPr>
          <w:rFonts w:ascii="Calibri" w:eastAsia="Calibri" w:hAnsi="Calibri" w:cs="Times New Roman"/>
          <w:sz w:val="24"/>
          <w:lang w:val="en-IE"/>
        </w:rPr>
        <w:t xml:space="preserve"> Oy, Finland) at 450nm with wavelength correction set to 544nm. The NGAL concentrations were calculated with Excel software (Microsoft Office), using a four-parameter logistic curve-fit.</w:t>
      </w:r>
    </w:p>
    <w:p w14:paraId="4E98F484" w14:textId="3438457F" w:rsidR="00243CDC" w:rsidRPr="00243CDC" w:rsidRDefault="00243CDC" w:rsidP="00843960">
      <w:pPr>
        <w:spacing w:before="120" w:after="120" w:line="480" w:lineRule="auto"/>
        <w:jc w:val="both"/>
        <w:rPr>
          <w:rFonts w:ascii="Calibri" w:eastAsia="Calibri" w:hAnsi="Calibri" w:cs="Times New Roman"/>
          <w:sz w:val="24"/>
          <w:lang w:val="en-IE"/>
        </w:rPr>
      </w:pPr>
      <w:r>
        <w:rPr>
          <w:rFonts w:ascii="Calibri" w:eastAsia="Calibri" w:hAnsi="Calibri" w:cs="Times New Roman"/>
          <w:i/>
          <w:iCs/>
          <w:sz w:val="24"/>
          <w:lang w:val="en-IE"/>
        </w:rPr>
        <w:t xml:space="preserve">Histologic staining of kidney tissue sections: </w:t>
      </w:r>
      <w:r w:rsidRPr="00243CDC">
        <w:rPr>
          <w:rFonts w:ascii="Calibri" w:eastAsia="Calibri" w:hAnsi="Calibri" w:cs="Times New Roman"/>
          <w:sz w:val="24"/>
          <w:lang w:val="en-IE"/>
        </w:rPr>
        <w:t xml:space="preserve">For </w:t>
      </w:r>
      <w:proofErr w:type="spellStart"/>
      <w:r w:rsidRPr="00243CDC">
        <w:rPr>
          <w:rFonts w:ascii="Calibri" w:eastAsia="Calibri" w:hAnsi="Calibri" w:cs="Times New Roman"/>
          <w:sz w:val="24"/>
          <w:lang w:val="en-IE"/>
        </w:rPr>
        <w:t>hematoxylin</w:t>
      </w:r>
      <w:proofErr w:type="spellEnd"/>
      <w:r w:rsidRPr="00243CDC">
        <w:rPr>
          <w:rFonts w:ascii="Calibri" w:eastAsia="Calibri" w:hAnsi="Calibri" w:cs="Times New Roman"/>
          <w:sz w:val="24"/>
          <w:lang w:val="en-IE"/>
        </w:rPr>
        <w:t xml:space="preserve"> and eosin (H&amp;E) staining, sections were dewaxed in xylene, rehydrated, and stained in Gill no. 3 </w:t>
      </w:r>
      <w:proofErr w:type="spellStart"/>
      <w:r w:rsidRPr="00243CDC">
        <w:rPr>
          <w:rFonts w:ascii="Calibri" w:eastAsia="Calibri" w:hAnsi="Calibri" w:cs="Times New Roman"/>
          <w:sz w:val="24"/>
          <w:lang w:val="en-IE"/>
        </w:rPr>
        <w:t>hematoxylin</w:t>
      </w:r>
      <w:proofErr w:type="spellEnd"/>
      <w:r w:rsidRPr="00243CDC">
        <w:rPr>
          <w:rFonts w:ascii="Calibri" w:eastAsia="Calibri" w:hAnsi="Calibri" w:cs="Times New Roman"/>
          <w:sz w:val="24"/>
          <w:lang w:val="en-IE"/>
        </w:rPr>
        <w:t xml:space="preserve"> (Sigma-Aldrich) followed by eosin (Sigma-Aldrich) before being dehydrated through graded alcohols, cleared in xylene, and then covered with DPX mounting medium and coverslips.</w:t>
      </w:r>
      <w:r>
        <w:rPr>
          <w:rFonts w:ascii="Calibri" w:eastAsia="Calibri" w:hAnsi="Calibri" w:cs="Times New Roman"/>
          <w:sz w:val="24"/>
          <w:lang w:val="en-IE"/>
        </w:rPr>
        <w:t xml:space="preserve"> </w:t>
      </w:r>
      <w:r w:rsidRPr="00243CDC">
        <w:rPr>
          <w:rFonts w:ascii="Calibri" w:eastAsia="Calibri" w:hAnsi="Calibri" w:cs="Times New Roman"/>
          <w:sz w:val="24"/>
          <w:lang w:val="en-IE"/>
        </w:rPr>
        <w:t xml:space="preserve">For periodic acid-Schiff (PAS) staining, sections </w:t>
      </w:r>
      <w:proofErr w:type="gramStart"/>
      <w:r w:rsidRPr="00243CDC">
        <w:rPr>
          <w:rFonts w:ascii="Calibri" w:eastAsia="Calibri" w:hAnsi="Calibri" w:cs="Times New Roman"/>
          <w:sz w:val="24"/>
          <w:lang w:val="en-IE"/>
        </w:rPr>
        <w:t>were dewaxed in xylene, rehyd</w:t>
      </w:r>
      <w:r w:rsidR="00700A55">
        <w:rPr>
          <w:rFonts w:ascii="Calibri" w:eastAsia="Calibri" w:hAnsi="Calibri" w:cs="Times New Roman"/>
          <w:sz w:val="24"/>
          <w:lang w:val="en-IE"/>
        </w:rPr>
        <w:t>rated, and then oxidized in 0.5</w:t>
      </w:r>
      <w:r w:rsidRPr="00243CDC">
        <w:rPr>
          <w:rFonts w:ascii="Calibri" w:eastAsia="Calibri" w:hAnsi="Calibri" w:cs="Times New Roman"/>
          <w:sz w:val="24"/>
          <w:lang w:val="en-IE"/>
        </w:rPr>
        <w:t>% periodic acid solution</w:t>
      </w:r>
      <w:proofErr w:type="gramEnd"/>
      <w:r w:rsidRPr="00243CDC">
        <w:rPr>
          <w:rFonts w:ascii="Calibri" w:eastAsia="Calibri" w:hAnsi="Calibri" w:cs="Times New Roman"/>
          <w:sz w:val="24"/>
          <w:lang w:val="en-IE"/>
        </w:rPr>
        <w:t xml:space="preserve">. Sections were then washed and incubated in Schiff reagent (Sigma-Aldrich) for 20 minutes in dark. Following counterstaining in Gill no. 3 </w:t>
      </w:r>
      <w:proofErr w:type="spellStart"/>
      <w:r w:rsidRPr="00243CDC">
        <w:rPr>
          <w:rFonts w:ascii="Calibri" w:eastAsia="Calibri" w:hAnsi="Calibri" w:cs="Times New Roman"/>
          <w:sz w:val="24"/>
          <w:lang w:val="en-IE"/>
        </w:rPr>
        <w:t>hematoxylin</w:t>
      </w:r>
      <w:proofErr w:type="spellEnd"/>
      <w:r w:rsidRPr="00243CDC">
        <w:rPr>
          <w:rFonts w:ascii="Calibri" w:eastAsia="Calibri" w:hAnsi="Calibri" w:cs="Times New Roman"/>
          <w:sz w:val="24"/>
          <w:lang w:val="en-IE"/>
        </w:rPr>
        <w:t xml:space="preserve"> (Sigma-Aldrich), sections were dipped in acid alcohol and ammonia water, dehydrated, cleared in xylene, and mounted in DPX medium.</w:t>
      </w:r>
    </w:p>
    <w:p w14:paraId="2735A20F" w14:textId="0D926FD1" w:rsidR="000E111F" w:rsidRDefault="000E111F" w:rsidP="00843960">
      <w:pPr>
        <w:spacing w:before="120" w:after="120" w:line="480" w:lineRule="auto"/>
        <w:jc w:val="both"/>
        <w:rPr>
          <w:rFonts w:ascii="Calibri" w:eastAsia="Calibri" w:hAnsi="Calibri" w:cs="Times New Roman"/>
          <w:sz w:val="24"/>
          <w:lang w:val="en-IE"/>
        </w:rPr>
      </w:pPr>
      <w:r>
        <w:rPr>
          <w:rFonts w:ascii="Calibri" w:eastAsia="Calibri" w:hAnsi="Calibri" w:cs="Times New Roman"/>
          <w:i/>
          <w:iCs/>
          <w:sz w:val="24"/>
          <w:lang w:val="en-IE"/>
        </w:rPr>
        <w:t>Semi-quantitative scoring of kidney injury:</w:t>
      </w:r>
      <w:r w:rsidR="00243CDC">
        <w:rPr>
          <w:rFonts w:ascii="Calibri" w:eastAsia="Calibri" w:hAnsi="Calibri" w:cs="Times New Roman"/>
          <w:i/>
          <w:iCs/>
          <w:sz w:val="24"/>
          <w:lang w:val="en-IE"/>
        </w:rPr>
        <w:t xml:space="preserve"> </w:t>
      </w:r>
      <w:r w:rsidR="00FB5126">
        <w:rPr>
          <w:rFonts w:ascii="Calibri" w:eastAsia="Calibri" w:hAnsi="Calibri" w:cs="Times New Roman"/>
          <w:sz w:val="24"/>
          <w:lang w:val="en-IE"/>
        </w:rPr>
        <w:t xml:space="preserve">Individual fields from </w:t>
      </w:r>
      <w:r w:rsidR="00EC7EBF">
        <w:rPr>
          <w:rFonts w:ascii="Calibri" w:eastAsia="Calibri" w:hAnsi="Calibri" w:cs="Times New Roman"/>
          <w:sz w:val="24"/>
          <w:lang w:val="en-IE"/>
        </w:rPr>
        <w:t xml:space="preserve">each </w:t>
      </w:r>
      <w:r w:rsidR="00FB5126">
        <w:rPr>
          <w:rFonts w:ascii="Calibri" w:eastAsia="Calibri" w:hAnsi="Calibri" w:cs="Times New Roman"/>
          <w:sz w:val="24"/>
          <w:lang w:val="en-IE"/>
        </w:rPr>
        <w:t xml:space="preserve">stained tissue sections were scored in blinded fashion according to the following scoring system: </w:t>
      </w:r>
      <w:r w:rsidRPr="000E111F">
        <w:rPr>
          <w:rFonts w:ascii="Calibri" w:eastAsia="Calibri" w:hAnsi="Calibri" w:cs="Times New Roman"/>
          <w:sz w:val="24"/>
          <w:lang w:val="en-IE"/>
        </w:rPr>
        <w:t>0 = no lesion; 1 = minimal or focal changes affecting less than 20% of the field; 2 = mild changes or the extension of the lesion to approx</w:t>
      </w:r>
      <w:r w:rsidR="00FB5126">
        <w:rPr>
          <w:rFonts w:ascii="Calibri" w:eastAsia="Calibri" w:hAnsi="Calibri" w:cs="Times New Roman"/>
          <w:sz w:val="24"/>
          <w:lang w:val="en-IE"/>
        </w:rPr>
        <w:t>imately</w:t>
      </w:r>
      <w:r w:rsidRPr="000E111F">
        <w:rPr>
          <w:rFonts w:ascii="Calibri" w:eastAsia="Calibri" w:hAnsi="Calibri" w:cs="Times New Roman"/>
          <w:sz w:val="24"/>
          <w:lang w:val="en-IE"/>
        </w:rPr>
        <w:t xml:space="preserve"> 25% of the field; 3 = moderate changes or the extension of the lesion from 25% to 50% of the field; 4 = severe changes or the extension of the lesion to more than 50% of the field. The total injury score (A or B) consisted of the sum of the scores from three </w:t>
      </w:r>
      <w:r w:rsidR="00EC7EBF">
        <w:rPr>
          <w:rFonts w:ascii="Calibri" w:eastAsia="Calibri" w:hAnsi="Calibri" w:cs="Times New Roman"/>
          <w:sz w:val="24"/>
          <w:lang w:val="en-IE"/>
        </w:rPr>
        <w:t xml:space="preserve">separate </w:t>
      </w:r>
      <w:r w:rsidRPr="000E111F">
        <w:rPr>
          <w:rFonts w:ascii="Calibri" w:eastAsia="Calibri" w:hAnsi="Calibri" w:cs="Times New Roman"/>
          <w:sz w:val="24"/>
          <w:lang w:val="en-IE"/>
        </w:rPr>
        <w:t>histology sections per kidney.</w:t>
      </w:r>
    </w:p>
    <w:p w14:paraId="45D84EA9" w14:textId="164E89E8" w:rsidR="00F909AD" w:rsidRDefault="00F909AD" w:rsidP="00843960">
      <w:pPr>
        <w:spacing w:before="120" w:after="120" w:line="480" w:lineRule="auto"/>
        <w:jc w:val="both"/>
        <w:rPr>
          <w:rFonts w:ascii="Calibri" w:eastAsia="Calibri" w:hAnsi="Calibri" w:cs="Times New Roman"/>
          <w:sz w:val="24"/>
          <w:lang w:val="en-IE"/>
        </w:rPr>
      </w:pPr>
    </w:p>
    <w:p w14:paraId="351DD1D7" w14:textId="77777777" w:rsidR="00F909AD" w:rsidRPr="00F909AD" w:rsidRDefault="00F909AD" w:rsidP="00843960">
      <w:pPr>
        <w:spacing w:line="480" w:lineRule="auto"/>
        <w:jc w:val="both"/>
        <w:rPr>
          <w:rFonts w:ascii="Calibri" w:eastAsia="Calibri" w:hAnsi="Calibri" w:cs="Times New Roman"/>
          <w:sz w:val="24"/>
          <w:szCs w:val="24"/>
          <w:lang w:val="en-IE"/>
        </w:rPr>
      </w:pPr>
      <w:r w:rsidRPr="00F909AD">
        <w:rPr>
          <w:rFonts w:ascii="Calibri" w:eastAsia="Calibri" w:hAnsi="Calibri" w:cs="Times New Roman"/>
          <w:b/>
          <w:sz w:val="24"/>
          <w:szCs w:val="24"/>
          <w:lang w:val="en-IE"/>
        </w:rPr>
        <w:lastRenderedPageBreak/>
        <w:t xml:space="preserve">Supplementary Table S1: </w:t>
      </w:r>
      <w:r w:rsidRPr="00F909AD">
        <w:rPr>
          <w:rFonts w:ascii="Calibri" w:eastAsia="Calibri" w:hAnsi="Calibri" w:cs="Times New Roman"/>
          <w:sz w:val="24"/>
          <w:szCs w:val="24"/>
          <w:lang w:val="en-IE"/>
        </w:rPr>
        <w:t>Flow cytometry-based surface marker staining combinations for defined immune cell sub-populations in CD45-enriched kidney cell suspensions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869"/>
        <w:gridCol w:w="4530"/>
      </w:tblGrid>
      <w:tr w:rsidR="00F909AD" w:rsidRPr="00F909AD" w14:paraId="51E4070A" w14:textId="77777777" w:rsidTr="00DA1834">
        <w:trPr>
          <w:trHeight w:val="300"/>
        </w:trPr>
        <w:tc>
          <w:tcPr>
            <w:tcW w:w="0" w:type="auto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noWrap/>
          </w:tcPr>
          <w:p w14:paraId="5407E4CB" w14:textId="77777777" w:rsidR="00F909AD" w:rsidRPr="00F909AD" w:rsidRDefault="00F909AD" w:rsidP="00F909AD">
            <w:pPr>
              <w:spacing w:before="40" w:after="60"/>
              <w:jc w:val="center"/>
              <w:rPr>
                <w:rFonts w:ascii="Calibri" w:eastAsia="Calibri" w:hAnsi="Calibri" w:cs="Times New Roman"/>
                <w:b/>
                <w:szCs w:val="24"/>
              </w:rPr>
            </w:pPr>
            <w:r w:rsidRPr="00F909AD">
              <w:rPr>
                <w:rFonts w:ascii="Calibri" w:eastAsia="Calibri" w:hAnsi="Calibri" w:cs="Times New Roman"/>
                <w:b/>
                <w:szCs w:val="24"/>
              </w:rPr>
              <w:t>Immune Cell Type</w:t>
            </w:r>
          </w:p>
        </w:tc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noWrap/>
          </w:tcPr>
          <w:p w14:paraId="4DE128B8" w14:textId="77777777" w:rsidR="00F909AD" w:rsidRPr="00F909AD" w:rsidRDefault="00F909AD" w:rsidP="00F909AD">
            <w:pPr>
              <w:spacing w:before="40" w:after="60"/>
              <w:jc w:val="center"/>
              <w:rPr>
                <w:rFonts w:ascii="Calibri" w:eastAsia="Calibri" w:hAnsi="Calibri" w:cs="Times New Roman"/>
                <w:b/>
              </w:rPr>
            </w:pPr>
            <w:r w:rsidRPr="00F909AD">
              <w:rPr>
                <w:rFonts w:ascii="Calibri" w:eastAsia="Calibri" w:hAnsi="Calibri" w:cs="Times New Roman"/>
                <w:b/>
              </w:rPr>
              <w:t>Surface Staining Combination</w:t>
            </w:r>
          </w:p>
        </w:tc>
      </w:tr>
      <w:tr w:rsidR="00F909AD" w:rsidRPr="00F909AD" w14:paraId="0F0F7CB3" w14:textId="77777777" w:rsidTr="00DA1834">
        <w:trPr>
          <w:trHeight w:val="300"/>
        </w:trPr>
        <w:tc>
          <w:tcPr>
            <w:tcW w:w="0" w:type="auto"/>
            <w:tcBorders>
              <w:top w:val="double" w:sz="4" w:space="0" w:color="auto"/>
              <w:right w:val="double" w:sz="4" w:space="0" w:color="auto"/>
            </w:tcBorders>
            <w:noWrap/>
          </w:tcPr>
          <w:p w14:paraId="33EEEF90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M1 Macrophage</w:t>
            </w:r>
          </w:p>
        </w:tc>
        <w:tc>
          <w:tcPr>
            <w:tcW w:w="0" w:type="auto"/>
            <w:tcBorders>
              <w:top w:val="double" w:sz="4" w:space="0" w:color="auto"/>
              <w:left w:val="double" w:sz="4" w:space="0" w:color="auto"/>
            </w:tcBorders>
            <w:noWrap/>
          </w:tcPr>
          <w:p w14:paraId="7069347C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</w:rPr>
            </w:pPr>
            <w:r w:rsidRPr="00F909AD">
              <w:rPr>
                <w:rFonts w:ascii="Calibri" w:eastAsia="Calibri" w:hAnsi="Calibri" w:cs="Times New Roman"/>
              </w:rPr>
              <w:t>Ly6C-CD11b+CD68+</w:t>
            </w:r>
          </w:p>
        </w:tc>
      </w:tr>
      <w:tr w:rsidR="00F909AD" w:rsidRPr="00F909AD" w14:paraId="2DF16D12" w14:textId="77777777" w:rsidTr="00DA1834">
        <w:trPr>
          <w:trHeight w:val="300"/>
        </w:trPr>
        <w:tc>
          <w:tcPr>
            <w:tcW w:w="0" w:type="auto"/>
            <w:tcBorders>
              <w:right w:val="double" w:sz="4" w:space="0" w:color="auto"/>
            </w:tcBorders>
            <w:noWrap/>
          </w:tcPr>
          <w:p w14:paraId="602F980C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M2 Macrophage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</w:tcPr>
          <w:p w14:paraId="1CE8E6F8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</w:rPr>
            </w:pPr>
            <w:r w:rsidRPr="00F909AD">
              <w:rPr>
                <w:rFonts w:ascii="Calibri" w:eastAsia="Calibri" w:hAnsi="Calibri" w:cs="Times New Roman"/>
              </w:rPr>
              <w:t>Ly6C-CD11b+CD206+</w:t>
            </w:r>
          </w:p>
        </w:tc>
      </w:tr>
      <w:tr w:rsidR="00F909AD" w:rsidRPr="00F909AD" w14:paraId="1B3AA982" w14:textId="77777777" w:rsidTr="00DA1834">
        <w:trPr>
          <w:trHeight w:val="300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1F20F20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bookmarkStart w:id="1" w:name="_Hlk20063785"/>
            <w:r w:rsidRPr="00F909AD">
              <w:rPr>
                <w:rFonts w:ascii="Calibri" w:eastAsia="Calibri" w:hAnsi="Calibri" w:cs="Times New Roman"/>
                <w:szCs w:val="24"/>
              </w:rPr>
              <w:t>CD4 T cells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E3B1252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</w:rPr>
              <w:t>CD45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</w:rPr>
              <w:t>TCRβ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</w:rPr>
              <w:t>CD4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</w:rPr>
              <w:t>CD8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</w:p>
        </w:tc>
      </w:tr>
      <w:tr w:rsidR="00F909AD" w:rsidRPr="00F909AD" w14:paraId="28462C98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485B246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CD8 T cells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814FD4D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</w:rPr>
              <w:t>CD45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</w:rPr>
              <w:t>TCRβ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</w:rPr>
              <w:t>CD4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</w:rPr>
              <w:t>CD8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</w:p>
        </w:tc>
      </w:tr>
      <w:tr w:rsidR="00F909AD" w:rsidRPr="00F909AD" w14:paraId="10D0847A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72990D9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Double negative (DN) T cells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0A68F35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</w:rPr>
              <w:t>CD45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</w:rPr>
              <w:t>TCRβ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</w:rPr>
              <w:t>CD4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</w:rPr>
              <w:t>CD8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</w:p>
        </w:tc>
      </w:tr>
      <w:tr w:rsidR="00F909AD" w:rsidRPr="00F909AD" w14:paraId="2608024B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A76F3D8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bookmarkStart w:id="2" w:name="_Hlk20063804"/>
            <w:bookmarkEnd w:id="1"/>
            <w:r w:rsidRPr="00F909AD">
              <w:rPr>
                <w:rFonts w:ascii="Calibri" w:eastAsia="Calibri" w:hAnsi="Calibri" w:cs="Times New Roman"/>
                <w:szCs w:val="24"/>
              </w:rPr>
              <w:t>B cells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0757B4D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</w:rPr>
              <w:t>CD45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</w:rPr>
              <w:t>TCRβ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</w:rPr>
              <w:t>CD4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</w:rPr>
              <w:t>CD8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</w:rPr>
              <w:t>CD19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</w:p>
        </w:tc>
      </w:tr>
      <w:tr w:rsidR="00F909AD" w:rsidRPr="00F909AD" w14:paraId="0D3D04F5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</w:tcPr>
          <w:p w14:paraId="1C4CB3C1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NK cells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</w:tcPr>
          <w:p w14:paraId="4598AD4C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</w:rPr>
            </w:pPr>
            <w:r w:rsidRPr="00F909AD">
              <w:rPr>
                <w:rFonts w:ascii="Calibri" w:eastAsia="Calibri" w:hAnsi="Calibri" w:cs="Times New Roman"/>
              </w:rPr>
              <w:t>CD45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</w:rPr>
              <w:t>TCRβ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</w:rPr>
              <w:t>CD4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</w:rPr>
              <w:t>CD8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</w:rPr>
              <w:t>CD19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</w:rPr>
              <w:t>NK1.1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</w:p>
        </w:tc>
      </w:tr>
      <w:tr w:rsidR="00F909AD" w:rsidRPr="00F909AD" w14:paraId="3D7327A1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8F3D99B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bookmarkStart w:id="3" w:name="_Hlk20064332"/>
            <w:bookmarkEnd w:id="2"/>
            <w:r w:rsidRPr="00F909AD">
              <w:rPr>
                <w:rFonts w:ascii="Calibri" w:eastAsia="Calibri" w:hAnsi="Calibri" w:cs="Times New Roman"/>
                <w:szCs w:val="24"/>
              </w:rPr>
              <w:t>Myeloid cells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</w:tcPr>
          <w:p w14:paraId="3DF00EC3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CD11b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</w:p>
        </w:tc>
      </w:tr>
      <w:tr w:rsidR="00F909AD" w:rsidRPr="00F909AD" w14:paraId="0272942A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5C42EB2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 xml:space="preserve">Neutrophils 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2402905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CD11b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Ly6G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</w:p>
        </w:tc>
      </w:tr>
      <w:tr w:rsidR="00F909AD" w:rsidRPr="00F909AD" w14:paraId="4C62F612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0AABF97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Mononuclear phagocytes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184BD67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CD11b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Ly6G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CD11c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F4/80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+/-</w:t>
            </w:r>
            <w:r w:rsidRPr="00F909AD">
              <w:rPr>
                <w:rFonts w:ascii="Calibri" w:eastAsia="Calibri" w:hAnsi="Calibri" w:cs="Times New Roman"/>
                <w:szCs w:val="24"/>
              </w:rPr>
              <w:t>Ly6C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+/-</w:t>
            </w:r>
          </w:p>
        </w:tc>
      </w:tr>
      <w:tr w:rsidR="00F909AD" w:rsidRPr="00F909AD" w14:paraId="71DD9A35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</w:tcPr>
          <w:p w14:paraId="0B86FF8D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CD206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 xml:space="preserve"> Macrophage-like cells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</w:tcPr>
          <w:p w14:paraId="55066856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CD11b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Ly6G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CD11c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F4/80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+/-</w:t>
            </w:r>
            <w:r w:rsidRPr="00F909AD">
              <w:rPr>
                <w:rFonts w:ascii="Calibri" w:eastAsia="Calibri" w:hAnsi="Calibri" w:cs="Times New Roman"/>
                <w:szCs w:val="24"/>
              </w:rPr>
              <w:t>Ly6C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+/-</w:t>
            </w:r>
            <w:r w:rsidRPr="00F909AD">
              <w:rPr>
                <w:rFonts w:ascii="Calibri" w:eastAsia="Calibri" w:hAnsi="Calibri" w:cs="Times New Roman"/>
                <w:szCs w:val="24"/>
              </w:rPr>
              <w:t>CD206+</w:t>
            </w:r>
          </w:p>
        </w:tc>
      </w:tr>
      <w:tr w:rsidR="00F909AD" w:rsidRPr="00F909AD" w14:paraId="6DD89630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D71E3D4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Dendritic cells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53E3087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Ly6G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CD11b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CD11c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</w:p>
        </w:tc>
      </w:tr>
      <w:tr w:rsidR="00F909AD" w:rsidRPr="00F909AD" w14:paraId="17EA7682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906A60D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bookmarkStart w:id="4" w:name="_Hlk20064811"/>
            <w:bookmarkEnd w:id="3"/>
            <w:r w:rsidRPr="00F909AD">
              <w:rPr>
                <w:rFonts w:ascii="Calibri" w:eastAsia="Calibri" w:hAnsi="Calibri" w:cs="Times New Roman"/>
                <w:szCs w:val="24"/>
              </w:rPr>
              <w:t>CD11c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 xml:space="preserve"> Myeloid cells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F1D08E0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CD11c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MHC II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</w:p>
        </w:tc>
      </w:tr>
      <w:tr w:rsidR="00F909AD" w:rsidRPr="00F909AD" w14:paraId="770D36F5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8D119E4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Conventional (c)DC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8DB104E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(MHC II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CD11c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)(CD64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F4/80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)</w:t>
            </w:r>
          </w:p>
        </w:tc>
      </w:tr>
      <w:tr w:rsidR="00F909AD" w:rsidRPr="00F909AD" w14:paraId="78DEE72D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1023ECD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CD103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 xml:space="preserve"> DCs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E302A98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(MHC II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CD11c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)(CD64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F4/80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)CD103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</w:p>
        </w:tc>
      </w:tr>
      <w:tr w:rsidR="00F909AD" w:rsidRPr="00F909AD" w14:paraId="62B07DEA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A57A103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 xml:space="preserve">CD11b 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 xml:space="preserve"> DCs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EC8A6B7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(MHC II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CD11c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)(CD64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F4/80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)CD11b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mid/high</w:t>
            </w:r>
          </w:p>
        </w:tc>
      </w:tr>
      <w:tr w:rsidR="00F909AD" w:rsidRPr="00F909AD" w14:paraId="74F48492" w14:textId="77777777" w:rsidTr="00DA1834">
        <w:trPr>
          <w:trHeight w:val="345"/>
        </w:trPr>
        <w:tc>
          <w:tcPr>
            <w:tcW w:w="0" w:type="auto"/>
            <w:tcBorders>
              <w:bottom w:val="double" w:sz="4" w:space="0" w:color="auto"/>
              <w:right w:val="double" w:sz="4" w:space="0" w:color="auto"/>
            </w:tcBorders>
            <w:noWrap/>
            <w:hideMark/>
          </w:tcPr>
          <w:p w14:paraId="27DB6622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Monocytes &amp; Macrophages</w:t>
            </w:r>
          </w:p>
        </w:tc>
        <w:tc>
          <w:tcPr>
            <w:tcW w:w="0" w:type="auto"/>
            <w:tcBorders>
              <w:left w:val="double" w:sz="4" w:space="0" w:color="auto"/>
              <w:bottom w:val="double" w:sz="4" w:space="0" w:color="auto"/>
            </w:tcBorders>
            <w:noWrap/>
            <w:hideMark/>
          </w:tcPr>
          <w:p w14:paraId="26E9DDF3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(MHC II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CD11c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)(CD64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mid/high</w:t>
            </w:r>
            <w:r w:rsidRPr="00F909AD">
              <w:rPr>
                <w:rFonts w:ascii="Calibri" w:eastAsia="Calibri" w:hAnsi="Calibri" w:cs="Times New Roman"/>
                <w:szCs w:val="24"/>
              </w:rPr>
              <w:t>F4/80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mid/high</w:t>
            </w:r>
            <w:r w:rsidRPr="00F909AD">
              <w:rPr>
                <w:rFonts w:ascii="Calibri" w:eastAsia="Calibri" w:hAnsi="Calibri" w:cs="Times New Roman"/>
                <w:szCs w:val="24"/>
              </w:rPr>
              <w:t>)</w:t>
            </w:r>
          </w:p>
        </w:tc>
      </w:tr>
      <w:bookmarkEnd w:id="4"/>
    </w:tbl>
    <w:p w14:paraId="5E0D3AF5" w14:textId="14B3CCDB" w:rsidR="00F909AD" w:rsidRDefault="00F909AD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50C69B7D" w14:textId="6E47F182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59090608" w14:textId="4A3939D9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106D049D" w14:textId="4156B927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3709D6E6" w14:textId="0F860535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238278F4" w14:textId="5F66F30B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0B86D500" w14:textId="4EA618F9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5518D63B" w14:textId="34DF841B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7DDBBE25" w14:textId="721A9670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010A306A" w14:textId="7EF0115E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5AD75290" w14:textId="118736A8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0B48846E" w14:textId="780D28AE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2BDE884F" w14:textId="13200429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4E4C5AFB" w14:textId="624B30F7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79A24F24" w14:textId="62C308FE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6F3CEE48" w14:textId="0F8E4395" w:rsidR="006369EE" w:rsidRDefault="006369EE">
      <w:pPr>
        <w:rPr>
          <w:rFonts w:ascii="Calibri" w:eastAsia="Calibri" w:hAnsi="Calibri" w:cs="Times New Roman"/>
          <w:b/>
          <w:sz w:val="24"/>
          <w:szCs w:val="24"/>
          <w:lang w:val="en-IE"/>
        </w:rPr>
      </w:pPr>
      <w:r>
        <w:rPr>
          <w:rFonts w:ascii="Calibri" w:eastAsia="Calibri" w:hAnsi="Calibri" w:cs="Times New Roman"/>
          <w:b/>
          <w:sz w:val="24"/>
          <w:szCs w:val="24"/>
          <w:lang w:val="en-IE"/>
        </w:rPr>
        <w:br w:type="page"/>
      </w:r>
    </w:p>
    <w:p w14:paraId="5FC375AE" w14:textId="4582ADAF" w:rsidR="006369EE" w:rsidRPr="006369EE" w:rsidRDefault="006369EE" w:rsidP="00843960">
      <w:pPr>
        <w:spacing w:before="120" w:after="120" w:line="480" w:lineRule="auto"/>
        <w:jc w:val="both"/>
        <w:rPr>
          <w:rFonts w:ascii="Calibri" w:eastAsia="Calibri" w:hAnsi="Calibri" w:cs="Times New Roman"/>
          <w:sz w:val="24"/>
          <w:szCs w:val="24"/>
          <w:lang w:val="en-IE"/>
        </w:rPr>
      </w:pPr>
      <w:r>
        <w:rPr>
          <w:rFonts w:ascii="Calibri" w:eastAsia="Calibri" w:hAnsi="Calibri" w:cs="Times New Roman"/>
          <w:b/>
          <w:noProof/>
          <w:sz w:val="24"/>
          <w:szCs w:val="24"/>
          <w:lang w:val="en-IE" w:eastAsia="en-IE"/>
        </w:rPr>
        <w:lastRenderedPageBreak/>
        <w:drawing>
          <wp:inline distT="0" distB="0" distL="0" distR="0" wp14:anchorId="1AC35D20" wp14:editId="527BB12A">
            <wp:extent cx="5730875" cy="7553325"/>
            <wp:effectExtent l="0" t="0" r="317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7553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369EE">
        <w:rPr>
          <w:rFonts w:ascii="Calibri" w:eastAsia="Calibri" w:hAnsi="Calibri" w:cs="Times New Roman"/>
          <w:b/>
          <w:sz w:val="24"/>
          <w:szCs w:val="24"/>
          <w:lang w:val="en-IE"/>
        </w:rPr>
        <w:t xml:space="preserve">Supplementary Figure S1. </w:t>
      </w:r>
      <w:r w:rsidRPr="006369EE">
        <w:rPr>
          <w:rFonts w:ascii="Calibri" w:eastAsia="Calibri" w:hAnsi="Calibri" w:cs="Times New Roman"/>
          <w:i/>
          <w:sz w:val="24"/>
          <w:szCs w:val="24"/>
          <w:lang w:val="en-IE"/>
        </w:rPr>
        <w:t xml:space="preserve">Representative examples of gating strategies for phenotypic analysis of immune cell subpopulations by flow </w:t>
      </w:r>
      <w:proofErr w:type="spellStart"/>
      <w:r w:rsidRPr="006369EE">
        <w:rPr>
          <w:rFonts w:ascii="Calibri" w:eastAsia="Calibri" w:hAnsi="Calibri" w:cs="Times New Roman"/>
          <w:i/>
          <w:sz w:val="24"/>
          <w:szCs w:val="24"/>
          <w:lang w:val="en-IE"/>
        </w:rPr>
        <w:t>cytometery</w:t>
      </w:r>
      <w:proofErr w:type="spellEnd"/>
      <w:r w:rsidRPr="006369EE">
        <w:rPr>
          <w:rFonts w:ascii="Calibri" w:eastAsia="Calibri" w:hAnsi="Calibri" w:cs="Times New Roman"/>
          <w:i/>
          <w:sz w:val="24"/>
          <w:szCs w:val="24"/>
          <w:lang w:val="en-IE"/>
        </w:rPr>
        <w:t xml:space="preserve">: </w:t>
      </w:r>
      <w:r w:rsidRPr="006369EE">
        <w:rPr>
          <w:rFonts w:ascii="Calibri" w:eastAsia="Calibri" w:hAnsi="Calibri" w:cs="Times New Roman"/>
          <w:b/>
          <w:sz w:val="24"/>
          <w:szCs w:val="24"/>
          <w:lang w:val="en-IE"/>
        </w:rPr>
        <w:t xml:space="preserve">A) </w:t>
      </w:r>
      <w:r w:rsidRPr="006369EE">
        <w:rPr>
          <w:rFonts w:ascii="Calibri" w:eastAsia="Calibri" w:hAnsi="Calibri" w:cs="Times New Roman"/>
          <w:sz w:val="24"/>
          <w:szCs w:val="24"/>
          <w:lang w:val="en-IE"/>
        </w:rPr>
        <w:t xml:space="preserve">Gating strategy for peritoneal </w:t>
      </w:r>
      <w:r w:rsidRPr="006369EE">
        <w:rPr>
          <w:rFonts w:ascii="Calibri" w:eastAsia="Calibri" w:hAnsi="Calibri" w:cs="Times New Roman"/>
          <w:sz w:val="24"/>
          <w:szCs w:val="24"/>
          <w:lang w:val="en-IE"/>
        </w:rPr>
        <w:lastRenderedPageBreak/>
        <w:t>macrophages.</w:t>
      </w:r>
      <w:r w:rsidRPr="006369EE">
        <w:rPr>
          <w:rFonts w:ascii="Calibri" w:eastAsia="Calibri" w:hAnsi="Calibri" w:cs="Times New Roman"/>
          <w:b/>
          <w:sz w:val="24"/>
          <w:szCs w:val="24"/>
          <w:lang w:val="en-IE"/>
        </w:rPr>
        <w:t xml:space="preserve"> B) </w:t>
      </w:r>
      <w:r w:rsidRPr="006369EE">
        <w:rPr>
          <w:rFonts w:ascii="Calibri" w:eastAsia="Calibri" w:hAnsi="Calibri" w:cs="Times New Roman"/>
          <w:sz w:val="24"/>
          <w:szCs w:val="24"/>
          <w:lang w:val="en-IE"/>
        </w:rPr>
        <w:t>Gating strategies for renal lymphoid cell populations</w:t>
      </w:r>
      <w:r w:rsidRPr="006369EE">
        <w:rPr>
          <w:rFonts w:ascii="Calibri" w:eastAsia="Calibri" w:hAnsi="Calibri" w:cs="Times New Roman"/>
          <w:b/>
          <w:sz w:val="24"/>
          <w:szCs w:val="24"/>
          <w:lang w:val="en-IE"/>
        </w:rPr>
        <w:t xml:space="preserve"> C-D) </w:t>
      </w:r>
      <w:r w:rsidRPr="006369EE">
        <w:rPr>
          <w:rFonts w:ascii="Calibri" w:eastAsia="Calibri" w:hAnsi="Calibri" w:cs="Times New Roman"/>
          <w:sz w:val="24"/>
          <w:szCs w:val="24"/>
          <w:lang w:val="en-IE"/>
        </w:rPr>
        <w:t>Gating strategies for renal myeloid cell populations</w:t>
      </w:r>
      <w:r w:rsidRPr="006369EE">
        <w:rPr>
          <w:rFonts w:ascii="Calibri" w:eastAsia="Calibri" w:hAnsi="Calibri" w:cs="Times New Roman"/>
          <w:b/>
          <w:sz w:val="24"/>
          <w:szCs w:val="24"/>
          <w:lang w:val="en-IE"/>
        </w:rPr>
        <w:t>.</w:t>
      </w:r>
    </w:p>
    <w:sectPr w:rsidR="006369EE" w:rsidRPr="006369EE" w:rsidSect="009678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E5C"/>
    <w:rsid w:val="000E111F"/>
    <w:rsid w:val="00243CDC"/>
    <w:rsid w:val="0032441E"/>
    <w:rsid w:val="00505656"/>
    <w:rsid w:val="006369EE"/>
    <w:rsid w:val="00700A55"/>
    <w:rsid w:val="00836F71"/>
    <w:rsid w:val="00843960"/>
    <w:rsid w:val="0092396F"/>
    <w:rsid w:val="00967845"/>
    <w:rsid w:val="00B26E5C"/>
    <w:rsid w:val="00EC7EBF"/>
    <w:rsid w:val="00F909AD"/>
    <w:rsid w:val="00FB5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0C768"/>
  <w15:chartTrackingRefBased/>
  <w15:docId w15:val="{17356977-33B3-4DAC-9707-E35BC6D8B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09AD"/>
    <w:pPr>
      <w:spacing w:after="0" w:line="240" w:lineRule="auto"/>
    </w:pPr>
    <w:rPr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439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1002</Words>
  <Characters>5713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Griffin</dc:creator>
  <cp:keywords/>
  <dc:description/>
  <cp:lastModifiedBy>Fazekas, Barbara</cp:lastModifiedBy>
  <cp:revision>7</cp:revision>
  <dcterms:created xsi:type="dcterms:W3CDTF">2021-04-02T13:21:00Z</dcterms:created>
  <dcterms:modified xsi:type="dcterms:W3CDTF">2021-06-18T11:37:00Z</dcterms:modified>
</cp:coreProperties>
</file>