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F3E" w:rsidRDefault="00675F3E" w:rsidP="00675F3E">
      <w:r>
        <w:t>Appendix B</w:t>
      </w:r>
    </w:p>
    <w:p w:rsidR="00675F3E" w:rsidRDefault="00675F3E" w:rsidP="00675F3E">
      <w:r>
        <w:t>Full results tables</w:t>
      </w:r>
    </w:p>
    <w:p w:rsidR="00675F3E" w:rsidRDefault="00675F3E" w:rsidP="00675F3E"/>
    <w:tbl>
      <w:tblPr>
        <w:tblStyle w:val="TableGrid"/>
        <w:tblW w:w="9411" w:type="dxa"/>
        <w:tblInd w:w="0" w:type="dxa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3"/>
      </w:tblGrid>
      <w:tr w:rsidR="00675F3E" w:rsidTr="00675F3E">
        <w:trPr>
          <w:trHeight w:val="595"/>
        </w:trPr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Outcome (outcome count with partial time-at-risk/ outcome count with full time-at-risk)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Solution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Test Data 1: All lost to follow-up patients removed (~97,500)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Test Data 2: All lost to follow-up patients included (~125,000)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Test Data 3: All non-outcome lost to follow-up patients are removed (~97,500)</w:t>
            </w:r>
          </w:p>
        </w:tc>
      </w:tr>
      <w:tr w:rsidR="00675F3E" w:rsidTr="00675F3E">
        <w:trPr>
          <w:trHeight w:val="297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Acute liver injury incident event (59/33)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0.811 (0.732-0.891)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0.839 (0.782-0.896)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0.848 (0.791-0.904)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 (0.709-0.89)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0.841 (0.779-0.902)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0.848 (0.787-0.909)</w:t>
            </w:r>
          </w:p>
        </w:tc>
      </w:tr>
      <w:tr w:rsidR="00675F3E" w:rsidTr="00675F3E">
        <w:trPr>
          <w:trHeight w:val="3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0.795 (0.702-0.887)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0.838 (0.776-0.9)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0.848 (0.787-0.91)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0.799 (0.71-0.889)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 (0.779-0.902)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r>
              <w:rPr>
                <w:rFonts w:ascii="Calibri" w:hAnsi="Calibri" w:cs="Calibri"/>
                <w:color w:val="000000"/>
              </w:rPr>
              <w:t>0.849 (0.788-0.91)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Ventricular arrhythmia and sudden cardiac death incident event (68/38)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0.881 (0.825-0.938)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0.893 (0.857-0.93)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0.901 (0.866-0.937)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0.859 (0.79-0.928)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 (0.837-0.923)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0.889 (0.847-0.932)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0.848 (0.77-0.925)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0.874 (0.827-0.921)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0.886 (0.84-0.932)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 (0.791-0.929)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0.881 (0.837-0.924)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0.891 (0.848-0.933)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Ischemic stroke - all inpatient,  incident event (95/73)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0.815 (0.771-0.859)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0.825 (0.789-0.861)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 (0.794-0.866)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0.828 (0.787-0.869)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0.838 (0.804-0.871)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0.842 (0.809-0.876)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0.829 (0.788-0.869)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0.839 (0.806-0.872)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0.847 (0.814-0.879)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0.828 (0.787-0.869)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0.838 (0.805-0.871)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0.844 (0.811-0.877)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Acute myocardial infarction incident event (137/110)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0.836 (0.799-0.873)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0.829 (0.797-0.861)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0.836 (0.805-0.868)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0.845 (0.81-0.88)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0.837 (0.807-0.867)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0.843 (0.813-0.873)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0.849 (0.814-0.884)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0.839 (0.809-0.869)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0.849 (0.82-0.879)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0.847 (0.813-0.882)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0.838 (0.808-0.868)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0.846 (0.816-0.875)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 xml:space="preserve">Delirium incident event </w:t>
            </w:r>
            <w:r>
              <w:lastRenderedPageBreak/>
              <w:t>(215/157)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lastRenderedPageBreak/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0.861 (0.835-0.887)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0.865 (0.844-0.886)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0.876 (0.855-0.896)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0.868 (0.843-0.892)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0.871 (0.851-0.892)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0.881 (0.861-0.901)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 (0.847-0.893)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0.875 (0.856-0.894)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 (0.872-0.908)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0.869 (0.844-0.893)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0.872 (0.852-0.892)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0.884 (0.865-0.903)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Gastrointestinal hemorrhage incident event (225/186)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0.756 (0.721-0.792)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0.757 (0.726-0.789)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 (0.739-0.801)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0.764 (0.731-0.798)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0.764 (0.734-0.794)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0.776 (0.746-0.806)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 (0.726-0.793)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0.755 (0.724-0.785)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0.774 (0.744-0.804)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0.764 (0.731-0.798)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0.763 (0.733-0.793)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0.777 (0.748-0.807)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Decreased libido incident event (291/257)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0.724 (0.695-0.753)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0.734 (0.707-0.761)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0.729 (0.701-0.756)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0.731 (0.702-0.759)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0.743 (0.716-0.769)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0.733 (0.705-0.76)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0.729 (0.701-0.758)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0.737 (0.711-0.764)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0.735 (0.709-0.762)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0.729 (0.7-0.758)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 (0.713-0.767)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0.734 (0.707-0.761)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Seizure incident event (408/312)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 (0.79-0.834)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0.813 (0.794-0.832)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0.828 (0.81-0.847)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0.815 (0.793-0.837)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0.818 (0.799-0.837)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0.831 (0.812-0.849)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0.816 (0.794-0.838)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0.817 (0.798-0.836)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0.837 (0.818-0.855)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0.816 (0.794-0.838)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0.819 (0.8-0.837)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0.834 (0.816-0.852)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Alopecia incident event (590/527)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0.675 (0.654-0.696)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0.677 (0.657-0.697)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0.667 (0.646-0.687)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0.679 (0.658-0.7)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 (0.661-0.7)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0.667 (0.647-0.687)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0.679 (0.658-0.7)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0.676 (0.656-0.695)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0.674 (0.654-0.694)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 (0.659-0.701)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0.679 (0.659-0.699)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 (0.65-0.69)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Tinnitus incident event (663/582)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0.695 (0.674-0.716)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0.697 (0.677-0.716)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0.691 (0.671-0.711)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0.696 (0.675-0.717)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 (0.681-0.72)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 (0.67-0.71)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0.696 (0.676-0.717)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0.695 (0.675-0.714)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0.699 (0.68-0.719)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0.697 (0.676-0.718)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0.699 (0.68-0.719)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0.694 (0.674-0.714)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Vertigo incident event (785/708)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0.716 (0.698-0.735)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0.717 (0.7-0.735)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0.713 (0.696-0.731)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0.701 (0.682-0.72)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0.706 (0.688-0.724)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0.696 (0.678-0.714)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0.711 (0.692-0.73)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0.705 (0.687-0.723)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0.709 (0.69-0.727)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0.712 (0.694-0.731)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0.714 (0.696-0.732)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 (0.692-0.728)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Fracture incident event (1050/843)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0.772 (0.756-0.788)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0.778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0.768 (0.752-0.785)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0.769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0.772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0.775 (0.759-0.792)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0.786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0.775 (0.759-0.792)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0.782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Hyponatremia incident event (1683/1258)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0.841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0.845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Suicide and suicidal ideation incident event (2230/1726)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0.869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0.868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0.859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0.869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Hypothyroidism incident event (2259/1930)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0.799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0.805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0.808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0.803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0.799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0.794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0.801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Hypotension incident event (2462/1856)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0.827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0.836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0.828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0.834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0.841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0.817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0.835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Constipation incident event (4089/3381)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0.721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0.712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0.727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0.723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Diarrhea incident event (4687/3957)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0.699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0.702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0.695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0.692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0.694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0.685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0.708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0.699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0.694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0.704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Insomnia incident event (5843/4960)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0.669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0.676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0.673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0.673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0.656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0.684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0.674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</w:t>
            </w:r>
          </w:p>
        </w:tc>
      </w:tr>
      <w:tr w:rsidR="00675F3E" w:rsidTr="00675F3E">
        <w:trPr>
          <w:trHeight w:val="282"/>
        </w:trPr>
        <w:tc>
          <w:tcPr>
            <w:tcW w:w="18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Nausea incident event (6003/4997)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0.716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0.722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0.717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0.713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0.718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Logistic remove non-outcomes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0.699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0.726</w:t>
            </w:r>
          </w:p>
        </w:tc>
      </w:tr>
      <w:tr w:rsidR="00675F3E" w:rsidTr="00675F3E">
        <w:trPr>
          <w:trHeight w:val="28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/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5F3E" w:rsidRDefault="00675F3E">
            <w:r>
              <w:t>Cox keep lost to follow-up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0.718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0.711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0.725</w:t>
            </w:r>
          </w:p>
        </w:tc>
      </w:tr>
    </w:tbl>
    <w:p w:rsidR="00675F3E" w:rsidRDefault="00675F3E" w:rsidP="00675F3E"/>
    <w:p w:rsidR="00675F3E" w:rsidRDefault="00675F3E" w:rsidP="00675F3E"/>
    <w:p w:rsidR="00675F3E" w:rsidRDefault="00675F3E" w:rsidP="00675F3E">
      <w:pPr>
        <w:pStyle w:val="Caption"/>
        <w:keepNext/>
      </w:pPr>
      <w:r>
        <w:lastRenderedPageBreak/>
        <w:t xml:space="preserve">Table </w:t>
      </w:r>
      <w:r>
        <w:rPr>
          <w:noProof/>
        </w:rPr>
        <w:t>5</w:t>
      </w:r>
      <w:r>
        <w:t xml:space="preserve"> – AUROC results when predicting the outcomes within 3 years of the treatment for depression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614"/>
        <w:gridCol w:w="2071"/>
        <w:gridCol w:w="1980"/>
        <w:gridCol w:w="1890"/>
        <w:gridCol w:w="1795"/>
      </w:tblGrid>
      <w:tr w:rsidR="00675F3E" w:rsidTr="00675F3E">
        <w:trPr>
          <w:trHeight w:val="320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r>
              <w:t>Outcome (outcome count with partial time-at-risk/ outcome count with full time-at-risk)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Solution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Test Data 1: All patients with partial time-at-risk are removed (~47,000)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Test Data 2: All patients with partial time-at-risk are included (~125,000)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 xml:space="preserve">Test Data 3: All non-outcome patients with partial time-at-risk are removed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Acute liver injury incident event (107/43)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0.755 (0.67-0.84)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0.786 (0.74-0.831)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 (0.776-0.864)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0.767 (0.683-0.851)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0.811 (0.765-0.858)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0.836 (0.79-0.882)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0.701 (0.603-0.8)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0.713 (0.661-0.765)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0.852 (0.804-0.901)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0.765 (0.681-0.849)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0.806 (0.759-0.853)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0.846 (0.802-0.89)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Ventricular arrhythmia and sudden cardiac death incident event (126/32)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0.797 (0.721-0.874)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0.799 (0.762-0.837)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0.829 (0.792-0.865)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0.809 (0.721-0.897)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0.825 (0.787-0.862)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0.853 (0.816-0.891)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0.788 (0.706-0.871)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 (0.72-0.801)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0.892 (0.859-0.925)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0.816 (0.731-0.902)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0.826 (0.788-0.864)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0.866 (0.83-0.902)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Ischemic stroke - all inpatient,  incident event (185/94)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0.832 (0.793-0.871)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 (0.805-0.854)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0.846 (0.822-0.87)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0.829 (0.791-0.866)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0.851 (0.829-0.874)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0.843 (0.819-0.866)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0.834 (0.798-0.87)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0.754 (0.727-0.781)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0.879 (0.857-0.902)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0.837 (0.799-0.874)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0.843 (0.82-0.866)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0.862 (0.839-0.885)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Acute myocardial infarction incident event (273/111)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 (0.759-0.841)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0.804 (0.78-0.829)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0.838 (0.815-0.861)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0.809 (0.768-0.85)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 (0.806-0.853)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0.845 (0.822-0.869)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0.794 (0.754-0.834)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 (0.725-0.775)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0.889 (0.867-0.911)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b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0.809 (0.768-0.849)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0.825 (0.801-0.849)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0.861 (0.838-0.883)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Delirium </w:t>
            </w:r>
            <w:r>
              <w:rPr>
                <w:rFonts w:ascii="Calibri" w:hAnsi="Calibri" w:cs="Calibri"/>
                <w:color w:val="000000"/>
              </w:rPr>
              <w:lastRenderedPageBreak/>
              <w:t>incident event (359/148)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lastRenderedPageBreak/>
              <w:t xml:space="preserve">Logistic remove </w:t>
            </w:r>
            <w:r>
              <w:lastRenderedPageBreak/>
              <w:t>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0.818 (0.786-</w:t>
            </w:r>
            <w:r>
              <w:rPr>
                <w:rFonts w:ascii="Calibri" w:hAnsi="Calibri" w:cs="Calibri"/>
                <w:color w:val="000000"/>
              </w:rPr>
              <w:lastRenderedPageBreak/>
              <w:t>0.85)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0.813 (0.793-</w:t>
            </w:r>
            <w:r>
              <w:rPr>
                <w:rFonts w:ascii="Calibri" w:hAnsi="Calibri" w:cs="Calibri"/>
                <w:color w:val="000000"/>
              </w:rPr>
              <w:lastRenderedPageBreak/>
              <w:t>0.833)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0.851 (0.833-</w:t>
            </w:r>
            <w:r>
              <w:rPr>
                <w:rFonts w:ascii="Calibri" w:hAnsi="Calibri" w:cs="Calibri"/>
                <w:color w:val="000000"/>
              </w:rPr>
              <w:lastRenderedPageBreak/>
              <w:t>0.87)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0.832 (0.801-0.863)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0.846 (0.828-0.864)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0.854 (0.836-0.873)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0.816 (0.784-0.847)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0.766 (0.745-0.787)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0.895 (0.879-0.912)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0.831 (0.801-0.862)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0.842 (0.824-0.86)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0.873 (0.856-0.89)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Gastrointestinal </w:t>
            </w:r>
            <w:proofErr w:type="spellStart"/>
            <w:r>
              <w:rPr>
                <w:rFonts w:ascii="Calibri" w:hAnsi="Calibri" w:cs="Calibri"/>
                <w:color w:val="000000"/>
              </w:rPr>
              <w:t>hemhorrage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incident event (430/210)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0.754 (0.721-0.787)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0.737 (0.714-0.76)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0.79 (0.768-0.811)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0.765 (0.732-0.798)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0.767 (0.745-0.789)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0.784 (0.763-0.806)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0.749 (0.716-0.782)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0.651 (0.627-0.674)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 (0.819-0.861)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0.776 (0.745-0.808)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0.761 (0.739-0.783)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 (0.789-0.831)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Decreased libido incident event (643/391)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0.698 (0.674-0.722)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0.713 (0.695-0.732)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0.703 (0.684-0.722)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0.705 (0.682-0.729)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0.738 (0.72-0.755)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0.667 (0.646-0.687)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0.683 (0.659-0.708)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0.582 (0.563-0.601)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0.769 (0.751-0.788)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0.708 (0.685-0.731)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 (0.712-0.747)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0.705 (0.687-0.724)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Seizure incident event (712/313)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0.783 (0.757-0.809)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0.767 (0.75-0.784)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0.805 (0.789-0.822)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0.779 (0.753-0.806)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0.787 (0.77-0.804)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0.788 (0.77-0.806)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0.753 (0.725-0.78)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0.674 (0.656-0.692)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0.849 (0.833-0.865)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0.782 (0.756-0.808)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0.777 (0.76-0.794)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0.815 (0.798-0.832)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Alopecia incident event (1268/690)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0.684 (0.666-0.702)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0.692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0.695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0.687 (0.669-0.706)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0.713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0.638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0.653 (0.633-0.672)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0.547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0.765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0.691 (0.673-0.71)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0.704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Tinnitus incident event (1419/760)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 (0.671-0.709)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0.681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0.682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 xml:space="preserve">Logistic keep lost </w:t>
            </w:r>
            <w:r>
              <w:lastRenderedPageBreak/>
              <w:t>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0.691 (0.672-</w:t>
            </w:r>
            <w:r>
              <w:rPr>
                <w:rFonts w:ascii="Calibri" w:hAnsi="Calibri" w:cs="Calibri"/>
                <w:color w:val="000000"/>
              </w:rPr>
              <w:lastRenderedPageBreak/>
              <w:t>0.71)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 xml:space="preserve">0.701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0.648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0.644 (0.624-0.663)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0.538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0.764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0.695 (0.676-0.713)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0.689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0.702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Vertigo incident event (1663/911)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0.696 (0.679-0.713)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0.697 (0.68-0.714)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0.727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0.665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0.672 (0.655-0.69)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0.568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0.781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0.709 (0.693-0.726)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0.714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0.723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Fracture incident event (2222/1002)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0.753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0.783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0.765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0.75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0.636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0.831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0.764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0.755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0.792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Hyponatremia incident event (3032/1281)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0.839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0.813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0.787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0.846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Suicide and suicidal ideation incident event (3382/1549)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0.849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0.821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0.839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0.827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0.807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0.702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0.882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0.834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0.846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Hypothyroidism incident event (4119/2330)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0.772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0.776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0.773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0.794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0.739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0.748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0.649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0.827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0.773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0.777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0.781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Hypotension incident event (4385/1877)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0.793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0.798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0.831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0.797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0.812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0.811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0.772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0.873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0.798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0.803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0.841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Constipation incident event (7865/3934)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0.684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0.727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0.688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0.708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0.673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non-outcomes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0.663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0.569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0.791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Cox keep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0.694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0.691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0.738 </w:t>
            </w:r>
          </w:p>
        </w:tc>
      </w:tr>
      <w:tr w:rsidR="00675F3E" w:rsidTr="00675F3E">
        <w:trPr>
          <w:trHeight w:val="320"/>
        </w:trPr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Diarrhea incident event (9047/4606)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t>Logistic remove lost to follow-up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0.674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0.659 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75F3E" w:rsidRDefault="00675F3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0.705</w:t>
            </w:r>
          </w:p>
        </w:tc>
      </w:tr>
    </w:tbl>
    <w:p w:rsidR="00CB33FC" w:rsidRDefault="00CB33FC">
      <w:bookmarkStart w:id="0" w:name="_GoBack"/>
      <w:bookmarkEnd w:id="0"/>
    </w:p>
    <w:sectPr w:rsidR="00CB33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F3E"/>
    <w:rsid w:val="00675F3E"/>
    <w:rsid w:val="00CB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675F3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F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F3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F3E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F3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F3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675F3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F3E"/>
    <w:rPr>
      <w:color w:val="800080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5F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5F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F3E"/>
    <w:pPr>
      <w:spacing w:after="200"/>
    </w:pPr>
    <w:rPr>
      <w:i/>
      <w:iCs/>
      <w:color w:val="1F497D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F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F3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F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F3E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Revision">
    <w:name w:val="Revision"/>
    <w:uiPriority w:val="99"/>
    <w:semiHidden/>
    <w:rsid w:val="00675F3E"/>
    <w:pPr>
      <w:spacing w:after="0" w:line="240" w:lineRule="auto"/>
    </w:pPr>
    <w:rPr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75F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5F3E"/>
    <w:rPr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rsid w:val="00675F3E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675F3E"/>
  </w:style>
  <w:style w:type="character" w:customStyle="1" w:styleId="cit-auth">
    <w:name w:val="cit-auth"/>
    <w:basedOn w:val="DefaultParagraphFont"/>
    <w:rsid w:val="00675F3E"/>
  </w:style>
  <w:style w:type="character" w:customStyle="1" w:styleId="cit-article-title">
    <w:name w:val="cit-article-title"/>
    <w:basedOn w:val="DefaultParagraphFont"/>
    <w:rsid w:val="00675F3E"/>
  </w:style>
  <w:style w:type="character" w:customStyle="1" w:styleId="cit-pub-date">
    <w:name w:val="cit-pub-date"/>
    <w:basedOn w:val="DefaultParagraphFont"/>
    <w:rsid w:val="00675F3E"/>
  </w:style>
  <w:style w:type="character" w:customStyle="1" w:styleId="None">
    <w:name w:val="None"/>
    <w:rsid w:val="00675F3E"/>
  </w:style>
  <w:style w:type="table" w:styleId="TableGrid">
    <w:name w:val="Table Grid"/>
    <w:basedOn w:val="TableNormal"/>
    <w:uiPriority w:val="39"/>
    <w:rsid w:val="00675F3E"/>
    <w:pPr>
      <w:spacing w:after="0" w:line="240" w:lineRule="auto"/>
    </w:pPr>
    <w:rPr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675F3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F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F3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F3E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F3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F3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675F3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75F3E"/>
    <w:rPr>
      <w:color w:val="800080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5F3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5F3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F3E"/>
    <w:pPr>
      <w:spacing w:after="200"/>
    </w:pPr>
    <w:rPr>
      <w:i/>
      <w:iCs/>
      <w:color w:val="1F497D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5F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5F3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F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F3E"/>
    <w:rPr>
      <w:rFonts w:ascii="Times New Roman" w:eastAsia="Times New Roman" w:hAnsi="Times New Roman" w:cs="Times New Roman"/>
      <w:sz w:val="18"/>
      <w:szCs w:val="18"/>
      <w:lang w:val="en-US"/>
    </w:rPr>
  </w:style>
  <w:style w:type="paragraph" w:styleId="Revision">
    <w:name w:val="Revision"/>
    <w:uiPriority w:val="99"/>
    <w:semiHidden/>
    <w:rsid w:val="00675F3E"/>
    <w:pPr>
      <w:spacing w:after="0" w:line="240" w:lineRule="auto"/>
    </w:pPr>
    <w:rPr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75F3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75F3E"/>
    <w:rPr>
      <w:sz w:val="16"/>
      <w:szCs w:val="16"/>
    </w:rPr>
  </w:style>
  <w:style w:type="character" w:customStyle="1" w:styleId="UnresolvedMention">
    <w:name w:val="Unresolved Mention"/>
    <w:basedOn w:val="DefaultParagraphFont"/>
    <w:uiPriority w:val="99"/>
    <w:semiHidden/>
    <w:rsid w:val="00675F3E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675F3E"/>
  </w:style>
  <w:style w:type="character" w:customStyle="1" w:styleId="cit-auth">
    <w:name w:val="cit-auth"/>
    <w:basedOn w:val="DefaultParagraphFont"/>
    <w:rsid w:val="00675F3E"/>
  </w:style>
  <w:style w:type="character" w:customStyle="1" w:styleId="cit-article-title">
    <w:name w:val="cit-article-title"/>
    <w:basedOn w:val="DefaultParagraphFont"/>
    <w:rsid w:val="00675F3E"/>
  </w:style>
  <w:style w:type="character" w:customStyle="1" w:styleId="cit-pub-date">
    <w:name w:val="cit-pub-date"/>
    <w:basedOn w:val="DefaultParagraphFont"/>
    <w:rsid w:val="00675F3E"/>
  </w:style>
  <w:style w:type="character" w:customStyle="1" w:styleId="None">
    <w:name w:val="None"/>
    <w:rsid w:val="00675F3E"/>
  </w:style>
  <w:style w:type="table" w:styleId="TableGrid">
    <w:name w:val="Table Grid"/>
    <w:basedOn w:val="TableNormal"/>
    <w:uiPriority w:val="39"/>
    <w:rsid w:val="00675F3E"/>
    <w:pPr>
      <w:spacing w:after="0" w:line="240" w:lineRule="auto"/>
    </w:pPr>
    <w:rPr>
      <w:sz w:val="24"/>
      <w:szCs w:val="24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1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2079</Words>
  <Characters>11852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2020-08-11T11:43:00Z</dcterms:created>
  <dcterms:modified xsi:type="dcterms:W3CDTF">2020-08-11T11:45:00Z</dcterms:modified>
</cp:coreProperties>
</file>