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480" w:lineRule="auto"/>
        <w:jc w:val="center"/>
        <w:rPr>
          <w:rFonts w:ascii="Times New Roman" w:hAnsi="Times New Roman" w:eastAsia="宋体"/>
          <w:b/>
          <w:color w:val="000000"/>
          <w:sz w:val="24"/>
          <w:szCs w:val="24"/>
        </w:rPr>
      </w:pPr>
      <w:r>
        <w:rPr>
          <w:rFonts w:ascii="Times New Roman" w:hAnsi="Times New Roman" w:eastAsia="宋体"/>
          <w:b/>
          <w:color w:val="000000"/>
          <w:sz w:val="24"/>
          <w:szCs w:val="24"/>
        </w:rPr>
        <w:t xml:space="preserve">Table </w:t>
      </w:r>
      <w:r>
        <w:rPr>
          <w:rFonts w:hint="eastAsia" w:ascii="Times New Roman" w:hAnsi="Times New Roman" w:eastAsia="宋体"/>
          <w:b/>
          <w:color w:val="000000"/>
          <w:sz w:val="24"/>
          <w:szCs w:val="24"/>
          <w:lang w:val="en-US" w:eastAsia="zh-CN"/>
        </w:rPr>
        <w:t>S4</w:t>
      </w:r>
      <w:r>
        <w:rPr>
          <w:rFonts w:ascii="Times New Roman" w:hAnsi="Times New Roman" w:eastAsia="宋体"/>
          <w:b/>
          <w:color w:val="000000"/>
          <w:sz w:val="24"/>
          <w:szCs w:val="24"/>
        </w:rPr>
        <w:t xml:space="preserve"> Filtering strategy for </w:t>
      </w:r>
      <w:bookmarkStart w:id="0" w:name="_GoBack"/>
      <w:bookmarkEnd w:id="0"/>
      <w:r>
        <w:rPr>
          <w:rFonts w:ascii="Times New Roman" w:hAnsi="Times New Roman" w:eastAsia="宋体"/>
          <w:b/>
          <w:color w:val="000000"/>
          <w:sz w:val="24"/>
          <w:szCs w:val="24"/>
        </w:rPr>
        <w:t>variants in 13 samples identified by WES</w:t>
      </w:r>
    </w:p>
    <w:tbl>
      <w:tblPr>
        <w:tblStyle w:val="2"/>
        <w:tblW w:w="4820" w:type="dxa"/>
        <w:jc w:val="center"/>
        <w:tblLayout w:type="autofit"/>
        <w:tblCellMar>
          <w:top w:w="0" w:type="dxa"/>
          <w:left w:w="0" w:type="dxa"/>
          <w:bottom w:w="0" w:type="dxa"/>
          <w:right w:w="0" w:type="dxa"/>
        </w:tblCellMar>
      </w:tblPr>
      <w:tblGrid>
        <w:gridCol w:w="1843"/>
        <w:gridCol w:w="1559"/>
        <w:gridCol w:w="1418"/>
      </w:tblGrid>
      <w:tr>
        <w:tblPrEx>
          <w:tblCellMar>
            <w:top w:w="0" w:type="dxa"/>
            <w:left w:w="0" w:type="dxa"/>
            <w:bottom w:w="0" w:type="dxa"/>
            <w:right w:w="0" w:type="dxa"/>
          </w:tblCellMar>
        </w:tblPrEx>
        <w:trPr>
          <w:trHeight w:val="468" w:hRule="atLeast"/>
          <w:jc w:val="center"/>
        </w:trPr>
        <w:tc>
          <w:tcPr>
            <w:tcW w:w="1843" w:type="dxa"/>
            <w:tcBorders>
              <w:top w:val="single" w:color="000000" w:sz="4" w:space="0"/>
              <w:left w:val="nil"/>
              <w:bottom w:val="single" w:color="000000" w:sz="4" w:space="0"/>
              <w:right w:val="nil"/>
            </w:tcBorders>
            <w:noWrap w:val="0"/>
            <w:tcMar>
              <w:top w:w="15" w:type="dxa"/>
              <w:left w:w="15" w:type="dxa"/>
              <w:bottom w:w="0" w:type="dxa"/>
              <w:right w:w="15" w:type="dxa"/>
            </w:tcMar>
            <w:vAlign w:val="center"/>
          </w:tcPr>
          <w:p>
            <w:pPr>
              <w:widowControl/>
              <w:spacing w:line="480" w:lineRule="auto"/>
              <w:rPr>
                <w:rFonts w:ascii="Times New Roman" w:hAnsi="Times New Roman"/>
                <w:b/>
                <w:color w:val="000000"/>
                <w:sz w:val="24"/>
                <w:szCs w:val="24"/>
              </w:rPr>
            </w:pPr>
          </w:p>
        </w:tc>
        <w:tc>
          <w:tcPr>
            <w:tcW w:w="1559" w:type="dxa"/>
            <w:tcBorders>
              <w:top w:val="single" w:color="000000" w:sz="4" w:space="0"/>
              <w:left w:val="nil"/>
              <w:bottom w:val="single" w:color="000000" w:sz="4" w:space="0"/>
              <w:right w:val="nil"/>
            </w:tcBorders>
            <w:noWrap w:val="0"/>
            <w:tcMar>
              <w:top w:w="15" w:type="dxa"/>
              <w:left w:w="15" w:type="dxa"/>
              <w:bottom w:w="0" w:type="dxa"/>
              <w:right w:w="15" w:type="dxa"/>
            </w:tcMar>
            <w:vAlign w:val="center"/>
          </w:tcPr>
          <w:p>
            <w:pPr>
              <w:widowControl/>
              <w:spacing w:line="480" w:lineRule="auto"/>
              <w:rPr>
                <w:rFonts w:ascii="Times New Roman" w:hAnsi="Times New Roman"/>
                <w:b/>
                <w:color w:val="000000"/>
                <w:sz w:val="24"/>
                <w:szCs w:val="24"/>
              </w:rPr>
            </w:pPr>
            <w:r>
              <w:rPr>
                <w:rFonts w:ascii="Times New Roman" w:hAnsi="Times New Roman"/>
                <w:b/>
                <w:color w:val="000000"/>
                <w:sz w:val="24"/>
                <w:szCs w:val="24"/>
              </w:rPr>
              <w:t>SNPs</w:t>
            </w:r>
          </w:p>
        </w:tc>
        <w:tc>
          <w:tcPr>
            <w:tcW w:w="1418" w:type="dxa"/>
            <w:tcBorders>
              <w:top w:val="single" w:color="000000" w:sz="4" w:space="0"/>
              <w:left w:val="nil"/>
              <w:bottom w:val="single" w:color="000000" w:sz="4" w:space="0"/>
              <w:right w:val="nil"/>
            </w:tcBorders>
            <w:noWrap w:val="0"/>
            <w:tcMar>
              <w:top w:w="15" w:type="dxa"/>
              <w:left w:w="15" w:type="dxa"/>
              <w:bottom w:w="0" w:type="dxa"/>
              <w:right w:w="15" w:type="dxa"/>
            </w:tcMar>
            <w:vAlign w:val="center"/>
          </w:tcPr>
          <w:p>
            <w:pPr>
              <w:widowControl/>
              <w:spacing w:line="480" w:lineRule="auto"/>
              <w:rPr>
                <w:rFonts w:ascii="Times New Roman" w:hAnsi="Times New Roman"/>
                <w:b/>
                <w:color w:val="000000"/>
                <w:sz w:val="24"/>
                <w:szCs w:val="24"/>
              </w:rPr>
            </w:pPr>
            <w:r>
              <w:rPr>
                <w:rFonts w:ascii="Times New Roman" w:hAnsi="Times New Roman"/>
                <w:b/>
                <w:color w:val="000000"/>
                <w:sz w:val="24"/>
                <w:szCs w:val="24"/>
              </w:rPr>
              <w:t>INDELs</w:t>
            </w:r>
          </w:p>
        </w:tc>
      </w:tr>
      <w:tr>
        <w:tblPrEx>
          <w:tblCellMar>
            <w:top w:w="0" w:type="dxa"/>
            <w:left w:w="0" w:type="dxa"/>
            <w:bottom w:w="0" w:type="dxa"/>
            <w:right w:w="0" w:type="dxa"/>
          </w:tblCellMar>
        </w:tblPrEx>
        <w:trPr>
          <w:trHeight w:val="493" w:hRule="atLeast"/>
          <w:jc w:val="center"/>
        </w:trPr>
        <w:tc>
          <w:tcPr>
            <w:tcW w:w="1843" w:type="dxa"/>
            <w:tcBorders>
              <w:top w:val="single" w:color="000000" w:sz="4" w:space="0"/>
              <w:left w:val="nil"/>
              <w:bottom w:val="nil"/>
              <w:right w:val="nil"/>
            </w:tcBorders>
            <w:noWrap w:val="0"/>
            <w:tcMar>
              <w:top w:w="15" w:type="dxa"/>
              <w:left w:w="15" w:type="dxa"/>
              <w:bottom w:w="0" w:type="dxa"/>
              <w:right w:w="15" w:type="dxa"/>
            </w:tcMar>
            <w:vAlign w:val="center"/>
          </w:tcPr>
          <w:p>
            <w:pPr>
              <w:widowControl/>
              <w:spacing w:line="480" w:lineRule="auto"/>
              <w:rPr>
                <w:rFonts w:ascii="Times New Roman" w:hAnsi="Times New Roman"/>
                <w:bCs/>
                <w:color w:val="000000"/>
                <w:sz w:val="24"/>
                <w:szCs w:val="24"/>
              </w:rPr>
            </w:pPr>
            <w:r>
              <w:rPr>
                <w:rFonts w:ascii="Times New Roman" w:hAnsi="Times New Roman"/>
                <w:bCs/>
                <w:color w:val="000000"/>
                <w:sz w:val="24"/>
                <w:szCs w:val="24"/>
              </w:rPr>
              <w:t>Total</w:t>
            </w:r>
          </w:p>
        </w:tc>
        <w:tc>
          <w:tcPr>
            <w:tcW w:w="1559" w:type="dxa"/>
            <w:tcBorders>
              <w:top w:val="single" w:color="000000" w:sz="4" w:space="0"/>
              <w:left w:val="nil"/>
              <w:bottom w:val="nil"/>
              <w:right w:val="nil"/>
            </w:tcBorders>
            <w:noWrap w:val="0"/>
            <w:tcMar>
              <w:top w:w="15" w:type="dxa"/>
              <w:left w:w="15" w:type="dxa"/>
              <w:bottom w:w="0" w:type="dxa"/>
              <w:right w:w="15" w:type="dxa"/>
            </w:tcMar>
            <w:vAlign w:val="center"/>
          </w:tcPr>
          <w:p>
            <w:pPr>
              <w:widowControl/>
              <w:spacing w:line="480" w:lineRule="auto"/>
              <w:rPr>
                <w:rFonts w:ascii="Times New Roman" w:hAnsi="Times New Roman"/>
                <w:bCs/>
                <w:color w:val="000000"/>
                <w:sz w:val="24"/>
                <w:szCs w:val="24"/>
              </w:rPr>
            </w:pPr>
            <w:r>
              <w:rPr>
                <w:rFonts w:ascii="Times New Roman" w:hAnsi="Times New Roman"/>
                <w:bCs/>
                <w:color w:val="000000"/>
                <w:sz w:val="24"/>
                <w:szCs w:val="24"/>
              </w:rPr>
              <w:t>1335235</w:t>
            </w:r>
          </w:p>
        </w:tc>
        <w:tc>
          <w:tcPr>
            <w:tcW w:w="1418" w:type="dxa"/>
            <w:tcBorders>
              <w:top w:val="single" w:color="000000" w:sz="4" w:space="0"/>
              <w:left w:val="nil"/>
              <w:bottom w:val="nil"/>
              <w:right w:val="nil"/>
            </w:tcBorders>
            <w:noWrap w:val="0"/>
            <w:tcMar>
              <w:top w:w="15" w:type="dxa"/>
              <w:left w:w="15" w:type="dxa"/>
              <w:bottom w:w="0" w:type="dxa"/>
              <w:right w:w="15" w:type="dxa"/>
            </w:tcMar>
            <w:vAlign w:val="center"/>
          </w:tcPr>
          <w:p>
            <w:pPr>
              <w:widowControl/>
              <w:spacing w:line="480" w:lineRule="auto"/>
              <w:rPr>
                <w:rFonts w:ascii="Times New Roman" w:hAnsi="Times New Roman"/>
                <w:bCs/>
                <w:color w:val="000000"/>
                <w:sz w:val="24"/>
                <w:szCs w:val="24"/>
              </w:rPr>
            </w:pPr>
            <w:r>
              <w:rPr>
                <w:rFonts w:ascii="Times New Roman" w:hAnsi="Times New Roman"/>
                <w:bCs/>
                <w:color w:val="000000"/>
                <w:sz w:val="24"/>
                <w:szCs w:val="24"/>
              </w:rPr>
              <w:t>276688</w:t>
            </w:r>
          </w:p>
        </w:tc>
      </w:tr>
      <w:tr>
        <w:tblPrEx>
          <w:tblCellMar>
            <w:top w:w="0" w:type="dxa"/>
            <w:left w:w="0" w:type="dxa"/>
            <w:bottom w:w="0" w:type="dxa"/>
            <w:right w:w="0" w:type="dxa"/>
          </w:tblCellMar>
        </w:tblPrEx>
        <w:trPr>
          <w:trHeight w:val="493" w:hRule="atLeast"/>
          <w:jc w:val="center"/>
        </w:trPr>
        <w:tc>
          <w:tcPr>
            <w:tcW w:w="1843" w:type="dxa"/>
            <w:tcBorders>
              <w:top w:val="nil"/>
              <w:left w:val="nil"/>
              <w:bottom w:val="nil"/>
              <w:right w:val="nil"/>
            </w:tcBorders>
            <w:noWrap w:val="0"/>
            <w:tcMar>
              <w:top w:w="15" w:type="dxa"/>
              <w:left w:w="15" w:type="dxa"/>
              <w:bottom w:w="0" w:type="dxa"/>
              <w:right w:w="15" w:type="dxa"/>
            </w:tcMar>
            <w:vAlign w:val="center"/>
          </w:tcPr>
          <w:p>
            <w:pPr>
              <w:widowControl/>
              <w:spacing w:line="480" w:lineRule="auto"/>
              <w:rPr>
                <w:rFonts w:ascii="Times New Roman" w:hAnsi="Times New Roman"/>
                <w:bCs/>
                <w:color w:val="000000"/>
                <w:sz w:val="24"/>
                <w:szCs w:val="24"/>
              </w:rPr>
            </w:pPr>
            <w:r>
              <w:rPr>
                <w:rFonts w:ascii="Times New Roman" w:hAnsi="Times New Roman"/>
                <w:bCs/>
                <w:color w:val="000000"/>
                <w:sz w:val="24"/>
                <w:szCs w:val="24"/>
              </w:rPr>
              <w:t>Frequency</w:t>
            </w:r>
          </w:p>
        </w:tc>
        <w:tc>
          <w:tcPr>
            <w:tcW w:w="1559" w:type="dxa"/>
            <w:tcBorders>
              <w:top w:val="nil"/>
              <w:left w:val="nil"/>
              <w:bottom w:val="nil"/>
              <w:right w:val="nil"/>
            </w:tcBorders>
            <w:noWrap w:val="0"/>
            <w:tcMar>
              <w:top w:w="15" w:type="dxa"/>
              <w:left w:w="15" w:type="dxa"/>
              <w:bottom w:w="0" w:type="dxa"/>
              <w:right w:w="15" w:type="dxa"/>
            </w:tcMar>
            <w:vAlign w:val="center"/>
          </w:tcPr>
          <w:p>
            <w:pPr>
              <w:widowControl/>
              <w:spacing w:line="480" w:lineRule="auto"/>
              <w:rPr>
                <w:rFonts w:ascii="Times New Roman" w:hAnsi="Times New Roman"/>
                <w:bCs/>
                <w:color w:val="000000"/>
                <w:sz w:val="24"/>
                <w:szCs w:val="24"/>
              </w:rPr>
            </w:pPr>
            <w:r>
              <w:rPr>
                <w:rFonts w:ascii="Times New Roman" w:hAnsi="Times New Roman"/>
                <w:bCs/>
                <w:color w:val="000000"/>
                <w:sz w:val="24"/>
                <w:szCs w:val="24"/>
              </w:rPr>
              <w:t>60476</w:t>
            </w:r>
          </w:p>
        </w:tc>
        <w:tc>
          <w:tcPr>
            <w:tcW w:w="1418" w:type="dxa"/>
            <w:tcBorders>
              <w:top w:val="nil"/>
              <w:left w:val="nil"/>
              <w:bottom w:val="nil"/>
              <w:right w:val="nil"/>
            </w:tcBorders>
            <w:noWrap w:val="0"/>
            <w:tcMar>
              <w:top w:w="15" w:type="dxa"/>
              <w:left w:w="15" w:type="dxa"/>
              <w:bottom w:w="0" w:type="dxa"/>
              <w:right w:w="15" w:type="dxa"/>
            </w:tcMar>
            <w:vAlign w:val="center"/>
          </w:tcPr>
          <w:p>
            <w:pPr>
              <w:widowControl/>
              <w:spacing w:line="480" w:lineRule="auto"/>
              <w:rPr>
                <w:rFonts w:ascii="Times New Roman" w:hAnsi="Times New Roman"/>
                <w:bCs/>
                <w:color w:val="000000"/>
                <w:sz w:val="24"/>
                <w:szCs w:val="24"/>
              </w:rPr>
            </w:pPr>
            <w:r>
              <w:rPr>
                <w:rFonts w:ascii="Times New Roman" w:hAnsi="Times New Roman"/>
                <w:bCs/>
                <w:color w:val="000000"/>
                <w:sz w:val="24"/>
                <w:szCs w:val="24"/>
              </w:rPr>
              <w:t>67923</w:t>
            </w:r>
          </w:p>
        </w:tc>
      </w:tr>
      <w:tr>
        <w:tblPrEx>
          <w:tblCellMar>
            <w:top w:w="0" w:type="dxa"/>
            <w:left w:w="0" w:type="dxa"/>
            <w:bottom w:w="0" w:type="dxa"/>
            <w:right w:w="0" w:type="dxa"/>
          </w:tblCellMar>
        </w:tblPrEx>
        <w:trPr>
          <w:trHeight w:val="493" w:hRule="atLeast"/>
          <w:jc w:val="center"/>
        </w:trPr>
        <w:tc>
          <w:tcPr>
            <w:tcW w:w="1843" w:type="dxa"/>
            <w:tcBorders>
              <w:top w:val="nil"/>
              <w:left w:val="nil"/>
              <w:bottom w:val="nil"/>
              <w:right w:val="nil"/>
            </w:tcBorders>
            <w:noWrap w:val="0"/>
            <w:tcMar>
              <w:top w:w="15" w:type="dxa"/>
              <w:left w:w="15" w:type="dxa"/>
              <w:bottom w:w="0" w:type="dxa"/>
              <w:right w:w="15" w:type="dxa"/>
            </w:tcMar>
            <w:vAlign w:val="center"/>
          </w:tcPr>
          <w:p>
            <w:pPr>
              <w:widowControl/>
              <w:spacing w:line="480" w:lineRule="auto"/>
              <w:rPr>
                <w:rFonts w:ascii="Times New Roman" w:hAnsi="Times New Roman"/>
                <w:bCs/>
                <w:color w:val="000000"/>
                <w:sz w:val="24"/>
                <w:szCs w:val="24"/>
              </w:rPr>
            </w:pPr>
            <w:r>
              <w:rPr>
                <w:rFonts w:ascii="Times New Roman" w:hAnsi="Times New Roman"/>
                <w:bCs/>
                <w:color w:val="000000"/>
                <w:sz w:val="24"/>
                <w:szCs w:val="24"/>
              </w:rPr>
              <w:t>Function</w:t>
            </w:r>
          </w:p>
        </w:tc>
        <w:tc>
          <w:tcPr>
            <w:tcW w:w="1559" w:type="dxa"/>
            <w:tcBorders>
              <w:top w:val="nil"/>
              <w:left w:val="nil"/>
              <w:bottom w:val="nil"/>
              <w:right w:val="nil"/>
            </w:tcBorders>
            <w:noWrap w:val="0"/>
            <w:tcMar>
              <w:top w:w="15" w:type="dxa"/>
              <w:left w:w="15" w:type="dxa"/>
              <w:bottom w:w="0" w:type="dxa"/>
              <w:right w:w="15" w:type="dxa"/>
            </w:tcMar>
            <w:vAlign w:val="center"/>
          </w:tcPr>
          <w:p>
            <w:pPr>
              <w:widowControl/>
              <w:spacing w:line="480" w:lineRule="auto"/>
              <w:rPr>
                <w:rFonts w:ascii="Times New Roman" w:hAnsi="Times New Roman"/>
                <w:bCs/>
                <w:color w:val="000000"/>
                <w:sz w:val="24"/>
                <w:szCs w:val="24"/>
              </w:rPr>
            </w:pPr>
            <w:r>
              <w:rPr>
                <w:rFonts w:ascii="Times New Roman" w:hAnsi="Times New Roman"/>
                <w:bCs/>
                <w:color w:val="000000"/>
                <w:sz w:val="24"/>
                <w:szCs w:val="24"/>
              </w:rPr>
              <w:t>4198</w:t>
            </w:r>
          </w:p>
        </w:tc>
        <w:tc>
          <w:tcPr>
            <w:tcW w:w="1418" w:type="dxa"/>
            <w:tcBorders>
              <w:top w:val="nil"/>
              <w:left w:val="nil"/>
              <w:bottom w:val="nil"/>
              <w:right w:val="nil"/>
            </w:tcBorders>
            <w:noWrap w:val="0"/>
            <w:tcMar>
              <w:top w:w="15" w:type="dxa"/>
              <w:left w:w="15" w:type="dxa"/>
              <w:bottom w:w="0" w:type="dxa"/>
              <w:right w:w="15" w:type="dxa"/>
            </w:tcMar>
            <w:vAlign w:val="center"/>
          </w:tcPr>
          <w:p>
            <w:pPr>
              <w:widowControl/>
              <w:spacing w:line="480" w:lineRule="auto"/>
              <w:rPr>
                <w:rFonts w:ascii="Times New Roman" w:hAnsi="Times New Roman"/>
                <w:bCs/>
                <w:color w:val="000000"/>
                <w:sz w:val="24"/>
                <w:szCs w:val="24"/>
              </w:rPr>
            </w:pPr>
            <w:r>
              <w:rPr>
                <w:rFonts w:ascii="Times New Roman" w:hAnsi="Times New Roman"/>
                <w:bCs/>
                <w:color w:val="000000"/>
                <w:sz w:val="24"/>
                <w:szCs w:val="24"/>
              </w:rPr>
              <w:t>1443</w:t>
            </w:r>
          </w:p>
        </w:tc>
      </w:tr>
      <w:tr>
        <w:tblPrEx>
          <w:tblCellMar>
            <w:top w:w="0" w:type="dxa"/>
            <w:left w:w="0" w:type="dxa"/>
            <w:bottom w:w="0" w:type="dxa"/>
            <w:right w:w="0" w:type="dxa"/>
          </w:tblCellMar>
        </w:tblPrEx>
        <w:trPr>
          <w:trHeight w:val="493" w:hRule="atLeast"/>
          <w:jc w:val="center"/>
        </w:trPr>
        <w:tc>
          <w:tcPr>
            <w:tcW w:w="1843" w:type="dxa"/>
            <w:tcBorders>
              <w:top w:val="nil"/>
              <w:left w:val="nil"/>
              <w:bottom w:val="nil"/>
              <w:right w:val="nil"/>
            </w:tcBorders>
            <w:noWrap w:val="0"/>
            <w:tcMar>
              <w:top w:w="15" w:type="dxa"/>
              <w:left w:w="15" w:type="dxa"/>
              <w:bottom w:w="0" w:type="dxa"/>
              <w:right w:w="15" w:type="dxa"/>
            </w:tcMar>
            <w:vAlign w:val="center"/>
          </w:tcPr>
          <w:p>
            <w:pPr>
              <w:widowControl/>
              <w:spacing w:line="480" w:lineRule="auto"/>
              <w:rPr>
                <w:rFonts w:ascii="Times New Roman" w:hAnsi="Times New Roman"/>
                <w:bCs/>
                <w:color w:val="000000"/>
                <w:sz w:val="24"/>
                <w:szCs w:val="24"/>
              </w:rPr>
            </w:pPr>
            <w:r>
              <w:rPr>
                <w:rFonts w:ascii="Times New Roman" w:hAnsi="Times New Roman"/>
                <w:bCs/>
                <w:color w:val="000000"/>
                <w:sz w:val="24"/>
                <w:szCs w:val="24"/>
              </w:rPr>
              <w:t>Exonic Function</w:t>
            </w:r>
          </w:p>
        </w:tc>
        <w:tc>
          <w:tcPr>
            <w:tcW w:w="1559" w:type="dxa"/>
            <w:tcBorders>
              <w:top w:val="nil"/>
              <w:left w:val="nil"/>
              <w:bottom w:val="nil"/>
              <w:right w:val="nil"/>
            </w:tcBorders>
            <w:noWrap w:val="0"/>
            <w:tcMar>
              <w:top w:w="15" w:type="dxa"/>
              <w:left w:w="15" w:type="dxa"/>
              <w:bottom w:w="0" w:type="dxa"/>
              <w:right w:w="15" w:type="dxa"/>
            </w:tcMar>
            <w:vAlign w:val="center"/>
          </w:tcPr>
          <w:p>
            <w:pPr>
              <w:widowControl/>
              <w:spacing w:line="480" w:lineRule="auto"/>
              <w:rPr>
                <w:rFonts w:ascii="Times New Roman" w:hAnsi="Times New Roman"/>
                <w:bCs/>
                <w:color w:val="000000"/>
                <w:sz w:val="24"/>
                <w:szCs w:val="24"/>
              </w:rPr>
            </w:pPr>
            <w:r>
              <w:rPr>
                <w:rFonts w:ascii="Times New Roman" w:hAnsi="Times New Roman"/>
                <w:bCs/>
                <w:color w:val="000000"/>
                <w:sz w:val="24"/>
                <w:szCs w:val="24"/>
              </w:rPr>
              <w:t>2825</w:t>
            </w:r>
          </w:p>
        </w:tc>
        <w:tc>
          <w:tcPr>
            <w:tcW w:w="1418" w:type="dxa"/>
            <w:tcBorders>
              <w:top w:val="nil"/>
              <w:left w:val="nil"/>
              <w:bottom w:val="nil"/>
              <w:right w:val="nil"/>
            </w:tcBorders>
            <w:noWrap w:val="0"/>
            <w:tcMar>
              <w:top w:w="15" w:type="dxa"/>
              <w:left w:w="15" w:type="dxa"/>
              <w:bottom w:w="0" w:type="dxa"/>
              <w:right w:w="15" w:type="dxa"/>
            </w:tcMar>
            <w:vAlign w:val="center"/>
          </w:tcPr>
          <w:p>
            <w:pPr>
              <w:widowControl/>
              <w:spacing w:line="480" w:lineRule="auto"/>
              <w:rPr>
                <w:rFonts w:ascii="Times New Roman" w:hAnsi="Times New Roman"/>
                <w:bCs/>
                <w:color w:val="000000"/>
                <w:sz w:val="24"/>
                <w:szCs w:val="24"/>
              </w:rPr>
            </w:pPr>
            <w:r>
              <w:rPr>
                <w:rFonts w:ascii="Times New Roman" w:hAnsi="Times New Roman"/>
                <w:bCs/>
                <w:color w:val="000000"/>
                <w:sz w:val="24"/>
                <w:szCs w:val="24"/>
              </w:rPr>
              <w:t>1022</w:t>
            </w:r>
          </w:p>
        </w:tc>
      </w:tr>
      <w:tr>
        <w:tblPrEx>
          <w:tblCellMar>
            <w:top w:w="0" w:type="dxa"/>
            <w:left w:w="0" w:type="dxa"/>
            <w:bottom w:w="0" w:type="dxa"/>
            <w:right w:w="0" w:type="dxa"/>
          </w:tblCellMar>
        </w:tblPrEx>
        <w:trPr>
          <w:trHeight w:val="493" w:hRule="atLeast"/>
          <w:jc w:val="center"/>
        </w:trPr>
        <w:tc>
          <w:tcPr>
            <w:tcW w:w="1843" w:type="dxa"/>
            <w:tcBorders>
              <w:top w:val="nil"/>
              <w:left w:val="nil"/>
              <w:bottom w:val="single" w:color="000000" w:sz="4" w:space="0"/>
              <w:right w:val="nil"/>
            </w:tcBorders>
            <w:noWrap w:val="0"/>
            <w:tcMar>
              <w:top w:w="15" w:type="dxa"/>
              <w:left w:w="15" w:type="dxa"/>
              <w:bottom w:w="0" w:type="dxa"/>
              <w:right w:w="15" w:type="dxa"/>
            </w:tcMar>
            <w:vAlign w:val="center"/>
          </w:tcPr>
          <w:p>
            <w:pPr>
              <w:widowControl/>
              <w:spacing w:line="480" w:lineRule="auto"/>
              <w:rPr>
                <w:rFonts w:ascii="Times New Roman" w:hAnsi="Times New Roman"/>
                <w:bCs/>
                <w:color w:val="000000"/>
                <w:sz w:val="24"/>
                <w:szCs w:val="24"/>
              </w:rPr>
            </w:pPr>
            <w:r>
              <w:rPr>
                <w:rFonts w:ascii="Times New Roman" w:hAnsi="Times New Roman"/>
                <w:bCs/>
                <w:color w:val="000000"/>
                <w:sz w:val="24"/>
                <w:szCs w:val="24"/>
              </w:rPr>
              <w:t>Deleterious</w:t>
            </w:r>
          </w:p>
        </w:tc>
        <w:tc>
          <w:tcPr>
            <w:tcW w:w="1559" w:type="dxa"/>
            <w:tcBorders>
              <w:top w:val="nil"/>
              <w:left w:val="nil"/>
              <w:bottom w:val="single" w:color="000000" w:sz="4" w:space="0"/>
              <w:right w:val="nil"/>
            </w:tcBorders>
            <w:noWrap w:val="0"/>
            <w:tcMar>
              <w:top w:w="15" w:type="dxa"/>
              <w:left w:w="15" w:type="dxa"/>
              <w:bottom w:w="0" w:type="dxa"/>
              <w:right w:w="15" w:type="dxa"/>
            </w:tcMar>
            <w:vAlign w:val="center"/>
          </w:tcPr>
          <w:p>
            <w:pPr>
              <w:widowControl/>
              <w:spacing w:line="480" w:lineRule="auto"/>
              <w:rPr>
                <w:rFonts w:ascii="Times New Roman" w:hAnsi="Times New Roman"/>
                <w:bCs/>
                <w:color w:val="000000"/>
                <w:sz w:val="24"/>
                <w:szCs w:val="24"/>
              </w:rPr>
            </w:pPr>
            <w:r>
              <w:rPr>
                <w:rFonts w:ascii="Times New Roman" w:hAnsi="Times New Roman"/>
                <w:bCs/>
                <w:color w:val="000000"/>
                <w:sz w:val="24"/>
                <w:szCs w:val="24"/>
              </w:rPr>
              <w:t>1819</w:t>
            </w:r>
          </w:p>
        </w:tc>
        <w:tc>
          <w:tcPr>
            <w:tcW w:w="1418" w:type="dxa"/>
            <w:tcBorders>
              <w:top w:val="nil"/>
              <w:left w:val="nil"/>
              <w:bottom w:val="single" w:color="000000" w:sz="4" w:space="0"/>
              <w:right w:val="nil"/>
            </w:tcBorders>
            <w:noWrap w:val="0"/>
            <w:tcMar>
              <w:top w:w="15" w:type="dxa"/>
              <w:left w:w="15" w:type="dxa"/>
              <w:bottom w:w="0" w:type="dxa"/>
              <w:right w:w="15" w:type="dxa"/>
            </w:tcMar>
            <w:vAlign w:val="center"/>
          </w:tcPr>
          <w:p>
            <w:pPr>
              <w:widowControl/>
              <w:spacing w:line="480" w:lineRule="auto"/>
              <w:rPr>
                <w:rFonts w:ascii="Times New Roman" w:hAnsi="Times New Roman"/>
                <w:bCs/>
                <w:color w:val="000000"/>
                <w:sz w:val="24"/>
                <w:szCs w:val="24"/>
              </w:rPr>
            </w:pPr>
            <w:r>
              <w:rPr>
                <w:rFonts w:ascii="Times New Roman" w:hAnsi="Times New Roman"/>
                <w:bCs/>
                <w:color w:val="000000"/>
                <w:sz w:val="24"/>
                <w:szCs w:val="24"/>
              </w:rPr>
              <w:t>858</w:t>
            </w:r>
          </w:p>
        </w:tc>
      </w:tr>
    </w:tbl>
    <w:p>
      <w:pPr>
        <w:widowControl/>
        <w:rPr>
          <w:rFonts w:ascii="Times New Roman" w:hAnsi="Times New Roman"/>
          <w:bCs/>
          <w:color w:val="000000"/>
          <w:sz w:val="24"/>
          <w:szCs w:val="24"/>
        </w:rPr>
      </w:pPr>
      <w:r>
        <w:rPr>
          <w:rFonts w:ascii="Times New Roman" w:hAnsi="Times New Roman"/>
          <w:bCs/>
          <w:color w:val="000000"/>
          <w:sz w:val="24"/>
          <w:szCs w:val="24"/>
        </w:rPr>
        <w:t xml:space="preserve">Notes: </w:t>
      </w:r>
    </w:p>
    <w:p>
      <w:pPr>
        <w:widowControl/>
        <w:rPr>
          <w:rFonts w:ascii="Times New Roman" w:hAnsi="Times New Roman"/>
          <w:bCs/>
          <w:color w:val="000000"/>
          <w:sz w:val="24"/>
          <w:szCs w:val="24"/>
        </w:rPr>
      </w:pPr>
      <w:r>
        <w:rPr>
          <w:rFonts w:ascii="Times New Roman" w:hAnsi="Times New Roman"/>
          <w:bCs/>
          <w:color w:val="000000"/>
          <w:sz w:val="24"/>
          <w:szCs w:val="24"/>
        </w:rPr>
        <w:t xml:space="preserve">1. To remove at least one mutation with a frequency higher than 1% from 1000g_all, esp6500siv2_all, gnomAD_ALL and gnomAD_EAS. The aim is to remove the diversity loci among individuals and obtain rare mutations that are truly likely to be pathogenic </w:t>
      </w:r>
    </w:p>
    <w:p>
      <w:pPr>
        <w:widowControl/>
        <w:rPr>
          <w:rFonts w:ascii="Times New Roman" w:hAnsi="Times New Roman"/>
          <w:bCs/>
          <w:color w:val="000000"/>
          <w:sz w:val="24"/>
          <w:szCs w:val="24"/>
        </w:rPr>
      </w:pPr>
      <w:r>
        <w:rPr>
          <w:rFonts w:ascii="Times New Roman" w:hAnsi="Times New Roman"/>
          <w:bCs/>
          <w:color w:val="000000"/>
          <w:sz w:val="24"/>
          <w:szCs w:val="24"/>
        </w:rPr>
        <w:t xml:space="preserve">2. The exonic or splicing (10bp up and down) variation was retained </w:t>
      </w:r>
    </w:p>
    <w:p>
      <w:pPr>
        <w:widowControl/>
        <w:rPr>
          <w:rFonts w:ascii="Times New Roman" w:hAnsi="Times New Roman"/>
          <w:bCs/>
          <w:color w:val="000000"/>
          <w:sz w:val="24"/>
          <w:szCs w:val="24"/>
        </w:rPr>
      </w:pPr>
      <w:r>
        <w:rPr>
          <w:rFonts w:ascii="Times New Roman" w:hAnsi="Times New Roman"/>
          <w:bCs/>
          <w:color w:val="000000"/>
          <w:sz w:val="24"/>
          <w:szCs w:val="24"/>
        </w:rPr>
        <w:t xml:space="preserve">3. The synonymous SNP mutations that were not predicted by the software as affecting splicing and were in the non-highly conservative region were removed; The non-frameshift InDel mutation of small fragment (&lt; 10bp) in Repeat region was removed </w:t>
      </w:r>
    </w:p>
    <w:p>
      <w:pPr>
        <w:widowControl/>
        <w:rPr>
          <w:rFonts w:ascii="Times New Roman" w:hAnsi="Times New Roman"/>
          <w:bCs/>
          <w:color w:val="000000"/>
          <w:sz w:val="24"/>
          <w:szCs w:val="24"/>
        </w:rPr>
      </w:pPr>
      <w:r>
        <w:rPr>
          <w:rFonts w:ascii="Times New Roman" w:hAnsi="Times New Roman"/>
          <w:bCs/>
          <w:color w:val="000000"/>
          <w:sz w:val="24"/>
          <w:szCs w:val="24"/>
        </w:rPr>
        <w:t xml:space="preserve">4. According to the scoring prediction of SIFT, Polyphen, MutationTaster and CAD, mutation loci were screened. It is required that at least half of the four software scores support that the locus may be harmful and that the locus be retained; Mutations in splicing that retain a distance not greater than 2 bp (±1~2bp) from the exonic; dbscSNV predicts that it has mutations that affect splicing impact was retained. </w:t>
      </w:r>
    </w:p>
    <w:p>
      <w:pPr>
        <w:widowControl/>
        <w:rPr>
          <w:rFonts w:ascii="Times New Roman" w:hAnsi="Times New Roman"/>
          <w:b/>
          <w:color w:val="000000"/>
          <w:sz w:val="18"/>
          <w:szCs w:val="18"/>
        </w:rPr>
      </w:pPr>
    </w:p>
    <w:p/>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DD94C0A"/>
    <w:rsid w:val="1DD94C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Times New Roman"/>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2021-05-20T03:23:00Z</dcterms:created>
  <dc:creator>c。</dc:creator>
  <cp:lastModifiedBy>c。</cp:lastModifiedBy>
  <dcterms:modified xsi:type="dcterms:W3CDTF">2021-05-20T03:33:35Z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