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color w:val="000000"/>
          <w:sz w:val="24"/>
          <w:szCs w:val="24"/>
          <w:lang w:val="en-US" w:eastAsia="zh-CN"/>
        </w:rPr>
        <w:t>S2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Next generation sequencing data characteristics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69"/>
        <w:gridCol w:w="2416"/>
        <w:gridCol w:w="29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8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44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77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24"/>
                <w:sz w:val="24"/>
                <w:szCs w:val="24"/>
              </w:rPr>
              <w:t>Variance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SNPs number</w:t>
            </w:r>
          </w:p>
        </w:tc>
        <w:tc>
          <w:tcPr>
            <w:tcW w:w="1449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366162</w:t>
            </w:r>
          </w:p>
        </w:tc>
        <w:tc>
          <w:tcPr>
            <w:tcW w:w="1770" w:type="pc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3507695264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Raw data(G)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25.79</w:t>
            </w:r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6.47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Q30(%)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92.31</w:t>
            </w:r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0.15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Mapping rate(%)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99.41</w:t>
            </w:r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0.23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High-quality reads&gt;20x(%)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98.86</w:t>
            </w:r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0.03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Mappable-reads-coverage(%)</w:t>
            </w:r>
          </w:p>
        </w:tc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99.79</w:t>
            </w:r>
          </w:p>
        </w:tc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0.01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781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High-quality reads&gt;10x(%)</w:t>
            </w:r>
          </w:p>
        </w:tc>
        <w:tc>
          <w:tcPr>
            <w:tcW w:w="1449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99.56</w:t>
            </w:r>
          </w:p>
        </w:tc>
        <w:tc>
          <w:tcPr>
            <w:tcW w:w="1770" w:type="pc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4"/>
                <w:sz w:val="24"/>
                <w:szCs w:val="24"/>
              </w:rPr>
              <w:t>0.01</w:t>
            </w:r>
          </w:p>
        </w:tc>
      </w:tr>
    </w:tbl>
    <w:p>
      <w:pPr>
        <w:widowControl/>
        <w:jc w:val="center"/>
        <w:rPr>
          <w:rFonts w:ascii="Times New Roman" w:hAnsi="Times New Roman" w:eastAsia="宋体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0626E"/>
    <w:rsid w:val="1E40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2021-05-20T03:23:00Z</dcterms:created>
  <dc:creator>c。</dc:creator>
  <cp:lastModifiedBy>c。</cp:lastModifiedBy>
  <dcterms:modified xsi:type="dcterms:W3CDTF">2021-05-20T03:25:21Z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