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A6C9CB" w14:textId="77777777" w:rsidR="00370874" w:rsidRDefault="00370874" w:rsidP="00370874">
      <w:pPr>
        <w:pStyle w:val="SOMContent"/>
        <w:spacing w:before="0"/>
        <w:jc w:val="center"/>
        <w:rPr>
          <w:rFonts w:eastAsiaTheme="minorEastAsia"/>
          <w:lang w:eastAsia="zh-CN"/>
        </w:rPr>
      </w:pPr>
      <w:r>
        <w:rPr>
          <w:rFonts w:eastAsiaTheme="minorEastAsia"/>
          <w:noProof/>
          <w:lang w:eastAsia="zh-CN"/>
        </w:rPr>
        <w:drawing>
          <wp:inline distT="0" distB="0" distL="0" distR="0" wp14:anchorId="2F96AF3B" wp14:editId="0AD669CC">
            <wp:extent cx="5454595" cy="5470912"/>
            <wp:effectExtent l="0" t="0" r="0" b="0"/>
            <wp:docPr id="17" name="图片 17" descr="A diagram of different types of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A diagram of different types of graphs&#10;&#10;Description automatically generated with medium confidence"/>
                    <pic:cNvPicPr/>
                  </pic:nvPicPr>
                  <pic:blipFill>
                    <a:blip r:embed="rId4"/>
                    <a:stretch>
                      <a:fillRect/>
                    </a:stretch>
                  </pic:blipFill>
                  <pic:spPr>
                    <a:xfrm>
                      <a:off x="0" y="0"/>
                      <a:ext cx="5455276" cy="5471595"/>
                    </a:xfrm>
                    <a:prstGeom prst="rect">
                      <a:avLst/>
                    </a:prstGeom>
                  </pic:spPr>
                </pic:pic>
              </a:graphicData>
            </a:graphic>
          </wp:inline>
        </w:drawing>
      </w:r>
    </w:p>
    <w:p w14:paraId="5A983946" w14:textId="77777777" w:rsidR="00370874" w:rsidRDefault="00370874" w:rsidP="00370874">
      <w:pPr>
        <w:pStyle w:val="SOMContent"/>
        <w:spacing w:after="120" w:line="360" w:lineRule="exact"/>
        <w:jc w:val="both"/>
      </w:pPr>
      <w:r>
        <w:rPr>
          <w:b/>
        </w:rPr>
        <w:t>E</w:t>
      </w:r>
      <w:r>
        <w:rPr>
          <w:rFonts w:asciiTheme="minorEastAsia" w:eastAsiaTheme="minorEastAsia" w:hAnsiTheme="minorEastAsia" w:hint="eastAsia"/>
          <w:b/>
          <w:lang w:eastAsia="zh-CN"/>
        </w:rPr>
        <w:t>x</w:t>
      </w:r>
      <w:r>
        <w:rPr>
          <w:b/>
        </w:rPr>
        <w:t xml:space="preserve">tended Data Fig. </w:t>
      </w:r>
      <w:r w:rsidRPr="000C0A7B">
        <w:rPr>
          <w:b/>
        </w:rPr>
        <w:t>1</w:t>
      </w:r>
      <w:r>
        <w:rPr>
          <w:b/>
        </w:rPr>
        <w:t xml:space="preserve"> |</w:t>
      </w:r>
      <w:r w:rsidRPr="000C0A7B">
        <w:rPr>
          <w:b/>
        </w:rPr>
        <w:t xml:space="preserve"> Schematic of the calculations of LAI</w:t>
      </w:r>
      <w:r w:rsidRPr="000C0A7B">
        <w:rPr>
          <w:b/>
          <w:vertAlign w:val="subscript"/>
        </w:rPr>
        <w:t>live</w:t>
      </w:r>
      <w:r w:rsidRPr="000C0A7B">
        <w:rPr>
          <w:b/>
        </w:rPr>
        <w:t xml:space="preserve"> and LAI</w:t>
      </w:r>
      <w:r w:rsidRPr="000C0A7B">
        <w:rPr>
          <w:b/>
          <w:vertAlign w:val="subscript"/>
        </w:rPr>
        <w:t>dead</w:t>
      </w:r>
      <w:r>
        <w:rPr>
          <w:b/>
        </w:rPr>
        <w:t xml:space="preserve"> (see Methods </w:t>
      </w:r>
      <w:r w:rsidRPr="000D77F4">
        <w:rPr>
          <w:b/>
          <w:color w:val="0000FF"/>
        </w:rPr>
        <w:t>Derivation of annual LAI</w:t>
      </w:r>
      <w:r w:rsidRPr="000D77F4">
        <w:rPr>
          <w:b/>
          <w:color w:val="0000FF"/>
          <w:vertAlign w:val="subscript"/>
        </w:rPr>
        <w:t xml:space="preserve">live </w:t>
      </w:r>
      <w:r w:rsidRPr="000D77F4">
        <w:rPr>
          <w:b/>
          <w:color w:val="0000FF"/>
        </w:rPr>
        <w:t>and LAI</w:t>
      </w:r>
      <w:r w:rsidRPr="000D77F4">
        <w:rPr>
          <w:b/>
          <w:color w:val="0000FF"/>
          <w:vertAlign w:val="subscript"/>
        </w:rPr>
        <w:t>dead</w:t>
      </w:r>
      <w:r>
        <w:rPr>
          <w:b/>
        </w:rPr>
        <w:t>).</w:t>
      </w:r>
      <w:r w:rsidRPr="000C0A7B">
        <w:rPr>
          <w:b/>
        </w:rPr>
        <w:t xml:space="preserve"> </w:t>
      </w:r>
      <w:r>
        <w:rPr>
          <w:b/>
        </w:rPr>
        <w:t>a</w:t>
      </w:r>
      <w:r w:rsidRPr="000C0A7B">
        <w:t>, Calculations of LAI</w:t>
      </w:r>
      <w:r w:rsidRPr="000C0A7B">
        <w:rPr>
          <w:vertAlign w:val="subscript"/>
        </w:rPr>
        <w:t>live</w:t>
      </w:r>
      <w:r w:rsidRPr="000C0A7B">
        <w:t xml:space="preserve"> and LAI</w:t>
      </w:r>
      <w:r w:rsidRPr="000C0A7B">
        <w:rPr>
          <w:vertAlign w:val="subscript"/>
        </w:rPr>
        <w:t>dead</w:t>
      </w:r>
      <w:r w:rsidRPr="000C0A7B">
        <w:t xml:space="preserve"> slightly differ for the </w:t>
      </w:r>
      <w:r>
        <w:t>N</w:t>
      </w:r>
      <w:r w:rsidRPr="000C0A7B">
        <w:t xml:space="preserve">orthern and </w:t>
      </w:r>
      <w:r>
        <w:t>S</w:t>
      </w:r>
      <w:r w:rsidRPr="000C0A7B">
        <w:t xml:space="preserve">outhern </w:t>
      </w:r>
      <w:r>
        <w:t>H</w:t>
      </w:r>
      <w:r w:rsidRPr="000C0A7B">
        <w:t xml:space="preserve">emispheres due to their different seasonal LAI curves. For the </w:t>
      </w:r>
      <w:r>
        <w:t>N</w:t>
      </w:r>
      <w:r w:rsidRPr="000C0A7B">
        <w:t xml:space="preserve">orthern </w:t>
      </w:r>
      <w:r>
        <w:t>H</w:t>
      </w:r>
      <w:r w:rsidRPr="000C0A7B">
        <w:t>emisphere, LAI</w:t>
      </w:r>
      <w:r w:rsidRPr="000C0A7B">
        <w:rPr>
          <w:vertAlign w:val="subscript"/>
        </w:rPr>
        <w:t>live,y</w:t>
      </w:r>
      <w:r w:rsidRPr="000C0A7B">
        <w:t xml:space="preserve"> is the maximum three-consecutive-month averaged LAI (LAI</w:t>
      </w:r>
      <w:r w:rsidRPr="000C0A7B">
        <w:rPr>
          <w:vertAlign w:val="subscript"/>
        </w:rPr>
        <w:t>max,y</w:t>
      </w:r>
      <w:r w:rsidRPr="000C0A7B">
        <w:t xml:space="preserve">) in year </w:t>
      </w:r>
      <w:r w:rsidRPr="000C0A7B">
        <w:rPr>
          <w:i/>
        </w:rPr>
        <w:t>y</w:t>
      </w:r>
      <w:r w:rsidRPr="000C0A7B">
        <w:t>, while LAI</w:t>
      </w:r>
      <w:r w:rsidRPr="000C0A7B">
        <w:rPr>
          <w:vertAlign w:val="subscript"/>
        </w:rPr>
        <w:t>dead,y</w:t>
      </w:r>
      <w:r w:rsidRPr="000C0A7B">
        <w:t xml:space="preserve"> is the difference between previous year LAI</w:t>
      </w:r>
      <w:r w:rsidRPr="000C0A7B">
        <w:rPr>
          <w:vertAlign w:val="subscript"/>
        </w:rPr>
        <w:t>max,y-1</w:t>
      </w:r>
      <w:r w:rsidRPr="000C0A7B">
        <w:t xml:space="preserve"> and the subsequent minimum three-consecutive-month averaged LAI (LAI</w:t>
      </w:r>
      <w:r w:rsidRPr="000C0A7B">
        <w:rPr>
          <w:vertAlign w:val="subscript"/>
        </w:rPr>
        <w:t>min,y-1</w:t>
      </w:r>
      <w:r w:rsidRPr="000C0A7B">
        <w:t xml:space="preserve">). For the </w:t>
      </w:r>
      <w:r>
        <w:t>S</w:t>
      </w:r>
      <w:r w:rsidRPr="000C0A7B">
        <w:t xml:space="preserve">outhern </w:t>
      </w:r>
      <w:r>
        <w:t>H</w:t>
      </w:r>
      <w:r w:rsidRPr="000C0A7B">
        <w:t>emisphere, LAI</w:t>
      </w:r>
      <w:r w:rsidRPr="000C0A7B">
        <w:rPr>
          <w:vertAlign w:val="subscript"/>
        </w:rPr>
        <w:t>live,y</w:t>
      </w:r>
      <w:r w:rsidRPr="000C0A7B">
        <w:t xml:space="preserve"> is the LAI</w:t>
      </w:r>
      <w:r w:rsidRPr="000C0A7B">
        <w:rPr>
          <w:vertAlign w:val="subscript"/>
        </w:rPr>
        <w:t>max,y</w:t>
      </w:r>
      <w:r w:rsidRPr="000C0A7B">
        <w:t>, while LAI</w:t>
      </w:r>
      <w:r w:rsidRPr="000C0A7B">
        <w:rPr>
          <w:vertAlign w:val="subscript"/>
        </w:rPr>
        <w:t>dead,y</w:t>
      </w:r>
      <w:r w:rsidRPr="000C0A7B">
        <w:t xml:space="preserve"> is the difference between LAI</w:t>
      </w:r>
      <w:r w:rsidRPr="000C0A7B">
        <w:rPr>
          <w:vertAlign w:val="subscript"/>
        </w:rPr>
        <w:t>max,y</w:t>
      </w:r>
      <w:r w:rsidRPr="000C0A7B">
        <w:t xml:space="preserve"> and the subsequent LAI</w:t>
      </w:r>
      <w:r w:rsidRPr="000C0A7B">
        <w:rPr>
          <w:vertAlign w:val="subscript"/>
        </w:rPr>
        <w:t>min,y</w:t>
      </w:r>
      <w:r w:rsidRPr="000C0A7B">
        <w:t xml:space="preserve">. The green and orange curves indicate the three-consecutive months with maximum and minimum averaged LAI, respectively. </w:t>
      </w:r>
      <w:r>
        <w:rPr>
          <w:b/>
        </w:rPr>
        <w:t>b</w:t>
      </w:r>
      <w:r w:rsidRPr="000C0A7B">
        <w:t>, Global maps showing LAI</w:t>
      </w:r>
      <w:r w:rsidRPr="000C0A7B">
        <w:rPr>
          <w:vertAlign w:val="subscript"/>
        </w:rPr>
        <w:t>dead</w:t>
      </w:r>
      <w:r w:rsidRPr="000C0A7B">
        <w:t xml:space="preserve"> calculated as the difference of LAI</w:t>
      </w:r>
      <w:r w:rsidRPr="000C0A7B">
        <w:rPr>
          <w:vertAlign w:val="subscript"/>
        </w:rPr>
        <w:t>max</w:t>
      </w:r>
      <w:r w:rsidRPr="000C0A7B">
        <w:t xml:space="preserve"> and LAI</w:t>
      </w:r>
      <w:r w:rsidRPr="000C0A7B">
        <w:rPr>
          <w:vertAlign w:val="subscript"/>
        </w:rPr>
        <w:t>min</w:t>
      </w:r>
      <w:r w:rsidRPr="000C0A7B">
        <w:t>.</w:t>
      </w:r>
    </w:p>
    <w:p w14:paraId="1CDA2C0A" w14:textId="77777777" w:rsidR="00370874" w:rsidRPr="0000141D" w:rsidRDefault="00370874" w:rsidP="00370874">
      <w:pPr>
        <w:pStyle w:val="SOMContent"/>
        <w:spacing w:after="120" w:line="360" w:lineRule="exact"/>
        <w:jc w:val="both"/>
      </w:pPr>
    </w:p>
    <w:p w14:paraId="78D84DE7" w14:textId="77777777" w:rsidR="00370874" w:rsidRDefault="00370874" w:rsidP="00370874">
      <w:pPr>
        <w:pStyle w:val="SOMContent"/>
        <w:spacing w:after="120" w:line="360" w:lineRule="exact"/>
        <w:jc w:val="both"/>
        <w:rPr>
          <w:rFonts w:eastAsiaTheme="minorEastAsia"/>
          <w:lang w:eastAsia="zh-CN"/>
        </w:rPr>
        <w:sectPr w:rsidR="00370874" w:rsidSect="00370874">
          <w:pgSz w:w="12240" w:h="15840" w:code="1"/>
          <w:pgMar w:top="1298" w:right="1440" w:bottom="1298" w:left="1440" w:header="431" w:footer="720" w:gutter="0"/>
          <w:lnNumType w:countBy="1" w:distance="720" w:restart="continuous"/>
          <w:cols w:space="720"/>
          <w:docGrid w:linePitch="360"/>
        </w:sectPr>
      </w:pPr>
    </w:p>
    <w:p w14:paraId="1D3181B1" w14:textId="77777777" w:rsidR="00370874" w:rsidRDefault="00370874" w:rsidP="00370874">
      <w:pPr>
        <w:pStyle w:val="SOMContent"/>
        <w:spacing w:before="0" w:line="360" w:lineRule="auto"/>
        <w:jc w:val="center"/>
        <w:rPr>
          <w:rFonts w:eastAsiaTheme="minorEastAsia"/>
          <w:lang w:eastAsia="zh-CN"/>
        </w:rPr>
      </w:pPr>
      <w:r>
        <w:rPr>
          <w:rFonts w:eastAsiaTheme="minorEastAsia"/>
          <w:noProof/>
          <w:lang w:eastAsia="zh-CN"/>
        </w:rPr>
        <w:lastRenderedPageBreak/>
        <w:drawing>
          <wp:inline distT="0" distB="0" distL="0" distR="0" wp14:anchorId="5531A096" wp14:editId="5EA57D64">
            <wp:extent cx="5939624" cy="3253416"/>
            <wp:effectExtent l="0" t="0" r="4445" b="4445"/>
            <wp:docPr id="18" name="图片 18" descr="A group of maps with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A group of maps with different colored lines&#10;&#10;Description automatically generated with medium confidence"/>
                    <pic:cNvPicPr/>
                  </pic:nvPicPr>
                  <pic:blipFill>
                    <a:blip r:embed="rId5"/>
                    <a:stretch>
                      <a:fillRect/>
                    </a:stretch>
                  </pic:blipFill>
                  <pic:spPr>
                    <a:xfrm>
                      <a:off x="0" y="0"/>
                      <a:ext cx="5956230" cy="3262512"/>
                    </a:xfrm>
                    <a:prstGeom prst="rect">
                      <a:avLst/>
                    </a:prstGeom>
                  </pic:spPr>
                </pic:pic>
              </a:graphicData>
            </a:graphic>
          </wp:inline>
        </w:drawing>
      </w:r>
    </w:p>
    <w:p w14:paraId="0F493700" w14:textId="77777777" w:rsidR="00370874" w:rsidRDefault="00370874" w:rsidP="00370874">
      <w:pPr>
        <w:pStyle w:val="SOMContent"/>
        <w:spacing w:after="120" w:line="360" w:lineRule="exact"/>
        <w:jc w:val="both"/>
      </w:pPr>
      <w:r>
        <w:rPr>
          <w:b/>
        </w:rPr>
        <w:t>E</w:t>
      </w:r>
      <w:r>
        <w:rPr>
          <w:rFonts w:asciiTheme="minorEastAsia" w:eastAsiaTheme="minorEastAsia" w:hAnsiTheme="minorEastAsia" w:hint="eastAsia"/>
          <w:b/>
          <w:lang w:eastAsia="zh-CN"/>
        </w:rPr>
        <w:t>x</w:t>
      </w:r>
      <w:r>
        <w:rPr>
          <w:b/>
        </w:rPr>
        <w:t xml:space="preserve">tended Data Fig. 2 | </w:t>
      </w:r>
      <w:r>
        <w:rPr>
          <w:b/>
          <w:bCs/>
        </w:rPr>
        <w:t>Annual means and trends of LAI</w:t>
      </w:r>
      <w:r w:rsidRPr="00190127">
        <w:rPr>
          <w:b/>
          <w:bCs/>
          <w:vertAlign w:val="subscript"/>
        </w:rPr>
        <w:t>live</w:t>
      </w:r>
      <w:r>
        <w:rPr>
          <w:b/>
          <w:bCs/>
        </w:rPr>
        <w:t xml:space="preserve"> (a</w:t>
      </w:r>
      <w:r w:rsidRPr="00431DC9">
        <w:rPr>
          <w:b/>
        </w:rPr>
        <w:t>–</w:t>
      </w:r>
      <w:r>
        <w:rPr>
          <w:b/>
        </w:rPr>
        <w:t>b</w:t>
      </w:r>
      <w:r>
        <w:rPr>
          <w:b/>
          <w:bCs/>
        </w:rPr>
        <w:t>) and LAI</w:t>
      </w:r>
      <w:r w:rsidRPr="00190127">
        <w:rPr>
          <w:b/>
          <w:bCs/>
          <w:vertAlign w:val="subscript"/>
        </w:rPr>
        <w:t>dead</w:t>
      </w:r>
      <w:r>
        <w:rPr>
          <w:b/>
          <w:bCs/>
        </w:rPr>
        <w:t xml:space="preserve"> (c</w:t>
      </w:r>
      <w:r w:rsidRPr="00431DC9">
        <w:rPr>
          <w:b/>
        </w:rPr>
        <w:t>–</w:t>
      </w:r>
      <w:r>
        <w:rPr>
          <w:b/>
        </w:rPr>
        <w:t>d</w:t>
      </w:r>
      <w:r>
        <w:rPr>
          <w:b/>
          <w:bCs/>
        </w:rPr>
        <w:t xml:space="preserve">) over the period </w:t>
      </w:r>
      <w:r w:rsidRPr="0077182B">
        <w:rPr>
          <w:b/>
          <w:bCs/>
        </w:rPr>
        <w:t>2002</w:t>
      </w:r>
      <w:r w:rsidRPr="0077182B">
        <w:rPr>
          <w:b/>
        </w:rPr>
        <w:t>–2020.</w:t>
      </w:r>
      <w:r>
        <w:rPr>
          <w:b/>
        </w:rPr>
        <w:t xml:space="preserve"> </w:t>
      </w:r>
      <w:r w:rsidRPr="00A571E5">
        <w:t>The ensemble means (four LAI products) of trends in LAI</w:t>
      </w:r>
      <w:r w:rsidRPr="00A571E5">
        <w:rPr>
          <w:vertAlign w:val="subscript"/>
        </w:rPr>
        <w:t>live</w:t>
      </w:r>
      <w:r w:rsidRPr="00A571E5">
        <w:t xml:space="preserve"> and LAI</w:t>
      </w:r>
      <w:r w:rsidRPr="00A571E5">
        <w:rPr>
          <w:vertAlign w:val="subscript"/>
        </w:rPr>
        <w:t>dead</w:t>
      </w:r>
      <w:r w:rsidRPr="00A571E5">
        <w:t xml:space="preserve"> were presented.</w:t>
      </w:r>
      <w:r>
        <w:t xml:space="preserve"> The black dots in </w:t>
      </w:r>
      <w:r>
        <w:rPr>
          <w:b/>
        </w:rPr>
        <w:t>b</w:t>
      </w:r>
      <w:r>
        <w:t xml:space="preserve"> and </w:t>
      </w:r>
      <w:r>
        <w:rPr>
          <w:b/>
        </w:rPr>
        <w:t>d</w:t>
      </w:r>
      <w:r>
        <w:t xml:space="preserve"> indicate regions with significant trend (</w:t>
      </w:r>
      <w:r w:rsidRPr="001C0F8A">
        <w:rPr>
          <w:i/>
          <w:iCs/>
        </w:rPr>
        <w:t>p</w:t>
      </w:r>
      <w:r w:rsidRPr="009A70E3">
        <w:rPr>
          <w:iCs/>
        </w:rPr>
        <w:t>-value</w:t>
      </w:r>
      <w:r>
        <w:t xml:space="preserve"> &lt; 0.1). </w:t>
      </w:r>
      <w:r w:rsidRPr="00A571E5">
        <w:t xml:space="preserve">The bars and error bars at bottom left indicate the ensemble mean of median </w:t>
      </w:r>
      <w:r>
        <w:t>trend</w:t>
      </w:r>
      <w:r w:rsidRPr="00A571E5">
        <w:t xml:space="preserve"> and standard error across products, respectively, for global (red), tropical (green), arid (orange), temperate (pink), and cold (blue) regions.</w:t>
      </w:r>
    </w:p>
    <w:p w14:paraId="06CFAA5C" w14:textId="77777777" w:rsidR="00370874" w:rsidRDefault="00370874" w:rsidP="00370874">
      <w:pPr>
        <w:pStyle w:val="SOMContent"/>
        <w:spacing w:after="120" w:line="360" w:lineRule="exact"/>
        <w:jc w:val="both"/>
        <w:rPr>
          <w:rFonts w:eastAsiaTheme="minorEastAsia"/>
          <w:lang w:eastAsia="zh-CN"/>
        </w:rPr>
      </w:pPr>
    </w:p>
    <w:p w14:paraId="67C7371A" w14:textId="77777777" w:rsidR="00370874" w:rsidRDefault="00370874" w:rsidP="00370874">
      <w:pPr>
        <w:pStyle w:val="SOMContent"/>
        <w:spacing w:after="120" w:line="360" w:lineRule="exact"/>
        <w:jc w:val="both"/>
        <w:rPr>
          <w:rFonts w:eastAsiaTheme="minorEastAsia"/>
          <w:lang w:eastAsia="zh-CN"/>
        </w:rPr>
        <w:sectPr w:rsidR="00370874" w:rsidSect="00370874">
          <w:pgSz w:w="12240" w:h="15840" w:code="1"/>
          <w:pgMar w:top="1298" w:right="1440" w:bottom="1298" w:left="1440" w:header="431" w:footer="720" w:gutter="0"/>
          <w:lnNumType w:countBy="1" w:distance="720" w:restart="continuous"/>
          <w:cols w:space="720"/>
          <w:docGrid w:linePitch="360"/>
        </w:sectPr>
      </w:pPr>
    </w:p>
    <w:p w14:paraId="6099DCAD" w14:textId="77777777" w:rsidR="00370874" w:rsidRDefault="00370874" w:rsidP="00370874">
      <w:pPr>
        <w:pStyle w:val="SOMContent"/>
        <w:spacing w:after="120" w:line="360" w:lineRule="auto"/>
        <w:jc w:val="center"/>
        <w:rPr>
          <w:rFonts w:eastAsiaTheme="minorEastAsia"/>
          <w:lang w:eastAsia="zh-CN"/>
        </w:rPr>
      </w:pPr>
      <w:r>
        <w:rPr>
          <w:rFonts w:eastAsiaTheme="minorEastAsia"/>
          <w:noProof/>
          <w:lang w:eastAsia="zh-CN"/>
        </w:rPr>
        <w:lastRenderedPageBreak/>
        <w:drawing>
          <wp:inline distT="0" distB="0" distL="0" distR="0" wp14:anchorId="1F40D2BD" wp14:editId="0DC84DB5">
            <wp:extent cx="4691270" cy="5237418"/>
            <wp:effectExtent l="0" t="0" r="0" b="1905"/>
            <wp:docPr id="19" name="图片 19" descr="A map of the world with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A map of the world with different colored squares&#10;&#10;Description automatically generated"/>
                    <pic:cNvPicPr/>
                  </pic:nvPicPr>
                  <pic:blipFill>
                    <a:blip r:embed="rId6"/>
                    <a:stretch>
                      <a:fillRect/>
                    </a:stretch>
                  </pic:blipFill>
                  <pic:spPr>
                    <a:xfrm>
                      <a:off x="0" y="0"/>
                      <a:ext cx="4703904" cy="5251523"/>
                    </a:xfrm>
                    <a:prstGeom prst="rect">
                      <a:avLst/>
                    </a:prstGeom>
                  </pic:spPr>
                </pic:pic>
              </a:graphicData>
            </a:graphic>
          </wp:inline>
        </w:drawing>
      </w:r>
    </w:p>
    <w:p w14:paraId="09B3B8D6" w14:textId="77777777" w:rsidR="00370874" w:rsidRDefault="00370874" w:rsidP="00370874">
      <w:pPr>
        <w:pStyle w:val="SOMContent"/>
        <w:spacing w:after="120" w:line="360" w:lineRule="exact"/>
        <w:jc w:val="both"/>
      </w:pPr>
      <w:r>
        <w:rPr>
          <w:b/>
        </w:rPr>
        <w:t>E</w:t>
      </w:r>
      <w:r>
        <w:rPr>
          <w:rFonts w:asciiTheme="minorEastAsia" w:eastAsiaTheme="minorEastAsia" w:hAnsiTheme="minorEastAsia" w:hint="eastAsia"/>
          <w:b/>
          <w:lang w:eastAsia="zh-CN"/>
        </w:rPr>
        <w:t>x</w:t>
      </w:r>
      <w:r>
        <w:rPr>
          <w:b/>
        </w:rPr>
        <w:t>tended Data Fig. 3 |</w:t>
      </w:r>
      <w:r>
        <w:rPr>
          <w:b/>
          <w:bCs/>
        </w:rPr>
        <w:t xml:space="preserve"> F</w:t>
      </w:r>
      <w:r w:rsidRPr="00FE6474">
        <w:rPr>
          <w:rFonts w:eastAsia="Microsoft YaHei"/>
          <w:b/>
          <w:bCs/>
        </w:rPr>
        <w:t>ire sensi</w:t>
      </w:r>
      <w:r>
        <w:rPr>
          <w:rFonts w:eastAsia="Microsoft YaHei"/>
          <w:b/>
          <w:bCs/>
        </w:rPr>
        <w:t>tivity to vegetation greening (LAI</w:t>
      </w:r>
      <w:r w:rsidRPr="00622B16">
        <w:rPr>
          <w:rFonts w:eastAsia="Microsoft YaHei"/>
          <w:b/>
          <w:bCs/>
          <w:vertAlign w:val="subscript"/>
        </w:rPr>
        <w:t>dead</w:t>
      </w:r>
      <w:r>
        <w:rPr>
          <w:rFonts w:eastAsia="Microsoft YaHei"/>
          <w:b/>
          <w:bCs/>
        </w:rPr>
        <w:t>, a; LAI</w:t>
      </w:r>
      <w:r w:rsidRPr="00622B16">
        <w:rPr>
          <w:rFonts w:eastAsia="Microsoft YaHei"/>
          <w:b/>
          <w:bCs/>
          <w:vertAlign w:val="subscript"/>
        </w:rPr>
        <w:t>live</w:t>
      </w:r>
      <w:r>
        <w:rPr>
          <w:rFonts w:eastAsia="Microsoft YaHei"/>
          <w:b/>
          <w:bCs/>
        </w:rPr>
        <w:t>, b)</w:t>
      </w:r>
      <w:r w:rsidRPr="00FE6474">
        <w:rPr>
          <w:b/>
          <w:bCs/>
        </w:rPr>
        <w:t xml:space="preserve"> f</w:t>
      </w:r>
      <w:r>
        <w:rPr>
          <w:b/>
          <w:bCs/>
        </w:rPr>
        <w:t>or fire radiative power (FRP) as a prox</w:t>
      </w:r>
      <w:r>
        <w:rPr>
          <w:rFonts w:hint="eastAsia"/>
          <w:b/>
          <w:bCs/>
        </w:rPr>
        <w:t>y</w:t>
      </w:r>
      <w:r>
        <w:rPr>
          <w:b/>
          <w:bCs/>
        </w:rPr>
        <w:t xml:space="preserve"> of fire activity.</w:t>
      </w:r>
      <w:r>
        <w:t xml:space="preserve"> FRP is derived from MCD14ML V6 product. </w:t>
      </w:r>
      <w:r w:rsidRPr="0061377A">
        <w:t>The black dots indicate regions with significant sensitivity (</w:t>
      </w:r>
      <w:r w:rsidRPr="001C0F8A">
        <w:rPr>
          <w:i/>
          <w:iCs/>
        </w:rPr>
        <w:t>p</w:t>
      </w:r>
      <w:r w:rsidRPr="009A70E3">
        <w:rPr>
          <w:iCs/>
        </w:rPr>
        <w:t>-value</w:t>
      </w:r>
      <w:r w:rsidRPr="0061377A">
        <w:t xml:space="preserve"> &lt; 0.1). </w:t>
      </w:r>
      <w:r>
        <w:rPr>
          <w:b/>
          <w:bCs/>
        </w:rPr>
        <w:t>c</w:t>
      </w:r>
      <w:r>
        <w:t>,</w:t>
      </w:r>
      <w:r w:rsidRPr="0061377A">
        <w:t xml:space="preserve"> </w:t>
      </w:r>
      <w:r>
        <w:t>Ensemble mean of m</w:t>
      </w:r>
      <w:r w:rsidRPr="0061377A">
        <w:t>edian sensitivity for global (red), tropical (green), arid (orange), temperate (pink)</w:t>
      </w:r>
      <w:r>
        <w:t>,</w:t>
      </w:r>
      <w:r w:rsidRPr="0061377A">
        <w:t xml:space="preserve"> and cold (blue) regions.</w:t>
      </w:r>
      <w:r>
        <w:t xml:space="preserve"> The error bars indicate the standard error across products.</w:t>
      </w:r>
    </w:p>
    <w:p w14:paraId="4EC69101" w14:textId="77777777" w:rsidR="00370874" w:rsidRDefault="00370874" w:rsidP="00370874">
      <w:pPr>
        <w:pStyle w:val="SOMContent"/>
        <w:spacing w:after="120" w:line="360" w:lineRule="exact"/>
        <w:jc w:val="both"/>
        <w:rPr>
          <w:rFonts w:eastAsiaTheme="minorEastAsia"/>
          <w:lang w:eastAsia="zh-CN"/>
        </w:rPr>
      </w:pPr>
    </w:p>
    <w:p w14:paraId="32B5B419" w14:textId="77777777" w:rsidR="00370874" w:rsidRDefault="00370874" w:rsidP="00370874">
      <w:pPr>
        <w:pStyle w:val="SOMContent"/>
        <w:spacing w:before="0" w:line="360" w:lineRule="auto"/>
        <w:jc w:val="center"/>
        <w:rPr>
          <w:rFonts w:eastAsiaTheme="minorEastAsia"/>
          <w:lang w:eastAsia="zh-CN"/>
        </w:rPr>
        <w:sectPr w:rsidR="00370874" w:rsidSect="00370874">
          <w:pgSz w:w="12240" w:h="15840" w:code="1"/>
          <w:pgMar w:top="1298" w:right="1440" w:bottom="1298" w:left="1440" w:header="431" w:footer="720" w:gutter="0"/>
          <w:lnNumType w:countBy="1" w:distance="720" w:restart="continuous"/>
          <w:cols w:space="720"/>
          <w:docGrid w:linePitch="360"/>
        </w:sectPr>
      </w:pPr>
    </w:p>
    <w:p w14:paraId="7FCAE9A9" w14:textId="77777777" w:rsidR="00370874" w:rsidRDefault="00370874" w:rsidP="00370874">
      <w:pPr>
        <w:pStyle w:val="SOMContent"/>
        <w:spacing w:before="0" w:line="360" w:lineRule="auto"/>
        <w:jc w:val="center"/>
        <w:rPr>
          <w:rFonts w:eastAsiaTheme="minorEastAsia"/>
          <w:lang w:eastAsia="zh-CN"/>
        </w:rPr>
      </w:pPr>
      <w:r>
        <w:rPr>
          <w:rFonts w:eastAsiaTheme="minorEastAsia"/>
          <w:noProof/>
          <w:lang w:eastAsia="zh-CN"/>
        </w:rPr>
        <w:lastRenderedPageBreak/>
        <w:drawing>
          <wp:inline distT="0" distB="0" distL="0" distR="0" wp14:anchorId="2607FB25" wp14:editId="5859CD34">
            <wp:extent cx="5883966" cy="5480285"/>
            <wp:effectExtent l="0" t="0" r="2540" b="6350"/>
            <wp:docPr id="20" name="图片 2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A screenshot of a graph&#10;&#10;Description automatically generated"/>
                    <pic:cNvPicPr/>
                  </pic:nvPicPr>
                  <pic:blipFill>
                    <a:blip r:embed="rId7"/>
                    <a:stretch>
                      <a:fillRect/>
                    </a:stretch>
                  </pic:blipFill>
                  <pic:spPr>
                    <a:xfrm>
                      <a:off x="0" y="0"/>
                      <a:ext cx="5892137" cy="5487895"/>
                    </a:xfrm>
                    <a:prstGeom prst="rect">
                      <a:avLst/>
                    </a:prstGeom>
                  </pic:spPr>
                </pic:pic>
              </a:graphicData>
            </a:graphic>
          </wp:inline>
        </w:drawing>
      </w:r>
    </w:p>
    <w:p w14:paraId="2672FCA5" w14:textId="77777777" w:rsidR="00370874" w:rsidRPr="006262EE" w:rsidRDefault="00370874" w:rsidP="00370874">
      <w:pPr>
        <w:pStyle w:val="SOMContent"/>
        <w:spacing w:after="120" w:line="360" w:lineRule="exact"/>
        <w:jc w:val="both"/>
        <w:rPr>
          <w:rFonts w:eastAsiaTheme="minorEastAsia"/>
          <w:lang w:eastAsia="zh-CN"/>
        </w:rPr>
      </w:pPr>
      <w:r w:rsidRPr="00A70C97">
        <w:rPr>
          <w:rFonts w:eastAsiaTheme="minorEastAsia" w:hint="eastAsia"/>
          <w:b/>
          <w:lang w:eastAsia="zh-CN"/>
        </w:rPr>
        <w:t>E</w:t>
      </w:r>
      <w:r w:rsidRPr="00A70C97">
        <w:rPr>
          <w:rFonts w:eastAsiaTheme="minorEastAsia"/>
          <w:b/>
          <w:lang w:eastAsia="zh-CN"/>
        </w:rPr>
        <w:t xml:space="preserve">xtended Data Fig. </w:t>
      </w:r>
      <w:r>
        <w:rPr>
          <w:rFonts w:eastAsiaTheme="minorEastAsia"/>
          <w:b/>
          <w:lang w:eastAsia="zh-CN"/>
        </w:rPr>
        <w:t>4</w:t>
      </w:r>
      <w:r w:rsidRPr="00A70C97">
        <w:rPr>
          <w:rFonts w:eastAsiaTheme="minorEastAsia"/>
          <w:b/>
          <w:lang w:eastAsia="zh-CN"/>
        </w:rPr>
        <w:t xml:space="preserve"> | </w:t>
      </w:r>
      <w:r w:rsidRPr="00A70C97">
        <w:rPr>
          <w:rFonts w:ascii="Cambria Math" w:eastAsiaTheme="minorEastAsia" w:hAnsi="Cambria Math"/>
          <w:b/>
          <w:lang w:eastAsia="zh-CN"/>
        </w:rPr>
        <w:t>∂</w:t>
      </w:r>
      <w:r w:rsidRPr="00A70C97">
        <w:rPr>
          <w:rFonts w:eastAsiaTheme="minorEastAsia"/>
          <w:b/>
          <w:lang w:eastAsia="zh-CN"/>
        </w:rPr>
        <w:t>BF/</w:t>
      </w:r>
      <w:r w:rsidRPr="00A70C97">
        <w:rPr>
          <w:rFonts w:ascii="Cambria Math" w:eastAsiaTheme="minorEastAsia" w:hAnsi="Cambria Math"/>
          <w:b/>
          <w:lang w:eastAsia="zh-CN"/>
        </w:rPr>
        <w:t>∂</w:t>
      </w:r>
      <w:r w:rsidRPr="00A70C97">
        <w:rPr>
          <w:rFonts w:eastAsiaTheme="minorEastAsia"/>
          <w:b/>
          <w:lang w:eastAsia="zh-CN"/>
        </w:rPr>
        <w:t>LAI</w:t>
      </w:r>
      <w:r w:rsidRPr="00A70C97">
        <w:rPr>
          <w:rFonts w:eastAsiaTheme="minorEastAsia"/>
          <w:b/>
          <w:vertAlign w:val="subscript"/>
          <w:lang w:eastAsia="zh-CN"/>
        </w:rPr>
        <w:t>live</w:t>
      </w:r>
      <w:r w:rsidRPr="00A70C97">
        <w:rPr>
          <w:rFonts w:eastAsiaTheme="minorEastAsia"/>
          <w:b/>
          <w:lang w:eastAsia="zh-CN"/>
        </w:rPr>
        <w:t xml:space="preserve"> and </w:t>
      </w:r>
      <w:r w:rsidRPr="00A70C97">
        <w:rPr>
          <w:rFonts w:ascii="Cambria Math" w:eastAsiaTheme="minorEastAsia" w:hAnsi="Cambria Math"/>
          <w:b/>
          <w:lang w:eastAsia="zh-CN"/>
        </w:rPr>
        <w:t>∂</w:t>
      </w:r>
      <w:r w:rsidRPr="00A70C97">
        <w:rPr>
          <w:rFonts w:eastAsiaTheme="minorEastAsia"/>
          <w:b/>
          <w:lang w:eastAsia="zh-CN"/>
        </w:rPr>
        <w:t>BF/</w:t>
      </w:r>
      <w:r w:rsidRPr="00A70C97">
        <w:rPr>
          <w:rFonts w:ascii="Cambria Math" w:eastAsiaTheme="minorEastAsia" w:hAnsi="Cambria Math"/>
          <w:b/>
          <w:lang w:eastAsia="zh-CN"/>
        </w:rPr>
        <w:t>∂</w:t>
      </w:r>
      <w:r w:rsidRPr="00A70C97">
        <w:rPr>
          <w:rFonts w:eastAsiaTheme="minorEastAsia"/>
          <w:b/>
          <w:lang w:eastAsia="zh-CN"/>
        </w:rPr>
        <w:t>LAI</w:t>
      </w:r>
      <w:r w:rsidRPr="00A70C97">
        <w:rPr>
          <w:rFonts w:eastAsiaTheme="minorEastAsia"/>
          <w:b/>
          <w:vertAlign w:val="subscript"/>
          <w:lang w:eastAsia="zh-CN"/>
        </w:rPr>
        <w:t>dead</w:t>
      </w:r>
      <w:r w:rsidRPr="00A70C97">
        <w:rPr>
          <w:rFonts w:eastAsiaTheme="minorEastAsia"/>
          <w:b/>
          <w:lang w:eastAsia="zh-CN"/>
        </w:rPr>
        <w:t xml:space="preserve"> </w:t>
      </w:r>
      <w:r w:rsidRPr="00A70C97">
        <w:rPr>
          <w:rFonts w:eastAsiaTheme="minorEastAsia" w:hint="eastAsia"/>
          <w:b/>
          <w:lang w:eastAsia="zh-CN"/>
        </w:rPr>
        <w:t>for</w:t>
      </w:r>
      <w:r w:rsidRPr="00A70C97">
        <w:rPr>
          <w:rFonts w:eastAsiaTheme="minorEastAsia"/>
          <w:b/>
          <w:lang w:eastAsia="zh-CN"/>
        </w:rPr>
        <w:t xml:space="preserve"> different plant vegetation types (FTPs</w:t>
      </w:r>
      <w:r>
        <w:rPr>
          <w:rFonts w:eastAsiaTheme="minorEastAsia"/>
          <w:b/>
          <w:lang w:eastAsia="zh-CN"/>
        </w:rPr>
        <w:t>, a</w:t>
      </w:r>
      <w:r w:rsidRPr="00A70C97">
        <w:rPr>
          <w:rFonts w:eastAsiaTheme="minorEastAsia"/>
          <w:b/>
          <w:lang w:eastAsia="zh-CN"/>
        </w:rPr>
        <w:t>), biomes</w:t>
      </w:r>
      <w:r>
        <w:rPr>
          <w:rFonts w:eastAsiaTheme="minorEastAsia"/>
          <w:b/>
          <w:lang w:eastAsia="zh-CN"/>
        </w:rPr>
        <w:t xml:space="preserve"> (b)</w:t>
      </w:r>
      <w:r w:rsidRPr="00A70C97">
        <w:rPr>
          <w:rFonts w:eastAsiaTheme="minorEastAsia"/>
          <w:b/>
          <w:lang w:eastAsia="zh-CN"/>
        </w:rPr>
        <w:t>, and forest/non-forest</w:t>
      </w:r>
      <w:r>
        <w:rPr>
          <w:rFonts w:eastAsiaTheme="minorEastAsia"/>
          <w:b/>
          <w:lang w:eastAsia="zh-CN"/>
        </w:rPr>
        <w:t xml:space="preserve"> (c-d)</w:t>
      </w:r>
      <w:r w:rsidRPr="00A70C97">
        <w:rPr>
          <w:rFonts w:eastAsiaTheme="minorEastAsia"/>
          <w:b/>
          <w:lang w:eastAsia="zh-CN"/>
        </w:rPr>
        <w:t xml:space="preserve">. </w:t>
      </w:r>
      <w:r>
        <w:rPr>
          <w:rFonts w:eastAsiaTheme="minorEastAsia"/>
          <w:b/>
          <w:lang w:eastAsia="zh-CN"/>
        </w:rPr>
        <w:t>a</w:t>
      </w:r>
      <w:r>
        <w:rPr>
          <w:rFonts w:eastAsiaTheme="minorEastAsia" w:hint="eastAsia"/>
          <w:b/>
          <w:lang w:eastAsia="zh-CN"/>
        </w:rPr>
        <w:t>,</w:t>
      </w:r>
      <w:r>
        <w:rPr>
          <w:rFonts w:eastAsiaTheme="minorEastAsia"/>
          <w:b/>
          <w:lang w:eastAsia="zh-CN"/>
        </w:rPr>
        <w:t xml:space="preserve"> </w:t>
      </w:r>
      <w:r w:rsidRPr="006262EE">
        <w:rPr>
          <w:rFonts w:eastAsiaTheme="minorEastAsia"/>
          <w:lang w:eastAsia="zh-CN"/>
        </w:rPr>
        <w:t xml:space="preserve">Quadratic relationship between </w:t>
      </w:r>
      <w:r w:rsidRPr="006262EE">
        <w:rPr>
          <w:rFonts w:ascii="Cambria Math" w:eastAsiaTheme="minorEastAsia" w:hAnsi="Cambria Math"/>
          <w:lang w:eastAsia="zh-CN"/>
        </w:rPr>
        <w:t>∂</w:t>
      </w:r>
      <w:r w:rsidRPr="006262EE">
        <w:rPr>
          <w:rFonts w:eastAsiaTheme="minorEastAsia"/>
          <w:lang w:eastAsia="zh-CN"/>
        </w:rPr>
        <w:t>BF/</w:t>
      </w:r>
      <w:r w:rsidRPr="006262EE">
        <w:rPr>
          <w:rFonts w:ascii="Cambria Math" w:eastAsiaTheme="minorEastAsia" w:hAnsi="Cambria Math"/>
          <w:lang w:eastAsia="zh-CN"/>
        </w:rPr>
        <w:t>∂</w:t>
      </w:r>
      <w:r w:rsidRPr="006262EE">
        <w:rPr>
          <w:rFonts w:eastAsiaTheme="minorEastAsia"/>
          <w:lang w:eastAsia="zh-CN"/>
        </w:rPr>
        <w:t>LAI</w:t>
      </w:r>
      <w:r w:rsidRPr="006262EE">
        <w:rPr>
          <w:rFonts w:eastAsiaTheme="minorEastAsia"/>
          <w:vertAlign w:val="subscript"/>
          <w:lang w:eastAsia="zh-CN"/>
        </w:rPr>
        <w:t>live</w:t>
      </w:r>
      <w:r w:rsidRPr="006262EE">
        <w:rPr>
          <w:rFonts w:eastAsiaTheme="minorEastAsia"/>
          <w:lang w:eastAsia="zh-CN"/>
        </w:rPr>
        <w:t xml:space="preserve"> and </w:t>
      </w:r>
      <w:r w:rsidRPr="006262EE">
        <w:rPr>
          <w:rFonts w:ascii="Cambria Math" w:eastAsiaTheme="minorEastAsia" w:hAnsi="Cambria Math"/>
          <w:lang w:eastAsia="zh-CN"/>
        </w:rPr>
        <w:t>∂</w:t>
      </w:r>
      <w:r w:rsidRPr="006262EE">
        <w:rPr>
          <w:rFonts w:eastAsiaTheme="minorEastAsia"/>
          <w:lang w:eastAsia="zh-CN"/>
        </w:rPr>
        <w:t>BF/</w:t>
      </w:r>
      <w:r w:rsidRPr="006262EE">
        <w:rPr>
          <w:rFonts w:ascii="Cambria Math" w:eastAsiaTheme="minorEastAsia" w:hAnsi="Cambria Math"/>
          <w:lang w:eastAsia="zh-CN"/>
        </w:rPr>
        <w:t>∂</w:t>
      </w:r>
      <w:r w:rsidRPr="006262EE">
        <w:rPr>
          <w:rFonts w:eastAsiaTheme="minorEastAsia"/>
          <w:lang w:eastAsia="zh-CN"/>
        </w:rPr>
        <w:t>LAI</w:t>
      </w:r>
      <w:r w:rsidRPr="006262EE">
        <w:rPr>
          <w:rFonts w:eastAsiaTheme="minorEastAsia"/>
          <w:vertAlign w:val="subscript"/>
          <w:lang w:eastAsia="zh-CN"/>
        </w:rPr>
        <w:t>dead</w:t>
      </w:r>
      <w:r w:rsidRPr="006262EE">
        <w:rPr>
          <w:rFonts w:eastAsiaTheme="minorEastAsia"/>
          <w:lang w:eastAsia="zh-CN"/>
        </w:rPr>
        <w:t xml:space="preserve"> at FTPs level.</w:t>
      </w:r>
      <w:r>
        <w:rPr>
          <w:rFonts w:eastAsiaTheme="minorEastAsia"/>
          <w:lang w:eastAsia="zh-CN"/>
        </w:rPr>
        <w:t xml:space="preserve"> The red labels in the four quadrants indicate the percentages of global areas. </w:t>
      </w:r>
      <w:r>
        <w:rPr>
          <w:rFonts w:eastAsiaTheme="minorEastAsia"/>
          <w:b/>
          <w:lang w:eastAsia="zh-CN"/>
        </w:rPr>
        <w:t>b</w:t>
      </w:r>
      <w:r>
        <w:rPr>
          <w:rFonts w:eastAsiaTheme="minorEastAsia"/>
          <w:lang w:eastAsia="zh-CN"/>
        </w:rPr>
        <w:t xml:space="preserve">, Same as </w:t>
      </w:r>
      <w:r>
        <w:rPr>
          <w:rFonts w:eastAsiaTheme="minorEastAsia"/>
          <w:b/>
          <w:lang w:eastAsia="zh-CN"/>
        </w:rPr>
        <w:t>a</w:t>
      </w:r>
      <w:r>
        <w:rPr>
          <w:rFonts w:eastAsiaTheme="minorEastAsia"/>
          <w:lang w:eastAsia="zh-CN"/>
        </w:rPr>
        <w:t xml:space="preserve"> but at biome level. </w:t>
      </w:r>
      <w:r>
        <w:rPr>
          <w:rFonts w:eastAsiaTheme="minorEastAsia"/>
          <w:b/>
          <w:lang w:eastAsia="zh-CN"/>
        </w:rPr>
        <w:t>c</w:t>
      </w:r>
      <w:r w:rsidRPr="006262EE">
        <w:rPr>
          <w:rFonts w:eastAsiaTheme="minorEastAsia"/>
          <w:b/>
          <w:lang w:eastAsia="zh-CN"/>
        </w:rPr>
        <w:t>-</w:t>
      </w:r>
      <w:r>
        <w:rPr>
          <w:rFonts w:eastAsiaTheme="minorEastAsia"/>
          <w:b/>
          <w:lang w:eastAsia="zh-CN"/>
        </w:rPr>
        <w:t>d</w:t>
      </w:r>
      <w:r>
        <w:rPr>
          <w:rFonts w:eastAsiaTheme="minorEastAsia"/>
          <w:lang w:eastAsia="zh-CN"/>
        </w:rPr>
        <w:t xml:space="preserve">, </w:t>
      </w:r>
      <w:r w:rsidRPr="00870764">
        <w:rPr>
          <w:bCs/>
        </w:rPr>
        <w:t xml:space="preserve">Significant differences of </w:t>
      </w:r>
      <w:r w:rsidRPr="00870764">
        <w:rPr>
          <w:rFonts w:ascii="Cambria Math" w:eastAsia="Microsoft YaHei" w:hAnsi="Cambria Math"/>
          <w:bCs/>
        </w:rPr>
        <w:t>∂</w:t>
      </w:r>
      <w:r w:rsidRPr="00870764">
        <w:rPr>
          <w:rFonts w:eastAsia="Microsoft YaHei"/>
          <w:bCs/>
        </w:rPr>
        <w:t>BF/</w:t>
      </w:r>
      <w:r w:rsidRPr="00870764">
        <w:rPr>
          <w:rFonts w:ascii="Cambria Math" w:eastAsia="Microsoft YaHei" w:hAnsi="Cambria Math"/>
          <w:bCs/>
        </w:rPr>
        <w:t>∂</w:t>
      </w:r>
      <w:r w:rsidRPr="00870764">
        <w:rPr>
          <w:rFonts w:eastAsia="Microsoft YaHei"/>
          <w:bCs/>
        </w:rPr>
        <w:t>LAI</w:t>
      </w:r>
      <w:r w:rsidRPr="00870764">
        <w:rPr>
          <w:rFonts w:eastAsia="Microsoft YaHei"/>
          <w:bCs/>
          <w:vertAlign w:val="subscript"/>
        </w:rPr>
        <w:t>dead</w:t>
      </w:r>
      <w:r w:rsidRPr="00870764">
        <w:rPr>
          <w:bCs/>
        </w:rPr>
        <w:t xml:space="preserve"> (</w:t>
      </w:r>
      <w:r>
        <w:rPr>
          <w:b/>
          <w:bCs/>
        </w:rPr>
        <w:t>c</w:t>
      </w:r>
      <w:r w:rsidRPr="00870764">
        <w:rPr>
          <w:bCs/>
        </w:rPr>
        <w:t xml:space="preserve">) and </w:t>
      </w:r>
      <w:r w:rsidRPr="00870764">
        <w:rPr>
          <w:rFonts w:ascii="Cambria Math" w:eastAsia="Microsoft YaHei" w:hAnsi="Cambria Math"/>
          <w:bCs/>
        </w:rPr>
        <w:t>∂</w:t>
      </w:r>
      <w:r w:rsidRPr="00870764">
        <w:rPr>
          <w:rFonts w:eastAsia="Microsoft YaHei"/>
          <w:bCs/>
        </w:rPr>
        <w:t>BF/</w:t>
      </w:r>
      <w:r w:rsidRPr="00870764">
        <w:rPr>
          <w:rFonts w:ascii="Cambria Math" w:eastAsia="Microsoft YaHei" w:hAnsi="Cambria Math"/>
          <w:bCs/>
        </w:rPr>
        <w:t>∂</w:t>
      </w:r>
      <w:r w:rsidRPr="00870764">
        <w:rPr>
          <w:rFonts w:eastAsia="Microsoft YaHei"/>
          <w:bCs/>
        </w:rPr>
        <w:t>LAI</w:t>
      </w:r>
      <w:r w:rsidRPr="00870764">
        <w:rPr>
          <w:rFonts w:eastAsia="Microsoft YaHei"/>
          <w:bCs/>
          <w:vertAlign w:val="subscript"/>
        </w:rPr>
        <w:t>live</w:t>
      </w:r>
      <w:r w:rsidRPr="00870764">
        <w:rPr>
          <w:bCs/>
        </w:rPr>
        <w:t xml:space="preserve"> (</w:t>
      </w:r>
      <w:r>
        <w:rPr>
          <w:b/>
          <w:bCs/>
        </w:rPr>
        <w:t>d</w:t>
      </w:r>
      <w:r w:rsidRPr="00870764">
        <w:rPr>
          <w:bCs/>
        </w:rPr>
        <w:t>) between forest</w:t>
      </w:r>
      <w:r>
        <w:rPr>
          <w:bCs/>
        </w:rPr>
        <w:t xml:space="preserve"> (green)</w:t>
      </w:r>
      <w:r w:rsidRPr="00870764">
        <w:rPr>
          <w:bCs/>
        </w:rPr>
        <w:t xml:space="preserve"> and non-forest</w:t>
      </w:r>
      <w:r>
        <w:rPr>
          <w:bCs/>
        </w:rPr>
        <w:t xml:space="preserve"> (orange)</w:t>
      </w:r>
      <w:r w:rsidRPr="00870764">
        <w:rPr>
          <w:bCs/>
        </w:rPr>
        <w:t>.</w:t>
      </w:r>
      <w:r>
        <w:t xml:space="preserve"> </w:t>
      </w:r>
      <w:r w:rsidRPr="00276A7A">
        <w:rPr>
          <w:rFonts w:ascii="Cambria Math" w:hAnsi="Cambria Math"/>
        </w:rPr>
        <w:t>***</w:t>
      </w:r>
      <w:r>
        <w:t xml:space="preserve"> indicates a significantly different sensitivity between forest and non-forest by a two-sided Mann–Whitney U test at </w:t>
      </w:r>
      <w:r w:rsidRPr="00276A7A">
        <w:rPr>
          <w:i/>
          <w:iCs/>
        </w:rPr>
        <w:t>p</w:t>
      </w:r>
      <w:r w:rsidRPr="00EF3770">
        <w:rPr>
          <w:iCs/>
        </w:rPr>
        <w:t>-value</w:t>
      </w:r>
      <w:r>
        <w:t xml:space="preserve"> &lt; 0.01. Plant functional types are shown in </w:t>
      </w:r>
      <w:r w:rsidRPr="00B33355">
        <w:rPr>
          <w:color w:val="0000FF"/>
          <w:lang w:eastAsia="zh-CN"/>
        </w:rPr>
        <w:t>Fig. S</w:t>
      </w:r>
      <w:r>
        <w:rPr>
          <w:color w:val="0000FF"/>
          <w:lang w:eastAsia="zh-CN"/>
        </w:rPr>
        <w:t>18</w:t>
      </w:r>
      <w:r>
        <w:t xml:space="preserve"> and biomes are shown in </w:t>
      </w:r>
      <w:r w:rsidRPr="006262EE">
        <w:rPr>
          <w:color w:val="0000FF"/>
        </w:rPr>
        <w:t>Fig. S</w:t>
      </w:r>
      <w:r>
        <w:rPr>
          <w:color w:val="0000FF"/>
        </w:rPr>
        <w:t>19</w:t>
      </w:r>
      <w:r>
        <w:t>.</w:t>
      </w:r>
    </w:p>
    <w:p w14:paraId="24531059" w14:textId="77777777" w:rsidR="00370874" w:rsidRDefault="00370874" w:rsidP="00370874">
      <w:pPr>
        <w:pStyle w:val="SOMContent"/>
        <w:spacing w:after="120" w:line="360" w:lineRule="exact"/>
        <w:jc w:val="both"/>
        <w:rPr>
          <w:rFonts w:eastAsiaTheme="minorEastAsia"/>
          <w:b/>
          <w:lang w:eastAsia="zh-CN"/>
        </w:rPr>
      </w:pPr>
    </w:p>
    <w:p w14:paraId="21A6E7F9" w14:textId="77777777" w:rsidR="00370874" w:rsidRDefault="00370874" w:rsidP="00370874">
      <w:pPr>
        <w:pStyle w:val="SOMContent"/>
        <w:spacing w:after="120" w:line="360" w:lineRule="exact"/>
        <w:jc w:val="both"/>
        <w:rPr>
          <w:rFonts w:eastAsiaTheme="minorEastAsia"/>
          <w:b/>
          <w:lang w:eastAsia="zh-CN"/>
        </w:rPr>
        <w:sectPr w:rsidR="00370874" w:rsidSect="00370874">
          <w:pgSz w:w="12240" w:h="15840" w:code="1"/>
          <w:pgMar w:top="1298" w:right="1440" w:bottom="1298" w:left="1440" w:header="431" w:footer="720" w:gutter="0"/>
          <w:lnNumType w:countBy="1" w:distance="720" w:restart="continuous"/>
          <w:cols w:space="720"/>
          <w:docGrid w:linePitch="360"/>
        </w:sectPr>
      </w:pPr>
    </w:p>
    <w:p w14:paraId="1B1DF36E" w14:textId="77777777" w:rsidR="00370874" w:rsidRDefault="00370874" w:rsidP="00370874">
      <w:pPr>
        <w:pStyle w:val="SOMContent"/>
        <w:spacing w:after="120" w:line="360" w:lineRule="auto"/>
        <w:jc w:val="center"/>
        <w:rPr>
          <w:rFonts w:eastAsiaTheme="minorEastAsia"/>
          <w:b/>
          <w:lang w:eastAsia="zh-CN"/>
        </w:rPr>
      </w:pPr>
      <w:r>
        <w:rPr>
          <w:rFonts w:eastAsiaTheme="minorEastAsia"/>
          <w:b/>
          <w:noProof/>
          <w:lang w:eastAsia="zh-CN"/>
        </w:rPr>
        <w:lastRenderedPageBreak/>
        <w:drawing>
          <wp:inline distT="0" distB="0" distL="0" distR="0" wp14:anchorId="2BE25EAF" wp14:editId="0822236E">
            <wp:extent cx="5010624" cy="2743200"/>
            <wp:effectExtent l="0" t="0" r="0" b="0"/>
            <wp:docPr id="21" name="图片 21" descr="A graph of different types of tre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A graph of different types of trees&#10;&#10;Description automatically generated with medium confidence"/>
                    <pic:cNvPicPr/>
                  </pic:nvPicPr>
                  <pic:blipFill>
                    <a:blip r:embed="rId8"/>
                    <a:stretch>
                      <a:fillRect/>
                    </a:stretch>
                  </pic:blipFill>
                  <pic:spPr>
                    <a:xfrm>
                      <a:off x="0" y="0"/>
                      <a:ext cx="5020866" cy="2748807"/>
                    </a:xfrm>
                    <a:prstGeom prst="rect">
                      <a:avLst/>
                    </a:prstGeom>
                  </pic:spPr>
                </pic:pic>
              </a:graphicData>
            </a:graphic>
          </wp:inline>
        </w:drawing>
      </w:r>
    </w:p>
    <w:p w14:paraId="671090BC" w14:textId="77777777" w:rsidR="00370874" w:rsidRDefault="00370874" w:rsidP="00370874">
      <w:pPr>
        <w:pStyle w:val="SOMContent"/>
        <w:spacing w:after="120" w:line="360" w:lineRule="exact"/>
        <w:jc w:val="both"/>
      </w:pPr>
      <w:r w:rsidRPr="00A70C97">
        <w:rPr>
          <w:rFonts w:eastAsiaTheme="minorEastAsia" w:hint="eastAsia"/>
          <w:b/>
          <w:lang w:eastAsia="zh-CN"/>
        </w:rPr>
        <w:t>E</w:t>
      </w:r>
      <w:r w:rsidRPr="00A70C97">
        <w:rPr>
          <w:rFonts w:eastAsiaTheme="minorEastAsia"/>
          <w:b/>
          <w:lang w:eastAsia="zh-CN"/>
        </w:rPr>
        <w:t xml:space="preserve">xtended Data Fig. </w:t>
      </w:r>
      <w:r>
        <w:rPr>
          <w:rFonts w:eastAsiaTheme="minorEastAsia"/>
          <w:b/>
          <w:lang w:eastAsia="zh-CN"/>
        </w:rPr>
        <w:t>5</w:t>
      </w:r>
      <w:r w:rsidRPr="00A70C97">
        <w:rPr>
          <w:rFonts w:eastAsiaTheme="minorEastAsia"/>
          <w:b/>
          <w:lang w:eastAsia="zh-CN"/>
        </w:rPr>
        <w:t xml:space="preserve"> |</w:t>
      </w:r>
      <w:r>
        <w:rPr>
          <w:b/>
          <w:bCs/>
        </w:rPr>
        <w:t xml:space="preserve"> Water availability and vegetation growth regulate </w:t>
      </w:r>
      <w:r w:rsidRPr="00BE5302">
        <w:rPr>
          <w:rFonts w:ascii="Cambria Math" w:eastAsia="Microsoft YaHei" w:hAnsi="Cambria Math"/>
          <w:b/>
          <w:bCs/>
        </w:rPr>
        <w:t>∂</w:t>
      </w:r>
      <w:r w:rsidRPr="00BE5302">
        <w:rPr>
          <w:rFonts w:eastAsia="Microsoft YaHei"/>
          <w:b/>
          <w:bCs/>
        </w:rPr>
        <w:t>BF/</w:t>
      </w:r>
      <w:r w:rsidRPr="00BE5302">
        <w:rPr>
          <w:rFonts w:ascii="Cambria Math" w:eastAsia="Microsoft YaHei" w:hAnsi="Cambria Math"/>
          <w:b/>
          <w:bCs/>
        </w:rPr>
        <w:t>∂</w:t>
      </w:r>
      <w:r w:rsidRPr="00BE5302">
        <w:rPr>
          <w:rFonts w:eastAsia="Microsoft YaHei"/>
          <w:b/>
          <w:bCs/>
        </w:rPr>
        <w:t>LAI</w:t>
      </w:r>
      <w:r>
        <w:rPr>
          <w:rFonts w:eastAsia="Microsoft YaHei"/>
          <w:b/>
          <w:bCs/>
          <w:vertAlign w:val="subscript"/>
        </w:rPr>
        <w:t>dead</w:t>
      </w:r>
      <w:r>
        <w:rPr>
          <w:b/>
          <w:bCs/>
        </w:rPr>
        <w:t xml:space="preserve">. </w:t>
      </w:r>
      <w:r w:rsidRPr="00135D95">
        <w:rPr>
          <w:bCs/>
        </w:rPr>
        <w:t xml:space="preserve">Same as </w:t>
      </w:r>
      <w:r w:rsidRPr="00135D95">
        <w:rPr>
          <w:bCs/>
          <w:color w:val="0000FF"/>
        </w:rPr>
        <w:t>Fig. 3</w:t>
      </w:r>
      <w:r>
        <w:rPr>
          <w:bCs/>
          <w:color w:val="0000FF"/>
        </w:rPr>
        <w:t>a</w:t>
      </w:r>
      <w:r w:rsidRPr="00135D95">
        <w:rPr>
          <w:bCs/>
          <w:color w:val="0000FF"/>
        </w:rPr>
        <w:t>-</w:t>
      </w:r>
      <w:r>
        <w:rPr>
          <w:bCs/>
          <w:color w:val="0000FF"/>
        </w:rPr>
        <w:t>b</w:t>
      </w:r>
      <w:r w:rsidRPr="00135D95">
        <w:rPr>
          <w:bCs/>
        </w:rPr>
        <w:t xml:space="preserve">, but for the </w:t>
      </w:r>
      <w:r w:rsidRPr="00C27861">
        <w:t xml:space="preserve">PFT-scale relationships between </w:t>
      </w:r>
      <w:r w:rsidRPr="00C57A13">
        <w:rPr>
          <w:rFonts w:ascii="Cambria Math" w:eastAsia="Microsoft YaHei" w:hAnsi="Cambria Math"/>
        </w:rPr>
        <w:t>∂</w:t>
      </w:r>
      <w:r w:rsidRPr="00C57A13">
        <w:rPr>
          <w:rFonts w:eastAsia="Microsoft YaHei"/>
        </w:rPr>
        <w:t>BF/</w:t>
      </w:r>
      <w:r w:rsidRPr="00C57A13">
        <w:rPr>
          <w:rFonts w:ascii="Cambria Math" w:eastAsia="Microsoft YaHei" w:hAnsi="Cambria Math"/>
        </w:rPr>
        <w:t>∂</w:t>
      </w:r>
      <w:r w:rsidRPr="00C57A13">
        <w:rPr>
          <w:rFonts w:eastAsia="Microsoft YaHei"/>
        </w:rPr>
        <w:t>LAI</w:t>
      </w:r>
      <w:r w:rsidRPr="00C57A13">
        <w:rPr>
          <w:rFonts w:eastAsia="Microsoft YaHei"/>
          <w:vertAlign w:val="subscript"/>
        </w:rPr>
        <w:t>dead</w:t>
      </w:r>
      <w:r w:rsidRPr="004879AD">
        <w:t xml:space="preserve"> </w:t>
      </w:r>
      <w:r>
        <w:t>and relative humidity (</w:t>
      </w:r>
      <w:r>
        <w:rPr>
          <w:b/>
          <w:bCs/>
        </w:rPr>
        <w:t>a</w:t>
      </w:r>
      <w:r>
        <w:t>) and tree cover (</w:t>
      </w:r>
      <w:r>
        <w:rPr>
          <w:b/>
          <w:bCs/>
        </w:rPr>
        <w:t>b</w:t>
      </w:r>
      <w:r>
        <w:t>)</w:t>
      </w:r>
      <w:r w:rsidRPr="00C57A13">
        <w:t>.</w:t>
      </w:r>
      <w:r>
        <w:t xml:space="preserve"> The relationship is fitted by natural logarithmic function. The points relate ensemble means of median sensitivities with median values of factors for each PFT. The error bars indicate spatial standard deviation of factors (</w:t>
      </w:r>
      <w:r w:rsidRPr="003F6D4C">
        <w:t>horizontal</w:t>
      </w:r>
      <w:r>
        <w:t>) and standard error of sensitivities across products (vertical). The shaded area indicates the 95% confidence interval of fitted line.</w:t>
      </w:r>
    </w:p>
    <w:p w14:paraId="018D6AF8" w14:textId="77777777" w:rsidR="00370874" w:rsidRDefault="00370874" w:rsidP="00370874">
      <w:pPr>
        <w:pStyle w:val="SOMContent"/>
        <w:spacing w:after="120" w:line="360" w:lineRule="exact"/>
        <w:jc w:val="both"/>
        <w:rPr>
          <w:rFonts w:eastAsiaTheme="minorEastAsia"/>
          <w:b/>
          <w:lang w:eastAsia="zh-CN"/>
        </w:rPr>
      </w:pPr>
    </w:p>
    <w:p w14:paraId="294D6A70" w14:textId="77777777" w:rsidR="00370874" w:rsidRDefault="00370874" w:rsidP="00370874">
      <w:pPr>
        <w:pStyle w:val="SOMContent"/>
        <w:spacing w:after="120" w:line="360" w:lineRule="exact"/>
        <w:jc w:val="both"/>
        <w:rPr>
          <w:rFonts w:eastAsiaTheme="minorEastAsia"/>
          <w:b/>
          <w:lang w:eastAsia="zh-CN"/>
        </w:rPr>
        <w:sectPr w:rsidR="00370874" w:rsidSect="00370874">
          <w:pgSz w:w="12240" w:h="15840" w:code="1"/>
          <w:pgMar w:top="1298" w:right="1440" w:bottom="1298" w:left="1440" w:header="431" w:footer="720" w:gutter="0"/>
          <w:lnNumType w:countBy="1" w:distance="720" w:restart="continuous"/>
          <w:cols w:space="720"/>
          <w:docGrid w:linePitch="360"/>
        </w:sectPr>
      </w:pPr>
    </w:p>
    <w:p w14:paraId="19F902F6" w14:textId="77777777" w:rsidR="00370874" w:rsidRDefault="00370874" w:rsidP="00370874">
      <w:pPr>
        <w:pStyle w:val="SOMContent"/>
        <w:spacing w:after="120" w:line="360" w:lineRule="auto"/>
        <w:jc w:val="center"/>
        <w:rPr>
          <w:rFonts w:eastAsiaTheme="minorEastAsia"/>
          <w:b/>
          <w:lang w:eastAsia="zh-CN"/>
        </w:rPr>
      </w:pPr>
      <w:r>
        <w:rPr>
          <w:rFonts w:eastAsiaTheme="minorEastAsia"/>
          <w:b/>
          <w:noProof/>
          <w:lang w:eastAsia="zh-CN"/>
        </w:rPr>
        <w:lastRenderedPageBreak/>
        <w:drawing>
          <wp:inline distT="0" distB="0" distL="0" distR="0" wp14:anchorId="76A21E75" wp14:editId="20B5D6C7">
            <wp:extent cx="5395200" cy="4329600"/>
            <wp:effectExtent l="0" t="0" r="0" b="0"/>
            <wp:docPr id="22" name="图片 22"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A collage of graphs and diagrams&#10;&#10;Description automatically generated"/>
                    <pic:cNvPicPr/>
                  </pic:nvPicPr>
                  <pic:blipFill>
                    <a:blip r:embed="rId9"/>
                    <a:stretch>
                      <a:fillRect/>
                    </a:stretch>
                  </pic:blipFill>
                  <pic:spPr>
                    <a:xfrm>
                      <a:off x="0" y="0"/>
                      <a:ext cx="5395200" cy="4329600"/>
                    </a:xfrm>
                    <a:prstGeom prst="rect">
                      <a:avLst/>
                    </a:prstGeom>
                  </pic:spPr>
                </pic:pic>
              </a:graphicData>
            </a:graphic>
          </wp:inline>
        </w:drawing>
      </w:r>
    </w:p>
    <w:p w14:paraId="00F36629" w14:textId="77777777" w:rsidR="00370874" w:rsidRDefault="00370874" w:rsidP="00370874">
      <w:pPr>
        <w:pStyle w:val="SOMContent"/>
        <w:spacing w:after="120" w:line="360" w:lineRule="exact"/>
        <w:jc w:val="both"/>
      </w:pPr>
      <w:r w:rsidRPr="00A70C97">
        <w:rPr>
          <w:rFonts w:eastAsiaTheme="minorEastAsia" w:hint="eastAsia"/>
          <w:b/>
          <w:lang w:eastAsia="zh-CN"/>
        </w:rPr>
        <w:t>E</w:t>
      </w:r>
      <w:r w:rsidRPr="00A70C97">
        <w:rPr>
          <w:rFonts w:eastAsiaTheme="minorEastAsia"/>
          <w:b/>
          <w:lang w:eastAsia="zh-CN"/>
        </w:rPr>
        <w:t xml:space="preserve">xtended Data Fig. </w:t>
      </w:r>
      <w:r>
        <w:rPr>
          <w:rFonts w:eastAsiaTheme="minorEastAsia"/>
          <w:b/>
          <w:lang w:eastAsia="zh-CN"/>
        </w:rPr>
        <w:t>6</w:t>
      </w:r>
      <w:r w:rsidRPr="00A70C97">
        <w:rPr>
          <w:rFonts w:eastAsiaTheme="minorEastAsia"/>
          <w:b/>
          <w:lang w:eastAsia="zh-CN"/>
        </w:rPr>
        <w:t xml:space="preserve"> |</w:t>
      </w:r>
      <w:r w:rsidRPr="00320BF3">
        <w:rPr>
          <w:b/>
        </w:rPr>
        <w:t xml:space="preserve"> </w:t>
      </w:r>
      <w:r>
        <w:rPr>
          <w:b/>
        </w:rPr>
        <w:t xml:space="preserve">Same as </w:t>
      </w:r>
      <w:r w:rsidRPr="00135D95">
        <w:rPr>
          <w:b/>
          <w:color w:val="0000FF"/>
        </w:rPr>
        <w:t>Fig. 3</w:t>
      </w:r>
      <w:r>
        <w:rPr>
          <w:b/>
          <w:color w:val="0000FF"/>
        </w:rPr>
        <w:t>c</w:t>
      </w:r>
      <w:r w:rsidRPr="00135D95">
        <w:rPr>
          <w:b/>
          <w:color w:val="0000FF"/>
        </w:rPr>
        <w:t>-</w:t>
      </w:r>
      <w:r>
        <w:rPr>
          <w:b/>
          <w:color w:val="0000FF"/>
        </w:rPr>
        <w:t>f</w:t>
      </w:r>
      <w:r>
        <w:rPr>
          <w:b/>
        </w:rPr>
        <w:t xml:space="preserve"> but for t</w:t>
      </w:r>
      <w:r w:rsidRPr="00320BF3">
        <w:rPr>
          <w:b/>
        </w:rPr>
        <w:t xml:space="preserve">he thresholds of </w:t>
      </w:r>
      <w:r>
        <w:rPr>
          <w:b/>
        </w:rPr>
        <w:t xml:space="preserve">relative humidity (RH) </w:t>
      </w:r>
      <w:r w:rsidRPr="00320BF3">
        <w:rPr>
          <w:b/>
        </w:rPr>
        <w:t>and</w:t>
      </w:r>
      <w:r>
        <w:rPr>
          <w:b/>
        </w:rPr>
        <w:t xml:space="preserve"> tree cover</w:t>
      </w:r>
      <w:r w:rsidRPr="00320BF3">
        <w:rPr>
          <w:b/>
        </w:rPr>
        <w:t xml:space="preserve"> regulate the spatial variability of </w:t>
      </w:r>
      <w:r w:rsidRPr="00320BF3">
        <w:rPr>
          <w:rFonts w:ascii="Cambria Math" w:hAnsi="Cambria Math"/>
          <w:b/>
        </w:rPr>
        <w:t>∂</w:t>
      </w:r>
      <w:r w:rsidRPr="00320BF3">
        <w:rPr>
          <w:b/>
        </w:rPr>
        <w:t>BF/</w:t>
      </w:r>
      <w:r w:rsidRPr="00320BF3">
        <w:rPr>
          <w:rFonts w:ascii="Cambria Math" w:hAnsi="Cambria Math"/>
          <w:b/>
        </w:rPr>
        <w:t>∂</w:t>
      </w:r>
      <w:r w:rsidRPr="00320BF3">
        <w:rPr>
          <w:b/>
        </w:rPr>
        <w:t>LAI</w:t>
      </w:r>
      <w:r w:rsidRPr="00320BF3">
        <w:rPr>
          <w:b/>
          <w:vertAlign w:val="subscript"/>
        </w:rPr>
        <w:t>live</w:t>
      </w:r>
      <w:r w:rsidRPr="00320BF3">
        <w:rPr>
          <w:b/>
        </w:rPr>
        <w:t>.</w:t>
      </w:r>
      <w:r>
        <w:t xml:space="preserve"> </w:t>
      </w:r>
      <w:r>
        <w:rPr>
          <w:b/>
          <w:bCs/>
        </w:rPr>
        <w:t>a</w:t>
      </w:r>
      <w:r w:rsidRPr="004707FB">
        <w:t xml:space="preserve">, </w:t>
      </w:r>
      <w:r>
        <w:t xml:space="preserve">PFT-scale relationship between RH and </w:t>
      </w:r>
      <w:r w:rsidRPr="004707FB">
        <w:rPr>
          <w:rFonts w:ascii="Cambria Math" w:eastAsia="Microsoft YaHei" w:hAnsi="Cambria Math"/>
        </w:rPr>
        <w:t>∂</w:t>
      </w:r>
      <w:r w:rsidRPr="004707FB">
        <w:rPr>
          <w:rFonts w:eastAsia="Microsoft YaHei"/>
        </w:rPr>
        <w:t>BF/</w:t>
      </w:r>
      <w:r w:rsidRPr="004707FB">
        <w:rPr>
          <w:rFonts w:ascii="Cambria Math" w:eastAsia="Microsoft YaHei" w:hAnsi="Cambria Math"/>
        </w:rPr>
        <w:t>∂</w:t>
      </w:r>
      <w:r w:rsidRPr="004707FB">
        <w:rPr>
          <w:rFonts w:eastAsia="Microsoft YaHei"/>
        </w:rPr>
        <w:t>LAI</w:t>
      </w:r>
      <w:r w:rsidRPr="004707FB">
        <w:rPr>
          <w:rFonts w:eastAsia="Microsoft YaHei"/>
          <w:vertAlign w:val="subscript"/>
        </w:rPr>
        <w:t>live</w:t>
      </w:r>
      <w:r>
        <w:t xml:space="preserve">. The relationship is fitted by natural logarithmic function. </w:t>
      </w:r>
      <w:r>
        <w:rPr>
          <w:b/>
          <w:bCs/>
        </w:rPr>
        <w:t>b</w:t>
      </w:r>
      <w:r>
        <w:t xml:space="preserve">, The threshold of RH partitions positive and negative </w:t>
      </w:r>
      <w:r w:rsidRPr="004707FB">
        <w:rPr>
          <w:rFonts w:ascii="Cambria Math" w:eastAsia="Microsoft YaHei" w:hAnsi="Cambria Math"/>
        </w:rPr>
        <w:t>∂</w:t>
      </w:r>
      <w:r w:rsidRPr="004707FB">
        <w:rPr>
          <w:rFonts w:eastAsia="Microsoft YaHei"/>
        </w:rPr>
        <w:t>BF/</w:t>
      </w:r>
      <w:r w:rsidRPr="004707FB">
        <w:rPr>
          <w:rFonts w:ascii="Cambria Math" w:eastAsia="Microsoft YaHei" w:hAnsi="Cambria Math"/>
        </w:rPr>
        <w:t>∂</w:t>
      </w:r>
      <w:r w:rsidRPr="004707FB">
        <w:rPr>
          <w:rFonts w:eastAsia="Microsoft YaHei"/>
        </w:rPr>
        <w:t>LAI</w:t>
      </w:r>
      <w:r w:rsidRPr="004707FB">
        <w:rPr>
          <w:rFonts w:eastAsia="Microsoft YaHei"/>
          <w:vertAlign w:val="subscript"/>
        </w:rPr>
        <w:t>live</w:t>
      </w:r>
      <w:r>
        <w:t>. The fractions of positive (red) and negative (blue) sensitivity in each RH bin (50 bins) are shown. The thresholds of tree cover (</w:t>
      </w:r>
      <w:r>
        <w:rPr>
          <w:b/>
          <w:bCs/>
        </w:rPr>
        <w:t>c and d</w:t>
      </w:r>
      <w:r>
        <w:t xml:space="preserve">) also regulate the spatial variability of </w:t>
      </w:r>
      <w:r w:rsidRPr="004707FB">
        <w:rPr>
          <w:rFonts w:ascii="Cambria Math" w:eastAsia="Microsoft YaHei" w:hAnsi="Cambria Math"/>
        </w:rPr>
        <w:t>∂</w:t>
      </w:r>
      <w:r w:rsidRPr="004707FB">
        <w:rPr>
          <w:rFonts w:eastAsia="Microsoft YaHei"/>
        </w:rPr>
        <w:t>BF/</w:t>
      </w:r>
      <w:r w:rsidRPr="004707FB">
        <w:rPr>
          <w:rFonts w:ascii="Cambria Math" w:eastAsia="Microsoft YaHei" w:hAnsi="Cambria Math"/>
        </w:rPr>
        <w:t>∂</w:t>
      </w:r>
      <w:r w:rsidRPr="004707FB">
        <w:rPr>
          <w:rFonts w:eastAsia="Microsoft YaHei"/>
        </w:rPr>
        <w:t>LAI</w:t>
      </w:r>
      <w:r w:rsidRPr="004707FB">
        <w:rPr>
          <w:rFonts w:eastAsia="Microsoft YaHei"/>
          <w:vertAlign w:val="subscript"/>
        </w:rPr>
        <w:t>live</w:t>
      </w:r>
      <w:r>
        <w:t>.</w:t>
      </w:r>
    </w:p>
    <w:p w14:paraId="14A2D301" w14:textId="77777777" w:rsidR="00370874" w:rsidRDefault="00370874" w:rsidP="00370874">
      <w:pPr>
        <w:pStyle w:val="SOMContent"/>
        <w:spacing w:after="120" w:line="360" w:lineRule="exact"/>
        <w:jc w:val="both"/>
        <w:rPr>
          <w:rFonts w:eastAsiaTheme="minorEastAsia"/>
          <w:b/>
          <w:lang w:eastAsia="zh-CN"/>
        </w:rPr>
      </w:pPr>
    </w:p>
    <w:p w14:paraId="45858D9E" w14:textId="77777777" w:rsidR="00370874" w:rsidRPr="00A70C97" w:rsidRDefault="00370874" w:rsidP="00370874">
      <w:pPr>
        <w:pStyle w:val="SOMContent"/>
        <w:spacing w:after="120" w:line="360" w:lineRule="exact"/>
        <w:jc w:val="both"/>
        <w:rPr>
          <w:rFonts w:eastAsiaTheme="minorEastAsia"/>
          <w:b/>
          <w:lang w:eastAsia="zh-CN"/>
        </w:rPr>
      </w:pPr>
    </w:p>
    <w:p w14:paraId="7BF75338" w14:textId="77777777" w:rsidR="00755780" w:rsidRDefault="00755780"/>
    <w:sectPr w:rsidR="00755780" w:rsidSect="00370874">
      <w:pgSz w:w="12240" w:h="15840" w:code="1"/>
      <w:pgMar w:top="1298" w:right="1440" w:bottom="1298" w:left="1440" w:header="431" w:footer="720" w:gutter="0"/>
      <w:lnNumType w:countBy="1" w:distance="720"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874"/>
    <w:rsid w:val="000A57E4"/>
    <w:rsid w:val="00331A6B"/>
    <w:rsid w:val="00370874"/>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348B5"/>
  <w15:chartTrackingRefBased/>
  <w15:docId w15:val="{7E0F38C2-1D00-45E7-9CAE-5CA54C59C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08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08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08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08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08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08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08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08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08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08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08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08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08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08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08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08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08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0874"/>
    <w:rPr>
      <w:rFonts w:eastAsiaTheme="majorEastAsia" w:cstheme="majorBidi"/>
      <w:color w:val="272727" w:themeColor="text1" w:themeTint="D8"/>
    </w:rPr>
  </w:style>
  <w:style w:type="paragraph" w:styleId="Title">
    <w:name w:val="Title"/>
    <w:basedOn w:val="Normal"/>
    <w:next w:val="Normal"/>
    <w:link w:val="TitleChar"/>
    <w:uiPriority w:val="10"/>
    <w:qFormat/>
    <w:rsid w:val="003708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08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08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08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0874"/>
    <w:pPr>
      <w:spacing w:before="160"/>
      <w:jc w:val="center"/>
    </w:pPr>
    <w:rPr>
      <w:i/>
      <w:iCs/>
      <w:color w:val="404040" w:themeColor="text1" w:themeTint="BF"/>
    </w:rPr>
  </w:style>
  <w:style w:type="character" w:customStyle="1" w:styleId="QuoteChar">
    <w:name w:val="Quote Char"/>
    <w:basedOn w:val="DefaultParagraphFont"/>
    <w:link w:val="Quote"/>
    <w:uiPriority w:val="29"/>
    <w:rsid w:val="00370874"/>
    <w:rPr>
      <w:i/>
      <w:iCs/>
      <w:color w:val="404040" w:themeColor="text1" w:themeTint="BF"/>
    </w:rPr>
  </w:style>
  <w:style w:type="paragraph" w:styleId="ListParagraph">
    <w:name w:val="List Paragraph"/>
    <w:basedOn w:val="Normal"/>
    <w:uiPriority w:val="34"/>
    <w:qFormat/>
    <w:rsid w:val="00370874"/>
    <w:pPr>
      <w:ind w:left="720"/>
      <w:contextualSpacing/>
    </w:pPr>
  </w:style>
  <w:style w:type="character" w:styleId="IntenseEmphasis">
    <w:name w:val="Intense Emphasis"/>
    <w:basedOn w:val="DefaultParagraphFont"/>
    <w:uiPriority w:val="21"/>
    <w:qFormat/>
    <w:rsid w:val="00370874"/>
    <w:rPr>
      <w:i/>
      <w:iCs/>
      <w:color w:val="0F4761" w:themeColor="accent1" w:themeShade="BF"/>
    </w:rPr>
  </w:style>
  <w:style w:type="paragraph" w:styleId="IntenseQuote">
    <w:name w:val="Intense Quote"/>
    <w:basedOn w:val="Normal"/>
    <w:next w:val="Normal"/>
    <w:link w:val="IntenseQuoteChar"/>
    <w:uiPriority w:val="30"/>
    <w:qFormat/>
    <w:rsid w:val="003708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0874"/>
    <w:rPr>
      <w:i/>
      <w:iCs/>
      <w:color w:val="0F4761" w:themeColor="accent1" w:themeShade="BF"/>
    </w:rPr>
  </w:style>
  <w:style w:type="character" w:styleId="IntenseReference">
    <w:name w:val="Intense Reference"/>
    <w:basedOn w:val="DefaultParagraphFont"/>
    <w:uiPriority w:val="32"/>
    <w:qFormat/>
    <w:rsid w:val="00370874"/>
    <w:rPr>
      <w:b/>
      <w:bCs/>
      <w:smallCaps/>
      <w:color w:val="0F4761" w:themeColor="accent1" w:themeShade="BF"/>
      <w:spacing w:val="5"/>
    </w:rPr>
  </w:style>
  <w:style w:type="paragraph" w:customStyle="1" w:styleId="SOMContent">
    <w:name w:val="SOMContent"/>
    <w:basedOn w:val="Normal"/>
    <w:rsid w:val="00370874"/>
    <w:pPr>
      <w:spacing w:before="120" w:after="0" w:line="240" w:lineRule="auto"/>
    </w:pPr>
    <w:rPr>
      <w:rFonts w:ascii="Times New Roman" w:eastAsia="Times New Roman" w:hAnsi="Times New Roman" w:cs="Times New Roman"/>
      <w:kern w:val="0"/>
      <w:sz w:val="24"/>
      <w:szCs w:val="24"/>
      <w14:ligatures w14:val="none"/>
    </w:rPr>
  </w:style>
  <w:style w:type="character" w:styleId="LineNumber">
    <w:name w:val="line number"/>
    <w:basedOn w:val="DefaultParagraphFont"/>
    <w:uiPriority w:val="99"/>
    <w:semiHidden/>
    <w:unhideWhenUsed/>
    <w:rsid w:val="003708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542</Words>
  <Characters>3095</Characters>
  <Application>Microsoft Office Word</Application>
  <DocSecurity>0</DocSecurity>
  <Lines>25</Lines>
  <Paragraphs>7</Paragraphs>
  <ScaleCrop>false</ScaleCrop>
  <Company>Springer Nature</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2024-12-19T05:18:00Z</dcterms:created>
  <dcterms:modified xsi:type="dcterms:W3CDTF">2024-12-19T05:18:00Z</dcterms:modified>
</cp:coreProperties>
</file>