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C337D1" w14:textId="77777777" w:rsidR="00D04BCF" w:rsidRPr="000953F5" w:rsidRDefault="00BB2D2A" w:rsidP="00FA1481">
      <w:pPr>
        <w:jc w:val="center"/>
        <w:rPr>
          <w:b/>
          <w:sz w:val="28"/>
          <w:szCs w:val="28"/>
        </w:rPr>
      </w:pPr>
      <w:r w:rsidRPr="000953F5">
        <w:rPr>
          <w:b/>
          <w:sz w:val="28"/>
          <w:szCs w:val="28"/>
        </w:rPr>
        <w:t>Supplementary Materials</w:t>
      </w:r>
      <w:r w:rsidR="009743A9" w:rsidRPr="000953F5">
        <w:rPr>
          <w:b/>
          <w:sz w:val="28"/>
          <w:szCs w:val="28"/>
        </w:rPr>
        <w:t xml:space="preserve"> for</w:t>
      </w:r>
    </w:p>
    <w:p w14:paraId="29411C5A" w14:textId="77777777" w:rsidR="005001AC" w:rsidRDefault="005001AC"/>
    <w:p w14:paraId="41E970DA" w14:textId="2C33E9A5" w:rsidR="002C030F" w:rsidRPr="007F33C1" w:rsidRDefault="00262761" w:rsidP="00295AF5">
      <w:pPr>
        <w:spacing w:line="360" w:lineRule="auto"/>
        <w:jc w:val="center"/>
        <w:rPr>
          <w:b/>
          <w:bCs/>
          <w:sz w:val="28"/>
          <w:szCs w:val="28"/>
        </w:rPr>
      </w:pPr>
      <w:r>
        <w:rPr>
          <w:b/>
          <w:bCs/>
          <w:sz w:val="28"/>
          <w:szCs w:val="28"/>
        </w:rPr>
        <w:t xml:space="preserve">Vegetation greening </w:t>
      </w:r>
      <w:r w:rsidR="00295AF5">
        <w:rPr>
          <w:b/>
          <w:bCs/>
          <w:sz w:val="28"/>
          <w:szCs w:val="28"/>
        </w:rPr>
        <w:t>enhances</w:t>
      </w:r>
      <w:r>
        <w:rPr>
          <w:b/>
          <w:bCs/>
          <w:sz w:val="28"/>
          <w:szCs w:val="28"/>
        </w:rPr>
        <w:t xml:space="preserve"> global fire </w:t>
      </w:r>
      <w:r w:rsidR="00E65169">
        <w:rPr>
          <w:b/>
          <w:bCs/>
          <w:sz w:val="28"/>
          <w:szCs w:val="28"/>
        </w:rPr>
        <w:t>activity</w:t>
      </w:r>
    </w:p>
    <w:p w14:paraId="339B31F7" w14:textId="77777777" w:rsidR="00015F74" w:rsidRPr="007108F5" w:rsidRDefault="00015F74" w:rsidP="003B40E6">
      <w:pPr>
        <w:jc w:val="center"/>
        <w:rPr>
          <w:sz w:val="28"/>
          <w:szCs w:val="28"/>
        </w:rPr>
      </w:pPr>
      <w:bookmarkStart w:id="0" w:name="_GoBack"/>
      <w:bookmarkEnd w:id="0"/>
    </w:p>
    <w:p w14:paraId="63D8913E" w14:textId="53FAE10B" w:rsidR="002C030F" w:rsidRDefault="00015007" w:rsidP="007C4F4A">
      <w:pPr>
        <w:jc w:val="center"/>
        <w:rPr>
          <w:szCs w:val="24"/>
        </w:rPr>
      </w:pPr>
      <w:proofErr w:type="spellStart"/>
      <w:r>
        <w:rPr>
          <w:szCs w:val="24"/>
        </w:rPr>
        <w:t>Gengke</w:t>
      </w:r>
      <w:proofErr w:type="spellEnd"/>
      <w:r>
        <w:rPr>
          <w:szCs w:val="24"/>
        </w:rPr>
        <w:t xml:space="preserve"> Lai, </w:t>
      </w:r>
      <w:proofErr w:type="spellStart"/>
      <w:r>
        <w:rPr>
          <w:szCs w:val="24"/>
        </w:rPr>
        <w:t>Yongguang</w:t>
      </w:r>
      <w:proofErr w:type="spellEnd"/>
      <w:r>
        <w:rPr>
          <w:szCs w:val="24"/>
        </w:rPr>
        <w:t xml:space="preserve"> Zhang, Chaoyang Wu, </w:t>
      </w:r>
      <w:r w:rsidR="0020018E">
        <w:rPr>
          <w:szCs w:val="24"/>
        </w:rPr>
        <w:t xml:space="preserve">Alessandro </w:t>
      </w:r>
      <w:proofErr w:type="spellStart"/>
      <w:r w:rsidR="0020018E">
        <w:rPr>
          <w:szCs w:val="24"/>
        </w:rPr>
        <w:t>Cescatti</w:t>
      </w:r>
      <w:proofErr w:type="spellEnd"/>
      <w:r w:rsidR="0020018E">
        <w:rPr>
          <w:szCs w:val="24"/>
        </w:rPr>
        <w:t xml:space="preserve">, </w:t>
      </w:r>
      <w:r w:rsidR="002F767F">
        <w:rPr>
          <w:szCs w:val="24"/>
        </w:rPr>
        <w:t xml:space="preserve">Gregory </w:t>
      </w:r>
      <w:proofErr w:type="spellStart"/>
      <w:r w:rsidR="002F767F">
        <w:rPr>
          <w:szCs w:val="24"/>
        </w:rPr>
        <w:t>Duveiller</w:t>
      </w:r>
      <w:proofErr w:type="spellEnd"/>
      <w:r w:rsidR="002F767F">
        <w:rPr>
          <w:szCs w:val="24"/>
        </w:rPr>
        <w:t>,</w:t>
      </w:r>
      <w:r w:rsidR="007C4F4A">
        <w:rPr>
          <w:rFonts w:hint="eastAsia"/>
          <w:szCs w:val="24"/>
          <w:lang w:eastAsia="zh-CN"/>
        </w:rPr>
        <w:t xml:space="preserve"> </w:t>
      </w:r>
      <w:proofErr w:type="spellStart"/>
      <w:r w:rsidR="007C4F4A" w:rsidRPr="007C4F4A">
        <w:rPr>
          <w:szCs w:val="24"/>
        </w:rPr>
        <w:t>Juli</w:t>
      </w:r>
      <w:proofErr w:type="spellEnd"/>
      <w:r w:rsidR="007C4F4A" w:rsidRPr="007C4F4A">
        <w:rPr>
          <w:szCs w:val="24"/>
        </w:rPr>
        <w:t xml:space="preserve"> G. </w:t>
      </w:r>
      <w:proofErr w:type="spellStart"/>
      <w:r w:rsidR="007C4F4A" w:rsidRPr="007C4F4A">
        <w:rPr>
          <w:szCs w:val="24"/>
        </w:rPr>
        <w:t>Pausas</w:t>
      </w:r>
      <w:proofErr w:type="spellEnd"/>
      <w:r w:rsidR="007C4F4A" w:rsidRPr="007C4F4A">
        <w:rPr>
          <w:szCs w:val="24"/>
        </w:rPr>
        <w:t xml:space="preserve">, Stijn </w:t>
      </w:r>
      <w:proofErr w:type="spellStart"/>
      <w:r w:rsidR="007C4F4A" w:rsidRPr="007C4F4A">
        <w:rPr>
          <w:szCs w:val="24"/>
        </w:rPr>
        <w:t>Hantson</w:t>
      </w:r>
      <w:proofErr w:type="spellEnd"/>
      <w:r w:rsidR="007C4F4A" w:rsidRPr="007C4F4A">
        <w:rPr>
          <w:szCs w:val="24"/>
        </w:rPr>
        <w:t>,</w:t>
      </w:r>
      <w:r w:rsidR="002F767F">
        <w:rPr>
          <w:szCs w:val="24"/>
        </w:rPr>
        <w:t xml:space="preserve"> </w:t>
      </w:r>
      <w:proofErr w:type="spellStart"/>
      <w:r>
        <w:rPr>
          <w:szCs w:val="24"/>
        </w:rPr>
        <w:t>Zhaoying</w:t>
      </w:r>
      <w:proofErr w:type="spellEnd"/>
      <w:r>
        <w:rPr>
          <w:szCs w:val="24"/>
        </w:rPr>
        <w:t xml:space="preserve"> Zhang, </w:t>
      </w:r>
      <w:proofErr w:type="spellStart"/>
      <w:r w:rsidRPr="00015007">
        <w:rPr>
          <w:szCs w:val="24"/>
        </w:rPr>
        <w:t>Adrià</w:t>
      </w:r>
      <w:proofErr w:type="spellEnd"/>
      <w:r w:rsidRPr="00015007">
        <w:rPr>
          <w:szCs w:val="24"/>
        </w:rPr>
        <w:t xml:space="preserve"> </w:t>
      </w:r>
      <w:proofErr w:type="spellStart"/>
      <w:r w:rsidRPr="00015007">
        <w:rPr>
          <w:szCs w:val="24"/>
        </w:rPr>
        <w:t>Descals</w:t>
      </w:r>
      <w:proofErr w:type="spellEnd"/>
      <w:r>
        <w:rPr>
          <w:szCs w:val="24"/>
        </w:rPr>
        <w:t>,</w:t>
      </w:r>
      <w:r w:rsidR="0020018E">
        <w:rPr>
          <w:szCs w:val="24"/>
        </w:rPr>
        <w:t xml:space="preserve"> </w:t>
      </w:r>
      <w:r w:rsidR="00EC5E1A">
        <w:rPr>
          <w:szCs w:val="24"/>
        </w:rPr>
        <w:t>Min</w:t>
      </w:r>
      <w:r w:rsidR="0009337F">
        <w:rPr>
          <w:szCs w:val="24"/>
        </w:rPr>
        <w:t xml:space="preserve"> </w:t>
      </w:r>
      <w:r w:rsidR="00EC5E1A">
        <w:rPr>
          <w:szCs w:val="24"/>
        </w:rPr>
        <w:t>Cao</w:t>
      </w:r>
      <w:r w:rsidR="0009337F">
        <w:rPr>
          <w:szCs w:val="24"/>
        </w:rPr>
        <w:t>,</w:t>
      </w:r>
      <w:r w:rsidR="00EC5E1A">
        <w:rPr>
          <w:szCs w:val="24"/>
        </w:rPr>
        <w:t xml:space="preserve"> </w:t>
      </w:r>
      <w:proofErr w:type="spellStart"/>
      <w:r w:rsidR="00EC5E1A">
        <w:rPr>
          <w:szCs w:val="24"/>
        </w:rPr>
        <w:t>Huazheng</w:t>
      </w:r>
      <w:proofErr w:type="spellEnd"/>
      <w:r w:rsidR="00EC5E1A">
        <w:rPr>
          <w:szCs w:val="24"/>
        </w:rPr>
        <w:t xml:space="preserve"> Lu,</w:t>
      </w:r>
      <w:r w:rsidR="0009337F">
        <w:rPr>
          <w:szCs w:val="24"/>
        </w:rPr>
        <w:t xml:space="preserve"> </w:t>
      </w:r>
      <w:proofErr w:type="spellStart"/>
      <w:r w:rsidRPr="00015007">
        <w:rPr>
          <w:szCs w:val="24"/>
        </w:rPr>
        <w:t>Josep</w:t>
      </w:r>
      <w:proofErr w:type="spellEnd"/>
      <w:r w:rsidRPr="00015007">
        <w:rPr>
          <w:szCs w:val="24"/>
        </w:rPr>
        <w:t xml:space="preserve"> </w:t>
      </w:r>
      <w:proofErr w:type="spellStart"/>
      <w:r w:rsidRPr="00015007">
        <w:rPr>
          <w:szCs w:val="24"/>
        </w:rPr>
        <w:t>Peñuelas</w:t>
      </w:r>
      <w:proofErr w:type="spellEnd"/>
    </w:p>
    <w:p w14:paraId="0648E06D" w14:textId="77777777" w:rsidR="000F0DCE" w:rsidRDefault="000F0DCE" w:rsidP="005001AC">
      <w:pPr>
        <w:jc w:val="center"/>
        <w:rPr>
          <w:szCs w:val="24"/>
        </w:rPr>
      </w:pPr>
    </w:p>
    <w:p w14:paraId="34D67477" w14:textId="6E237069" w:rsidR="004779CB" w:rsidRDefault="00E4519A" w:rsidP="005001AC">
      <w:pPr>
        <w:jc w:val="center"/>
        <w:rPr>
          <w:szCs w:val="24"/>
        </w:rPr>
      </w:pPr>
      <w:r>
        <w:rPr>
          <w:szCs w:val="24"/>
        </w:rPr>
        <w:t>Correspond</w:t>
      </w:r>
      <w:r w:rsidR="00F4427B">
        <w:rPr>
          <w:szCs w:val="24"/>
        </w:rPr>
        <w:t>ing author</w:t>
      </w:r>
      <w:r w:rsidR="004779CB">
        <w:rPr>
          <w:szCs w:val="24"/>
        </w:rPr>
        <w:t>:</w:t>
      </w:r>
      <w:r w:rsidR="00BC3E04">
        <w:rPr>
          <w:szCs w:val="24"/>
        </w:rPr>
        <w:t xml:space="preserve"> </w:t>
      </w:r>
      <w:hyperlink r:id="rId8" w:history="1">
        <w:r w:rsidR="001D21C3" w:rsidRPr="00796336">
          <w:rPr>
            <w:rStyle w:val="affff5"/>
            <w:szCs w:val="24"/>
          </w:rPr>
          <w:t>ygz@nju.edu.cn</w:t>
        </w:r>
      </w:hyperlink>
      <w:r w:rsidR="00015007">
        <w:rPr>
          <w:szCs w:val="24"/>
        </w:rPr>
        <w:t xml:space="preserve"> and </w:t>
      </w:r>
      <w:hyperlink r:id="rId9" w:history="1">
        <w:r w:rsidR="00015007" w:rsidRPr="00015007">
          <w:rPr>
            <w:rStyle w:val="affff5"/>
            <w:szCs w:val="24"/>
          </w:rPr>
          <w:t>wucy@igsnrr.ac.cn</w:t>
        </w:r>
      </w:hyperlink>
    </w:p>
    <w:p w14:paraId="223EBBEB" w14:textId="77777777" w:rsidR="002C030F" w:rsidRDefault="002C030F"/>
    <w:p w14:paraId="5BBBF32C" w14:textId="77777777" w:rsidR="00015F74" w:rsidRDefault="00015F74">
      <w:pPr>
        <w:rPr>
          <w:b/>
        </w:rPr>
      </w:pPr>
    </w:p>
    <w:p w14:paraId="546CBFCA" w14:textId="42E661EF" w:rsidR="002C030F" w:rsidRPr="00262D72" w:rsidRDefault="009743A9">
      <w:pPr>
        <w:rPr>
          <w:b/>
        </w:rPr>
      </w:pPr>
      <w:r>
        <w:rPr>
          <w:b/>
        </w:rPr>
        <w:t>Th</w:t>
      </w:r>
      <w:r w:rsidR="006B024D">
        <w:rPr>
          <w:b/>
        </w:rPr>
        <w:t>e</w:t>
      </w:r>
      <w:r>
        <w:rPr>
          <w:b/>
        </w:rPr>
        <w:t xml:space="preserve"> </w:t>
      </w:r>
      <w:r w:rsidR="00094FAD">
        <w:rPr>
          <w:b/>
        </w:rPr>
        <w:t>S</w:t>
      </w:r>
      <w:r w:rsidR="00094FAD">
        <w:rPr>
          <w:rFonts w:hint="eastAsia"/>
          <w:b/>
          <w:lang w:eastAsia="zh-CN"/>
        </w:rPr>
        <w:t>u</w:t>
      </w:r>
      <w:r w:rsidR="00094FAD">
        <w:rPr>
          <w:b/>
        </w:rPr>
        <w:t xml:space="preserve">pplementary Materials </w:t>
      </w:r>
      <w:r>
        <w:rPr>
          <w:b/>
        </w:rPr>
        <w:t xml:space="preserve">file </w:t>
      </w:r>
      <w:r w:rsidR="002C030F" w:rsidRPr="00262D72">
        <w:rPr>
          <w:b/>
        </w:rPr>
        <w:t>includes:</w:t>
      </w:r>
    </w:p>
    <w:p w14:paraId="6B069C4B" w14:textId="77777777" w:rsidR="002C030F" w:rsidRDefault="002C030F"/>
    <w:p w14:paraId="5953D2BA" w14:textId="27D73E19" w:rsidR="002C030F" w:rsidRDefault="00BB2D2A" w:rsidP="00262D72">
      <w:pPr>
        <w:ind w:left="720"/>
      </w:pPr>
      <w:r>
        <w:t>Supplementary</w:t>
      </w:r>
      <w:r w:rsidR="00AB399E">
        <w:t xml:space="preserve"> </w:t>
      </w:r>
      <w:r w:rsidR="002C030F">
        <w:t>Text</w:t>
      </w:r>
      <w:r w:rsidR="00282B15">
        <w:t xml:space="preserve"> S1-S</w:t>
      </w:r>
      <w:r w:rsidR="00E52960">
        <w:t>3</w:t>
      </w:r>
    </w:p>
    <w:p w14:paraId="7FC81517" w14:textId="31AC0C98" w:rsidR="002C030F" w:rsidRDefault="002C030F" w:rsidP="00262D72">
      <w:pPr>
        <w:ind w:left="720"/>
      </w:pPr>
      <w:r>
        <w:t>Fig</w:t>
      </w:r>
      <w:r w:rsidR="00A3403B">
        <w:t xml:space="preserve">s. </w:t>
      </w:r>
      <w:r>
        <w:t>S1</w:t>
      </w:r>
      <w:r w:rsidR="00A3403B">
        <w:t xml:space="preserve"> to </w:t>
      </w:r>
      <w:r w:rsidR="00403D2C">
        <w:t>S</w:t>
      </w:r>
      <w:r w:rsidR="00651C55">
        <w:t>2</w:t>
      </w:r>
      <w:r w:rsidR="00094FAD">
        <w:t>1</w:t>
      </w:r>
    </w:p>
    <w:p w14:paraId="39DE064C" w14:textId="3ED74997" w:rsidR="002C030F" w:rsidRDefault="002C030F" w:rsidP="00262D72">
      <w:pPr>
        <w:ind w:left="720"/>
      </w:pPr>
      <w:r>
        <w:t>Tables S1</w:t>
      </w:r>
      <w:r w:rsidR="00A3403B">
        <w:t xml:space="preserve"> to </w:t>
      </w:r>
      <w:r>
        <w:t>S</w:t>
      </w:r>
      <w:r w:rsidR="00651C55">
        <w:t>4</w:t>
      </w:r>
    </w:p>
    <w:p w14:paraId="23718CE0" w14:textId="48723AC1" w:rsidR="00015F74" w:rsidRDefault="00015F74" w:rsidP="00282B15">
      <w:pPr>
        <w:ind w:left="720"/>
      </w:pPr>
    </w:p>
    <w:p w14:paraId="4907E7FB" w14:textId="0FEFBF87" w:rsidR="001F20A3" w:rsidRDefault="001F20A3" w:rsidP="00282B15">
      <w:pPr>
        <w:ind w:left="720"/>
      </w:pPr>
    </w:p>
    <w:p w14:paraId="2E04A187" w14:textId="77777777" w:rsidR="001F20A3" w:rsidRDefault="001F20A3" w:rsidP="00282B15">
      <w:pPr>
        <w:ind w:left="720"/>
        <w:sectPr w:rsidR="001F20A3" w:rsidSect="00071FB9">
          <w:footerReference w:type="default" r:id="rId10"/>
          <w:pgSz w:w="12240" w:h="15840"/>
          <w:pgMar w:top="1440" w:right="1440" w:bottom="1440" w:left="1440" w:header="720" w:footer="720" w:gutter="0"/>
          <w:lnNumType w:countBy="1" w:restart="continuous"/>
          <w:cols w:space="720"/>
          <w:docGrid w:linePitch="360"/>
        </w:sectPr>
      </w:pPr>
    </w:p>
    <w:p w14:paraId="12923ABF" w14:textId="11A5CE7E" w:rsidR="00015F74" w:rsidRDefault="00BB2D2A" w:rsidP="001F20A3">
      <w:pPr>
        <w:pStyle w:val="SMHeading"/>
        <w:spacing w:before="120" w:after="120" w:line="360" w:lineRule="exact"/>
      </w:pPr>
      <w:bookmarkStart w:id="1" w:name="Tables"/>
      <w:bookmarkStart w:id="2" w:name="MaterialsMethods"/>
      <w:bookmarkStart w:id="3" w:name="_Hlk160220415"/>
      <w:bookmarkEnd w:id="1"/>
      <w:bookmarkEnd w:id="2"/>
      <w:r>
        <w:lastRenderedPageBreak/>
        <w:t>Supplementary</w:t>
      </w:r>
      <w:r w:rsidR="00015F74">
        <w:t xml:space="preserve"> Text</w:t>
      </w:r>
    </w:p>
    <w:p w14:paraId="0EE46098" w14:textId="39E0E9E1" w:rsidR="00F74F95" w:rsidRPr="004C218E" w:rsidRDefault="00CE137E" w:rsidP="00FC6C50">
      <w:pPr>
        <w:pStyle w:val="SMSubheading"/>
        <w:spacing w:before="120" w:after="120" w:line="360" w:lineRule="exact"/>
        <w:rPr>
          <w:i/>
          <w:u w:val="single"/>
        </w:rPr>
      </w:pPr>
      <w:bookmarkStart w:id="4" w:name="_Hlk160220439"/>
      <w:bookmarkEnd w:id="3"/>
      <w:r w:rsidRPr="004C218E">
        <w:rPr>
          <w:i/>
          <w:szCs w:val="24"/>
          <w:u w:val="single"/>
          <w:lang w:eastAsia="zh-CN"/>
        </w:rPr>
        <w:t xml:space="preserve">S1. Assessment of the representativeness of </w:t>
      </w:r>
      <w:proofErr w:type="spellStart"/>
      <w:r w:rsidRPr="004C218E">
        <w:rPr>
          <w:i/>
          <w:szCs w:val="24"/>
          <w:u w:val="single"/>
          <w:lang w:eastAsia="zh-CN"/>
        </w:rPr>
        <w:t>LAI</w:t>
      </w:r>
      <w:r w:rsidRPr="004C218E">
        <w:rPr>
          <w:i/>
          <w:szCs w:val="24"/>
          <w:u w:val="single"/>
          <w:vertAlign w:val="subscript"/>
          <w:lang w:eastAsia="zh-CN"/>
        </w:rPr>
        <w:t>dead</w:t>
      </w:r>
      <w:proofErr w:type="spellEnd"/>
      <w:r w:rsidRPr="004C218E">
        <w:rPr>
          <w:i/>
          <w:szCs w:val="24"/>
          <w:u w:val="single"/>
          <w:lang w:eastAsia="zh-CN"/>
        </w:rPr>
        <w:t xml:space="preserve"> to the inter</w:t>
      </w:r>
      <w:r w:rsidR="00E37776" w:rsidRPr="004C218E">
        <w:rPr>
          <w:i/>
          <w:szCs w:val="24"/>
          <w:u w:val="single"/>
          <w:lang w:eastAsia="zh-CN"/>
        </w:rPr>
        <w:t>-</w:t>
      </w:r>
      <w:r w:rsidRPr="004C218E">
        <w:rPr>
          <w:i/>
          <w:szCs w:val="24"/>
          <w:u w:val="single"/>
          <w:lang w:eastAsia="zh-CN"/>
        </w:rPr>
        <w:t xml:space="preserve">annual variations of </w:t>
      </w:r>
      <w:bookmarkEnd w:id="4"/>
      <w:r w:rsidRPr="004C218E">
        <w:rPr>
          <w:i/>
          <w:szCs w:val="24"/>
          <w:u w:val="single"/>
          <w:lang w:eastAsia="zh-CN"/>
        </w:rPr>
        <w:t>litterfall</w:t>
      </w:r>
    </w:p>
    <w:p w14:paraId="22511DA6" w14:textId="6499BA91" w:rsidR="00FC6C50" w:rsidRPr="004C218E" w:rsidRDefault="00C06D46" w:rsidP="00197A1B">
      <w:pPr>
        <w:pStyle w:val="SMText"/>
        <w:spacing w:before="120" w:after="120" w:line="360" w:lineRule="exact"/>
        <w:ind w:firstLineChars="200"/>
        <w:jc w:val="both"/>
        <w:rPr>
          <w:lang w:eastAsia="zh-CN"/>
        </w:rPr>
      </w:pPr>
      <w:r w:rsidRPr="00392B92">
        <w:rPr>
          <w:szCs w:val="24"/>
          <w:lang w:eastAsia="zh-CN"/>
        </w:rPr>
        <w:t xml:space="preserve">We assessed the representativeness of </w:t>
      </w:r>
      <w:proofErr w:type="spellStart"/>
      <w:r w:rsidRPr="00392B92">
        <w:rPr>
          <w:szCs w:val="24"/>
          <w:lang w:eastAsia="zh-CN"/>
        </w:rPr>
        <w:t>LAI</w:t>
      </w:r>
      <w:r w:rsidRPr="00392B92">
        <w:rPr>
          <w:szCs w:val="24"/>
          <w:vertAlign w:val="subscript"/>
          <w:lang w:eastAsia="zh-CN"/>
        </w:rPr>
        <w:t>dead</w:t>
      </w:r>
      <w:proofErr w:type="spellEnd"/>
      <w:r w:rsidRPr="00392B92">
        <w:rPr>
          <w:szCs w:val="24"/>
          <w:lang w:eastAsia="zh-CN"/>
        </w:rPr>
        <w:t xml:space="preserve"> calculated by our method to the interannual variations of </w:t>
      </w:r>
      <w:r w:rsidR="00197A1B">
        <w:rPr>
          <w:szCs w:val="24"/>
          <w:lang w:eastAsia="zh-CN"/>
        </w:rPr>
        <w:t xml:space="preserve">litterfall </w:t>
      </w:r>
      <w:r w:rsidRPr="00392B92">
        <w:rPr>
          <w:szCs w:val="24"/>
          <w:lang w:eastAsia="zh-CN"/>
        </w:rPr>
        <w:t xml:space="preserve">(dead </w:t>
      </w:r>
      <w:r w:rsidR="008429FE">
        <w:rPr>
          <w:szCs w:val="24"/>
          <w:lang w:eastAsia="zh-CN"/>
        </w:rPr>
        <w:t xml:space="preserve">fine </w:t>
      </w:r>
      <w:r w:rsidRPr="00392B92">
        <w:rPr>
          <w:szCs w:val="24"/>
          <w:lang w:eastAsia="zh-CN"/>
        </w:rPr>
        <w:t>fuel).</w:t>
      </w:r>
      <w:r w:rsidR="00197A1B">
        <w:rPr>
          <w:szCs w:val="24"/>
          <w:lang w:eastAsia="zh-CN"/>
        </w:rPr>
        <w:t xml:space="preserve"> </w:t>
      </w:r>
      <w:r w:rsidRPr="00392B92">
        <w:rPr>
          <w:szCs w:val="24"/>
          <w:lang w:eastAsia="zh-CN"/>
        </w:rPr>
        <w:t>We used a global aboveground litterfall production dataset (</w:t>
      </w:r>
      <w:proofErr w:type="spellStart"/>
      <w:r w:rsidRPr="00392B92">
        <w:rPr>
          <w:szCs w:val="24"/>
          <w:lang w:eastAsia="zh-CN"/>
        </w:rPr>
        <w:t>cLitter</w:t>
      </w:r>
      <w:proofErr w:type="spellEnd"/>
      <w:r w:rsidRPr="00392B92">
        <w:rPr>
          <w:szCs w:val="24"/>
          <w:lang w:eastAsia="zh-CN"/>
        </w:rPr>
        <w:t>) over the period of 2002-2013 produced by ref.</w:t>
      </w:r>
      <w:r w:rsidRPr="00392B92">
        <w:rPr>
          <w:szCs w:val="24"/>
          <w:lang w:eastAsia="zh-CN"/>
        </w:rPr>
        <w:fldChar w:fldCharType="begin"/>
      </w:r>
      <w:r w:rsidR="00197A1B">
        <w:rPr>
          <w:szCs w:val="24"/>
          <w:lang w:eastAsia="zh-CN"/>
        </w:rPr>
        <w:instrText xml:space="preserve"> ADDIN EN.CITE &lt;EndNote&gt;&lt;Cite&gt;&lt;Author&gt;Li&lt;/Author&gt;&lt;Year&gt;2019&lt;/Year&gt;&lt;RecNum&gt;463&lt;/RecNum&gt;&lt;DisplayText&gt;&lt;style face="superscript"&gt;1&lt;/style&gt;&lt;/DisplayText&gt;&lt;record&gt;&lt;rec-number&gt;463&lt;/rec-number&gt;&lt;foreign-keys&gt;&lt;key app="EN" db-id="pxzew0safrpr5xer0pbv05dq5sevsfse5sw9" timestamp="1676545429"&gt;463&lt;/key&gt;&lt;/foreign-keys&gt;&lt;ref-type name="Journal Article"&gt;17&lt;/ref-type&gt;&lt;contributors&gt;&lt;authors&gt;&lt;author&gt;Li, Shihua&lt;/author&gt;&lt;author&gt;Yuan, Wenping&lt;/author&gt;&lt;author&gt;Ciais, Philippe&lt;/author&gt;&lt;author&gt;Viovy, Nicolas&lt;/author&gt;&lt;author&gt;Ito, Akihiko&lt;/author&gt;&lt;author&gt;Jia, Bingrui&lt;/author&gt;&lt;author&gt;Zhu, Dan&lt;/author&gt;&lt;/authors&gt;&lt;/contributors&gt;&lt;titles&gt;&lt;title&gt;Benchmark estimates for aboveground litterfall data derived from ecosystem models&lt;/title&gt;&lt;secondary-title&gt;Environmental Research Letters&lt;/secondary-title&gt;&lt;/titles&gt;&lt;periodical&gt;&lt;full-title&gt;Environmental Research Letters&lt;/full-title&gt;&lt;/periodical&gt;&lt;volume&gt;14&lt;/volume&gt;&lt;number&gt;8&lt;/number&gt;&lt;section&gt;084020&lt;/section&gt;&lt;dates&gt;&lt;year&gt;2019&lt;/year&gt;&lt;/dates&gt;&lt;isbn&gt;1748-9326&lt;/isbn&gt;&lt;urls&gt;&lt;/urls&gt;&lt;electronic-resource-num&gt;10.1088/1748-9326/ab2ee4&lt;/electronic-resource-num&gt;&lt;/record&gt;&lt;/Cite&gt;&lt;/EndNote&gt;</w:instrText>
      </w:r>
      <w:r w:rsidRPr="00392B92">
        <w:rPr>
          <w:szCs w:val="24"/>
          <w:lang w:eastAsia="zh-CN"/>
        </w:rPr>
        <w:fldChar w:fldCharType="separate"/>
      </w:r>
      <w:r w:rsidR="00197A1B" w:rsidRPr="00197A1B">
        <w:rPr>
          <w:noProof/>
          <w:szCs w:val="24"/>
          <w:vertAlign w:val="superscript"/>
          <w:lang w:eastAsia="zh-CN"/>
        </w:rPr>
        <w:t>1</w:t>
      </w:r>
      <w:r w:rsidRPr="00392B92">
        <w:rPr>
          <w:szCs w:val="24"/>
          <w:lang w:eastAsia="zh-CN"/>
        </w:rPr>
        <w:fldChar w:fldCharType="end"/>
      </w:r>
      <w:r w:rsidRPr="00392B92">
        <w:rPr>
          <w:szCs w:val="24"/>
          <w:lang w:eastAsia="zh-CN"/>
        </w:rPr>
        <w:t xml:space="preserve"> for </w:t>
      </w:r>
      <w:proofErr w:type="spellStart"/>
      <w:r w:rsidRPr="00392B92">
        <w:rPr>
          <w:szCs w:val="24"/>
          <w:lang w:eastAsia="zh-CN"/>
        </w:rPr>
        <w:t>LAI</w:t>
      </w:r>
      <w:r w:rsidRPr="00392B92">
        <w:rPr>
          <w:szCs w:val="24"/>
          <w:vertAlign w:val="subscript"/>
          <w:lang w:eastAsia="zh-CN"/>
        </w:rPr>
        <w:t>dead</w:t>
      </w:r>
      <w:proofErr w:type="spellEnd"/>
      <w:r w:rsidRPr="00392B92">
        <w:rPr>
          <w:szCs w:val="24"/>
          <w:lang w:eastAsia="zh-CN"/>
        </w:rPr>
        <w:t xml:space="preserve"> assessment. </w:t>
      </w:r>
      <w:proofErr w:type="spellStart"/>
      <w:r w:rsidRPr="00392B92">
        <w:rPr>
          <w:szCs w:val="24"/>
          <w:lang w:eastAsia="zh-CN"/>
        </w:rPr>
        <w:t>cLitter</w:t>
      </w:r>
      <w:proofErr w:type="spellEnd"/>
      <w:r w:rsidRPr="00392B92">
        <w:rPr>
          <w:szCs w:val="24"/>
          <w:lang w:eastAsia="zh-CN"/>
        </w:rPr>
        <w:t xml:space="preserve"> is produced by random forest algorithm that relates a substantial number of field measurements of aboveground litterfall production with vegetation index and climatic variables. This dataset refers to plant material shed in one year and is composed primarily of leaves, twigs (&lt; 2.5 cm in diameter), flowers, fruits and bark, but not dead roots and coarse woody detritus</w:t>
      </w:r>
      <w:r w:rsidRPr="00392B92">
        <w:rPr>
          <w:szCs w:val="24"/>
          <w:lang w:eastAsia="zh-CN"/>
        </w:rPr>
        <w:fldChar w:fldCharType="begin"/>
      </w:r>
      <w:r w:rsidR="00197A1B">
        <w:rPr>
          <w:szCs w:val="24"/>
          <w:lang w:eastAsia="zh-CN"/>
        </w:rPr>
        <w:instrText xml:space="preserve"> ADDIN EN.CITE &lt;EndNote&gt;&lt;Cite&gt;&lt;Author&gt;Li&lt;/Author&gt;&lt;Year&gt;2019&lt;/Year&gt;&lt;RecNum&gt;463&lt;/RecNum&gt;&lt;DisplayText&gt;&lt;style face="superscript"&gt;1&lt;/style&gt;&lt;/DisplayText&gt;&lt;record&gt;&lt;rec-number&gt;463&lt;/rec-number&gt;&lt;foreign-keys&gt;&lt;key app="EN" db-id="pxzew0safrpr5xer0pbv05dq5sevsfse5sw9" timestamp="1676545429"&gt;463&lt;/key&gt;&lt;/foreign-keys&gt;&lt;ref-type name="Journal Article"&gt;17&lt;/ref-type&gt;&lt;contributors&gt;&lt;authors&gt;&lt;author&gt;Li, Shihua&lt;/author&gt;&lt;author&gt;Yuan, Wenping&lt;/author&gt;&lt;author&gt;Ciais, Philippe&lt;/author&gt;&lt;author&gt;Viovy, Nicolas&lt;/author&gt;&lt;author&gt;Ito, Akihiko&lt;/author&gt;&lt;author&gt;Jia, Bingrui&lt;/author&gt;&lt;author&gt;Zhu, Dan&lt;/author&gt;&lt;/authors&gt;&lt;/contributors&gt;&lt;titles&gt;&lt;title&gt;Benchmark estimates for aboveground litterfall data derived from ecosystem models&lt;/title&gt;&lt;secondary-title&gt;Environmental Research Letters&lt;/secondary-title&gt;&lt;/titles&gt;&lt;periodical&gt;&lt;full-title&gt;Environmental Research Letters&lt;/full-title&gt;&lt;/periodical&gt;&lt;volume&gt;14&lt;/volume&gt;&lt;number&gt;8&lt;/number&gt;&lt;section&gt;084020&lt;/section&gt;&lt;dates&gt;&lt;year&gt;2019&lt;/year&gt;&lt;/dates&gt;&lt;isbn&gt;1748-9326&lt;/isbn&gt;&lt;urls&gt;&lt;/urls&gt;&lt;electronic-resource-num&gt;10.1088/1748-9326/ab2ee4&lt;/electronic-resource-num&gt;&lt;/record&gt;&lt;/Cite&gt;&lt;/EndNote&gt;</w:instrText>
      </w:r>
      <w:r w:rsidRPr="00392B92">
        <w:rPr>
          <w:szCs w:val="24"/>
          <w:lang w:eastAsia="zh-CN"/>
        </w:rPr>
        <w:fldChar w:fldCharType="separate"/>
      </w:r>
      <w:r w:rsidR="00197A1B" w:rsidRPr="00197A1B">
        <w:rPr>
          <w:noProof/>
          <w:szCs w:val="24"/>
          <w:vertAlign w:val="superscript"/>
          <w:lang w:eastAsia="zh-CN"/>
        </w:rPr>
        <w:t>1</w:t>
      </w:r>
      <w:r w:rsidRPr="00392B92">
        <w:rPr>
          <w:szCs w:val="24"/>
          <w:lang w:eastAsia="zh-CN"/>
        </w:rPr>
        <w:fldChar w:fldCharType="end"/>
      </w:r>
      <w:r w:rsidRPr="00392B92">
        <w:rPr>
          <w:szCs w:val="24"/>
          <w:lang w:eastAsia="zh-CN"/>
        </w:rPr>
        <w:t>.</w:t>
      </w:r>
    </w:p>
    <w:p w14:paraId="3364248F" w14:textId="5543762D" w:rsidR="00CE137E" w:rsidRPr="004C218E" w:rsidRDefault="00C06D46" w:rsidP="000B3844">
      <w:pPr>
        <w:pStyle w:val="SMText"/>
        <w:spacing w:before="120" w:after="120" w:line="360" w:lineRule="exact"/>
        <w:ind w:firstLineChars="200"/>
        <w:jc w:val="both"/>
        <w:rPr>
          <w:lang w:eastAsia="zh-CN"/>
        </w:rPr>
      </w:pPr>
      <w:r w:rsidRPr="00392B92">
        <w:rPr>
          <w:szCs w:val="24"/>
          <w:lang w:eastAsia="zh-CN"/>
        </w:rPr>
        <w:t xml:space="preserve">We further collected some site-level litterfall ground measurements to validate the representativeness of </w:t>
      </w:r>
      <w:proofErr w:type="spellStart"/>
      <w:r w:rsidRPr="00392B92">
        <w:rPr>
          <w:szCs w:val="24"/>
          <w:lang w:eastAsia="zh-CN"/>
        </w:rPr>
        <w:t>LAI</w:t>
      </w:r>
      <w:r w:rsidRPr="00392B92">
        <w:rPr>
          <w:szCs w:val="24"/>
          <w:vertAlign w:val="subscript"/>
          <w:lang w:eastAsia="zh-CN"/>
        </w:rPr>
        <w:t>dead</w:t>
      </w:r>
      <w:proofErr w:type="spellEnd"/>
      <w:r w:rsidRPr="00392B92">
        <w:rPr>
          <w:szCs w:val="24"/>
          <w:lang w:eastAsia="zh-CN"/>
        </w:rPr>
        <w:t xml:space="preserve"> in forest ecosystems (</w:t>
      </w:r>
      <w:r w:rsidRPr="00392B92">
        <w:rPr>
          <w:color w:val="0000FF"/>
          <w:szCs w:val="24"/>
          <w:lang w:eastAsia="zh-CN"/>
        </w:rPr>
        <w:t>Table S4</w:t>
      </w:r>
      <w:r w:rsidRPr="00392B92">
        <w:rPr>
          <w:szCs w:val="24"/>
          <w:lang w:eastAsia="zh-CN"/>
        </w:rPr>
        <w:t xml:space="preserve">). </w:t>
      </w:r>
      <w:proofErr w:type="spellStart"/>
      <w:r w:rsidRPr="00392B92">
        <w:rPr>
          <w:szCs w:val="24"/>
          <w:lang w:eastAsia="zh-CN"/>
        </w:rPr>
        <w:t>Bubeng</w:t>
      </w:r>
      <w:proofErr w:type="spellEnd"/>
      <w:r w:rsidRPr="00392B92">
        <w:rPr>
          <w:szCs w:val="24"/>
          <w:lang w:eastAsia="zh-CN"/>
        </w:rPr>
        <w:t xml:space="preserve"> and </w:t>
      </w:r>
      <w:proofErr w:type="spellStart"/>
      <w:r w:rsidRPr="00392B92">
        <w:rPr>
          <w:szCs w:val="24"/>
          <w:lang w:eastAsia="zh-CN"/>
        </w:rPr>
        <w:t>Menglun</w:t>
      </w:r>
      <w:proofErr w:type="spellEnd"/>
      <w:r w:rsidRPr="00392B92">
        <w:rPr>
          <w:szCs w:val="24"/>
          <w:lang w:eastAsia="zh-CN"/>
        </w:rPr>
        <w:t xml:space="preserve"> sites (tropical seasonal rainforest) are located in the </w:t>
      </w:r>
      <w:proofErr w:type="spellStart"/>
      <w:r w:rsidRPr="00392B92">
        <w:rPr>
          <w:szCs w:val="24"/>
          <w:lang w:eastAsia="zh-CN"/>
        </w:rPr>
        <w:t>Xishuangbanna</w:t>
      </w:r>
      <w:proofErr w:type="spellEnd"/>
      <w:r w:rsidRPr="00392B92">
        <w:rPr>
          <w:szCs w:val="24"/>
          <w:lang w:eastAsia="zh-CN"/>
        </w:rPr>
        <w:t xml:space="preserve"> National Nature Reserve, southwestern China, providing long-term litterfall field measurements twice and once a month, respectively (</w:t>
      </w:r>
      <w:hyperlink r:id="rId11" w:history="1">
        <w:r w:rsidRPr="00392B92">
          <w:rPr>
            <w:rStyle w:val="affff5"/>
            <w:szCs w:val="24"/>
            <w:lang w:eastAsia="zh-CN"/>
          </w:rPr>
          <w:t>http://bnf.cern.ac.cn/</w:t>
        </w:r>
      </w:hyperlink>
      <w:r w:rsidRPr="00392B92">
        <w:rPr>
          <w:szCs w:val="24"/>
          <w:lang w:eastAsia="zh-CN"/>
        </w:rPr>
        <w:t>). Barro Colorado Island (BCI) site is in Panama, which is a tropical moist forest and provides weekly litterfall collections</w:t>
      </w:r>
      <w:r w:rsidRPr="00392B92">
        <w:rPr>
          <w:szCs w:val="24"/>
          <w:lang w:eastAsia="zh-CN"/>
        </w:rPr>
        <w:fldChar w:fldCharType="begin"/>
      </w:r>
      <w:r w:rsidR="00197A1B">
        <w:rPr>
          <w:szCs w:val="24"/>
          <w:lang w:eastAsia="zh-CN"/>
        </w:rPr>
        <w:instrText xml:space="preserve"> ADDIN EN.CITE &lt;EndNote&gt;&lt;Cite&gt;&lt;Author&gt;Detto&lt;/Author&gt;&lt;Year&gt;2018&lt;/Year&gt;&lt;RecNum&gt;650&lt;/RecNum&gt;&lt;DisplayText&gt;&lt;style face="superscript"&gt;2&lt;/style&gt;&lt;/DisplayText&gt;&lt;record&gt;&lt;rec-number&gt;650&lt;/rec-number&gt;&lt;foreign-keys&gt;&lt;key app="EN" db-id="pxzew0safrpr5xer0pbv05dq5sevsfse5sw9" timestamp="1709435999"&gt;650&lt;/key&gt;&lt;/foreign-keys&gt;&lt;ref-type name="Journal Article"&gt;17&lt;/ref-type&gt;&lt;contributors&gt;&lt;authors&gt;&lt;author&gt;Detto, Matteo&lt;/author&gt;&lt;author&gt;Wright, S. Joseph&lt;/author&gt;&lt;author&gt;Calderón, Osvaldo&lt;/author&gt;&lt;author&gt;Muller-Landau, Helene C.&lt;/author&gt;&lt;/authors&gt;&lt;/contributors&gt;&lt;titles&gt;&lt;title&gt;Resource acquisition and reproductive strategies of tropical forest in response to the El Niño–Southern Oscillation&lt;/title&gt;&lt;secondary-title&gt;Nature Communications&lt;/secondary-title&gt;&lt;/titles&gt;&lt;periodical&gt;&lt;full-title&gt;Nature Communications&lt;/full-title&gt;&lt;/periodical&gt;&lt;volume&gt;9&lt;/volume&gt;&lt;number&gt;1&lt;/number&gt;&lt;dates&gt;&lt;year&gt;2018&lt;/year&gt;&lt;/dates&gt;&lt;isbn&gt;2041-1723&lt;/isbn&gt;&lt;urls&gt;&lt;/urls&gt;&lt;electronic-resource-num&gt;10.1038/s41467-018-03306-9&lt;/electronic-resource-num&gt;&lt;/record&gt;&lt;/Cite&gt;&lt;/EndNote&gt;</w:instrText>
      </w:r>
      <w:r w:rsidRPr="00392B92">
        <w:rPr>
          <w:szCs w:val="24"/>
          <w:lang w:eastAsia="zh-CN"/>
        </w:rPr>
        <w:fldChar w:fldCharType="separate"/>
      </w:r>
      <w:r w:rsidR="00197A1B" w:rsidRPr="00197A1B">
        <w:rPr>
          <w:noProof/>
          <w:szCs w:val="24"/>
          <w:vertAlign w:val="superscript"/>
          <w:lang w:eastAsia="zh-CN"/>
        </w:rPr>
        <w:t>2</w:t>
      </w:r>
      <w:r w:rsidRPr="00392B92">
        <w:rPr>
          <w:szCs w:val="24"/>
          <w:lang w:eastAsia="zh-CN"/>
        </w:rPr>
        <w:fldChar w:fldCharType="end"/>
      </w:r>
      <w:r w:rsidRPr="00392B92">
        <w:rPr>
          <w:szCs w:val="24"/>
          <w:lang w:eastAsia="zh-CN"/>
        </w:rPr>
        <w:t xml:space="preserve">. The SMEAR Ⅱ station is located next to the </w:t>
      </w:r>
      <w:proofErr w:type="spellStart"/>
      <w:r w:rsidRPr="00392B92">
        <w:rPr>
          <w:szCs w:val="24"/>
          <w:lang w:eastAsia="zh-CN"/>
        </w:rPr>
        <w:t>Hyytiälä</w:t>
      </w:r>
      <w:proofErr w:type="spellEnd"/>
      <w:r w:rsidRPr="00392B92">
        <w:rPr>
          <w:szCs w:val="24"/>
          <w:lang w:eastAsia="zh-CN"/>
        </w:rPr>
        <w:t xml:space="preserve"> forest, southern Finland, which is a homogeneous Scots pine stand and provides monthly litterfall collections (</w:t>
      </w:r>
      <w:hyperlink r:id="rId12" w:history="1">
        <w:r w:rsidRPr="00392B92">
          <w:rPr>
            <w:rStyle w:val="affff5"/>
            <w:szCs w:val="24"/>
            <w:lang w:eastAsia="zh-CN"/>
          </w:rPr>
          <w:t>https://smear.avaa.csc.fi/download</w:t>
        </w:r>
      </w:hyperlink>
      <w:r w:rsidRPr="00392B92">
        <w:rPr>
          <w:szCs w:val="24"/>
          <w:lang w:eastAsia="zh-CN"/>
        </w:rPr>
        <w:t>)</w:t>
      </w:r>
      <w:r w:rsidRPr="00392B92">
        <w:rPr>
          <w:szCs w:val="24"/>
          <w:lang w:eastAsia="zh-CN"/>
        </w:rPr>
        <w:fldChar w:fldCharType="begin"/>
      </w:r>
      <w:r w:rsidR="00197A1B">
        <w:rPr>
          <w:szCs w:val="24"/>
          <w:lang w:eastAsia="zh-CN"/>
        </w:rPr>
        <w:instrText xml:space="preserve"> ADDIN EN.CITE &lt;EndNote&gt;&lt;Cite&gt;&lt;Author&gt;Suni&lt;/Author&gt;&lt;Year&gt;2003&lt;/Year&gt;&lt;RecNum&gt;651&lt;/RecNum&gt;&lt;DisplayText&gt;&lt;style face="superscript"&gt;3&lt;/style&gt;&lt;/DisplayText&gt;&lt;record&gt;&lt;rec-number&gt;651&lt;/rec-number&gt;&lt;foreign-keys&gt;&lt;key app="EN" db-id="pxzew0safrpr5xer0pbv05dq5sevsfse5sw9" timestamp="1709440882"&gt;651&lt;/key&gt;&lt;/foreign-keys&gt;&lt;ref-type name="Journal Article"&gt;17&lt;/ref-type&gt;&lt;contributors&gt;&lt;authors&gt;&lt;author&gt;Suni, T.&lt;/author&gt;&lt;author&gt;Rinne, J.&lt;/author&gt;&lt;author&gt;Reissell, A.&lt;/author&gt;&lt;author&gt;Altimir, N.&lt;/author&gt;&lt;author&gt;Keronen, P.&lt;/author&gt;&lt;author&gt;Rannik, Ü.&lt;/author&gt;&lt;author&gt;Dal Maso,&lt;/author&gt;&lt;author&gt;M., Kulmala, M.&lt;/author&gt;&lt;author&gt;Vesala, T.&lt;/author&gt;&lt;/authors&gt;&lt;/contributors&gt;&lt;titles&gt;&lt;title&gt;Long-term measurements of surface fluxes above a Scots pine forest in Hyytiälä, southern Finland, 1996</w:instrText>
      </w:r>
      <w:r w:rsidR="00197A1B">
        <w:rPr>
          <w:rFonts w:hint="eastAsia"/>
          <w:szCs w:val="24"/>
          <w:lang w:eastAsia="zh-CN"/>
        </w:rPr>
        <w:instrText>–</w:instrText>
      </w:r>
      <w:r w:rsidR="00197A1B">
        <w:rPr>
          <w:szCs w:val="24"/>
          <w:lang w:eastAsia="zh-CN"/>
        </w:rPr>
        <w:instrText>2001.&lt;/title&gt;&lt;secondary-title&gt;Boreal Env. Res.&lt;/secondary-title&gt;&lt;/titles&gt;&lt;periodical&gt;&lt;full-title&gt;Boreal Env. Res.&lt;/full-title&gt;&lt;/periodical&gt;&lt;pages&gt;287–301&lt;/pages&gt;&lt;volume&gt;8&lt;/volume&gt;&lt;section&gt;287–301&lt;/section&gt;&lt;dates&gt;&lt;year&gt;2003&lt;/year&gt;&lt;/dates&gt;&lt;urls&gt;&lt;/urls&gt;&lt;/record&gt;&lt;/Cite&gt;&lt;/EndNote&gt;</w:instrText>
      </w:r>
      <w:r w:rsidRPr="00392B92">
        <w:rPr>
          <w:szCs w:val="24"/>
          <w:lang w:eastAsia="zh-CN"/>
        </w:rPr>
        <w:fldChar w:fldCharType="separate"/>
      </w:r>
      <w:r w:rsidR="00197A1B" w:rsidRPr="00197A1B">
        <w:rPr>
          <w:noProof/>
          <w:szCs w:val="24"/>
          <w:vertAlign w:val="superscript"/>
          <w:lang w:eastAsia="zh-CN"/>
        </w:rPr>
        <w:t>3</w:t>
      </w:r>
      <w:r w:rsidRPr="00392B92">
        <w:rPr>
          <w:szCs w:val="24"/>
          <w:lang w:eastAsia="zh-CN"/>
        </w:rPr>
        <w:fldChar w:fldCharType="end"/>
      </w:r>
      <w:r w:rsidRPr="00392B92">
        <w:rPr>
          <w:szCs w:val="24"/>
          <w:lang w:eastAsia="zh-CN"/>
        </w:rPr>
        <w:t>. For the above sites with higher sampling frequencies, we first divided the original litterfall dry weight by the trap area (expressed in unit of g m</w:t>
      </w:r>
      <w:r w:rsidRPr="00392B92">
        <w:rPr>
          <w:szCs w:val="24"/>
          <w:vertAlign w:val="superscript"/>
          <w:lang w:eastAsia="zh-CN"/>
        </w:rPr>
        <w:t>-2</w:t>
      </w:r>
      <w:r w:rsidRPr="00392B92">
        <w:rPr>
          <w:szCs w:val="24"/>
          <w:lang w:eastAsia="zh-CN"/>
        </w:rPr>
        <w:t>), and then averaging the resultant values across all traps collected simultaneously. Next, they were divided by the days since last collection to represent the rate of litterfall (expressed in unit of g m</w:t>
      </w:r>
      <w:r w:rsidRPr="00392B92">
        <w:rPr>
          <w:szCs w:val="24"/>
          <w:vertAlign w:val="superscript"/>
          <w:lang w:eastAsia="zh-CN"/>
        </w:rPr>
        <w:t>-2</w:t>
      </w:r>
      <w:r w:rsidRPr="00392B92">
        <w:rPr>
          <w:szCs w:val="24"/>
          <w:lang w:eastAsia="zh-CN"/>
        </w:rPr>
        <w:t xml:space="preserve"> day</w:t>
      </w:r>
      <w:r w:rsidRPr="00392B92">
        <w:rPr>
          <w:szCs w:val="24"/>
          <w:vertAlign w:val="superscript"/>
          <w:lang w:eastAsia="zh-CN"/>
        </w:rPr>
        <w:t>-1</w:t>
      </w:r>
      <w:r w:rsidRPr="00392B92">
        <w:rPr>
          <w:szCs w:val="24"/>
          <w:lang w:eastAsia="zh-CN"/>
        </w:rPr>
        <w:t>). The rates in the same month were averaged. We obtained the final monthly litterfall mass by multiplying litterfall rate by the days of month (expressed in unit of g m</w:t>
      </w:r>
      <w:r w:rsidRPr="00392B92">
        <w:rPr>
          <w:szCs w:val="24"/>
          <w:vertAlign w:val="superscript"/>
          <w:lang w:eastAsia="zh-CN"/>
        </w:rPr>
        <w:t>-2</w:t>
      </w:r>
      <w:r w:rsidRPr="00392B92">
        <w:rPr>
          <w:szCs w:val="24"/>
          <w:lang w:eastAsia="zh-CN"/>
        </w:rPr>
        <w:t xml:space="preserve"> month</w:t>
      </w:r>
      <w:r w:rsidRPr="00392B92">
        <w:rPr>
          <w:szCs w:val="24"/>
          <w:vertAlign w:val="superscript"/>
          <w:lang w:eastAsia="zh-CN"/>
        </w:rPr>
        <w:t>-1</w:t>
      </w:r>
      <w:r w:rsidRPr="00392B92">
        <w:rPr>
          <w:szCs w:val="24"/>
          <w:lang w:eastAsia="zh-CN"/>
        </w:rPr>
        <w:t xml:space="preserve">). Finally, we calculated the averaged litterfall during the senescence period. To correspond with the calculation of </w:t>
      </w:r>
      <w:proofErr w:type="spellStart"/>
      <w:r w:rsidRPr="00392B92">
        <w:rPr>
          <w:szCs w:val="24"/>
          <w:lang w:eastAsia="zh-CN"/>
        </w:rPr>
        <w:t>LAI</w:t>
      </w:r>
      <w:r w:rsidRPr="00392B92">
        <w:rPr>
          <w:szCs w:val="24"/>
          <w:vertAlign w:val="subscript"/>
          <w:lang w:eastAsia="zh-CN"/>
        </w:rPr>
        <w:t>dead</w:t>
      </w:r>
      <w:proofErr w:type="spellEnd"/>
      <w:r w:rsidRPr="00392B92">
        <w:rPr>
          <w:szCs w:val="24"/>
          <w:lang w:eastAsia="zh-CN"/>
        </w:rPr>
        <w:t>, the senescence period was determined from the month with maximum LAI to the subsequent month with minimum LAI based on GLASS LAI products. We additionally collected data in two temperate forest sites, including Harvard forest in the USA</w:t>
      </w:r>
      <w:r w:rsidRPr="00392B92">
        <w:rPr>
          <w:szCs w:val="24"/>
          <w:lang w:eastAsia="zh-CN"/>
        </w:rPr>
        <w:fldChar w:fldCharType="begin"/>
      </w:r>
      <w:r w:rsidR="00197A1B">
        <w:rPr>
          <w:szCs w:val="24"/>
          <w:lang w:eastAsia="zh-CN"/>
        </w:rPr>
        <w:instrText xml:space="preserve"> ADDIN EN.CITE &lt;EndNote&gt;&lt;Cite&gt;&lt;Author&gt;A&lt;/Author&gt;&lt;Year&gt;2023&lt;/Year&gt;&lt;RecNum&gt;653&lt;/RecNum&gt;&lt;DisplayText&gt;&lt;style face="superscript"&gt;4&lt;/style&gt;&lt;/DisplayText&gt;&lt;record&gt;&lt;rec-number&gt;653&lt;/rec-number&gt;&lt;foreign-keys&gt;&lt;key app="EN" db-id="pxzew0safrpr5xer0pbv05dq5sevsfse5sw9" timestamp="1709444928"&gt;653&lt;/key&gt;&lt;/foreign-keys&gt;&lt;ref-type name="Journal Article"&gt;17&lt;/ref-type&gt;&lt;contributors&gt;&lt;authors&gt;&lt;author&gt;Magill A&lt;/author&gt;&lt;author&gt;Barker Plotkin A&lt;/author&gt;&lt;/authors&gt;&lt;/contributors&gt;&lt;titles&gt;&lt;title&gt;Litterfall in Simulated Hurricane Experiment at Harvard Forest since 1989. Harvard Forest Data Archive: HF101 (v.25).&lt;/title&gt;&lt;secondary-title&gt;Environmental Data Initiative: https://doi.org/10.6073/pasta/f5ae1e144e434ec8198cf75682db33ac.&lt;/secondary-title&gt;&lt;/titles&gt;&lt;periodical&gt;&lt;full-title&gt;Environmental Data Initiative: https://doi.org/10.6073/pasta/f5ae1e144e434ec8198cf75682db33ac.&lt;/full-title&gt;&lt;/periodical&gt;&lt;dates&gt;&lt;year&gt;2023&lt;/year&gt;&lt;/dates&gt;&lt;urls&gt;&lt;/urls&gt;&lt;/record&gt;&lt;/Cite&gt;&lt;/EndNote&gt;</w:instrText>
      </w:r>
      <w:r w:rsidRPr="00392B92">
        <w:rPr>
          <w:szCs w:val="24"/>
          <w:lang w:eastAsia="zh-CN"/>
        </w:rPr>
        <w:fldChar w:fldCharType="separate"/>
      </w:r>
      <w:r w:rsidR="00197A1B" w:rsidRPr="00197A1B">
        <w:rPr>
          <w:noProof/>
          <w:szCs w:val="24"/>
          <w:vertAlign w:val="superscript"/>
          <w:lang w:eastAsia="zh-CN"/>
        </w:rPr>
        <w:t>4</w:t>
      </w:r>
      <w:r w:rsidRPr="00392B92">
        <w:rPr>
          <w:szCs w:val="24"/>
          <w:lang w:eastAsia="zh-CN"/>
        </w:rPr>
        <w:fldChar w:fldCharType="end"/>
      </w:r>
      <w:r w:rsidRPr="00392B92">
        <w:rPr>
          <w:szCs w:val="24"/>
          <w:lang w:eastAsia="zh-CN"/>
        </w:rPr>
        <w:t xml:space="preserve"> and </w:t>
      </w:r>
      <w:bookmarkStart w:id="5" w:name="OLE_LINK1"/>
      <w:bookmarkStart w:id="6" w:name="OLE_LINK2"/>
      <w:proofErr w:type="spellStart"/>
      <w:r w:rsidRPr="00392B92">
        <w:rPr>
          <w:szCs w:val="24"/>
          <w:lang w:eastAsia="zh-CN"/>
        </w:rPr>
        <w:t>Hainich</w:t>
      </w:r>
      <w:proofErr w:type="spellEnd"/>
      <w:r w:rsidRPr="00392B92">
        <w:rPr>
          <w:szCs w:val="24"/>
          <w:lang w:eastAsia="zh-CN"/>
        </w:rPr>
        <w:t xml:space="preserve"> site in Germany</w:t>
      </w:r>
      <w:bookmarkEnd w:id="5"/>
      <w:bookmarkEnd w:id="6"/>
      <w:r w:rsidRPr="00392B92">
        <w:rPr>
          <w:szCs w:val="24"/>
          <w:lang w:eastAsia="zh-CN"/>
        </w:rPr>
        <w:fldChar w:fldCharType="begin"/>
      </w:r>
      <w:r w:rsidR="00197A1B">
        <w:rPr>
          <w:szCs w:val="24"/>
          <w:lang w:eastAsia="zh-CN"/>
        </w:rPr>
        <w:instrText xml:space="preserve"> ADDIN EN.CITE &lt;EndNote&gt;&lt;Cite&gt;&lt;Author&gt;Pinty&lt;/Author&gt;&lt;Year&gt;2011&lt;/Year&gt;&lt;RecNum&gt;652&lt;/RecNum&gt;&lt;DisplayText&gt;&lt;style face="superscript"&gt;5&lt;/style&gt;&lt;/DisplayText&gt;&lt;record&gt;&lt;rec-number&gt;652&lt;/rec-number&gt;&lt;foreign-keys&gt;&lt;key app="EN" db-id="pxzew0safrpr5xer0pbv05dq5sevsfse5sw9" timestamp="1709444818"&gt;652&lt;/key&gt;&lt;/foreign-keys&gt;&lt;ref-type name="Journal Article"&gt;17&lt;/ref-type&gt;&lt;contributors&gt;&lt;authors&gt;&lt;author&gt;Pinty, B.&lt;/author&gt;&lt;author&gt;Jung, M.&lt;/author&gt;&lt;author&gt;Kaminski, T.&lt;/author&gt;&lt;author&gt;Lavergne, T.&lt;/author&gt;&lt;author&gt;Mund, M.&lt;/author&gt;&lt;author&gt;Plummer, S.&lt;/author&gt;&lt;author&gt;Thomas, E.&lt;/author&gt;&lt;author&gt;Widlowski, J. L.&lt;/author&gt;&lt;/authors&gt;&lt;/contributors&gt;&lt;titles&gt;&lt;title&gt;Evaluation of the JRC-TIP 0.01° products over a mid-latitude deciduous forest site&lt;/title&gt;&lt;secondary-title&gt;Remote Sensing of Environment&lt;/secondary-title&gt;&lt;/titles&gt;&lt;periodical&gt;&lt;full-title&gt;Remote Sensing of Environment&lt;/full-title&gt;&lt;/periodical&gt;&lt;pages&gt;3567-3581&lt;/pages&gt;&lt;volume&gt;115&lt;/volume&gt;&lt;number&gt;12&lt;/number&gt;&lt;section&gt;3567&lt;/section&gt;&lt;dates&gt;&lt;year&gt;2011&lt;/year&gt;&lt;/dates&gt;&lt;isbn&gt;00344257&lt;/isbn&gt;&lt;urls&gt;&lt;/urls&gt;&lt;electronic-resource-num&gt;10.1016/j.rse.2011.08.018&lt;/electronic-resource-num&gt;&lt;/record&gt;&lt;/Cite&gt;&lt;/EndNote&gt;</w:instrText>
      </w:r>
      <w:r w:rsidRPr="00392B92">
        <w:rPr>
          <w:szCs w:val="24"/>
          <w:lang w:eastAsia="zh-CN"/>
        </w:rPr>
        <w:fldChar w:fldCharType="separate"/>
      </w:r>
      <w:r w:rsidR="00197A1B" w:rsidRPr="00197A1B">
        <w:rPr>
          <w:noProof/>
          <w:szCs w:val="24"/>
          <w:vertAlign w:val="superscript"/>
          <w:lang w:eastAsia="zh-CN"/>
        </w:rPr>
        <w:t>5</w:t>
      </w:r>
      <w:r w:rsidRPr="00392B92">
        <w:rPr>
          <w:szCs w:val="24"/>
          <w:lang w:eastAsia="zh-CN"/>
        </w:rPr>
        <w:fldChar w:fldCharType="end"/>
      </w:r>
      <w:r w:rsidRPr="00392B92">
        <w:rPr>
          <w:szCs w:val="24"/>
          <w:lang w:eastAsia="zh-CN"/>
        </w:rPr>
        <w:t>. Differently, they provide yearly litterfall ground measurements. Thus, we assumed that the yearly litterfall mostly corresponds to the senescence period. Note that the Harvard forest litterfall data were collected in a simulated hurricane experiment, so we only used the data from their control experiment. Moreover, we only focused on the leaf dry weight in the total litterfall.</w:t>
      </w:r>
    </w:p>
    <w:p w14:paraId="76D9299F" w14:textId="0E81A983" w:rsidR="00CE137E" w:rsidRDefault="00C06D46" w:rsidP="000B3844">
      <w:pPr>
        <w:pStyle w:val="SMText"/>
        <w:spacing w:before="120" w:after="120" w:line="360" w:lineRule="exact"/>
        <w:ind w:firstLineChars="200"/>
        <w:jc w:val="both"/>
        <w:rPr>
          <w:lang w:eastAsia="zh-CN"/>
        </w:rPr>
      </w:pPr>
      <w:r w:rsidRPr="00392B92">
        <w:rPr>
          <w:rFonts w:hint="eastAsia"/>
          <w:szCs w:val="24"/>
          <w:lang w:eastAsia="zh-CN"/>
        </w:rPr>
        <w:t>F</w:t>
      </w:r>
      <w:r w:rsidRPr="00392B92">
        <w:rPr>
          <w:szCs w:val="24"/>
          <w:lang w:eastAsia="zh-CN"/>
        </w:rPr>
        <w:t xml:space="preserve">or the global validations, we examined the relationships between detrended </w:t>
      </w:r>
      <w:proofErr w:type="spellStart"/>
      <w:r w:rsidRPr="00392B92">
        <w:rPr>
          <w:szCs w:val="24"/>
          <w:lang w:eastAsia="zh-CN"/>
        </w:rPr>
        <w:t>LAI</w:t>
      </w:r>
      <w:r w:rsidRPr="00392B92">
        <w:rPr>
          <w:szCs w:val="24"/>
          <w:vertAlign w:val="subscript"/>
          <w:lang w:eastAsia="zh-CN"/>
        </w:rPr>
        <w:t>dead</w:t>
      </w:r>
      <w:proofErr w:type="spellEnd"/>
      <w:r w:rsidRPr="00392B92">
        <w:rPr>
          <w:szCs w:val="24"/>
          <w:lang w:eastAsia="zh-CN"/>
        </w:rPr>
        <w:t xml:space="preserve"> and detrended </w:t>
      </w:r>
      <w:proofErr w:type="spellStart"/>
      <w:r w:rsidRPr="00392B92">
        <w:rPr>
          <w:szCs w:val="24"/>
          <w:lang w:eastAsia="zh-CN"/>
        </w:rPr>
        <w:t>cLitter</w:t>
      </w:r>
      <w:proofErr w:type="spellEnd"/>
      <w:r w:rsidRPr="00392B92">
        <w:rPr>
          <w:szCs w:val="24"/>
          <w:lang w:eastAsia="zh-CN"/>
        </w:rPr>
        <w:t xml:space="preserve"> at the grid cell level, as well as the spatial correlations of their annual averages across 12 biomes (</w:t>
      </w:r>
      <w:r w:rsidRPr="00392B92">
        <w:rPr>
          <w:color w:val="0000FF"/>
          <w:szCs w:val="24"/>
          <w:lang w:eastAsia="zh-CN"/>
        </w:rPr>
        <w:t>Fig. S</w:t>
      </w:r>
      <w:r w:rsidR="00CD59C3">
        <w:rPr>
          <w:color w:val="0000FF"/>
          <w:szCs w:val="24"/>
          <w:lang w:eastAsia="zh-CN"/>
        </w:rPr>
        <w:t>6</w:t>
      </w:r>
      <w:r w:rsidRPr="00392B92">
        <w:rPr>
          <w:szCs w:val="24"/>
          <w:lang w:eastAsia="zh-CN"/>
        </w:rPr>
        <w:t xml:space="preserve">). For the site-level validations, we tested the correlations between </w:t>
      </w:r>
      <w:r w:rsidRPr="00392B92">
        <w:rPr>
          <w:szCs w:val="24"/>
          <w:lang w:eastAsia="zh-CN"/>
        </w:rPr>
        <w:lastRenderedPageBreak/>
        <w:t xml:space="preserve">detrended </w:t>
      </w:r>
      <w:proofErr w:type="spellStart"/>
      <w:r w:rsidRPr="00392B92">
        <w:rPr>
          <w:szCs w:val="24"/>
          <w:lang w:eastAsia="zh-CN"/>
        </w:rPr>
        <w:t>LAI</w:t>
      </w:r>
      <w:r w:rsidRPr="00392B92">
        <w:rPr>
          <w:szCs w:val="24"/>
          <w:vertAlign w:val="subscript"/>
          <w:lang w:eastAsia="zh-CN"/>
        </w:rPr>
        <w:t>dead</w:t>
      </w:r>
      <w:proofErr w:type="spellEnd"/>
      <w:r w:rsidRPr="00392B92">
        <w:rPr>
          <w:szCs w:val="24"/>
          <w:lang w:eastAsia="zh-CN"/>
        </w:rPr>
        <w:t xml:space="preserve"> and detrended litterfall measurements (</w:t>
      </w:r>
      <w:r w:rsidRPr="00392B92">
        <w:rPr>
          <w:color w:val="0000FF"/>
          <w:szCs w:val="24"/>
          <w:lang w:eastAsia="zh-CN"/>
        </w:rPr>
        <w:t>Fig. S</w:t>
      </w:r>
      <w:r w:rsidR="00B56701">
        <w:rPr>
          <w:color w:val="0000FF"/>
          <w:szCs w:val="24"/>
          <w:lang w:eastAsia="zh-CN"/>
        </w:rPr>
        <w:t>7</w:t>
      </w:r>
      <w:r w:rsidRPr="00392B92">
        <w:rPr>
          <w:szCs w:val="24"/>
          <w:lang w:eastAsia="zh-CN"/>
        </w:rPr>
        <w:t xml:space="preserve"> and </w:t>
      </w:r>
      <w:r w:rsidRPr="00392B92">
        <w:rPr>
          <w:color w:val="0000FF"/>
          <w:szCs w:val="24"/>
          <w:lang w:eastAsia="zh-CN"/>
        </w:rPr>
        <w:t>Table S4</w:t>
      </w:r>
      <w:r w:rsidRPr="00392B92">
        <w:rPr>
          <w:szCs w:val="24"/>
          <w:lang w:eastAsia="zh-CN"/>
        </w:rPr>
        <w:t xml:space="preserve">). Two different scales of GLASS LAI products (0.25° and 500 m) were used to validate that the method to calculate </w:t>
      </w:r>
      <w:proofErr w:type="spellStart"/>
      <w:r w:rsidRPr="00392B92">
        <w:rPr>
          <w:szCs w:val="24"/>
          <w:lang w:eastAsia="zh-CN"/>
        </w:rPr>
        <w:t>LAI</w:t>
      </w:r>
      <w:r w:rsidRPr="00392B92">
        <w:rPr>
          <w:szCs w:val="24"/>
          <w:vertAlign w:val="subscript"/>
          <w:lang w:eastAsia="zh-CN"/>
        </w:rPr>
        <w:t>dead</w:t>
      </w:r>
      <w:proofErr w:type="spellEnd"/>
      <w:r w:rsidRPr="00392B92">
        <w:rPr>
          <w:szCs w:val="24"/>
          <w:lang w:eastAsia="zh-CN"/>
        </w:rPr>
        <w:t xml:space="preserve"> and our findings were independent of spatial scale and heterogeneity. Considering the orientation bias, we used a 5×5 spatial smoothing window when extracting 500m LAI for each site. We also tried the 3×3 and 7×7 spatial smoothing windows, and obtained similar results.</w:t>
      </w:r>
    </w:p>
    <w:p w14:paraId="1E237BE1" w14:textId="151747FC" w:rsidR="003F2FCB" w:rsidRPr="00AB78B0" w:rsidRDefault="00AB78B0" w:rsidP="00AB78B0">
      <w:pPr>
        <w:pStyle w:val="SMSubheading"/>
        <w:spacing w:before="120" w:after="120" w:line="360" w:lineRule="exact"/>
        <w:rPr>
          <w:i/>
          <w:u w:val="single"/>
          <w:lang w:eastAsia="zh-CN"/>
        </w:rPr>
      </w:pPr>
      <w:bookmarkStart w:id="7" w:name="_Hlk160220504"/>
      <w:r w:rsidRPr="00AB78B0">
        <w:rPr>
          <w:rFonts w:hint="eastAsia"/>
          <w:i/>
          <w:u w:val="single"/>
          <w:lang w:eastAsia="zh-CN"/>
        </w:rPr>
        <w:t>S</w:t>
      </w:r>
      <w:r w:rsidRPr="00AB78B0">
        <w:rPr>
          <w:i/>
          <w:u w:val="single"/>
          <w:lang w:eastAsia="zh-CN"/>
        </w:rPr>
        <w:t>2. Bioclimatic spaces</w:t>
      </w:r>
      <w:bookmarkEnd w:id="7"/>
    </w:p>
    <w:p w14:paraId="00B4F3B0" w14:textId="5FD8CE0E" w:rsidR="003F2FCB" w:rsidRDefault="00C06D46" w:rsidP="00FC6C50">
      <w:pPr>
        <w:pStyle w:val="SMText"/>
        <w:spacing w:before="120" w:after="120" w:line="360" w:lineRule="exact"/>
        <w:ind w:firstLineChars="200"/>
        <w:jc w:val="both"/>
        <w:rPr>
          <w:lang w:eastAsia="zh-CN"/>
        </w:rPr>
      </w:pPr>
      <w:r w:rsidRPr="00DF2496">
        <w:rPr>
          <w:szCs w:val="24"/>
          <w:lang w:eastAsia="zh-CN"/>
        </w:rPr>
        <w:t>Following the method of ref.</w:t>
      </w:r>
      <w:r w:rsidRPr="00DF2496">
        <w:rPr>
          <w:szCs w:val="24"/>
          <w:lang w:eastAsia="zh-CN"/>
        </w:rPr>
        <w:fldChar w:fldCharType="begin"/>
      </w:r>
      <w:r w:rsidR="00D07C26">
        <w:rPr>
          <w:szCs w:val="24"/>
          <w:lang w:eastAsia="zh-CN"/>
        </w:rPr>
        <w:instrText xml:space="preserve"> ADDIN EN.CITE &lt;EndNote&gt;&lt;Cite&gt;&lt;Author&gt;Forzieri&lt;/Author&gt;&lt;Year&gt;2017&lt;/Year&gt;&lt;RecNum&gt;421&lt;/RecNum&gt;&lt;DisplayText&gt;&lt;style face="superscript"&gt;6&lt;/style&gt;&lt;/DisplayText&gt;&lt;record&gt;&lt;rec-number&gt;421&lt;/rec-number&gt;&lt;foreign-keys&gt;&lt;key app="EN" db-id="pxzew0safrpr5xer0pbv05dq5sevsfse5sw9" timestamp="1669710473"&gt;421&lt;/key&gt;&lt;/foreign-keys&gt;&lt;ref-type name="Journal Article"&gt;17&lt;/ref-type&gt;&lt;contributors&gt;&lt;authors&gt;&lt;author&gt;Forzieri, Giovanni&lt;/author&gt;&lt;author&gt;Alkama, Ramdane&lt;/author&gt;&lt;author&gt;Miralles, Diego G.&lt;/author&gt;&lt;author&gt;Cescatti, Alessandro&lt;/author&gt;&lt;/authors&gt;&lt;/contributors&gt;&lt;titles&gt;&lt;title&gt;Satellites reveal contrasting responses of regional climate to the widespread greening of Earth&lt;/title&gt;&lt;secondary-title&gt;Science&lt;/secondary-title&gt;&lt;/titles&gt;&lt;periodical&gt;&lt;full-title&gt;Science&lt;/full-title&gt;&lt;/periodical&gt;&lt;pages&gt;1180-1184&lt;/pages&gt;&lt;volume&gt;356&lt;/volume&gt;&lt;number&gt;6343&lt;/number&gt;&lt;dates&gt;&lt;year&gt;2017&lt;/year&gt;&lt;/dates&gt;&lt;urls&gt;&lt;related-urls&gt;&lt;url&gt;https://www.science.org/doi/abs/10.1126/science.aal1727&lt;/url&gt;&lt;/related-urls&gt;&lt;/urls&gt;&lt;electronic-resource-num&gt;doi:10.1126/science.aal1727&lt;/electronic-resource-num&gt;&lt;/record&gt;&lt;/Cite&gt;&lt;/EndNote&gt;</w:instrText>
      </w:r>
      <w:r w:rsidRPr="00DF2496">
        <w:rPr>
          <w:szCs w:val="24"/>
          <w:lang w:eastAsia="zh-CN"/>
        </w:rPr>
        <w:fldChar w:fldCharType="separate"/>
      </w:r>
      <w:r w:rsidR="00D07C26" w:rsidRPr="00D07C26">
        <w:rPr>
          <w:noProof/>
          <w:szCs w:val="24"/>
          <w:vertAlign w:val="superscript"/>
          <w:lang w:eastAsia="zh-CN"/>
        </w:rPr>
        <w:t>6</w:t>
      </w:r>
      <w:r w:rsidRPr="00DF2496">
        <w:rPr>
          <w:szCs w:val="24"/>
          <w:lang w:eastAsia="zh-CN"/>
        </w:rPr>
        <w:fldChar w:fldCharType="end"/>
      </w:r>
      <w:r w:rsidRPr="00DF2496">
        <w:rPr>
          <w:szCs w:val="24"/>
          <w:lang w:eastAsia="zh-CN"/>
        </w:rPr>
        <w:t>, we also described fire variations as a function of LAI (</w:t>
      </w:r>
      <w:proofErr w:type="spellStart"/>
      <w:r w:rsidRPr="00DF2496">
        <w:rPr>
          <w:szCs w:val="24"/>
          <w:lang w:eastAsia="zh-CN"/>
        </w:rPr>
        <w:t>LAI</w:t>
      </w:r>
      <w:r w:rsidRPr="00DF2496">
        <w:rPr>
          <w:szCs w:val="24"/>
          <w:vertAlign w:val="subscript"/>
          <w:lang w:eastAsia="zh-CN"/>
        </w:rPr>
        <w:t>live</w:t>
      </w:r>
      <w:proofErr w:type="spellEnd"/>
      <w:r w:rsidRPr="00DF2496">
        <w:rPr>
          <w:szCs w:val="24"/>
          <w:lang w:eastAsia="zh-CN"/>
        </w:rPr>
        <w:t xml:space="preserve"> and </w:t>
      </w:r>
      <w:proofErr w:type="spellStart"/>
      <w:r w:rsidRPr="00DF2496">
        <w:rPr>
          <w:szCs w:val="24"/>
          <w:lang w:eastAsia="zh-CN"/>
        </w:rPr>
        <w:t>LAI</w:t>
      </w:r>
      <w:r w:rsidRPr="00DF2496">
        <w:rPr>
          <w:szCs w:val="24"/>
          <w:vertAlign w:val="subscript"/>
          <w:lang w:eastAsia="zh-CN"/>
        </w:rPr>
        <w:t>dead</w:t>
      </w:r>
      <w:proofErr w:type="spellEnd"/>
      <w:r w:rsidRPr="00DF2496">
        <w:rPr>
          <w:szCs w:val="24"/>
          <w:lang w:eastAsia="zh-CN"/>
        </w:rPr>
        <w:t>) changes and water availability (aridity index and RH) or vegetation growth (</w:t>
      </w:r>
      <w:proofErr w:type="spellStart"/>
      <w:r w:rsidRPr="00DF2496">
        <w:rPr>
          <w:szCs w:val="24"/>
          <w:lang w:eastAsia="zh-CN"/>
        </w:rPr>
        <w:t>LAI</w:t>
      </w:r>
      <w:r w:rsidRPr="00DF2496">
        <w:rPr>
          <w:szCs w:val="24"/>
          <w:vertAlign w:val="subscript"/>
          <w:lang w:eastAsia="zh-CN"/>
        </w:rPr>
        <w:t>live</w:t>
      </w:r>
      <w:proofErr w:type="spellEnd"/>
      <w:r w:rsidRPr="00DF2496">
        <w:rPr>
          <w:szCs w:val="24"/>
          <w:lang w:eastAsia="zh-CN"/>
        </w:rPr>
        <w:t xml:space="preserve"> and tree cover) to qualitatively analyze fire responses to LAI changes and drivers of their variabilities. For each grid cell, fire and LAI variations were represented by the relative year-to-year variations (i.e. difference between two consecutive years divided by the multi-year mean) of BF (</w:t>
      </w:r>
      <w:proofErr w:type="spellStart"/>
      <w:r w:rsidRPr="00DF2496">
        <w:rPr>
          <w:szCs w:val="24"/>
          <w:lang w:eastAsia="zh-CN"/>
        </w:rPr>
        <w:t>ΔBF</w:t>
      </w:r>
      <w:r w:rsidRPr="00DF2496">
        <w:rPr>
          <w:szCs w:val="24"/>
          <w:vertAlign w:val="subscript"/>
          <w:lang w:eastAsia="zh-CN"/>
        </w:rPr>
        <w:t>rel</w:t>
      </w:r>
      <w:proofErr w:type="spellEnd"/>
      <w:r w:rsidRPr="00DF2496">
        <w:rPr>
          <w:szCs w:val="24"/>
          <w:lang w:eastAsia="zh-CN"/>
        </w:rPr>
        <w:t>) and LAI (</w:t>
      </w:r>
      <w:proofErr w:type="spellStart"/>
      <w:r w:rsidRPr="00DF2496">
        <w:rPr>
          <w:szCs w:val="24"/>
          <w:lang w:eastAsia="zh-CN"/>
        </w:rPr>
        <w:t>ΔLAI</w:t>
      </w:r>
      <w:r w:rsidRPr="00DF2496">
        <w:rPr>
          <w:szCs w:val="24"/>
          <w:vertAlign w:val="subscript"/>
          <w:lang w:eastAsia="zh-CN"/>
        </w:rPr>
        <w:t>rel</w:t>
      </w:r>
      <w:proofErr w:type="spellEnd"/>
      <w:r w:rsidRPr="00DF2496">
        <w:rPr>
          <w:szCs w:val="24"/>
          <w:lang w:eastAsia="zh-CN"/>
        </w:rPr>
        <w:t xml:space="preserve">). We first divided </w:t>
      </w:r>
      <w:proofErr w:type="spellStart"/>
      <w:r w:rsidRPr="00DF2496">
        <w:rPr>
          <w:szCs w:val="24"/>
          <w:lang w:eastAsia="zh-CN"/>
        </w:rPr>
        <w:t>ΔLAI</w:t>
      </w:r>
      <w:r w:rsidRPr="00DF2496">
        <w:rPr>
          <w:szCs w:val="24"/>
          <w:vertAlign w:val="subscript"/>
          <w:lang w:eastAsia="zh-CN"/>
        </w:rPr>
        <w:t>rel</w:t>
      </w:r>
      <w:proofErr w:type="spellEnd"/>
      <w:r w:rsidRPr="00DF2496">
        <w:rPr>
          <w:szCs w:val="24"/>
          <w:lang w:eastAsia="zh-CN"/>
        </w:rPr>
        <w:t xml:space="preserve"> and multi-year averaged drivers (aridity index, RH, </w:t>
      </w:r>
      <w:proofErr w:type="spellStart"/>
      <w:r w:rsidRPr="00DF2496">
        <w:rPr>
          <w:szCs w:val="24"/>
          <w:lang w:eastAsia="zh-CN"/>
        </w:rPr>
        <w:t>LAI</w:t>
      </w:r>
      <w:r w:rsidRPr="00DF2496">
        <w:rPr>
          <w:szCs w:val="24"/>
          <w:vertAlign w:val="subscript"/>
          <w:lang w:eastAsia="zh-CN"/>
        </w:rPr>
        <w:t>live</w:t>
      </w:r>
      <w:proofErr w:type="spellEnd"/>
      <w:r w:rsidRPr="00DF2496">
        <w:rPr>
          <w:szCs w:val="24"/>
          <w:lang w:eastAsia="zh-CN"/>
        </w:rPr>
        <w:t xml:space="preserve">, and tree cover) into 50 bins and formed a 50×50 </w:t>
      </w:r>
      <w:proofErr w:type="spellStart"/>
      <w:r w:rsidRPr="00DF2496">
        <w:rPr>
          <w:szCs w:val="24"/>
          <w:lang w:eastAsia="zh-CN"/>
        </w:rPr>
        <w:t>ΔLAI</w:t>
      </w:r>
      <w:r w:rsidRPr="00DF2496">
        <w:rPr>
          <w:szCs w:val="24"/>
          <w:vertAlign w:val="subscript"/>
          <w:lang w:eastAsia="zh-CN"/>
        </w:rPr>
        <w:t>rel</w:t>
      </w:r>
      <w:proofErr w:type="spellEnd"/>
      <w:r w:rsidRPr="00DF2496">
        <w:rPr>
          <w:szCs w:val="24"/>
          <w:lang w:eastAsia="zh-CN"/>
        </w:rPr>
        <w:t xml:space="preserve">-driver space. Then </w:t>
      </w:r>
      <w:proofErr w:type="spellStart"/>
      <w:r w:rsidRPr="00DF2496">
        <w:rPr>
          <w:szCs w:val="24"/>
          <w:lang w:eastAsia="zh-CN"/>
        </w:rPr>
        <w:t>ΔBF</w:t>
      </w:r>
      <w:r w:rsidRPr="00DF2496">
        <w:rPr>
          <w:szCs w:val="24"/>
          <w:vertAlign w:val="subscript"/>
          <w:lang w:eastAsia="zh-CN"/>
        </w:rPr>
        <w:t>rel</w:t>
      </w:r>
      <w:proofErr w:type="spellEnd"/>
      <w:r w:rsidRPr="00DF2496">
        <w:rPr>
          <w:szCs w:val="24"/>
          <w:lang w:eastAsia="zh-CN"/>
        </w:rPr>
        <w:t xml:space="preserve"> was allocated into each </w:t>
      </w:r>
      <w:proofErr w:type="spellStart"/>
      <w:r w:rsidRPr="00DF2496">
        <w:rPr>
          <w:szCs w:val="24"/>
          <w:lang w:eastAsia="zh-CN"/>
        </w:rPr>
        <w:t>ΔLAI</w:t>
      </w:r>
      <w:r w:rsidRPr="00DF2496">
        <w:rPr>
          <w:szCs w:val="24"/>
          <w:vertAlign w:val="subscript"/>
          <w:lang w:eastAsia="zh-CN"/>
        </w:rPr>
        <w:t>rel</w:t>
      </w:r>
      <w:proofErr w:type="spellEnd"/>
      <w:r w:rsidRPr="00DF2496">
        <w:rPr>
          <w:szCs w:val="24"/>
          <w:lang w:eastAsia="zh-CN"/>
        </w:rPr>
        <w:t xml:space="preserve">-driver bin and averaged. This analysis was based on MCD64A1 burned area and GLASS LAI product. Similar with the findings of sensitivity analysis by ridge regression, an increase in </w:t>
      </w:r>
      <w:proofErr w:type="spellStart"/>
      <w:r w:rsidRPr="00DF2496">
        <w:rPr>
          <w:szCs w:val="24"/>
          <w:lang w:eastAsia="zh-CN"/>
        </w:rPr>
        <w:t>LAI</w:t>
      </w:r>
      <w:r w:rsidRPr="00DF2496">
        <w:rPr>
          <w:szCs w:val="24"/>
          <w:vertAlign w:val="subscript"/>
          <w:lang w:eastAsia="zh-CN"/>
        </w:rPr>
        <w:t>dead</w:t>
      </w:r>
      <w:proofErr w:type="spellEnd"/>
      <w:r w:rsidRPr="00DF2496">
        <w:rPr>
          <w:szCs w:val="24"/>
          <w:lang w:eastAsia="zh-CN"/>
        </w:rPr>
        <w:t xml:space="preserve"> consistently enhanced fire activity along the moisture and productivity gradients (</w:t>
      </w:r>
      <w:r w:rsidRPr="00DF2496">
        <w:rPr>
          <w:color w:val="0000FF"/>
          <w:szCs w:val="24"/>
          <w:lang w:eastAsia="zh-CN"/>
        </w:rPr>
        <w:t>Fig. S</w:t>
      </w:r>
      <w:r w:rsidR="000E27F2">
        <w:rPr>
          <w:color w:val="0000FF"/>
          <w:szCs w:val="24"/>
          <w:lang w:eastAsia="zh-CN"/>
        </w:rPr>
        <w:t>1</w:t>
      </w:r>
      <w:r w:rsidR="00432448">
        <w:rPr>
          <w:color w:val="0000FF"/>
          <w:szCs w:val="24"/>
          <w:lang w:eastAsia="zh-CN"/>
        </w:rPr>
        <w:t>5</w:t>
      </w:r>
      <w:r w:rsidRPr="00DF2496">
        <w:rPr>
          <w:szCs w:val="24"/>
          <w:lang w:eastAsia="zh-CN"/>
        </w:rPr>
        <w:t xml:space="preserve">). </w:t>
      </w:r>
      <w:proofErr w:type="spellStart"/>
      <w:r w:rsidRPr="00DF2496">
        <w:rPr>
          <w:szCs w:val="24"/>
          <w:lang w:eastAsia="zh-CN"/>
        </w:rPr>
        <w:t>LAI</w:t>
      </w:r>
      <w:r w:rsidRPr="00DF2496">
        <w:rPr>
          <w:szCs w:val="24"/>
          <w:vertAlign w:val="subscript"/>
          <w:lang w:eastAsia="zh-CN"/>
        </w:rPr>
        <w:t>live</w:t>
      </w:r>
      <w:proofErr w:type="spellEnd"/>
      <w:r w:rsidRPr="00DF2496">
        <w:rPr>
          <w:szCs w:val="24"/>
          <w:lang w:eastAsia="zh-CN"/>
        </w:rPr>
        <w:t xml:space="preserve"> had regional contrasting effects on fire activity, which were regulated by the critical thresholds of water availability and vegetation growth (</w:t>
      </w:r>
      <w:r w:rsidRPr="00DF2496">
        <w:rPr>
          <w:color w:val="0000FF"/>
          <w:szCs w:val="24"/>
          <w:lang w:eastAsia="zh-CN"/>
        </w:rPr>
        <w:t>Fig. S</w:t>
      </w:r>
      <w:r w:rsidR="000E27F2">
        <w:rPr>
          <w:color w:val="0000FF"/>
          <w:szCs w:val="24"/>
          <w:lang w:eastAsia="zh-CN"/>
        </w:rPr>
        <w:t>1</w:t>
      </w:r>
      <w:r w:rsidR="00432448">
        <w:rPr>
          <w:color w:val="0000FF"/>
          <w:szCs w:val="24"/>
          <w:lang w:eastAsia="zh-CN"/>
        </w:rPr>
        <w:t>6</w:t>
      </w:r>
      <w:r w:rsidRPr="00DF2496">
        <w:rPr>
          <w:szCs w:val="24"/>
          <w:lang w:eastAsia="zh-CN"/>
        </w:rPr>
        <w:t>).</w:t>
      </w:r>
    </w:p>
    <w:p w14:paraId="24C694B6" w14:textId="77777777" w:rsidR="00CF4F1D" w:rsidRPr="003D69BA" w:rsidRDefault="00CF4F1D" w:rsidP="00CF4F1D">
      <w:pPr>
        <w:pStyle w:val="SMSubheading"/>
        <w:spacing w:before="120" w:after="120" w:line="360" w:lineRule="exact"/>
        <w:rPr>
          <w:i/>
          <w:color w:val="000000" w:themeColor="text1"/>
          <w:u w:val="single"/>
          <w:lang w:eastAsia="zh-CN"/>
        </w:rPr>
      </w:pPr>
      <w:bookmarkStart w:id="8" w:name="_Hlk160220558"/>
      <w:r w:rsidRPr="003D69BA">
        <w:rPr>
          <w:rFonts w:hint="eastAsia"/>
          <w:i/>
          <w:color w:val="000000" w:themeColor="text1"/>
          <w:u w:val="single"/>
          <w:lang w:eastAsia="zh-CN"/>
        </w:rPr>
        <w:t>S</w:t>
      </w:r>
      <w:r w:rsidRPr="003D69BA">
        <w:rPr>
          <w:i/>
          <w:color w:val="000000" w:themeColor="text1"/>
          <w:u w:val="single"/>
          <w:lang w:eastAsia="zh-CN"/>
        </w:rPr>
        <w:t>3. Random forest and SHAP</w:t>
      </w:r>
      <w:bookmarkEnd w:id="8"/>
    </w:p>
    <w:p w14:paraId="75C63B71" w14:textId="568C112B" w:rsidR="001642D5" w:rsidRDefault="00C06D46" w:rsidP="001642D5">
      <w:pPr>
        <w:pStyle w:val="SMText"/>
        <w:spacing w:before="120" w:after="120" w:line="360" w:lineRule="exact"/>
        <w:ind w:firstLineChars="200"/>
        <w:jc w:val="both"/>
        <w:rPr>
          <w:szCs w:val="24"/>
          <w:lang w:eastAsia="zh-CN"/>
        </w:rPr>
      </w:pPr>
      <w:r>
        <w:rPr>
          <w:szCs w:val="24"/>
          <w:lang w:eastAsia="zh-CN"/>
        </w:rPr>
        <w:t xml:space="preserve">Despite we used ridge regression to </w:t>
      </w:r>
      <w:r w:rsidRPr="00B31EE6">
        <w:rPr>
          <w:szCs w:val="24"/>
          <w:lang w:eastAsia="zh-CN"/>
        </w:rPr>
        <w:t xml:space="preserve">alleviate </w:t>
      </w:r>
      <w:r>
        <w:rPr>
          <w:szCs w:val="24"/>
          <w:lang w:eastAsia="zh-CN"/>
        </w:rPr>
        <w:t xml:space="preserve">the impacts of </w:t>
      </w:r>
      <w:r w:rsidRPr="00B31EE6">
        <w:rPr>
          <w:szCs w:val="24"/>
          <w:lang w:eastAsia="zh-CN"/>
        </w:rPr>
        <w:t>multicollinearity</w:t>
      </w:r>
      <w:r>
        <w:rPr>
          <w:szCs w:val="24"/>
          <w:lang w:eastAsia="zh-CN"/>
        </w:rPr>
        <w:t xml:space="preserve"> among explanatory factors on our results, traditional statistical </w:t>
      </w:r>
      <w:r w:rsidRPr="00B31EE6">
        <w:rPr>
          <w:szCs w:val="24"/>
          <w:lang w:eastAsia="zh-CN"/>
        </w:rPr>
        <w:t>approaches still operate</w:t>
      </w:r>
      <w:r>
        <w:rPr>
          <w:szCs w:val="24"/>
          <w:lang w:eastAsia="zh-CN"/>
        </w:rPr>
        <w:t xml:space="preserve"> under the assumption of a linear relationship between factors and fire activity. To verify whether our finding was an artefact of our regression method, w</w:t>
      </w:r>
      <w:r w:rsidRPr="00DF2496">
        <w:rPr>
          <w:szCs w:val="24"/>
          <w:lang w:eastAsia="zh-CN"/>
        </w:rPr>
        <w:t>e</w:t>
      </w:r>
      <w:r>
        <w:rPr>
          <w:szCs w:val="24"/>
          <w:lang w:eastAsia="zh-CN"/>
        </w:rPr>
        <w:t xml:space="preserve"> also</w:t>
      </w:r>
      <w:r w:rsidRPr="00DF2496">
        <w:rPr>
          <w:szCs w:val="24"/>
          <w:lang w:eastAsia="zh-CN"/>
        </w:rPr>
        <w:t xml:space="preserve"> used random forest and explainable machine learning (</w:t>
      </w:r>
      <w:proofErr w:type="spellStart"/>
      <w:r w:rsidRPr="00DF2496">
        <w:rPr>
          <w:szCs w:val="24"/>
          <w:lang w:eastAsia="zh-CN"/>
        </w:rPr>
        <w:t>SHapley</w:t>
      </w:r>
      <w:proofErr w:type="spellEnd"/>
      <w:r w:rsidRPr="00DF2496">
        <w:rPr>
          <w:szCs w:val="24"/>
          <w:lang w:eastAsia="zh-CN"/>
        </w:rPr>
        <w:t xml:space="preserve"> Additive </w:t>
      </w:r>
      <w:proofErr w:type="spellStart"/>
      <w:r w:rsidRPr="00DF2496">
        <w:rPr>
          <w:szCs w:val="24"/>
          <w:lang w:eastAsia="zh-CN"/>
        </w:rPr>
        <w:t>exPlanations</w:t>
      </w:r>
      <w:proofErr w:type="spellEnd"/>
      <w:r w:rsidRPr="00DF2496">
        <w:rPr>
          <w:szCs w:val="24"/>
          <w:lang w:eastAsia="zh-CN"/>
        </w:rPr>
        <w:t xml:space="preserve">, SHAP) methods to estimate fire sensitivities to </w:t>
      </w:r>
      <w:proofErr w:type="spellStart"/>
      <w:r w:rsidRPr="00DF2496">
        <w:rPr>
          <w:szCs w:val="24"/>
          <w:lang w:eastAsia="zh-CN"/>
        </w:rPr>
        <w:t>LAI</w:t>
      </w:r>
      <w:r w:rsidRPr="00DF2496">
        <w:rPr>
          <w:szCs w:val="24"/>
          <w:vertAlign w:val="subscript"/>
          <w:lang w:eastAsia="zh-CN"/>
        </w:rPr>
        <w:t>live</w:t>
      </w:r>
      <w:proofErr w:type="spellEnd"/>
      <w:r w:rsidRPr="00DF2496">
        <w:rPr>
          <w:szCs w:val="24"/>
          <w:lang w:eastAsia="zh-CN"/>
        </w:rPr>
        <w:t xml:space="preserve"> and </w:t>
      </w:r>
      <w:proofErr w:type="spellStart"/>
      <w:r w:rsidRPr="00DF2496">
        <w:rPr>
          <w:szCs w:val="24"/>
          <w:lang w:eastAsia="zh-CN"/>
        </w:rPr>
        <w:t>LAI</w:t>
      </w:r>
      <w:r w:rsidRPr="00DF2496">
        <w:rPr>
          <w:szCs w:val="24"/>
          <w:vertAlign w:val="subscript"/>
          <w:lang w:eastAsia="zh-CN"/>
        </w:rPr>
        <w:t>dead</w:t>
      </w:r>
      <w:proofErr w:type="spellEnd"/>
      <w:r w:rsidRPr="00DF2496">
        <w:rPr>
          <w:szCs w:val="24"/>
          <w:lang w:eastAsia="zh-CN"/>
        </w:rPr>
        <w:t>. In contrast to conventional statistical approaches, this method synergizes the benefits of random forest, encompassing bootstrap aggregation and non-distribution assumption, with the strengths of SHAP, ensuring coherence between global interpretations and local explanations. This method strengthens the robustness of the results compared to traditional statistical methods</w:t>
      </w:r>
      <w:r w:rsidRPr="00DF2496">
        <w:rPr>
          <w:szCs w:val="24"/>
          <w:lang w:eastAsia="zh-CN"/>
        </w:rPr>
        <w:fldChar w:fldCharType="begin">
          <w:fldData xml:space="preserve">PEVuZE5vdGU+PENpdGU+PEF1dGhvcj5MaTwvQXV0aG9yPjxZZWFyPjIwMjI8L1llYXI+PFJlY051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=
</w:fldData>
        </w:fldChar>
      </w:r>
      <w:r w:rsidR="00D07C26">
        <w:rPr>
          <w:szCs w:val="24"/>
          <w:lang w:eastAsia="zh-CN"/>
        </w:rPr>
        <w:instrText xml:space="preserve"> ADDIN EN.CITE </w:instrText>
      </w:r>
      <w:r w:rsidR="00D07C26">
        <w:rPr>
          <w:szCs w:val="24"/>
          <w:lang w:eastAsia="zh-CN"/>
        </w:rPr>
        <w:fldChar w:fldCharType="begin">
          <w:fldData xml:space="preserve">PEVuZE5vdGU+PENpdGU+PEF1dGhvcj5MaTwvQXV0aG9yPjxZZWFyPjIwMjI8L1llYXI+PFJlY051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=
</w:fldData>
        </w:fldChar>
      </w:r>
      <w:r w:rsidR="00D07C26">
        <w:rPr>
          <w:szCs w:val="24"/>
          <w:lang w:eastAsia="zh-CN"/>
        </w:rPr>
        <w:instrText xml:space="preserve"> ADDIN EN.CITE.DATA </w:instrText>
      </w:r>
      <w:r w:rsidR="00D07C26">
        <w:rPr>
          <w:szCs w:val="24"/>
          <w:lang w:eastAsia="zh-CN"/>
        </w:rPr>
      </w:r>
      <w:r w:rsidR="00D07C26">
        <w:rPr>
          <w:szCs w:val="24"/>
          <w:lang w:eastAsia="zh-CN"/>
        </w:rPr>
        <w:fldChar w:fldCharType="end"/>
      </w:r>
      <w:r w:rsidRPr="00DF2496">
        <w:rPr>
          <w:szCs w:val="24"/>
          <w:lang w:eastAsia="zh-CN"/>
        </w:rPr>
      </w:r>
      <w:r w:rsidRPr="00DF2496">
        <w:rPr>
          <w:szCs w:val="24"/>
          <w:lang w:eastAsia="zh-CN"/>
        </w:rPr>
        <w:fldChar w:fldCharType="separate"/>
      </w:r>
      <w:r w:rsidR="00D07C26" w:rsidRPr="00D07C26">
        <w:rPr>
          <w:noProof/>
          <w:szCs w:val="24"/>
          <w:vertAlign w:val="superscript"/>
          <w:lang w:eastAsia="zh-CN"/>
        </w:rPr>
        <w:t>7</w:t>
      </w:r>
      <w:r w:rsidRPr="00DF2496">
        <w:rPr>
          <w:szCs w:val="24"/>
          <w:lang w:eastAsia="zh-CN"/>
        </w:rPr>
        <w:fldChar w:fldCharType="end"/>
      </w:r>
      <w:r w:rsidRPr="00DF2496">
        <w:rPr>
          <w:szCs w:val="24"/>
          <w:lang w:eastAsia="zh-CN"/>
        </w:rPr>
        <w:t xml:space="preserve">. First, for each grid cell, the random forest model was trained using the year-to-year variations of burn fraction, </w:t>
      </w:r>
      <w:proofErr w:type="spellStart"/>
      <w:r w:rsidRPr="00DF2496">
        <w:rPr>
          <w:szCs w:val="24"/>
          <w:lang w:eastAsia="zh-CN"/>
        </w:rPr>
        <w:t>LAI</w:t>
      </w:r>
      <w:r w:rsidRPr="00DF2496">
        <w:rPr>
          <w:szCs w:val="24"/>
          <w:vertAlign w:val="subscript"/>
          <w:lang w:eastAsia="zh-CN"/>
        </w:rPr>
        <w:t>live</w:t>
      </w:r>
      <w:proofErr w:type="spellEnd"/>
      <w:r w:rsidRPr="00DF2496">
        <w:rPr>
          <w:szCs w:val="24"/>
          <w:lang w:eastAsia="zh-CN"/>
        </w:rPr>
        <w:t xml:space="preserve">, </w:t>
      </w:r>
      <w:proofErr w:type="spellStart"/>
      <w:r w:rsidRPr="00DF2496">
        <w:rPr>
          <w:szCs w:val="24"/>
          <w:lang w:eastAsia="zh-CN"/>
        </w:rPr>
        <w:t>LAI</w:t>
      </w:r>
      <w:r w:rsidRPr="00DF2496">
        <w:rPr>
          <w:szCs w:val="24"/>
          <w:vertAlign w:val="subscript"/>
          <w:lang w:eastAsia="zh-CN"/>
        </w:rPr>
        <w:t>dead</w:t>
      </w:r>
      <w:proofErr w:type="spellEnd"/>
      <w:r w:rsidRPr="00DF2496">
        <w:rPr>
          <w:szCs w:val="24"/>
          <w:lang w:eastAsia="zh-CN"/>
        </w:rPr>
        <w:t>, temperature, and total precipitation. To ensure the stability and reliability of the random forest model by increasing sample size, we used a 9×</w:t>
      </w:r>
      <w:r w:rsidRPr="00DF2496">
        <w:rPr>
          <w:rFonts w:hint="eastAsia"/>
          <w:szCs w:val="24"/>
          <w:lang w:eastAsia="zh-CN"/>
        </w:rPr>
        <w:t>9</w:t>
      </w:r>
      <w:r w:rsidRPr="00DF2496">
        <w:rPr>
          <w:szCs w:val="24"/>
          <w:lang w:eastAsia="zh-CN"/>
        </w:rPr>
        <w:t xml:space="preserve"> spatial moving window (2.25°×2.25°) to train the model for the centered grid cell. The hyperparameter settings for random </w:t>
      </w:r>
      <w:r w:rsidRPr="00DF2496">
        <w:rPr>
          <w:szCs w:val="24"/>
          <w:lang w:eastAsia="zh-CN"/>
        </w:rPr>
        <w:lastRenderedPageBreak/>
        <w:t xml:space="preserve">forest were number of estimators=100; maximum features=30%; random state=42. Then, SHAP was used to interpret trained model and calculate the marginal contributions of </w:t>
      </w:r>
      <w:proofErr w:type="spellStart"/>
      <w:r w:rsidRPr="00DF2496">
        <w:rPr>
          <w:szCs w:val="24"/>
          <w:lang w:eastAsia="zh-CN"/>
        </w:rPr>
        <w:t>LAI</w:t>
      </w:r>
      <w:r w:rsidRPr="00DF2496">
        <w:rPr>
          <w:szCs w:val="24"/>
          <w:vertAlign w:val="subscript"/>
          <w:lang w:eastAsia="zh-CN"/>
        </w:rPr>
        <w:t>live</w:t>
      </w:r>
      <w:proofErr w:type="spellEnd"/>
      <w:r w:rsidRPr="00DF2496">
        <w:rPr>
          <w:szCs w:val="24"/>
          <w:lang w:eastAsia="zh-CN"/>
        </w:rPr>
        <w:t xml:space="preserve"> and </w:t>
      </w:r>
      <w:proofErr w:type="spellStart"/>
      <w:r w:rsidRPr="00DF2496">
        <w:rPr>
          <w:szCs w:val="24"/>
          <w:lang w:eastAsia="zh-CN"/>
        </w:rPr>
        <w:t>LAI</w:t>
      </w:r>
      <w:r w:rsidRPr="00DF2496">
        <w:rPr>
          <w:szCs w:val="24"/>
          <w:vertAlign w:val="subscript"/>
          <w:lang w:eastAsia="zh-CN"/>
        </w:rPr>
        <w:t>dead</w:t>
      </w:r>
      <w:proofErr w:type="spellEnd"/>
      <w:r w:rsidRPr="00DF2496">
        <w:rPr>
          <w:szCs w:val="24"/>
          <w:lang w:eastAsia="zh-CN"/>
        </w:rPr>
        <w:t xml:space="preserve"> on burned fraction. Finally, fire sensitivities to </w:t>
      </w:r>
      <w:proofErr w:type="spellStart"/>
      <w:r w:rsidRPr="00DF2496">
        <w:rPr>
          <w:szCs w:val="24"/>
          <w:lang w:eastAsia="zh-CN"/>
        </w:rPr>
        <w:t>LAI</w:t>
      </w:r>
      <w:r w:rsidRPr="00DF2496">
        <w:rPr>
          <w:szCs w:val="24"/>
          <w:vertAlign w:val="subscript"/>
          <w:lang w:eastAsia="zh-CN"/>
        </w:rPr>
        <w:t>live</w:t>
      </w:r>
      <w:proofErr w:type="spellEnd"/>
      <w:r w:rsidRPr="00DF2496">
        <w:rPr>
          <w:szCs w:val="24"/>
          <w:lang w:eastAsia="zh-CN"/>
        </w:rPr>
        <w:t xml:space="preserve"> (</w:t>
      </w:r>
      <w:proofErr w:type="spellStart"/>
      <w:r w:rsidRPr="00DF2496">
        <w:rPr>
          <w:szCs w:val="24"/>
          <w:lang w:eastAsia="zh-CN"/>
        </w:rPr>
        <w:t>LAI</w:t>
      </w:r>
      <w:r w:rsidRPr="00DF2496">
        <w:rPr>
          <w:szCs w:val="24"/>
          <w:vertAlign w:val="subscript"/>
          <w:lang w:eastAsia="zh-CN"/>
        </w:rPr>
        <w:t>dead</w:t>
      </w:r>
      <w:proofErr w:type="spellEnd"/>
      <w:r w:rsidRPr="00DF2496">
        <w:rPr>
          <w:szCs w:val="24"/>
          <w:lang w:eastAsia="zh-CN"/>
        </w:rPr>
        <w:t xml:space="preserve">) were calculated as the slope between SHAP-derived marginal contributions of </w:t>
      </w:r>
      <w:proofErr w:type="spellStart"/>
      <w:r w:rsidRPr="00DF2496">
        <w:rPr>
          <w:szCs w:val="24"/>
          <w:lang w:eastAsia="zh-CN"/>
        </w:rPr>
        <w:t>LAI</w:t>
      </w:r>
      <w:r w:rsidRPr="00DF2496">
        <w:rPr>
          <w:szCs w:val="24"/>
          <w:vertAlign w:val="subscript"/>
          <w:lang w:eastAsia="zh-CN"/>
        </w:rPr>
        <w:t>live</w:t>
      </w:r>
      <w:proofErr w:type="spellEnd"/>
      <w:r w:rsidRPr="00DF2496">
        <w:rPr>
          <w:szCs w:val="24"/>
          <w:lang w:eastAsia="zh-CN"/>
        </w:rPr>
        <w:t xml:space="preserve"> (</w:t>
      </w:r>
      <w:proofErr w:type="spellStart"/>
      <w:r w:rsidRPr="00DF2496">
        <w:rPr>
          <w:szCs w:val="24"/>
          <w:lang w:eastAsia="zh-CN"/>
        </w:rPr>
        <w:t>LAI</w:t>
      </w:r>
      <w:r w:rsidRPr="00DF2496">
        <w:rPr>
          <w:szCs w:val="24"/>
          <w:vertAlign w:val="subscript"/>
          <w:lang w:eastAsia="zh-CN"/>
        </w:rPr>
        <w:t>dead</w:t>
      </w:r>
      <w:proofErr w:type="spellEnd"/>
      <w:r w:rsidRPr="00DF2496">
        <w:rPr>
          <w:szCs w:val="24"/>
          <w:lang w:eastAsia="zh-CN"/>
        </w:rPr>
        <w:t xml:space="preserve">) and </w:t>
      </w:r>
      <w:proofErr w:type="spellStart"/>
      <w:r w:rsidRPr="00DF2496">
        <w:rPr>
          <w:szCs w:val="24"/>
          <w:lang w:eastAsia="zh-CN"/>
        </w:rPr>
        <w:t>LAI</w:t>
      </w:r>
      <w:r w:rsidRPr="00DF2496">
        <w:rPr>
          <w:szCs w:val="24"/>
          <w:vertAlign w:val="subscript"/>
          <w:lang w:eastAsia="zh-CN"/>
        </w:rPr>
        <w:t>live</w:t>
      </w:r>
      <w:proofErr w:type="spellEnd"/>
      <w:r w:rsidRPr="00DF2496">
        <w:rPr>
          <w:szCs w:val="24"/>
          <w:lang w:eastAsia="zh-CN"/>
        </w:rPr>
        <w:t xml:space="preserve"> (</w:t>
      </w:r>
      <w:proofErr w:type="spellStart"/>
      <w:r w:rsidRPr="00DF2496">
        <w:rPr>
          <w:szCs w:val="24"/>
          <w:lang w:eastAsia="zh-CN"/>
        </w:rPr>
        <w:t>LAI</w:t>
      </w:r>
      <w:r w:rsidRPr="00DF2496">
        <w:rPr>
          <w:szCs w:val="24"/>
          <w:vertAlign w:val="subscript"/>
          <w:lang w:eastAsia="zh-CN"/>
        </w:rPr>
        <w:t>dead</w:t>
      </w:r>
      <w:proofErr w:type="spellEnd"/>
      <w:r w:rsidRPr="00DF2496">
        <w:rPr>
          <w:szCs w:val="24"/>
          <w:lang w:eastAsia="zh-CN"/>
        </w:rPr>
        <w:t>) anomalies by using the Theil-Sen regression. The results were consistent with those estimated from ridge regression (</w:t>
      </w:r>
      <w:r w:rsidRPr="00DF2496">
        <w:rPr>
          <w:color w:val="0000FF"/>
          <w:szCs w:val="24"/>
          <w:lang w:eastAsia="zh-CN"/>
        </w:rPr>
        <w:t>Fig. S</w:t>
      </w:r>
      <w:r w:rsidR="000E27F2">
        <w:rPr>
          <w:color w:val="0000FF"/>
          <w:szCs w:val="24"/>
          <w:lang w:eastAsia="zh-CN"/>
        </w:rPr>
        <w:t>1</w:t>
      </w:r>
      <w:r w:rsidR="00A203C4">
        <w:rPr>
          <w:color w:val="0000FF"/>
          <w:szCs w:val="24"/>
          <w:lang w:eastAsia="zh-CN"/>
        </w:rPr>
        <w:t>7</w:t>
      </w:r>
      <w:r w:rsidRPr="00DF2496">
        <w:rPr>
          <w:szCs w:val="24"/>
          <w:lang w:eastAsia="zh-CN"/>
        </w:rPr>
        <w:t xml:space="preserve">), showing globally positive sensitivity to </w:t>
      </w:r>
      <w:proofErr w:type="spellStart"/>
      <w:r w:rsidRPr="00DF2496">
        <w:rPr>
          <w:szCs w:val="24"/>
          <w:lang w:eastAsia="zh-CN"/>
        </w:rPr>
        <w:t>LAI</w:t>
      </w:r>
      <w:r w:rsidRPr="00DF2496">
        <w:rPr>
          <w:szCs w:val="24"/>
          <w:vertAlign w:val="subscript"/>
          <w:lang w:eastAsia="zh-CN"/>
        </w:rPr>
        <w:t>dead</w:t>
      </w:r>
      <w:proofErr w:type="spellEnd"/>
      <w:r w:rsidRPr="00DF2496">
        <w:rPr>
          <w:szCs w:val="24"/>
          <w:lang w:eastAsia="zh-CN"/>
        </w:rPr>
        <w:t xml:space="preserve"> and regional contrasting sensitivity to </w:t>
      </w:r>
      <w:proofErr w:type="spellStart"/>
      <w:r w:rsidRPr="00DF2496">
        <w:rPr>
          <w:szCs w:val="24"/>
          <w:lang w:eastAsia="zh-CN"/>
        </w:rPr>
        <w:t>LAI</w:t>
      </w:r>
      <w:r w:rsidRPr="00DF2496">
        <w:rPr>
          <w:szCs w:val="24"/>
          <w:vertAlign w:val="subscript"/>
          <w:lang w:eastAsia="zh-CN"/>
        </w:rPr>
        <w:t>live</w:t>
      </w:r>
      <w:proofErr w:type="spellEnd"/>
      <w:r w:rsidRPr="00DF2496">
        <w:rPr>
          <w:szCs w:val="24"/>
          <w:lang w:eastAsia="zh-CN"/>
        </w:rPr>
        <w:t>.</w:t>
      </w:r>
    </w:p>
    <w:p w14:paraId="008131A8" w14:textId="168B36E9" w:rsidR="00E07EC5" w:rsidRPr="001642D5" w:rsidRDefault="00E07EC5" w:rsidP="001642D5">
      <w:pPr>
        <w:pStyle w:val="SMText"/>
        <w:spacing w:before="120" w:after="120" w:line="360" w:lineRule="exact"/>
        <w:ind w:firstLineChars="200"/>
        <w:jc w:val="both"/>
        <w:rPr>
          <w:szCs w:val="24"/>
          <w:lang w:eastAsia="zh-CN"/>
        </w:rPr>
      </w:pPr>
      <w:r>
        <w:br w:type="page"/>
      </w:r>
    </w:p>
    <w:p w14:paraId="18873198" w14:textId="2ED83590" w:rsidR="003026D1" w:rsidRDefault="006276D3" w:rsidP="003026D1">
      <w:pPr>
        <w:spacing w:before="120" w:after="120" w:line="360" w:lineRule="auto"/>
        <w:jc w:val="center"/>
      </w:pPr>
      <w:r>
        <w:rPr>
          <w:noProof/>
        </w:rPr>
        <w:lastRenderedPageBreak/>
        <w:drawing>
          <wp:inline distT="0" distB="0" distL="0" distR="0" wp14:anchorId="378BA32A" wp14:editId="0A2DB97C">
            <wp:extent cx="5687009" cy="6130456"/>
            <wp:effectExtent l="0" t="0" r="9525"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_Fig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98922" cy="6143298"/>
                    </a:xfrm>
                    <a:prstGeom prst="rect">
                      <a:avLst/>
                    </a:prstGeom>
                  </pic:spPr>
                </pic:pic>
              </a:graphicData>
            </a:graphic>
          </wp:inline>
        </w:drawing>
      </w:r>
    </w:p>
    <w:p w14:paraId="15865AA7" w14:textId="5CA3F403" w:rsidR="003026D1" w:rsidRDefault="003026D1" w:rsidP="003026D1">
      <w:pPr>
        <w:spacing w:before="120" w:after="120" w:line="360" w:lineRule="auto"/>
        <w:jc w:val="both"/>
      </w:pPr>
      <w:r>
        <w:rPr>
          <w:b/>
          <w:bCs/>
        </w:rPr>
        <w:t>Fig. S</w:t>
      </w:r>
      <w:r w:rsidR="0044496F">
        <w:rPr>
          <w:b/>
          <w:bCs/>
        </w:rPr>
        <w:t>1</w:t>
      </w:r>
      <w:r w:rsidR="00E265E1">
        <w:rPr>
          <w:b/>
          <w:bCs/>
        </w:rPr>
        <w:t xml:space="preserve"> |</w:t>
      </w:r>
      <w:r>
        <w:rPr>
          <w:b/>
          <w:bCs/>
        </w:rPr>
        <w:t xml:space="preserve"> </w:t>
      </w:r>
      <w:r w:rsidR="00DD3A9C">
        <w:rPr>
          <w:b/>
          <w:bCs/>
        </w:rPr>
        <w:t xml:space="preserve">Long-term trends in </w:t>
      </w:r>
      <w:proofErr w:type="spellStart"/>
      <w:r w:rsidR="00DD3A9C">
        <w:rPr>
          <w:b/>
          <w:bCs/>
        </w:rPr>
        <w:t>LAI</w:t>
      </w:r>
      <w:r w:rsidR="00DD3A9C" w:rsidRPr="008C7C2F">
        <w:rPr>
          <w:b/>
          <w:bCs/>
          <w:vertAlign w:val="subscript"/>
        </w:rPr>
        <w:t>live</w:t>
      </w:r>
      <w:proofErr w:type="spellEnd"/>
      <w:r w:rsidR="00DD3A9C">
        <w:rPr>
          <w:b/>
          <w:bCs/>
        </w:rPr>
        <w:t xml:space="preserve"> (left) and </w:t>
      </w:r>
      <w:proofErr w:type="spellStart"/>
      <w:r w:rsidR="00DD3A9C">
        <w:rPr>
          <w:b/>
          <w:bCs/>
        </w:rPr>
        <w:t>LAI</w:t>
      </w:r>
      <w:r w:rsidR="00DD3A9C" w:rsidRPr="008C7C2F">
        <w:rPr>
          <w:b/>
          <w:bCs/>
          <w:vertAlign w:val="subscript"/>
        </w:rPr>
        <w:t>dead</w:t>
      </w:r>
      <w:proofErr w:type="spellEnd"/>
      <w:r w:rsidR="00DD3A9C">
        <w:rPr>
          <w:b/>
          <w:bCs/>
        </w:rPr>
        <w:t xml:space="preserve"> (right) over the period 2002-2020 for GLASS (</w:t>
      </w:r>
      <w:r w:rsidR="00BC4C29">
        <w:rPr>
          <w:b/>
          <w:bCs/>
        </w:rPr>
        <w:t>a</w:t>
      </w:r>
      <w:r w:rsidR="00DD3A9C">
        <w:rPr>
          <w:b/>
          <w:bCs/>
        </w:rPr>
        <w:t xml:space="preserve">, </w:t>
      </w:r>
      <w:r w:rsidR="00BC4C29">
        <w:rPr>
          <w:b/>
          <w:bCs/>
        </w:rPr>
        <w:t>b</w:t>
      </w:r>
      <w:r w:rsidR="00DD3A9C">
        <w:rPr>
          <w:b/>
          <w:bCs/>
        </w:rPr>
        <w:t>), MODIS (</w:t>
      </w:r>
      <w:r w:rsidR="00BC4C29">
        <w:rPr>
          <w:b/>
          <w:bCs/>
        </w:rPr>
        <w:t>c</w:t>
      </w:r>
      <w:r w:rsidR="00DD3A9C">
        <w:rPr>
          <w:b/>
          <w:bCs/>
        </w:rPr>
        <w:t xml:space="preserve">, </w:t>
      </w:r>
      <w:r w:rsidR="00BC4C29">
        <w:rPr>
          <w:b/>
          <w:bCs/>
        </w:rPr>
        <w:t>d</w:t>
      </w:r>
      <w:r w:rsidR="00DD3A9C">
        <w:rPr>
          <w:b/>
          <w:bCs/>
        </w:rPr>
        <w:t>)</w:t>
      </w:r>
      <w:r w:rsidR="00DD3A9C">
        <w:rPr>
          <w:rFonts w:hint="eastAsia"/>
          <w:b/>
          <w:bCs/>
        </w:rPr>
        <w:t>,</w:t>
      </w:r>
      <w:r w:rsidR="00DD3A9C">
        <w:rPr>
          <w:b/>
          <w:bCs/>
        </w:rPr>
        <w:t xml:space="preserve"> GLOBMAP (</w:t>
      </w:r>
      <w:r w:rsidR="00BC4C29">
        <w:rPr>
          <w:b/>
          <w:bCs/>
        </w:rPr>
        <w:t>e</w:t>
      </w:r>
      <w:r w:rsidR="00DD3A9C">
        <w:rPr>
          <w:b/>
          <w:bCs/>
        </w:rPr>
        <w:t xml:space="preserve">, </w:t>
      </w:r>
      <w:r w:rsidR="00BC4C29">
        <w:rPr>
          <w:b/>
          <w:bCs/>
        </w:rPr>
        <w:t>f</w:t>
      </w:r>
      <w:r w:rsidR="00DD3A9C">
        <w:rPr>
          <w:b/>
          <w:bCs/>
        </w:rPr>
        <w:t>) and GIMMS (</w:t>
      </w:r>
      <w:r w:rsidR="00BC4C29">
        <w:rPr>
          <w:b/>
          <w:bCs/>
        </w:rPr>
        <w:t>g</w:t>
      </w:r>
      <w:r w:rsidR="00DD3A9C">
        <w:rPr>
          <w:b/>
          <w:bCs/>
        </w:rPr>
        <w:t xml:space="preserve">, </w:t>
      </w:r>
      <w:r w:rsidR="00BC4C29">
        <w:rPr>
          <w:b/>
          <w:bCs/>
        </w:rPr>
        <w:t>h</w:t>
      </w:r>
      <w:r w:rsidR="00DD3A9C">
        <w:rPr>
          <w:b/>
          <w:bCs/>
        </w:rPr>
        <w:t xml:space="preserve">) LAI products. </w:t>
      </w:r>
      <w:r w:rsidR="00DD3A9C" w:rsidRPr="00013038">
        <w:t>T</w:t>
      </w:r>
      <w:r w:rsidR="00DD3A9C" w:rsidRPr="00013038">
        <w:rPr>
          <w:rFonts w:hint="eastAsia"/>
        </w:rPr>
        <w:t>h</w:t>
      </w:r>
      <w:r w:rsidR="00DD3A9C" w:rsidRPr="00013038">
        <w:t>e black dots indicate regions with significant trend (</w:t>
      </w:r>
      <w:r w:rsidR="00DD3A9C" w:rsidRPr="001C0F8A">
        <w:rPr>
          <w:i/>
          <w:iCs/>
        </w:rPr>
        <w:t>p</w:t>
      </w:r>
      <w:r w:rsidR="00DD3A9C" w:rsidRPr="009A70E3">
        <w:rPr>
          <w:iCs/>
        </w:rPr>
        <w:t>-value</w:t>
      </w:r>
      <w:r w:rsidR="00DD3A9C" w:rsidRPr="00013038">
        <w:t xml:space="preserve"> &lt; 0.1). The insets at bottom left represent median trends for global</w:t>
      </w:r>
      <w:r w:rsidR="00DD3A9C">
        <w:t xml:space="preserve"> (red)</w:t>
      </w:r>
      <w:r w:rsidR="00DD3A9C" w:rsidRPr="00013038">
        <w:t>, tropical</w:t>
      </w:r>
      <w:r w:rsidR="00DD3A9C">
        <w:t xml:space="preserve"> (green)</w:t>
      </w:r>
      <w:r w:rsidR="00DD3A9C" w:rsidRPr="00013038">
        <w:t>, arid</w:t>
      </w:r>
      <w:r w:rsidR="00DD3A9C">
        <w:t xml:space="preserve"> (orange)</w:t>
      </w:r>
      <w:r w:rsidR="00DD3A9C" w:rsidRPr="00013038">
        <w:t>, temperate</w:t>
      </w:r>
      <w:r w:rsidR="00DD3A9C">
        <w:t xml:space="preserve"> (pink),</w:t>
      </w:r>
      <w:r w:rsidR="00DD3A9C" w:rsidRPr="00013038">
        <w:t xml:space="preserve"> and cold</w:t>
      </w:r>
      <w:r w:rsidR="00DD3A9C">
        <w:t xml:space="preserve"> (blue)</w:t>
      </w:r>
      <w:r w:rsidR="00DD3A9C" w:rsidRPr="00013038">
        <w:t xml:space="preserve"> regions.</w:t>
      </w:r>
    </w:p>
    <w:p w14:paraId="02015D6D" w14:textId="09052272" w:rsidR="003026D1" w:rsidRDefault="003026D1" w:rsidP="003026D1">
      <w:pPr>
        <w:spacing w:before="120" w:after="120" w:line="360" w:lineRule="auto"/>
        <w:jc w:val="both"/>
      </w:pPr>
      <w:r>
        <w:br w:type="page"/>
      </w:r>
    </w:p>
    <w:p w14:paraId="76944227" w14:textId="71DBD9C1" w:rsidR="00DD3A9C" w:rsidRDefault="00063B5E" w:rsidP="003026D1">
      <w:pPr>
        <w:spacing w:before="120" w:after="120" w:line="360" w:lineRule="auto"/>
        <w:jc w:val="center"/>
      </w:pPr>
      <w:r>
        <w:rPr>
          <w:noProof/>
        </w:rPr>
        <w:lastRenderedPageBreak/>
        <w:drawing>
          <wp:inline distT="0" distB="0" distL="0" distR="0" wp14:anchorId="1A3DB495" wp14:editId="2016B23D">
            <wp:extent cx="5939624" cy="3054664"/>
            <wp:effectExtent l="0" t="0" r="444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I_Fig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60233" cy="3065263"/>
                    </a:xfrm>
                    <a:prstGeom prst="rect">
                      <a:avLst/>
                    </a:prstGeom>
                  </pic:spPr>
                </pic:pic>
              </a:graphicData>
            </a:graphic>
          </wp:inline>
        </w:drawing>
      </w:r>
    </w:p>
    <w:p w14:paraId="25071B79" w14:textId="7CE0F6E2" w:rsidR="003026D1" w:rsidRDefault="003026D1" w:rsidP="003026D1">
      <w:pPr>
        <w:spacing w:before="120" w:after="120" w:line="360" w:lineRule="auto"/>
        <w:jc w:val="both"/>
      </w:pPr>
      <w:r>
        <w:rPr>
          <w:b/>
          <w:bCs/>
        </w:rPr>
        <w:t>Fig. S</w:t>
      </w:r>
      <w:r w:rsidR="00E265E1">
        <w:rPr>
          <w:b/>
          <w:bCs/>
        </w:rPr>
        <w:t>2 |</w:t>
      </w:r>
      <w:r>
        <w:rPr>
          <w:b/>
          <w:bCs/>
        </w:rPr>
        <w:t xml:space="preserve"> </w:t>
      </w:r>
      <w:r w:rsidR="00DD3A9C">
        <w:rPr>
          <w:b/>
          <w:bCs/>
        </w:rPr>
        <w:t xml:space="preserve">Long-term trends in burned fraction (BF) for MCD64A1 V6 and FireCCI51 burned area products over the period 2002-2020. </w:t>
      </w:r>
      <w:r w:rsidR="00BC4C29">
        <w:rPr>
          <w:b/>
          <w:bCs/>
        </w:rPr>
        <w:t>a</w:t>
      </w:r>
      <w:r w:rsidR="00DD3A9C" w:rsidRPr="00713BE3">
        <w:t xml:space="preserve">, </w:t>
      </w:r>
      <w:r w:rsidR="00DD3A9C">
        <w:t>Long-term trends in</w:t>
      </w:r>
      <w:r w:rsidR="00DD3A9C" w:rsidRPr="00713BE3">
        <w:t xml:space="preserve"> BF </w:t>
      </w:r>
      <w:r w:rsidR="00DD3A9C">
        <w:t>(</w:t>
      </w:r>
      <w:proofErr w:type="spellStart"/>
      <w:r w:rsidR="00DD3A9C" w:rsidRPr="001C0F8A">
        <w:rPr>
          <w:rFonts w:ascii="Cambria Math" w:eastAsia="等线" w:hAnsi="Cambria Math"/>
        </w:rPr>
        <w:t>δ</w:t>
      </w:r>
      <w:r w:rsidR="00DD3A9C">
        <w:t>BF</w:t>
      </w:r>
      <w:proofErr w:type="spellEnd"/>
      <w:r w:rsidR="00DD3A9C">
        <w:t xml:space="preserve">) </w:t>
      </w:r>
      <w:r w:rsidR="00DD3A9C" w:rsidRPr="00713BE3">
        <w:t>of MCD64A1</w:t>
      </w:r>
      <w:r w:rsidR="00DD3A9C">
        <w:t xml:space="preserve"> V</w:t>
      </w:r>
      <w:r w:rsidR="00DD3A9C" w:rsidRPr="00713BE3">
        <w:t>6 product.</w:t>
      </w:r>
      <w:r w:rsidR="00DD3A9C">
        <w:t xml:space="preserve"> The black dots indicate regions with significant trend (</w:t>
      </w:r>
      <w:r w:rsidR="00DD3A9C" w:rsidRPr="001C0F8A">
        <w:rPr>
          <w:i/>
          <w:iCs/>
        </w:rPr>
        <w:t>p</w:t>
      </w:r>
      <w:r w:rsidR="00DD3A9C" w:rsidRPr="009A70E3">
        <w:rPr>
          <w:iCs/>
        </w:rPr>
        <w:t>-value</w:t>
      </w:r>
      <w:r w:rsidR="00DD3A9C" w:rsidRPr="009A70E3">
        <w:t xml:space="preserve"> </w:t>
      </w:r>
      <w:r w:rsidR="00DD3A9C">
        <w:t>&lt; 0.1).</w:t>
      </w:r>
      <w:r w:rsidR="00DD3A9C" w:rsidRPr="00713BE3">
        <w:t xml:space="preserve"> </w:t>
      </w:r>
      <w:r w:rsidR="00BC4C29">
        <w:rPr>
          <w:b/>
          <w:bCs/>
        </w:rPr>
        <w:t>b</w:t>
      </w:r>
      <w:r w:rsidR="00DD3A9C" w:rsidRPr="00713BE3">
        <w:t xml:space="preserve">, Latitudinal median of </w:t>
      </w:r>
      <w:proofErr w:type="spellStart"/>
      <w:r w:rsidR="00DD3A9C" w:rsidRPr="001C0F8A">
        <w:rPr>
          <w:rFonts w:ascii="Cambria Math" w:eastAsia="等线" w:hAnsi="Cambria Math"/>
        </w:rPr>
        <w:t>δ</w:t>
      </w:r>
      <w:r w:rsidR="00DD3A9C">
        <w:t>BF</w:t>
      </w:r>
      <w:proofErr w:type="spellEnd"/>
      <w:r w:rsidR="00DD3A9C" w:rsidRPr="00713BE3">
        <w:t xml:space="preserve">. The shaded area indicates </w:t>
      </w:r>
      <w:r w:rsidR="00DD3A9C">
        <w:t xml:space="preserve">the </w:t>
      </w:r>
      <w:r w:rsidR="00DD3A9C" w:rsidRPr="00713BE3">
        <w:t xml:space="preserve">standard deviation of each latitudinal zone. </w:t>
      </w:r>
      <w:r w:rsidR="00BC4C29">
        <w:rPr>
          <w:b/>
          <w:bCs/>
        </w:rPr>
        <w:t>c</w:t>
      </w:r>
      <w:r w:rsidR="00DD3A9C" w:rsidRPr="00713BE3">
        <w:t xml:space="preserve">, </w:t>
      </w:r>
      <w:proofErr w:type="spellStart"/>
      <w:r w:rsidR="00DD3A9C" w:rsidRPr="001C0F8A">
        <w:rPr>
          <w:rFonts w:ascii="Cambria Math" w:eastAsia="等线" w:hAnsi="Cambria Math"/>
        </w:rPr>
        <w:t>δ</w:t>
      </w:r>
      <w:r w:rsidR="00DD3A9C">
        <w:t>BF</w:t>
      </w:r>
      <w:proofErr w:type="spellEnd"/>
      <w:r w:rsidR="00DD3A9C" w:rsidRPr="00713BE3">
        <w:t xml:space="preserve"> binned as a function of annual mean temperature</w:t>
      </w:r>
      <w:r w:rsidR="00DD3A9C">
        <w:t xml:space="preserve"> (T)</w:t>
      </w:r>
      <w:r w:rsidR="00DD3A9C" w:rsidRPr="00713BE3">
        <w:t xml:space="preserve"> and precipitation</w:t>
      </w:r>
      <w:r w:rsidR="00DD3A9C">
        <w:t xml:space="preserve"> (PRE)</w:t>
      </w:r>
      <w:r w:rsidR="00DD3A9C" w:rsidRPr="00713BE3">
        <w:t>.</w:t>
      </w:r>
      <w:r w:rsidR="00DD3A9C">
        <w:t xml:space="preserve"> </w:t>
      </w:r>
      <w:r w:rsidR="00BC4C29">
        <w:rPr>
          <w:b/>
          <w:bCs/>
        </w:rPr>
        <w:t>d</w:t>
      </w:r>
      <w:r w:rsidR="00DD3A9C" w:rsidRPr="00713BE3">
        <w:rPr>
          <w:b/>
          <w:bCs/>
        </w:rPr>
        <w:t>-</w:t>
      </w:r>
      <w:r w:rsidR="00BC4C29">
        <w:rPr>
          <w:b/>
          <w:bCs/>
        </w:rPr>
        <w:t>f</w:t>
      </w:r>
      <w:r w:rsidR="00DD3A9C">
        <w:t xml:space="preserve">, Same as </w:t>
      </w:r>
      <w:r w:rsidR="00BC4C29">
        <w:rPr>
          <w:b/>
          <w:bCs/>
        </w:rPr>
        <w:t>a</w:t>
      </w:r>
      <w:r w:rsidR="00DD3A9C" w:rsidRPr="00713BE3">
        <w:rPr>
          <w:b/>
          <w:bCs/>
        </w:rPr>
        <w:t>-</w:t>
      </w:r>
      <w:r w:rsidR="00BC4C29">
        <w:rPr>
          <w:b/>
          <w:bCs/>
        </w:rPr>
        <w:t>c</w:t>
      </w:r>
      <w:r w:rsidR="00DD3A9C">
        <w:t xml:space="preserve"> but for FireCCI51 burned area product.</w:t>
      </w:r>
    </w:p>
    <w:p w14:paraId="62BC17FC" w14:textId="3925FC03" w:rsidR="008D2843" w:rsidRDefault="003026D1" w:rsidP="00C45068">
      <w:pPr>
        <w:spacing w:before="120" w:after="120" w:line="360" w:lineRule="auto"/>
        <w:jc w:val="both"/>
      </w:pPr>
      <w:r>
        <w:br w:type="page"/>
      </w:r>
    </w:p>
    <w:p w14:paraId="779CF230" w14:textId="14FE2E2D" w:rsidR="0054592D" w:rsidRDefault="0094309B" w:rsidP="0054592D">
      <w:pPr>
        <w:spacing w:before="120" w:after="120" w:line="360" w:lineRule="auto"/>
        <w:jc w:val="center"/>
      </w:pPr>
      <w:r>
        <w:rPr>
          <w:noProof/>
        </w:rPr>
        <w:lastRenderedPageBreak/>
        <w:drawing>
          <wp:inline distT="0" distB="0" distL="0" distR="0" wp14:anchorId="763E3A07" wp14:editId="5CA34F6E">
            <wp:extent cx="5916848" cy="2727297"/>
            <wp:effectExtent l="0" t="0" r="825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pplementary-Fig8-koppen-geiger-climate-map-scienc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58765" cy="2746618"/>
                    </a:xfrm>
                    <a:prstGeom prst="rect">
                      <a:avLst/>
                    </a:prstGeom>
                  </pic:spPr>
                </pic:pic>
              </a:graphicData>
            </a:graphic>
          </wp:inline>
        </w:drawing>
      </w:r>
    </w:p>
    <w:p w14:paraId="1D6FEF2F" w14:textId="3A91553F" w:rsidR="0054592D" w:rsidRDefault="0054592D" w:rsidP="0054592D">
      <w:pPr>
        <w:spacing w:before="120" w:after="120" w:line="360" w:lineRule="auto"/>
        <w:jc w:val="both"/>
        <w:rPr>
          <w:b/>
          <w:bCs/>
        </w:rPr>
      </w:pPr>
      <w:r>
        <w:rPr>
          <w:b/>
          <w:bCs/>
        </w:rPr>
        <w:t>Fig. S</w:t>
      </w:r>
      <w:r w:rsidR="00E265E1">
        <w:rPr>
          <w:b/>
          <w:bCs/>
        </w:rPr>
        <w:t>3 |</w:t>
      </w:r>
      <w:r>
        <w:rPr>
          <w:b/>
          <w:bCs/>
        </w:rPr>
        <w:t xml:space="preserve"> Global map of tropical, arid, temperate, and cold regions derived from </w:t>
      </w:r>
      <w:proofErr w:type="spellStart"/>
      <w:r>
        <w:rPr>
          <w:b/>
          <w:bCs/>
        </w:rPr>
        <w:t>K</w:t>
      </w:r>
      <w:r w:rsidRPr="00F95486">
        <w:rPr>
          <w:rFonts w:eastAsia="等线"/>
          <w:b/>
          <w:bCs/>
        </w:rPr>
        <w:t>ö</w:t>
      </w:r>
      <w:r>
        <w:rPr>
          <w:b/>
          <w:bCs/>
        </w:rPr>
        <w:t>ppen</w:t>
      </w:r>
      <w:proofErr w:type="spellEnd"/>
      <w:r>
        <w:rPr>
          <w:b/>
          <w:bCs/>
        </w:rPr>
        <w:t>-Geiger climate classification map.</w:t>
      </w:r>
    </w:p>
    <w:p w14:paraId="669845D8" w14:textId="537F0352" w:rsidR="0054592D" w:rsidRDefault="0054592D" w:rsidP="0054592D">
      <w:pPr>
        <w:spacing w:before="120" w:after="120" w:line="360" w:lineRule="auto"/>
        <w:jc w:val="both"/>
        <w:rPr>
          <w:b/>
          <w:bCs/>
        </w:rPr>
      </w:pPr>
      <w:r>
        <w:rPr>
          <w:b/>
          <w:bCs/>
        </w:rPr>
        <w:br w:type="page"/>
      </w:r>
    </w:p>
    <w:p w14:paraId="6085A43E" w14:textId="604AE536" w:rsidR="000C30E0" w:rsidRDefault="00063B5E" w:rsidP="000C30E0">
      <w:pPr>
        <w:spacing w:before="120" w:after="120" w:line="360" w:lineRule="auto"/>
        <w:jc w:val="center"/>
      </w:pPr>
      <w:r>
        <w:rPr>
          <w:noProof/>
        </w:rPr>
        <w:lastRenderedPageBreak/>
        <w:drawing>
          <wp:inline distT="0" distB="0" distL="0" distR="0" wp14:anchorId="34484260" wp14:editId="67F2226A">
            <wp:extent cx="5931673" cy="373456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I_Fig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8016" cy="3744849"/>
                    </a:xfrm>
                    <a:prstGeom prst="rect">
                      <a:avLst/>
                    </a:prstGeom>
                  </pic:spPr>
                </pic:pic>
              </a:graphicData>
            </a:graphic>
          </wp:inline>
        </w:drawing>
      </w:r>
    </w:p>
    <w:p w14:paraId="7BE01C33" w14:textId="23922CCF" w:rsidR="00D10149" w:rsidRDefault="000C30E0" w:rsidP="00D10149">
      <w:pPr>
        <w:spacing w:before="120" w:after="120" w:line="360" w:lineRule="exact"/>
        <w:jc w:val="both"/>
      </w:pPr>
      <w:r>
        <w:rPr>
          <w:b/>
          <w:bCs/>
        </w:rPr>
        <w:t>Fig. S4 | R</w:t>
      </w:r>
      <w:r>
        <w:rPr>
          <w:rFonts w:hint="eastAsia"/>
          <w:b/>
          <w:bCs/>
          <w:lang w:eastAsia="zh-CN"/>
        </w:rPr>
        <w:t>el</w:t>
      </w:r>
      <w:r>
        <w:rPr>
          <w:b/>
          <w:bCs/>
        </w:rPr>
        <w:t>ationships between the fire sensitivities to vegetation greening derived from NPP (</w:t>
      </w:r>
      <w:r w:rsidRPr="00FC18DD">
        <w:rPr>
          <w:rFonts w:ascii="Cambria Math" w:hAnsi="Cambria Math"/>
          <w:b/>
          <w:bCs/>
        </w:rPr>
        <w:t>∂</w:t>
      </w:r>
      <w:r w:rsidRPr="00FC18DD">
        <w:rPr>
          <w:b/>
          <w:bCs/>
        </w:rPr>
        <w:t>BF/</w:t>
      </w:r>
      <w:r w:rsidRPr="00FC18DD">
        <w:rPr>
          <w:rFonts w:ascii="Cambria Math" w:hAnsi="Cambria Math"/>
          <w:b/>
          <w:bCs/>
        </w:rPr>
        <w:t>∂</w:t>
      </w:r>
      <w:r w:rsidRPr="00FC18DD">
        <w:rPr>
          <w:b/>
          <w:bCs/>
        </w:rPr>
        <w:t>NPP</w:t>
      </w:r>
      <w:r>
        <w:rPr>
          <w:b/>
          <w:bCs/>
        </w:rPr>
        <w:t>) and those from LAI (</w:t>
      </w:r>
      <w:r w:rsidRPr="00FC18DD">
        <w:rPr>
          <w:rFonts w:ascii="Cambria Math" w:eastAsia="微软雅黑" w:hAnsi="Cambria Math"/>
          <w:b/>
          <w:bCs/>
        </w:rPr>
        <w:t>∂</w:t>
      </w:r>
      <w:r w:rsidRPr="00FC18DD">
        <w:rPr>
          <w:rFonts w:eastAsia="微软雅黑"/>
          <w:b/>
          <w:bCs/>
        </w:rPr>
        <w:t>BF/</w:t>
      </w:r>
      <w:r w:rsidRPr="00FC18DD">
        <w:rPr>
          <w:rFonts w:ascii="Cambria Math" w:eastAsia="微软雅黑" w:hAnsi="Cambria Math"/>
          <w:b/>
          <w:bCs/>
        </w:rPr>
        <w:t>∂</w:t>
      </w:r>
      <w:r w:rsidRPr="00FC18DD">
        <w:rPr>
          <w:rFonts w:eastAsia="微软雅黑"/>
          <w:b/>
          <w:bCs/>
        </w:rPr>
        <w:t>LAI</w:t>
      </w:r>
      <w:r>
        <w:rPr>
          <w:b/>
          <w:bCs/>
        </w:rPr>
        <w:t xml:space="preserve">). </w:t>
      </w:r>
      <w:r w:rsidR="00BC4C29">
        <w:rPr>
          <w:b/>
          <w:bCs/>
        </w:rPr>
        <w:t>a</w:t>
      </w:r>
      <w:r>
        <w:rPr>
          <w:b/>
          <w:bCs/>
        </w:rPr>
        <w:t xml:space="preserve">, </w:t>
      </w:r>
      <w:r>
        <w:rPr>
          <w:bCs/>
        </w:rPr>
        <w:t>Global</w:t>
      </w:r>
      <w:r>
        <w:t xml:space="preserve"> patterns of </w:t>
      </w:r>
      <w:r w:rsidRPr="00722D53">
        <w:rPr>
          <w:rFonts w:ascii="Cambria Math" w:eastAsia="微软雅黑" w:hAnsi="Cambria Math"/>
          <w:bCs/>
        </w:rPr>
        <w:t>∂</w:t>
      </w:r>
      <w:r w:rsidRPr="00722D53">
        <w:rPr>
          <w:rFonts w:eastAsia="微软雅黑"/>
          <w:bCs/>
        </w:rPr>
        <w:t>BF/</w:t>
      </w:r>
      <w:r w:rsidRPr="00722D53">
        <w:rPr>
          <w:rFonts w:ascii="Cambria Math" w:eastAsia="微软雅黑" w:hAnsi="Cambria Math"/>
          <w:bCs/>
        </w:rPr>
        <w:t>∂</w:t>
      </w:r>
      <w:proofErr w:type="spellStart"/>
      <w:r>
        <w:rPr>
          <w:rFonts w:eastAsia="微软雅黑"/>
          <w:bCs/>
        </w:rPr>
        <w:t>NPP</w:t>
      </w:r>
      <w:r>
        <w:rPr>
          <w:rFonts w:eastAsia="微软雅黑"/>
          <w:bCs/>
          <w:vertAlign w:val="subscript"/>
        </w:rPr>
        <w:t>dead</w:t>
      </w:r>
      <w:proofErr w:type="spellEnd"/>
      <w:r>
        <w:rPr>
          <w:bCs/>
        </w:rPr>
        <w:t>.</w:t>
      </w:r>
      <w:r w:rsidRPr="0061377A">
        <w:t xml:space="preserve"> The black dots indicate regions with significant sensitivity (</w:t>
      </w:r>
      <w:r w:rsidRPr="001C0F8A">
        <w:rPr>
          <w:i/>
          <w:iCs/>
        </w:rPr>
        <w:t>p</w:t>
      </w:r>
      <w:r w:rsidRPr="009A70E3">
        <w:rPr>
          <w:iCs/>
        </w:rPr>
        <w:t>-value</w:t>
      </w:r>
      <w:r w:rsidRPr="0061377A">
        <w:t xml:space="preserve"> &lt; 0.1). The inset at bottom left indicates </w:t>
      </w:r>
      <w:r>
        <w:t xml:space="preserve">the </w:t>
      </w:r>
      <w:r w:rsidRPr="0061377A">
        <w:t>median sensitivit</w:t>
      </w:r>
      <w:r>
        <w:t>ies</w:t>
      </w:r>
      <w:r w:rsidRPr="0061377A">
        <w:t xml:space="preserve"> for global (red), tropical (green), arid (orange), temperate (pink)</w:t>
      </w:r>
      <w:r>
        <w:t>,</w:t>
      </w:r>
      <w:r w:rsidRPr="0061377A">
        <w:t xml:space="preserve"> and cold (blue) regions</w:t>
      </w:r>
      <w:r>
        <w:t xml:space="preserve">. </w:t>
      </w:r>
      <w:r w:rsidR="00BC4C29">
        <w:rPr>
          <w:b/>
        </w:rPr>
        <w:t>b</w:t>
      </w:r>
      <w:r w:rsidRPr="00722D53">
        <w:rPr>
          <w:b/>
        </w:rPr>
        <w:t>,</w:t>
      </w:r>
      <w:r>
        <w:t xml:space="preserve"> Comparison between </w:t>
      </w:r>
      <w:r w:rsidRPr="00722D53">
        <w:rPr>
          <w:rFonts w:ascii="Cambria Math" w:eastAsia="微软雅黑" w:hAnsi="Cambria Math"/>
          <w:bCs/>
        </w:rPr>
        <w:t>∂</w:t>
      </w:r>
      <w:r w:rsidRPr="00722D53">
        <w:rPr>
          <w:rFonts w:eastAsia="微软雅黑"/>
          <w:bCs/>
        </w:rPr>
        <w:t>BF/</w:t>
      </w:r>
      <w:r w:rsidRPr="00722D53">
        <w:rPr>
          <w:rFonts w:ascii="Cambria Math" w:eastAsia="微软雅黑" w:hAnsi="Cambria Math"/>
          <w:bCs/>
        </w:rPr>
        <w:t>∂</w:t>
      </w:r>
      <w:proofErr w:type="spellStart"/>
      <w:r>
        <w:rPr>
          <w:rFonts w:eastAsia="微软雅黑"/>
          <w:bCs/>
        </w:rPr>
        <w:t>NPP</w:t>
      </w:r>
      <w:r>
        <w:rPr>
          <w:rFonts w:eastAsia="微软雅黑"/>
          <w:bCs/>
          <w:vertAlign w:val="subscript"/>
        </w:rPr>
        <w:t>dead</w:t>
      </w:r>
      <w:proofErr w:type="spellEnd"/>
      <w:r>
        <w:t xml:space="preserve"> and </w:t>
      </w:r>
      <w:r w:rsidRPr="00722D53">
        <w:rPr>
          <w:rFonts w:ascii="Cambria Math" w:eastAsia="微软雅黑" w:hAnsi="Cambria Math"/>
          <w:bCs/>
        </w:rPr>
        <w:t>∂</w:t>
      </w:r>
      <w:r w:rsidRPr="00722D53">
        <w:rPr>
          <w:rFonts w:eastAsia="微软雅黑"/>
          <w:bCs/>
        </w:rPr>
        <w:t>BF/</w:t>
      </w:r>
      <w:r w:rsidRPr="00722D53">
        <w:rPr>
          <w:rFonts w:ascii="Cambria Math" w:eastAsia="微软雅黑" w:hAnsi="Cambria Math"/>
          <w:bCs/>
        </w:rPr>
        <w:t>∂</w:t>
      </w:r>
      <w:proofErr w:type="spellStart"/>
      <w:r>
        <w:rPr>
          <w:rFonts w:eastAsia="微软雅黑"/>
          <w:bCs/>
        </w:rPr>
        <w:t>LAI</w:t>
      </w:r>
      <w:r>
        <w:rPr>
          <w:rFonts w:eastAsia="微软雅黑"/>
          <w:bCs/>
          <w:vertAlign w:val="subscript"/>
        </w:rPr>
        <w:t>dead</w:t>
      </w:r>
      <w:proofErr w:type="spellEnd"/>
      <w:r>
        <w:t xml:space="preserve">. </w:t>
      </w:r>
      <w:r w:rsidR="00BC4C29">
        <w:rPr>
          <w:b/>
        </w:rPr>
        <w:t>c</w:t>
      </w:r>
      <w:r>
        <w:rPr>
          <w:b/>
        </w:rPr>
        <w:t>-</w:t>
      </w:r>
      <w:r w:rsidR="00BC4C29">
        <w:rPr>
          <w:b/>
        </w:rPr>
        <w:t>d</w:t>
      </w:r>
      <w:r w:rsidRPr="00E16C13">
        <w:rPr>
          <w:b/>
        </w:rPr>
        <w:t>,</w:t>
      </w:r>
      <w:r>
        <w:t xml:space="preserve"> Same as </w:t>
      </w:r>
      <w:r w:rsidR="00BC4C29">
        <w:rPr>
          <w:b/>
        </w:rPr>
        <w:t>a-b</w:t>
      </w:r>
      <w:r>
        <w:t xml:space="preserve"> but for the comparison between </w:t>
      </w:r>
      <w:r w:rsidRPr="00722D53">
        <w:rPr>
          <w:rFonts w:ascii="Cambria Math" w:eastAsia="微软雅黑" w:hAnsi="Cambria Math"/>
          <w:bCs/>
        </w:rPr>
        <w:t>∂</w:t>
      </w:r>
      <w:r w:rsidRPr="00722D53">
        <w:rPr>
          <w:rFonts w:eastAsia="微软雅黑"/>
          <w:bCs/>
        </w:rPr>
        <w:t>BF/</w:t>
      </w:r>
      <w:r w:rsidRPr="00722D53">
        <w:rPr>
          <w:rFonts w:ascii="Cambria Math" w:eastAsia="微软雅黑" w:hAnsi="Cambria Math"/>
          <w:bCs/>
        </w:rPr>
        <w:t>∂</w:t>
      </w:r>
      <w:proofErr w:type="spellStart"/>
      <w:r>
        <w:rPr>
          <w:rFonts w:eastAsia="微软雅黑"/>
          <w:bCs/>
        </w:rPr>
        <w:t>NPP</w:t>
      </w:r>
      <w:r>
        <w:rPr>
          <w:rFonts w:eastAsia="微软雅黑"/>
          <w:bCs/>
          <w:vertAlign w:val="subscript"/>
        </w:rPr>
        <w:t>live</w:t>
      </w:r>
      <w:proofErr w:type="spellEnd"/>
      <w:r>
        <w:t xml:space="preserve"> and </w:t>
      </w:r>
      <w:r w:rsidRPr="00722D53">
        <w:rPr>
          <w:rFonts w:ascii="Cambria Math" w:eastAsia="微软雅黑" w:hAnsi="Cambria Math"/>
          <w:bCs/>
        </w:rPr>
        <w:t>∂</w:t>
      </w:r>
      <w:r w:rsidRPr="00722D53">
        <w:rPr>
          <w:rFonts w:eastAsia="微软雅黑"/>
          <w:bCs/>
        </w:rPr>
        <w:t>BF/</w:t>
      </w:r>
      <w:r w:rsidRPr="00722D53">
        <w:rPr>
          <w:rFonts w:ascii="Cambria Math" w:eastAsia="微软雅黑" w:hAnsi="Cambria Math"/>
          <w:bCs/>
        </w:rPr>
        <w:t>∂</w:t>
      </w:r>
      <w:proofErr w:type="spellStart"/>
      <w:r w:rsidRPr="00722D53">
        <w:rPr>
          <w:rFonts w:eastAsia="微软雅黑"/>
          <w:bCs/>
        </w:rPr>
        <w:t>LAI</w:t>
      </w:r>
      <w:r>
        <w:rPr>
          <w:rFonts w:eastAsia="微软雅黑"/>
          <w:bCs/>
          <w:vertAlign w:val="subscript"/>
        </w:rPr>
        <w:t>live</w:t>
      </w:r>
      <w:proofErr w:type="spellEnd"/>
      <w:r>
        <w:t xml:space="preserve">. </w:t>
      </w:r>
      <w:r w:rsidRPr="00722D53">
        <w:rPr>
          <w:rFonts w:ascii="Cambria Math" w:eastAsia="微软雅黑" w:hAnsi="Cambria Math"/>
          <w:bCs/>
        </w:rPr>
        <w:t>∂</w:t>
      </w:r>
      <w:r w:rsidRPr="00722D53">
        <w:rPr>
          <w:rFonts w:eastAsia="微软雅黑"/>
          <w:bCs/>
        </w:rPr>
        <w:t>BF/</w:t>
      </w:r>
      <w:r w:rsidRPr="00722D53">
        <w:rPr>
          <w:rFonts w:ascii="Cambria Math" w:eastAsia="微软雅黑" w:hAnsi="Cambria Math"/>
          <w:bCs/>
        </w:rPr>
        <w:t>∂</w:t>
      </w:r>
      <w:r>
        <w:rPr>
          <w:rFonts w:eastAsia="微软雅黑"/>
          <w:bCs/>
        </w:rPr>
        <w:t xml:space="preserve">NPP was calculated from MCD64A1 burned area and satellite LAI driven BEPS NPP products. </w:t>
      </w:r>
      <w:r w:rsidRPr="00722D53">
        <w:rPr>
          <w:rFonts w:ascii="Cambria Math" w:eastAsia="微软雅黑" w:hAnsi="Cambria Math"/>
          <w:bCs/>
        </w:rPr>
        <w:t>∂</w:t>
      </w:r>
      <w:r w:rsidRPr="00722D53">
        <w:rPr>
          <w:rFonts w:eastAsia="微软雅黑"/>
          <w:bCs/>
        </w:rPr>
        <w:t>BF/</w:t>
      </w:r>
      <w:r w:rsidRPr="00722D53">
        <w:rPr>
          <w:rFonts w:ascii="Cambria Math" w:eastAsia="微软雅黑" w:hAnsi="Cambria Math"/>
          <w:bCs/>
        </w:rPr>
        <w:t>∂</w:t>
      </w:r>
      <w:r>
        <w:rPr>
          <w:rFonts w:eastAsia="微软雅黑"/>
          <w:bCs/>
        </w:rPr>
        <w:t>LAI was calculated from MCD64A1 burned area and GLOBMAP LAI products, given the BEPS NPP is driven by GLOBMAP LAI.</w:t>
      </w:r>
    </w:p>
    <w:p w14:paraId="5B91EB55" w14:textId="77777777" w:rsidR="006A66C5" w:rsidRDefault="006A66C5" w:rsidP="00D10149">
      <w:pPr>
        <w:spacing w:before="120" w:after="120" w:line="360" w:lineRule="exact"/>
        <w:jc w:val="both"/>
      </w:pPr>
    </w:p>
    <w:p w14:paraId="6313D2F2" w14:textId="77777777" w:rsidR="000C30E0" w:rsidRDefault="000C30E0" w:rsidP="0054592D">
      <w:pPr>
        <w:spacing w:before="120" w:after="120" w:line="360" w:lineRule="auto"/>
        <w:jc w:val="center"/>
        <w:sectPr w:rsidR="000C30E0" w:rsidSect="00071FB9">
          <w:pgSz w:w="12240" w:h="15840"/>
          <w:pgMar w:top="1440" w:right="1440" w:bottom="1440" w:left="1440" w:header="720" w:footer="720" w:gutter="0"/>
          <w:lnNumType w:countBy="1" w:restart="continuous"/>
          <w:cols w:space="720"/>
          <w:docGrid w:linePitch="360"/>
        </w:sectPr>
      </w:pPr>
    </w:p>
    <w:p w14:paraId="49A48B86" w14:textId="249B1DBD" w:rsidR="00000EE2" w:rsidRDefault="00972152" w:rsidP="00AD4F78">
      <w:pPr>
        <w:spacing w:before="120" w:after="120" w:line="360" w:lineRule="auto"/>
        <w:jc w:val="center"/>
      </w:pPr>
      <w:r>
        <w:rPr>
          <w:noProof/>
        </w:rPr>
        <w:lastRenderedPageBreak/>
        <w:drawing>
          <wp:inline distT="0" distB="0" distL="0" distR="0" wp14:anchorId="6DD0A1B7" wp14:editId="1A288CD1">
            <wp:extent cx="5899868" cy="5780277"/>
            <wp:effectExtent l="0" t="0" r="571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I_Fig5.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04534" cy="5784848"/>
                    </a:xfrm>
                    <a:prstGeom prst="rect">
                      <a:avLst/>
                    </a:prstGeom>
                  </pic:spPr>
                </pic:pic>
              </a:graphicData>
            </a:graphic>
          </wp:inline>
        </w:drawing>
      </w:r>
    </w:p>
    <w:p w14:paraId="62B419CE" w14:textId="1960F944" w:rsidR="00000EE2" w:rsidRDefault="00000EE2" w:rsidP="00000EE2">
      <w:pPr>
        <w:spacing w:before="120" w:after="120" w:line="360" w:lineRule="auto"/>
        <w:jc w:val="both"/>
      </w:pPr>
      <w:r>
        <w:rPr>
          <w:b/>
          <w:bCs/>
        </w:rPr>
        <w:t xml:space="preserve">Fig. S5 | Ensemble means of temporal trends in the projected </w:t>
      </w:r>
      <w:proofErr w:type="spellStart"/>
      <w:r>
        <w:rPr>
          <w:b/>
          <w:bCs/>
        </w:rPr>
        <w:t>LAI</w:t>
      </w:r>
      <w:r w:rsidRPr="0065321C">
        <w:rPr>
          <w:b/>
          <w:bCs/>
          <w:vertAlign w:val="subscript"/>
        </w:rPr>
        <w:t>live</w:t>
      </w:r>
      <w:proofErr w:type="spellEnd"/>
      <w:r>
        <w:rPr>
          <w:b/>
          <w:bCs/>
        </w:rPr>
        <w:t xml:space="preserve"> (left) and </w:t>
      </w:r>
      <w:proofErr w:type="spellStart"/>
      <w:r>
        <w:rPr>
          <w:b/>
          <w:bCs/>
        </w:rPr>
        <w:t>LAI</w:t>
      </w:r>
      <w:r w:rsidRPr="0065321C">
        <w:rPr>
          <w:b/>
          <w:bCs/>
          <w:vertAlign w:val="subscript"/>
        </w:rPr>
        <w:t>dead</w:t>
      </w:r>
      <w:proofErr w:type="spellEnd"/>
      <w:r>
        <w:rPr>
          <w:b/>
          <w:bCs/>
        </w:rPr>
        <w:t xml:space="preserve"> (right) from 2015-2100 under the scenarios of SSP126, 245, 370 and 585. </w:t>
      </w:r>
      <w:r w:rsidRPr="0065321C">
        <w:rPr>
          <w:bCs/>
        </w:rPr>
        <w:t xml:space="preserve">Ensemble includes </w:t>
      </w:r>
      <w:r>
        <w:rPr>
          <w:bCs/>
        </w:rPr>
        <w:t>three</w:t>
      </w:r>
      <w:r w:rsidRPr="0065321C">
        <w:rPr>
          <w:bCs/>
        </w:rPr>
        <w:t xml:space="preserve"> CMIP6 models (</w:t>
      </w:r>
      <w:r w:rsidRPr="00550C80">
        <w:rPr>
          <w:bCs/>
          <w:color w:val="0000FF"/>
        </w:rPr>
        <w:t>Table S</w:t>
      </w:r>
      <w:r>
        <w:rPr>
          <w:bCs/>
          <w:color w:val="0000FF"/>
        </w:rPr>
        <w:t>3</w:t>
      </w:r>
      <w:r w:rsidRPr="0065321C">
        <w:rPr>
          <w:bCs/>
        </w:rPr>
        <w:t>).</w:t>
      </w:r>
    </w:p>
    <w:p w14:paraId="3DF3063B" w14:textId="77777777" w:rsidR="00000EE2" w:rsidRDefault="00000EE2" w:rsidP="00AD4F78">
      <w:pPr>
        <w:spacing w:before="120" w:after="120" w:line="360" w:lineRule="auto"/>
        <w:jc w:val="center"/>
        <w:sectPr w:rsidR="00000EE2" w:rsidSect="00071FB9">
          <w:pgSz w:w="12240" w:h="15840"/>
          <w:pgMar w:top="1440" w:right="1440" w:bottom="1440" w:left="1440" w:header="720" w:footer="720" w:gutter="0"/>
          <w:lnNumType w:countBy="1" w:restart="continuous"/>
          <w:cols w:space="720"/>
          <w:docGrid w:linePitch="360"/>
        </w:sectPr>
      </w:pPr>
    </w:p>
    <w:p w14:paraId="6E7F979C" w14:textId="7E3BE221" w:rsidR="00AD4F78" w:rsidRDefault="009E7A4C" w:rsidP="00AD4F78">
      <w:pPr>
        <w:spacing w:before="120" w:after="120" w:line="360" w:lineRule="auto"/>
        <w:jc w:val="center"/>
      </w:pPr>
      <w:r>
        <w:rPr>
          <w:noProof/>
        </w:rPr>
        <w:lastRenderedPageBreak/>
        <w:drawing>
          <wp:inline distT="0" distB="0" distL="0" distR="0" wp14:anchorId="5A5EFBDB" wp14:editId="45210F79">
            <wp:extent cx="5995283" cy="4478403"/>
            <wp:effectExtent l="0" t="0" r="571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_Fig6.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13776" cy="4492217"/>
                    </a:xfrm>
                    <a:prstGeom prst="rect">
                      <a:avLst/>
                    </a:prstGeom>
                  </pic:spPr>
                </pic:pic>
              </a:graphicData>
            </a:graphic>
          </wp:inline>
        </w:drawing>
      </w:r>
    </w:p>
    <w:p w14:paraId="2FE82CBD" w14:textId="162D96E2" w:rsidR="00AD4F78" w:rsidRDefault="00AD4F78" w:rsidP="00AD4F78">
      <w:pPr>
        <w:spacing w:before="120" w:after="120" w:line="360" w:lineRule="exact"/>
        <w:jc w:val="both"/>
        <w:rPr>
          <w:bCs/>
        </w:rPr>
      </w:pPr>
      <w:r w:rsidRPr="000C0A7B">
        <w:rPr>
          <w:b/>
          <w:bCs/>
        </w:rPr>
        <w:t>Fig. S</w:t>
      </w:r>
      <w:r w:rsidR="001E3B0A">
        <w:rPr>
          <w:b/>
          <w:bCs/>
        </w:rPr>
        <w:t>6</w:t>
      </w:r>
      <w:r>
        <w:rPr>
          <w:b/>
          <w:bCs/>
        </w:rPr>
        <w:t xml:space="preserve"> |</w:t>
      </w:r>
      <w:r w:rsidRPr="000C0A7B">
        <w:rPr>
          <w:b/>
          <w:bCs/>
        </w:rPr>
        <w:t xml:space="preserve"> The </w:t>
      </w:r>
      <w:r w:rsidRPr="000C0A7B">
        <w:rPr>
          <w:rFonts w:hint="eastAsia"/>
          <w:b/>
          <w:bCs/>
        </w:rPr>
        <w:t>spa</w:t>
      </w:r>
      <w:r w:rsidRPr="000C0A7B">
        <w:rPr>
          <w:b/>
          <w:bCs/>
        </w:rPr>
        <w:t xml:space="preserve">tiotemporal correlations between </w:t>
      </w:r>
      <w:proofErr w:type="spellStart"/>
      <w:r w:rsidRPr="000C0A7B">
        <w:rPr>
          <w:b/>
          <w:bCs/>
        </w:rPr>
        <w:t>LAI</w:t>
      </w:r>
      <w:r w:rsidRPr="000C0A7B">
        <w:rPr>
          <w:b/>
          <w:bCs/>
          <w:vertAlign w:val="subscript"/>
        </w:rPr>
        <w:t>dead</w:t>
      </w:r>
      <w:proofErr w:type="spellEnd"/>
      <w:r w:rsidRPr="000C0A7B">
        <w:rPr>
          <w:b/>
          <w:bCs/>
        </w:rPr>
        <w:t xml:space="preserve"> and aboveground litterfall production (</w:t>
      </w:r>
      <w:proofErr w:type="spellStart"/>
      <w:r w:rsidRPr="000C0A7B">
        <w:rPr>
          <w:b/>
          <w:bCs/>
        </w:rPr>
        <w:t>cLitter</w:t>
      </w:r>
      <w:proofErr w:type="spellEnd"/>
      <w:r w:rsidRPr="000C0A7B">
        <w:rPr>
          <w:b/>
          <w:bCs/>
        </w:rPr>
        <w:t xml:space="preserve">). </w:t>
      </w:r>
      <w:r w:rsidR="00BC4C29">
        <w:rPr>
          <w:b/>
          <w:bCs/>
        </w:rPr>
        <w:t>a</w:t>
      </w:r>
      <w:r w:rsidRPr="000C0A7B">
        <w:rPr>
          <w:b/>
          <w:bCs/>
        </w:rPr>
        <w:t>,</w:t>
      </w:r>
      <w:r w:rsidRPr="000C0A7B">
        <w:rPr>
          <w:bCs/>
        </w:rPr>
        <w:t xml:space="preserve"> Temporal Spearman correlation</w:t>
      </w:r>
      <w:r>
        <w:rPr>
          <w:bCs/>
        </w:rPr>
        <w:t xml:space="preserve"> (R)</w:t>
      </w:r>
      <w:r w:rsidRPr="000C0A7B">
        <w:rPr>
          <w:bCs/>
        </w:rPr>
        <w:t xml:space="preserve"> between detrended </w:t>
      </w:r>
      <w:proofErr w:type="spellStart"/>
      <w:r w:rsidRPr="000C0A7B">
        <w:rPr>
          <w:bCs/>
        </w:rPr>
        <w:t>LAI</w:t>
      </w:r>
      <w:r w:rsidRPr="000C0A7B">
        <w:rPr>
          <w:bCs/>
          <w:vertAlign w:val="subscript"/>
        </w:rPr>
        <w:t>dead</w:t>
      </w:r>
      <w:proofErr w:type="spellEnd"/>
      <w:r w:rsidRPr="000C0A7B">
        <w:rPr>
          <w:bCs/>
        </w:rPr>
        <w:t xml:space="preserve"> and detrended </w:t>
      </w:r>
      <w:proofErr w:type="spellStart"/>
      <w:r w:rsidRPr="000C0A7B">
        <w:rPr>
          <w:bCs/>
        </w:rPr>
        <w:t>cLitter</w:t>
      </w:r>
      <w:proofErr w:type="spellEnd"/>
      <w:r w:rsidRPr="000C0A7B">
        <w:rPr>
          <w:bCs/>
        </w:rPr>
        <w:t xml:space="preserve"> at grid cell scale over the period 2002-2013. </w:t>
      </w:r>
      <w:r w:rsidRPr="000C0A7B">
        <w:t>The white area indicates non-vegetated area or area with non-significant correlation.</w:t>
      </w:r>
      <w:r w:rsidRPr="000C0A7B">
        <w:rPr>
          <w:bCs/>
        </w:rPr>
        <w:t xml:space="preserve"> </w:t>
      </w:r>
      <w:r w:rsidR="00BC4C29">
        <w:rPr>
          <w:b/>
          <w:bCs/>
        </w:rPr>
        <w:t>b</w:t>
      </w:r>
      <w:r w:rsidRPr="000C0A7B">
        <w:rPr>
          <w:b/>
          <w:bCs/>
        </w:rPr>
        <w:t>,</w:t>
      </w:r>
      <w:r w:rsidRPr="000C0A7B">
        <w:rPr>
          <w:bCs/>
        </w:rPr>
        <w:t xml:space="preserve"> Spatial correlations (R) between annual mean </w:t>
      </w:r>
      <w:proofErr w:type="spellStart"/>
      <w:r w:rsidRPr="000C0A7B">
        <w:rPr>
          <w:bCs/>
        </w:rPr>
        <w:t>LAI</w:t>
      </w:r>
      <w:r w:rsidRPr="000C0A7B">
        <w:rPr>
          <w:bCs/>
          <w:vertAlign w:val="subscript"/>
        </w:rPr>
        <w:t>dead</w:t>
      </w:r>
      <w:proofErr w:type="spellEnd"/>
      <w:r w:rsidRPr="000C0A7B">
        <w:rPr>
          <w:bCs/>
        </w:rPr>
        <w:t xml:space="preserve"> and </w:t>
      </w:r>
      <w:proofErr w:type="spellStart"/>
      <w:r w:rsidRPr="000C0A7B">
        <w:rPr>
          <w:bCs/>
        </w:rPr>
        <w:t>cLitter</w:t>
      </w:r>
      <w:proofErr w:type="spellEnd"/>
      <w:r w:rsidRPr="000C0A7B">
        <w:rPr>
          <w:bCs/>
        </w:rPr>
        <w:t xml:space="preserve"> for 12 biomes. N indicates the sample size. </w:t>
      </w:r>
      <w:r w:rsidRPr="000C0A7B">
        <w:rPr>
          <w:bCs/>
          <w:vertAlign w:val="superscript"/>
        </w:rPr>
        <w:t>***</w:t>
      </w:r>
      <w:r w:rsidRPr="000C0A7B">
        <w:rPr>
          <w:bCs/>
        </w:rPr>
        <w:t xml:space="preserve"> indicates </w:t>
      </w:r>
      <w:r w:rsidRPr="000C0A7B">
        <w:rPr>
          <w:bCs/>
          <w:i/>
        </w:rPr>
        <w:t>p</w:t>
      </w:r>
      <w:r w:rsidRPr="000C0A7B">
        <w:rPr>
          <w:bCs/>
        </w:rPr>
        <w:t>-value &lt; 0.01.</w:t>
      </w:r>
    </w:p>
    <w:p w14:paraId="53D289B9" w14:textId="754494F8" w:rsidR="000C30E0" w:rsidRDefault="000C30E0" w:rsidP="0054592D">
      <w:pPr>
        <w:spacing w:before="120" w:after="120" w:line="360" w:lineRule="auto"/>
        <w:jc w:val="center"/>
      </w:pPr>
    </w:p>
    <w:p w14:paraId="0F338961" w14:textId="77777777" w:rsidR="00AD4F78" w:rsidRDefault="00AD4F78" w:rsidP="0054592D">
      <w:pPr>
        <w:spacing w:before="120" w:after="120" w:line="360" w:lineRule="auto"/>
        <w:jc w:val="center"/>
        <w:sectPr w:rsidR="00AD4F78" w:rsidSect="00071FB9">
          <w:pgSz w:w="12240" w:h="15840"/>
          <w:pgMar w:top="1440" w:right="1440" w:bottom="1440" w:left="1440" w:header="720" w:footer="720" w:gutter="0"/>
          <w:lnNumType w:countBy="1" w:restart="continuous"/>
          <w:cols w:space="720"/>
          <w:docGrid w:linePitch="360"/>
        </w:sectPr>
      </w:pPr>
    </w:p>
    <w:p w14:paraId="2E07D8B9" w14:textId="41FCAC5E" w:rsidR="00AD4F78" w:rsidRDefault="00E27E3A" w:rsidP="00AD4F78">
      <w:pPr>
        <w:spacing w:before="120" w:after="120" w:line="360" w:lineRule="auto"/>
        <w:jc w:val="center"/>
      </w:pPr>
      <w:r>
        <w:rPr>
          <w:noProof/>
        </w:rPr>
        <w:lastRenderedPageBreak/>
        <w:drawing>
          <wp:inline distT="0" distB="0" distL="0" distR="0" wp14:anchorId="156D689E" wp14:editId="0396258D">
            <wp:extent cx="4516341" cy="8106039"/>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I_Fig7.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27181" cy="8125494"/>
                    </a:xfrm>
                    <a:prstGeom prst="rect">
                      <a:avLst/>
                    </a:prstGeom>
                  </pic:spPr>
                </pic:pic>
              </a:graphicData>
            </a:graphic>
          </wp:inline>
        </w:drawing>
      </w:r>
    </w:p>
    <w:p w14:paraId="7E11F46A" w14:textId="2DD262EB" w:rsidR="00AD4F78" w:rsidRPr="00986E43" w:rsidRDefault="00AD4F78" w:rsidP="00D81382">
      <w:pPr>
        <w:spacing w:before="120" w:after="120" w:line="360" w:lineRule="exact"/>
        <w:jc w:val="both"/>
        <w:rPr>
          <w:bCs/>
        </w:rPr>
      </w:pPr>
      <w:r w:rsidRPr="000C0A7B">
        <w:rPr>
          <w:b/>
          <w:bCs/>
        </w:rPr>
        <w:lastRenderedPageBreak/>
        <w:t>Fig. S</w:t>
      </w:r>
      <w:r w:rsidR="001E3B0A">
        <w:rPr>
          <w:b/>
          <w:bCs/>
        </w:rPr>
        <w:t>7</w:t>
      </w:r>
      <w:r>
        <w:rPr>
          <w:b/>
          <w:bCs/>
        </w:rPr>
        <w:t xml:space="preserve"> |</w:t>
      </w:r>
      <w:r w:rsidRPr="000C0A7B">
        <w:rPr>
          <w:b/>
          <w:bCs/>
        </w:rPr>
        <w:t xml:space="preserve"> Validations of the representativeness of </w:t>
      </w:r>
      <w:proofErr w:type="spellStart"/>
      <w:r w:rsidRPr="000C0A7B">
        <w:rPr>
          <w:b/>
          <w:bCs/>
        </w:rPr>
        <w:t>LAI</w:t>
      </w:r>
      <w:r w:rsidRPr="000C0A7B">
        <w:rPr>
          <w:b/>
          <w:bCs/>
          <w:vertAlign w:val="subscript"/>
        </w:rPr>
        <w:t>dead</w:t>
      </w:r>
      <w:proofErr w:type="spellEnd"/>
      <w:r w:rsidRPr="000C0A7B">
        <w:rPr>
          <w:b/>
          <w:bCs/>
        </w:rPr>
        <w:t xml:space="preserve"> on the interannual variation of litterfall based on ground measurements.</w:t>
      </w:r>
      <w:r w:rsidRPr="000C0A7B">
        <w:rPr>
          <w:rFonts w:hint="eastAsia"/>
          <w:b/>
          <w:bCs/>
          <w:lang w:eastAsia="zh-CN"/>
        </w:rPr>
        <w:t xml:space="preserve"> </w:t>
      </w:r>
      <w:r w:rsidR="00BC4C29">
        <w:rPr>
          <w:b/>
          <w:bCs/>
          <w:lang w:eastAsia="zh-CN"/>
        </w:rPr>
        <w:t>a</w:t>
      </w:r>
      <w:r w:rsidRPr="000C0A7B">
        <w:rPr>
          <w:b/>
          <w:bCs/>
          <w:lang w:eastAsia="zh-CN"/>
        </w:rPr>
        <w:t xml:space="preserve">, </w:t>
      </w:r>
      <w:r w:rsidRPr="000C0A7B">
        <w:rPr>
          <w:bCs/>
          <w:lang w:eastAsia="zh-CN"/>
        </w:rPr>
        <w:t xml:space="preserve">Relationships between detrended </w:t>
      </w:r>
      <w:proofErr w:type="spellStart"/>
      <w:r w:rsidRPr="000C0A7B">
        <w:rPr>
          <w:bCs/>
          <w:lang w:eastAsia="zh-CN"/>
        </w:rPr>
        <w:t>LAI</w:t>
      </w:r>
      <w:r w:rsidRPr="000C0A7B">
        <w:rPr>
          <w:bCs/>
          <w:vertAlign w:val="subscript"/>
          <w:lang w:eastAsia="zh-CN"/>
        </w:rPr>
        <w:t>dead</w:t>
      </w:r>
      <w:proofErr w:type="spellEnd"/>
      <w:r w:rsidRPr="000C0A7B">
        <w:rPr>
          <w:bCs/>
          <w:lang w:eastAsia="zh-CN"/>
        </w:rPr>
        <w:t xml:space="preserve"> and detrended litterfall ground measurements for all sites and three different biomes (evergreen broadleaf forest, temperate forest, and evergreen needleleaf forest). </w:t>
      </w:r>
      <w:proofErr w:type="spellStart"/>
      <w:r w:rsidRPr="000C0A7B">
        <w:rPr>
          <w:bCs/>
          <w:lang w:eastAsia="zh-CN"/>
        </w:rPr>
        <w:t>LAI</w:t>
      </w:r>
      <w:r w:rsidRPr="000C0A7B">
        <w:rPr>
          <w:bCs/>
          <w:vertAlign w:val="subscript"/>
          <w:lang w:eastAsia="zh-CN"/>
        </w:rPr>
        <w:t>dead</w:t>
      </w:r>
      <w:proofErr w:type="spellEnd"/>
      <w:r w:rsidRPr="000C0A7B">
        <w:rPr>
          <w:bCs/>
          <w:lang w:eastAsia="zh-CN"/>
        </w:rPr>
        <w:t xml:space="preserve"> is derived from GLASS 0.25° LAI product. </w:t>
      </w:r>
      <w:r w:rsidR="00BC4C29">
        <w:rPr>
          <w:b/>
          <w:bCs/>
          <w:lang w:eastAsia="zh-CN"/>
        </w:rPr>
        <w:t>b</w:t>
      </w:r>
      <w:r w:rsidRPr="000C0A7B">
        <w:rPr>
          <w:b/>
          <w:bCs/>
          <w:lang w:eastAsia="zh-CN"/>
        </w:rPr>
        <w:t>,</w:t>
      </w:r>
      <w:r w:rsidRPr="000C0A7B">
        <w:rPr>
          <w:bCs/>
          <w:lang w:eastAsia="zh-CN"/>
        </w:rPr>
        <w:t xml:space="preserve"> Same as </w:t>
      </w:r>
      <w:r w:rsidR="00BC4C29">
        <w:rPr>
          <w:b/>
          <w:bCs/>
          <w:lang w:eastAsia="zh-CN"/>
        </w:rPr>
        <w:t>a</w:t>
      </w:r>
      <w:r w:rsidRPr="000C0A7B">
        <w:rPr>
          <w:bCs/>
          <w:lang w:eastAsia="zh-CN"/>
        </w:rPr>
        <w:t xml:space="preserve"> but based on GLASS 500-m LAI product. Considering the orientation bias, we used a 5×5 spatial smoothing window when extracting 500m LAI for each site. We also tried the 3×3 and 7×7 spatial smoothing windows, and obtained similar results. The site information and the validated result of individual site were presented in </w:t>
      </w:r>
      <w:r w:rsidRPr="000C0A7B">
        <w:rPr>
          <w:bCs/>
          <w:color w:val="0000FF"/>
          <w:lang w:eastAsia="zh-CN"/>
        </w:rPr>
        <w:t>Table S4</w:t>
      </w:r>
      <w:r w:rsidRPr="000C0A7B">
        <w:rPr>
          <w:bCs/>
          <w:lang w:eastAsia="zh-CN"/>
        </w:rPr>
        <w:t>.</w:t>
      </w:r>
    </w:p>
    <w:p w14:paraId="66AE42A3" w14:textId="003F15CA" w:rsidR="00AD4F78" w:rsidRDefault="00AD4F78" w:rsidP="0054592D">
      <w:pPr>
        <w:spacing w:before="120" w:after="120" w:line="360" w:lineRule="auto"/>
        <w:jc w:val="center"/>
      </w:pPr>
    </w:p>
    <w:p w14:paraId="2F67619D" w14:textId="77777777" w:rsidR="00AD4F78" w:rsidRDefault="00AD4F78" w:rsidP="0054592D">
      <w:pPr>
        <w:spacing w:before="120" w:after="120" w:line="360" w:lineRule="auto"/>
        <w:jc w:val="center"/>
        <w:sectPr w:rsidR="00AD4F78" w:rsidSect="00071FB9">
          <w:pgSz w:w="12240" w:h="15840"/>
          <w:pgMar w:top="1440" w:right="1440" w:bottom="1440" w:left="1440" w:header="720" w:footer="720" w:gutter="0"/>
          <w:lnNumType w:countBy="1" w:restart="continuous"/>
          <w:cols w:space="720"/>
          <w:docGrid w:linePitch="360"/>
        </w:sectPr>
      </w:pPr>
    </w:p>
    <w:p w14:paraId="4A362FB7" w14:textId="2A72CDF6" w:rsidR="00AD4F78" w:rsidRDefault="00517A6B" w:rsidP="0054592D">
      <w:pPr>
        <w:spacing w:before="120" w:after="120" w:line="360" w:lineRule="auto"/>
        <w:jc w:val="center"/>
      </w:pPr>
      <w:r>
        <w:rPr>
          <w:noProof/>
        </w:rPr>
        <w:lastRenderedPageBreak/>
        <w:drawing>
          <wp:inline distT="0" distB="0" distL="0" distR="0" wp14:anchorId="1154183B" wp14:editId="408DAEFF">
            <wp:extent cx="5939625" cy="4169440"/>
            <wp:effectExtent l="0" t="0" r="4445"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I_Fig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63341" cy="4186088"/>
                    </a:xfrm>
                    <a:prstGeom prst="rect">
                      <a:avLst/>
                    </a:prstGeom>
                  </pic:spPr>
                </pic:pic>
              </a:graphicData>
            </a:graphic>
          </wp:inline>
        </w:drawing>
      </w:r>
    </w:p>
    <w:p w14:paraId="2C82E888" w14:textId="3336C542" w:rsidR="006D6AC6" w:rsidRDefault="006D6AC6" w:rsidP="006D6AC6">
      <w:pPr>
        <w:spacing w:before="120" w:after="120" w:line="360" w:lineRule="exact"/>
        <w:jc w:val="both"/>
      </w:pPr>
      <w:r>
        <w:rPr>
          <w:b/>
          <w:bCs/>
        </w:rPr>
        <w:t>Fig. S</w:t>
      </w:r>
      <w:r w:rsidR="001E3B0A">
        <w:rPr>
          <w:b/>
          <w:bCs/>
        </w:rPr>
        <w:t>8</w:t>
      </w:r>
      <w:r>
        <w:rPr>
          <w:b/>
          <w:bCs/>
        </w:rPr>
        <w:t xml:space="preserve"> | The robustness of </w:t>
      </w:r>
      <w:r w:rsidRPr="00FE6474">
        <w:rPr>
          <w:rFonts w:eastAsia="微软雅黑"/>
          <w:b/>
          <w:bCs/>
        </w:rPr>
        <w:t>fire sensi</w:t>
      </w:r>
      <w:r>
        <w:rPr>
          <w:rFonts w:eastAsia="微软雅黑"/>
          <w:b/>
          <w:bCs/>
        </w:rPr>
        <w:t>tivity to vegetation greening</w:t>
      </w:r>
      <w:r w:rsidRPr="00FE6474">
        <w:rPr>
          <w:b/>
          <w:bCs/>
        </w:rPr>
        <w:t xml:space="preserve"> f</w:t>
      </w:r>
      <w:r>
        <w:rPr>
          <w:b/>
          <w:bCs/>
        </w:rPr>
        <w:t xml:space="preserve">or the attribution model considering </w:t>
      </w:r>
      <w:proofErr w:type="spellStart"/>
      <w:r>
        <w:rPr>
          <w:b/>
          <w:bCs/>
        </w:rPr>
        <w:t>LAI</w:t>
      </w:r>
      <w:r>
        <w:rPr>
          <w:b/>
          <w:bCs/>
          <w:vertAlign w:val="subscript"/>
        </w:rPr>
        <w:t>dead</w:t>
      </w:r>
      <w:proofErr w:type="spellEnd"/>
      <w:r>
        <w:rPr>
          <w:b/>
          <w:bCs/>
        </w:rPr>
        <w:t xml:space="preserve">, </w:t>
      </w:r>
      <w:proofErr w:type="spellStart"/>
      <w:r>
        <w:rPr>
          <w:b/>
          <w:bCs/>
        </w:rPr>
        <w:t>LAI</w:t>
      </w:r>
      <w:r>
        <w:rPr>
          <w:b/>
          <w:bCs/>
          <w:vertAlign w:val="subscript"/>
        </w:rPr>
        <w:t>live</w:t>
      </w:r>
      <w:proofErr w:type="spellEnd"/>
      <w:r>
        <w:rPr>
          <w:b/>
          <w:bCs/>
        </w:rPr>
        <w:t xml:space="preserve"> and fire season maximum temperature (</w:t>
      </w:r>
      <w:proofErr w:type="spellStart"/>
      <w:r>
        <w:rPr>
          <w:b/>
          <w:bCs/>
        </w:rPr>
        <w:t>T</w:t>
      </w:r>
      <w:r w:rsidRPr="006D6AC6">
        <w:rPr>
          <w:b/>
          <w:bCs/>
          <w:vertAlign w:val="subscript"/>
        </w:rPr>
        <w:t>max</w:t>
      </w:r>
      <w:proofErr w:type="spellEnd"/>
      <w:r>
        <w:rPr>
          <w:b/>
          <w:bCs/>
        </w:rPr>
        <w:t>) and precipitation (PRE) or fire season fire weather index (FWI) and climatic water deficit (CWD) as explainable variables (</w:t>
      </w:r>
      <w:r w:rsidR="00BD20B6">
        <w:rPr>
          <w:b/>
          <w:bCs/>
        </w:rPr>
        <w:t xml:space="preserve">see </w:t>
      </w:r>
      <w:r>
        <w:rPr>
          <w:b/>
          <w:bCs/>
        </w:rPr>
        <w:t xml:space="preserve">Methods). </w:t>
      </w:r>
      <w:r w:rsidR="00E7306C">
        <w:rPr>
          <w:b/>
          <w:bCs/>
        </w:rPr>
        <w:t>a</w:t>
      </w:r>
      <w:r>
        <w:rPr>
          <w:b/>
          <w:bCs/>
        </w:rPr>
        <w:t>-</w:t>
      </w:r>
      <w:r w:rsidR="00E7306C">
        <w:rPr>
          <w:b/>
          <w:bCs/>
        </w:rPr>
        <w:t>b</w:t>
      </w:r>
      <w:r w:rsidRPr="00E00586">
        <w:t xml:space="preserve">, Global pattern of </w:t>
      </w:r>
      <w:r w:rsidRPr="00981E73">
        <w:rPr>
          <w:rFonts w:ascii="Cambria Math" w:eastAsia="微软雅黑" w:hAnsi="Cambria Math"/>
        </w:rPr>
        <w:t>∂</w:t>
      </w:r>
      <w:r w:rsidRPr="00981E73">
        <w:rPr>
          <w:rFonts w:eastAsia="微软雅黑"/>
        </w:rPr>
        <w:t>BF/</w:t>
      </w:r>
      <w:r w:rsidRPr="00981E73">
        <w:rPr>
          <w:rFonts w:ascii="Cambria Math" w:eastAsia="微软雅黑" w:hAnsi="Cambria Math"/>
        </w:rPr>
        <w:t>∂</w:t>
      </w:r>
      <w:proofErr w:type="spellStart"/>
      <w:r w:rsidRPr="00981E73">
        <w:rPr>
          <w:rFonts w:eastAsia="微软雅黑"/>
        </w:rPr>
        <w:t>LAI</w:t>
      </w:r>
      <w:r>
        <w:rPr>
          <w:rFonts w:eastAsia="微软雅黑"/>
          <w:vertAlign w:val="subscript"/>
        </w:rPr>
        <w:t>dead</w:t>
      </w:r>
      <w:proofErr w:type="spellEnd"/>
      <w:r>
        <w:t xml:space="preserve"> and </w:t>
      </w:r>
      <w:r w:rsidRPr="00981E73">
        <w:rPr>
          <w:rFonts w:ascii="Cambria Math" w:eastAsia="微软雅黑" w:hAnsi="Cambria Math"/>
        </w:rPr>
        <w:t>∂</w:t>
      </w:r>
      <w:r w:rsidRPr="00981E73">
        <w:rPr>
          <w:rFonts w:eastAsia="微软雅黑"/>
        </w:rPr>
        <w:t>BF/</w:t>
      </w:r>
      <w:r w:rsidRPr="00981E73">
        <w:rPr>
          <w:rFonts w:ascii="Cambria Math" w:eastAsia="微软雅黑" w:hAnsi="Cambria Math"/>
        </w:rPr>
        <w:t>∂</w:t>
      </w:r>
      <w:proofErr w:type="spellStart"/>
      <w:r w:rsidRPr="00981E73">
        <w:rPr>
          <w:rFonts w:eastAsia="微软雅黑"/>
        </w:rPr>
        <w:t>LAI</w:t>
      </w:r>
      <w:r>
        <w:rPr>
          <w:rFonts w:eastAsia="微软雅黑"/>
          <w:vertAlign w:val="subscript"/>
        </w:rPr>
        <w:t>live</w:t>
      </w:r>
      <w:proofErr w:type="spellEnd"/>
      <w:r>
        <w:t xml:space="preserve"> for the attribution model considering fire season </w:t>
      </w:r>
      <w:proofErr w:type="spellStart"/>
      <w:r>
        <w:t>T</w:t>
      </w:r>
      <w:r w:rsidRPr="006D6AC6">
        <w:rPr>
          <w:vertAlign w:val="subscript"/>
        </w:rPr>
        <w:t>max</w:t>
      </w:r>
      <w:proofErr w:type="spellEnd"/>
      <w:r>
        <w:t xml:space="preserve"> and PRE. The black dots indicate regions with significant sensitivity (</w:t>
      </w:r>
      <w:r w:rsidRPr="001C0F8A">
        <w:rPr>
          <w:i/>
          <w:iCs/>
        </w:rPr>
        <w:t>p</w:t>
      </w:r>
      <w:r w:rsidRPr="009A70E3">
        <w:rPr>
          <w:iCs/>
        </w:rPr>
        <w:t>-value</w:t>
      </w:r>
      <w:r>
        <w:t xml:space="preserve"> &lt; 0.1). The bars and error bars at bottom left indicate the ensemble mean of median sensitivity and standard error across products, respectively, for global (red), tropical (green), arid (orange), temperate (pink), and cold (blue) regions. </w:t>
      </w:r>
      <w:r w:rsidR="00E7306C">
        <w:rPr>
          <w:b/>
          <w:bCs/>
        </w:rPr>
        <w:t>c</w:t>
      </w:r>
      <w:r w:rsidRPr="00980ED5">
        <w:rPr>
          <w:b/>
          <w:bCs/>
        </w:rPr>
        <w:t>-</w:t>
      </w:r>
      <w:r w:rsidR="00E7306C">
        <w:rPr>
          <w:b/>
          <w:bCs/>
        </w:rPr>
        <w:t>d</w:t>
      </w:r>
      <w:r>
        <w:t xml:space="preserve">, Same as </w:t>
      </w:r>
      <w:r w:rsidR="00E7306C">
        <w:rPr>
          <w:b/>
          <w:bCs/>
        </w:rPr>
        <w:t>a</w:t>
      </w:r>
      <w:r>
        <w:rPr>
          <w:b/>
          <w:bCs/>
        </w:rPr>
        <w:t>-</w:t>
      </w:r>
      <w:r w:rsidR="00E7306C">
        <w:rPr>
          <w:b/>
          <w:bCs/>
        </w:rPr>
        <w:t>b</w:t>
      </w:r>
      <w:r>
        <w:t xml:space="preserve"> but for the attribution model considering </w:t>
      </w:r>
      <w:r w:rsidR="00C3543E">
        <w:t>fire season FWI and CWD</w:t>
      </w:r>
      <w:r>
        <w:t>.</w:t>
      </w:r>
      <w:r w:rsidR="00C3543E">
        <w:t xml:space="preserve"> </w:t>
      </w:r>
      <w:r w:rsidR="00E7306C">
        <w:rPr>
          <w:b/>
        </w:rPr>
        <w:t>e</w:t>
      </w:r>
      <w:r w:rsidR="00C3543E">
        <w:t>, Global map of month with maximum burned area. The fire season is defined as the three consecutive months centered around the month with maximum burned area.</w:t>
      </w:r>
    </w:p>
    <w:p w14:paraId="578092D2" w14:textId="77777777" w:rsidR="003D1FC9" w:rsidRDefault="003D1FC9" w:rsidP="006D6AC6">
      <w:pPr>
        <w:spacing w:before="120" w:after="120" w:line="360" w:lineRule="exact"/>
        <w:jc w:val="both"/>
      </w:pPr>
    </w:p>
    <w:p w14:paraId="025700D3" w14:textId="77777777" w:rsidR="00121474" w:rsidRDefault="00121474" w:rsidP="0054592D">
      <w:pPr>
        <w:spacing w:before="120" w:after="120" w:line="360" w:lineRule="auto"/>
        <w:jc w:val="center"/>
        <w:sectPr w:rsidR="00121474" w:rsidSect="00071FB9">
          <w:pgSz w:w="12240" w:h="15840"/>
          <w:pgMar w:top="1440" w:right="1440" w:bottom="1440" w:left="1440" w:header="720" w:footer="720" w:gutter="0"/>
          <w:lnNumType w:countBy="1" w:restart="continuous"/>
          <w:cols w:space="720"/>
          <w:docGrid w:linePitch="360"/>
        </w:sectPr>
      </w:pPr>
    </w:p>
    <w:p w14:paraId="2B8F1BD2" w14:textId="5B7E5349" w:rsidR="003D1FC9" w:rsidRDefault="00DA3E14" w:rsidP="003D1FC9">
      <w:pPr>
        <w:spacing w:before="120" w:after="120" w:line="360" w:lineRule="auto"/>
        <w:jc w:val="center"/>
      </w:pPr>
      <w:r>
        <w:rPr>
          <w:noProof/>
        </w:rPr>
        <w:lastRenderedPageBreak/>
        <w:drawing>
          <wp:inline distT="0" distB="0" distL="0" distR="0" wp14:anchorId="184E01D8" wp14:editId="36707CAC">
            <wp:extent cx="4587902" cy="5018245"/>
            <wp:effectExtent l="0" t="0" r="317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I_Fig9.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10663" cy="5043141"/>
                    </a:xfrm>
                    <a:prstGeom prst="rect">
                      <a:avLst/>
                    </a:prstGeom>
                  </pic:spPr>
                </pic:pic>
              </a:graphicData>
            </a:graphic>
          </wp:inline>
        </w:drawing>
      </w:r>
    </w:p>
    <w:p w14:paraId="2C2B15F7" w14:textId="47A84CE0" w:rsidR="003D1FC9" w:rsidRDefault="003D1FC9" w:rsidP="003D1FC9">
      <w:pPr>
        <w:spacing w:before="120" w:after="120" w:line="360" w:lineRule="auto"/>
        <w:jc w:val="both"/>
      </w:pPr>
      <w:r>
        <w:rPr>
          <w:b/>
          <w:bCs/>
        </w:rPr>
        <w:t>Fig. S</w:t>
      </w:r>
      <w:r w:rsidR="001E3B0A">
        <w:rPr>
          <w:b/>
          <w:bCs/>
        </w:rPr>
        <w:t>9</w:t>
      </w:r>
      <w:r>
        <w:rPr>
          <w:b/>
          <w:bCs/>
        </w:rPr>
        <w:t xml:space="preserve"> | The robustness of </w:t>
      </w:r>
      <w:r w:rsidRPr="00FE6474">
        <w:rPr>
          <w:rFonts w:eastAsia="微软雅黑"/>
          <w:b/>
          <w:bCs/>
        </w:rPr>
        <w:t>fire sensi</w:t>
      </w:r>
      <w:r>
        <w:rPr>
          <w:rFonts w:eastAsia="微软雅黑"/>
          <w:b/>
          <w:bCs/>
        </w:rPr>
        <w:t>tivity to vegetation greening</w:t>
      </w:r>
      <w:r w:rsidRPr="00FE6474">
        <w:rPr>
          <w:b/>
          <w:bCs/>
        </w:rPr>
        <w:t xml:space="preserve"> f</w:t>
      </w:r>
      <w:r>
        <w:rPr>
          <w:b/>
          <w:bCs/>
        </w:rPr>
        <w:t xml:space="preserve">or the attribution model considering </w:t>
      </w:r>
      <w:proofErr w:type="spellStart"/>
      <w:r>
        <w:rPr>
          <w:b/>
          <w:bCs/>
        </w:rPr>
        <w:t>LAI</w:t>
      </w:r>
      <w:r>
        <w:rPr>
          <w:b/>
          <w:bCs/>
          <w:vertAlign w:val="subscript"/>
        </w:rPr>
        <w:t>dead</w:t>
      </w:r>
      <w:proofErr w:type="spellEnd"/>
      <w:r>
        <w:rPr>
          <w:b/>
          <w:bCs/>
        </w:rPr>
        <w:t xml:space="preserve">, </w:t>
      </w:r>
      <w:proofErr w:type="spellStart"/>
      <w:r>
        <w:rPr>
          <w:b/>
          <w:bCs/>
        </w:rPr>
        <w:t>LAI</w:t>
      </w:r>
      <w:r>
        <w:rPr>
          <w:b/>
          <w:bCs/>
          <w:vertAlign w:val="subscript"/>
        </w:rPr>
        <w:t>live</w:t>
      </w:r>
      <w:proofErr w:type="spellEnd"/>
      <w:r>
        <w:rPr>
          <w:b/>
          <w:bCs/>
        </w:rPr>
        <w:t xml:space="preserve"> and VPD as explainable variables (</w:t>
      </w:r>
      <w:r w:rsidR="00D67B44">
        <w:rPr>
          <w:b/>
          <w:bCs/>
        </w:rPr>
        <w:t xml:space="preserve">see </w:t>
      </w:r>
      <w:r>
        <w:rPr>
          <w:b/>
          <w:bCs/>
        </w:rPr>
        <w:t xml:space="preserve">Methods). </w:t>
      </w:r>
      <w:r w:rsidR="00E7306C">
        <w:rPr>
          <w:b/>
          <w:bCs/>
        </w:rPr>
        <w:t>a</w:t>
      </w:r>
      <w:r w:rsidRPr="00E00586">
        <w:t xml:space="preserve">, Global pattern of ensemble mean of </w:t>
      </w:r>
      <w:r w:rsidRPr="00981E73">
        <w:rPr>
          <w:rFonts w:ascii="Cambria Math" w:eastAsia="微软雅黑" w:hAnsi="Cambria Math"/>
        </w:rPr>
        <w:t>∂</w:t>
      </w:r>
      <w:r w:rsidRPr="00981E73">
        <w:rPr>
          <w:rFonts w:eastAsia="微软雅黑"/>
        </w:rPr>
        <w:t>BF/</w:t>
      </w:r>
      <w:r w:rsidRPr="00981E73">
        <w:rPr>
          <w:rFonts w:ascii="Cambria Math" w:eastAsia="微软雅黑" w:hAnsi="Cambria Math"/>
        </w:rPr>
        <w:t>∂</w:t>
      </w:r>
      <w:proofErr w:type="spellStart"/>
      <w:r w:rsidRPr="00981E73">
        <w:rPr>
          <w:rFonts w:eastAsia="微软雅黑"/>
        </w:rPr>
        <w:t>LAI</w:t>
      </w:r>
      <w:r>
        <w:rPr>
          <w:rFonts w:eastAsia="微软雅黑"/>
          <w:vertAlign w:val="subscript"/>
        </w:rPr>
        <w:t>dead</w:t>
      </w:r>
      <w:proofErr w:type="spellEnd"/>
      <w:r>
        <w:t>. The black dots indicate regions with significant sensitivity (</w:t>
      </w:r>
      <w:r w:rsidRPr="001C0F8A">
        <w:rPr>
          <w:i/>
          <w:iCs/>
        </w:rPr>
        <w:t>p</w:t>
      </w:r>
      <w:r w:rsidRPr="009A70E3">
        <w:rPr>
          <w:iCs/>
        </w:rPr>
        <w:t>-value</w:t>
      </w:r>
      <w:r>
        <w:t xml:space="preserve"> &lt; 0.1). The bars and error bars at bottom left indicate the ensemble mean of median sensitivity and standard error across products, respectively, for global (red), tropical (green), arid (orange), temperate (pink), and cold (blue) regions. </w:t>
      </w:r>
      <w:r w:rsidR="00E7306C">
        <w:rPr>
          <w:b/>
          <w:bCs/>
        </w:rPr>
        <w:t>b</w:t>
      </w:r>
      <w:r>
        <w:t xml:space="preserve">, Same as </w:t>
      </w:r>
      <w:r w:rsidR="00E7306C">
        <w:rPr>
          <w:b/>
          <w:bCs/>
        </w:rPr>
        <w:t>a</w:t>
      </w:r>
      <w:r>
        <w:t xml:space="preserve"> but for ensemble mean of </w:t>
      </w:r>
      <w:r w:rsidRPr="00981E73">
        <w:rPr>
          <w:rFonts w:ascii="Cambria Math" w:eastAsia="微软雅黑" w:hAnsi="Cambria Math"/>
        </w:rPr>
        <w:t>∂</w:t>
      </w:r>
      <w:r w:rsidRPr="00981E73">
        <w:rPr>
          <w:rFonts w:eastAsia="微软雅黑"/>
        </w:rPr>
        <w:t>BF/</w:t>
      </w:r>
      <w:r w:rsidRPr="00981E73">
        <w:rPr>
          <w:rFonts w:ascii="Cambria Math" w:eastAsia="微软雅黑" w:hAnsi="Cambria Math"/>
        </w:rPr>
        <w:t>∂</w:t>
      </w:r>
      <w:proofErr w:type="spellStart"/>
      <w:r w:rsidRPr="00981E73">
        <w:rPr>
          <w:rFonts w:eastAsia="微软雅黑"/>
        </w:rPr>
        <w:t>LAI</w:t>
      </w:r>
      <w:r>
        <w:rPr>
          <w:rFonts w:eastAsia="微软雅黑"/>
          <w:vertAlign w:val="subscript"/>
        </w:rPr>
        <w:t>live</w:t>
      </w:r>
      <w:proofErr w:type="spellEnd"/>
      <w:r>
        <w:t>.</w:t>
      </w:r>
    </w:p>
    <w:p w14:paraId="24F18D38" w14:textId="2DEEF5C7" w:rsidR="00121474" w:rsidRDefault="00121474" w:rsidP="0054592D">
      <w:pPr>
        <w:spacing w:before="120" w:after="120" w:line="360" w:lineRule="auto"/>
        <w:jc w:val="center"/>
      </w:pPr>
    </w:p>
    <w:p w14:paraId="236070E6" w14:textId="77777777" w:rsidR="003D1FC9" w:rsidRDefault="003D1FC9" w:rsidP="0054592D">
      <w:pPr>
        <w:spacing w:before="120" w:after="120" w:line="360" w:lineRule="auto"/>
        <w:jc w:val="center"/>
        <w:sectPr w:rsidR="003D1FC9" w:rsidSect="00071FB9">
          <w:pgSz w:w="12240" w:h="15840"/>
          <w:pgMar w:top="1440" w:right="1440" w:bottom="1440" w:left="1440" w:header="720" w:footer="720" w:gutter="0"/>
          <w:lnNumType w:countBy="1" w:restart="continuous"/>
          <w:cols w:space="720"/>
          <w:docGrid w:linePitch="360"/>
        </w:sectPr>
      </w:pPr>
    </w:p>
    <w:p w14:paraId="139C2B90" w14:textId="75C733A5" w:rsidR="006678BD" w:rsidRDefault="00326533" w:rsidP="006678BD">
      <w:pPr>
        <w:spacing w:before="120" w:after="120" w:line="360" w:lineRule="auto"/>
        <w:jc w:val="center"/>
      </w:pPr>
      <w:r>
        <w:rPr>
          <w:noProof/>
        </w:rPr>
        <w:lastRenderedPageBreak/>
        <w:drawing>
          <wp:inline distT="0" distB="0" distL="0" distR="0" wp14:anchorId="761539DF" wp14:editId="520BFF94">
            <wp:extent cx="5919327" cy="3236181"/>
            <wp:effectExtent l="0" t="0" r="5715"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I_Fig10.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27262" cy="3240519"/>
                    </a:xfrm>
                    <a:prstGeom prst="rect">
                      <a:avLst/>
                    </a:prstGeom>
                  </pic:spPr>
                </pic:pic>
              </a:graphicData>
            </a:graphic>
          </wp:inline>
        </w:drawing>
      </w:r>
    </w:p>
    <w:p w14:paraId="693FEA15" w14:textId="7549B661" w:rsidR="006678BD" w:rsidRDefault="006678BD" w:rsidP="006678BD">
      <w:pPr>
        <w:spacing w:before="120" w:after="120" w:line="360" w:lineRule="auto"/>
        <w:jc w:val="both"/>
      </w:pPr>
      <w:r>
        <w:rPr>
          <w:b/>
          <w:bCs/>
        </w:rPr>
        <w:t>Fig. S</w:t>
      </w:r>
      <w:r w:rsidR="001E3B0A">
        <w:rPr>
          <w:b/>
          <w:bCs/>
        </w:rPr>
        <w:t>10</w:t>
      </w:r>
      <w:r>
        <w:rPr>
          <w:b/>
          <w:bCs/>
        </w:rPr>
        <w:t xml:space="preserve"> | The robustness of </w:t>
      </w:r>
      <w:r w:rsidRPr="00FE6474">
        <w:rPr>
          <w:rFonts w:eastAsia="微软雅黑"/>
          <w:b/>
          <w:bCs/>
        </w:rPr>
        <w:t>fire sensi</w:t>
      </w:r>
      <w:r>
        <w:rPr>
          <w:rFonts w:eastAsia="微软雅黑"/>
          <w:b/>
          <w:bCs/>
        </w:rPr>
        <w:t>tivity to vegetation greening</w:t>
      </w:r>
      <w:r w:rsidRPr="00FE6474">
        <w:rPr>
          <w:b/>
          <w:bCs/>
        </w:rPr>
        <w:t xml:space="preserve"> f</w:t>
      </w:r>
      <w:r>
        <w:rPr>
          <w:b/>
          <w:bCs/>
        </w:rPr>
        <w:t xml:space="preserve">or the attribution model considering </w:t>
      </w:r>
      <w:proofErr w:type="spellStart"/>
      <w:r>
        <w:rPr>
          <w:b/>
          <w:bCs/>
        </w:rPr>
        <w:t>LAI</w:t>
      </w:r>
      <w:r>
        <w:rPr>
          <w:b/>
          <w:bCs/>
          <w:vertAlign w:val="subscript"/>
        </w:rPr>
        <w:t>dead</w:t>
      </w:r>
      <w:proofErr w:type="spellEnd"/>
      <w:r>
        <w:rPr>
          <w:b/>
          <w:bCs/>
        </w:rPr>
        <w:t xml:space="preserve">, </w:t>
      </w:r>
      <w:proofErr w:type="spellStart"/>
      <w:r>
        <w:rPr>
          <w:b/>
          <w:bCs/>
        </w:rPr>
        <w:t>LAI</w:t>
      </w:r>
      <w:r>
        <w:rPr>
          <w:b/>
          <w:bCs/>
          <w:vertAlign w:val="subscript"/>
        </w:rPr>
        <w:t>live</w:t>
      </w:r>
      <w:proofErr w:type="spellEnd"/>
      <w:r>
        <w:rPr>
          <w:b/>
          <w:bCs/>
        </w:rPr>
        <w:t>, temperature and water availability as explainable variables (</w:t>
      </w:r>
      <w:r w:rsidR="00665367">
        <w:rPr>
          <w:b/>
          <w:bCs/>
        </w:rPr>
        <w:t xml:space="preserve">see </w:t>
      </w:r>
      <w:r>
        <w:rPr>
          <w:b/>
          <w:bCs/>
        </w:rPr>
        <w:t xml:space="preserve">Methods). </w:t>
      </w:r>
      <w:r w:rsidR="003A74FA">
        <w:rPr>
          <w:b/>
          <w:bCs/>
        </w:rPr>
        <w:t>a</w:t>
      </w:r>
      <w:r>
        <w:rPr>
          <w:b/>
          <w:bCs/>
        </w:rPr>
        <w:t>-</w:t>
      </w:r>
      <w:r w:rsidR="003A74FA">
        <w:rPr>
          <w:b/>
          <w:bCs/>
        </w:rPr>
        <w:t>b</w:t>
      </w:r>
      <w:r w:rsidRPr="00E00586">
        <w:t xml:space="preserve">, Global pattern of </w:t>
      </w:r>
      <w:r w:rsidRPr="00981E73">
        <w:rPr>
          <w:rFonts w:ascii="Cambria Math" w:eastAsia="微软雅黑" w:hAnsi="Cambria Math"/>
        </w:rPr>
        <w:t>∂</w:t>
      </w:r>
      <w:r w:rsidRPr="00981E73">
        <w:rPr>
          <w:rFonts w:eastAsia="微软雅黑"/>
        </w:rPr>
        <w:t>BF/</w:t>
      </w:r>
      <w:r w:rsidRPr="00981E73">
        <w:rPr>
          <w:rFonts w:ascii="Cambria Math" w:eastAsia="微软雅黑" w:hAnsi="Cambria Math"/>
        </w:rPr>
        <w:t>∂</w:t>
      </w:r>
      <w:proofErr w:type="spellStart"/>
      <w:r w:rsidRPr="00981E73">
        <w:rPr>
          <w:rFonts w:eastAsia="微软雅黑"/>
        </w:rPr>
        <w:t>LAI</w:t>
      </w:r>
      <w:r>
        <w:rPr>
          <w:rFonts w:eastAsia="微软雅黑"/>
          <w:vertAlign w:val="subscript"/>
        </w:rPr>
        <w:t>dead</w:t>
      </w:r>
      <w:proofErr w:type="spellEnd"/>
      <w:r>
        <w:t xml:space="preserve"> and </w:t>
      </w:r>
      <w:r w:rsidRPr="00981E73">
        <w:rPr>
          <w:rFonts w:ascii="Cambria Math" w:eastAsia="微软雅黑" w:hAnsi="Cambria Math"/>
        </w:rPr>
        <w:t>∂</w:t>
      </w:r>
      <w:r w:rsidRPr="00981E73">
        <w:rPr>
          <w:rFonts w:eastAsia="微软雅黑"/>
        </w:rPr>
        <w:t>BF/</w:t>
      </w:r>
      <w:r w:rsidRPr="00981E73">
        <w:rPr>
          <w:rFonts w:ascii="Cambria Math" w:eastAsia="微软雅黑" w:hAnsi="Cambria Math"/>
        </w:rPr>
        <w:t>∂</w:t>
      </w:r>
      <w:proofErr w:type="spellStart"/>
      <w:r w:rsidRPr="00981E73">
        <w:rPr>
          <w:rFonts w:eastAsia="微软雅黑"/>
        </w:rPr>
        <w:t>LAI</w:t>
      </w:r>
      <w:r>
        <w:rPr>
          <w:rFonts w:eastAsia="微软雅黑"/>
          <w:vertAlign w:val="subscript"/>
        </w:rPr>
        <w:t>live</w:t>
      </w:r>
      <w:proofErr w:type="spellEnd"/>
      <w:r>
        <w:t xml:space="preserve"> for the attribution model considering surface soil moisture as water availability. The black dots indicate regions with significant sensitivity (</w:t>
      </w:r>
      <w:r w:rsidRPr="001C0F8A">
        <w:rPr>
          <w:i/>
          <w:iCs/>
        </w:rPr>
        <w:t>p</w:t>
      </w:r>
      <w:r w:rsidRPr="009A70E3">
        <w:rPr>
          <w:iCs/>
        </w:rPr>
        <w:t>-value</w:t>
      </w:r>
      <w:r>
        <w:t xml:space="preserve"> &lt; 0.1). The bars and error bars at bottom left indicate the ensemble mean of median sensitivity and standard error across products, respectively, for global (red), tropical (green), arid (orange), temperate (pink), and cold (blue) regions. </w:t>
      </w:r>
      <w:r w:rsidR="003A74FA">
        <w:rPr>
          <w:b/>
          <w:bCs/>
        </w:rPr>
        <w:t>c</w:t>
      </w:r>
      <w:r w:rsidRPr="00980ED5">
        <w:rPr>
          <w:b/>
          <w:bCs/>
        </w:rPr>
        <w:t>-</w:t>
      </w:r>
      <w:r w:rsidR="003A74FA">
        <w:rPr>
          <w:b/>
          <w:bCs/>
        </w:rPr>
        <w:t>d</w:t>
      </w:r>
      <w:r>
        <w:t xml:space="preserve">, Same as </w:t>
      </w:r>
      <w:r w:rsidR="003A74FA">
        <w:rPr>
          <w:b/>
          <w:bCs/>
        </w:rPr>
        <w:t>a</w:t>
      </w:r>
      <w:r>
        <w:rPr>
          <w:b/>
          <w:bCs/>
        </w:rPr>
        <w:t>-</w:t>
      </w:r>
      <w:r w:rsidR="003A74FA">
        <w:rPr>
          <w:b/>
          <w:bCs/>
        </w:rPr>
        <w:t>b</w:t>
      </w:r>
      <w:r>
        <w:t xml:space="preserve"> but for the attribution model considering surface soil moisture and relative humidity as water availability.</w:t>
      </w:r>
    </w:p>
    <w:p w14:paraId="4357ACFB" w14:textId="6A91738D" w:rsidR="003D1FC9" w:rsidRDefault="003D1FC9" w:rsidP="0054592D">
      <w:pPr>
        <w:spacing w:before="120" w:after="120" w:line="360" w:lineRule="auto"/>
        <w:jc w:val="center"/>
      </w:pPr>
    </w:p>
    <w:p w14:paraId="665DADAD" w14:textId="77777777" w:rsidR="006678BD" w:rsidRDefault="006678BD" w:rsidP="0054592D">
      <w:pPr>
        <w:spacing w:before="120" w:after="120" w:line="360" w:lineRule="auto"/>
        <w:jc w:val="center"/>
        <w:sectPr w:rsidR="006678BD" w:rsidSect="00071FB9">
          <w:pgSz w:w="12240" w:h="15840"/>
          <w:pgMar w:top="1440" w:right="1440" w:bottom="1440" w:left="1440" w:header="720" w:footer="720" w:gutter="0"/>
          <w:lnNumType w:countBy="1" w:restart="continuous"/>
          <w:cols w:space="720"/>
          <w:docGrid w:linePitch="360"/>
        </w:sectPr>
      </w:pPr>
    </w:p>
    <w:p w14:paraId="68AB41EC" w14:textId="75818FA2" w:rsidR="00084540" w:rsidRDefault="00F40135" w:rsidP="00084540">
      <w:pPr>
        <w:spacing w:before="120" w:after="120" w:line="360" w:lineRule="auto"/>
        <w:jc w:val="center"/>
      </w:pPr>
      <w:r>
        <w:rPr>
          <w:noProof/>
        </w:rPr>
        <w:lastRenderedPageBreak/>
        <w:drawing>
          <wp:inline distT="0" distB="0" distL="0" distR="0" wp14:anchorId="06703A82" wp14:editId="143993A2">
            <wp:extent cx="5923100" cy="3729162"/>
            <wp:effectExtent l="0" t="0" r="1905" b="508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I_Fig1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4708" cy="3742767"/>
                    </a:xfrm>
                    <a:prstGeom prst="rect">
                      <a:avLst/>
                    </a:prstGeom>
                  </pic:spPr>
                </pic:pic>
              </a:graphicData>
            </a:graphic>
          </wp:inline>
        </w:drawing>
      </w:r>
    </w:p>
    <w:p w14:paraId="0D0CDDA5" w14:textId="3D856F59" w:rsidR="00084540" w:rsidRDefault="00084540" w:rsidP="00084540">
      <w:pPr>
        <w:spacing w:before="120" w:after="120" w:line="360" w:lineRule="auto"/>
        <w:jc w:val="both"/>
      </w:pPr>
      <w:r>
        <w:rPr>
          <w:b/>
          <w:bCs/>
        </w:rPr>
        <w:t>Fig. S1</w:t>
      </w:r>
      <w:r w:rsidR="001E3B0A">
        <w:rPr>
          <w:b/>
          <w:bCs/>
        </w:rPr>
        <w:t>1</w:t>
      </w:r>
      <w:r>
        <w:rPr>
          <w:b/>
          <w:bCs/>
        </w:rPr>
        <w:t xml:space="preserve"> | The robustness of </w:t>
      </w:r>
      <w:r w:rsidRPr="00BE5302">
        <w:rPr>
          <w:rFonts w:ascii="Cambria Math" w:eastAsia="微软雅黑" w:hAnsi="Cambria Math"/>
          <w:b/>
          <w:bCs/>
        </w:rPr>
        <w:t>∂</w:t>
      </w:r>
      <w:r w:rsidRPr="00BE5302">
        <w:rPr>
          <w:rFonts w:eastAsia="微软雅黑"/>
          <w:b/>
          <w:bCs/>
        </w:rPr>
        <w:t>BF/</w:t>
      </w:r>
      <w:r w:rsidRPr="00BE5302">
        <w:rPr>
          <w:rFonts w:ascii="Cambria Math" w:eastAsia="微软雅黑" w:hAnsi="Cambria Math"/>
          <w:b/>
          <w:bCs/>
        </w:rPr>
        <w:t>∂</w:t>
      </w:r>
      <w:proofErr w:type="spellStart"/>
      <w:r w:rsidRPr="00BE5302">
        <w:rPr>
          <w:rFonts w:eastAsia="微软雅黑"/>
          <w:b/>
          <w:bCs/>
        </w:rPr>
        <w:t>LAI</w:t>
      </w:r>
      <w:r>
        <w:rPr>
          <w:rFonts w:eastAsia="微软雅黑"/>
          <w:b/>
          <w:bCs/>
          <w:vertAlign w:val="subscript"/>
        </w:rPr>
        <w:t>dead</w:t>
      </w:r>
      <w:proofErr w:type="spellEnd"/>
      <w:r w:rsidRPr="00BE5302">
        <w:rPr>
          <w:b/>
          <w:bCs/>
        </w:rPr>
        <w:t xml:space="preserve"> </w:t>
      </w:r>
      <w:r>
        <w:rPr>
          <w:b/>
          <w:bCs/>
        </w:rPr>
        <w:t>(</w:t>
      </w:r>
      <w:r w:rsidR="00467763">
        <w:rPr>
          <w:b/>
          <w:bCs/>
        </w:rPr>
        <w:t>a</w:t>
      </w:r>
      <w:r>
        <w:rPr>
          <w:b/>
          <w:bCs/>
        </w:rPr>
        <w:t xml:space="preserve">, </w:t>
      </w:r>
      <w:r w:rsidR="00467763">
        <w:rPr>
          <w:b/>
          <w:bCs/>
        </w:rPr>
        <w:t>b</w:t>
      </w:r>
      <w:r>
        <w:rPr>
          <w:b/>
          <w:bCs/>
        </w:rPr>
        <w:t xml:space="preserve">) </w:t>
      </w:r>
      <w:r w:rsidRPr="00BE5302">
        <w:rPr>
          <w:b/>
          <w:bCs/>
        </w:rPr>
        <w:t>and</w:t>
      </w:r>
      <w:r>
        <w:rPr>
          <w:b/>
          <w:bCs/>
        </w:rPr>
        <w:t xml:space="preserve"> </w:t>
      </w:r>
      <w:r w:rsidRPr="00BE5302">
        <w:rPr>
          <w:rFonts w:ascii="Cambria Math" w:eastAsia="微软雅黑" w:hAnsi="Cambria Math"/>
          <w:b/>
          <w:bCs/>
        </w:rPr>
        <w:t>∂</w:t>
      </w:r>
      <w:r w:rsidRPr="00BE5302">
        <w:rPr>
          <w:rFonts w:eastAsia="微软雅黑"/>
          <w:b/>
          <w:bCs/>
        </w:rPr>
        <w:t>BF/</w:t>
      </w:r>
      <w:r w:rsidRPr="00BE5302">
        <w:rPr>
          <w:rFonts w:ascii="Cambria Math" w:eastAsia="微软雅黑" w:hAnsi="Cambria Math"/>
          <w:b/>
          <w:bCs/>
        </w:rPr>
        <w:t>∂</w:t>
      </w:r>
      <w:proofErr w:type="spellStart"/>
      <w:r w:rsidRPr="00BE5302">
        <w:rPr>
          <w:rFonts w:eastAsia="微软雅黑"/>
          <w:b/>
          <w:bCs/>
        </w:rPr>
        <w:t>LAI</w:t>
      </w:r>
      <w:r>
        <w:rPr>
          <w:rFonts w:eastAsia="微软雅黑"/>
          <w:b/>
          <w:bCs/>
          <w:vertAlign w:val="subscript"/>
        </w:rPr>
        <w:t>live</w:t>
      </w:r>
      <w:proofErr w:type="spellEnd"/>
      <w:r>
        <w:rPr>
          <w:b/>
          <w:bCs/>
        </w:rPr>
        <w:t xml:space="preserve"> (</w:t>
      </w:r>
      <w:r w:rsidR="00467763">
        <w:rPr>
          <w:b/>
          <w:bCs/>
        </w:rPr>
        <w:t>c</w:t>
      </w:r>
      <w:r>
        <w:rPr>
          <w:b/>
          <w:bCs/>
        </w:rPr>
        <w:t xml:space="preserve">, </w:t>
      </w:r>
      <w:r w:rsidR="00467763">
        <w:rPr>
          <w:b/>
          <w:bCs/>
        </w:rPr>
        <w:t>d</w:t>
      </w:r>
      <w:r>
        <w:rPr>
          <w:b/>
          <w:bCs/>
        </w:rPr>
        <w:t>) derived from non</w:t>
      </w:r>
      <w:r w:rsidR="00001967">
        <w:rPr>
          <w:b/>
          <w:bCs/>
        </w:rPr>
        <w:t>-</w:t>
      </w:r>
      <w:r>
        <w:rPr>
          <w:b/>
          <w:bCs/>
        </w:rPr>
        <w:t>linear model (</w:t>
      </w:r>
      <w:r w:rsidR="00001967">
        <w:rPr>
          <w:b/>
          <w:bCs/>
        </w:rPr>
        <w:t xml:space="preserve">see </w:t>
      </w:r>
      <w:r>
        <w:rPr>
          <w:b/>
          <w:bCs/>
        </w:rPr>
        <w:t xml:space="preserve">Methods). </w:t>
      </w:r>
      <w:r w:rsidR="00467763">
        <w:rPr>
          <w:b/>
          <w:bCs/>
        </w:rPr>
        <w:t>a</w:t>
      </w:r>
      <w:r>
        <w:rPr>
          <w:b/>
          <w:bCs/>
        </w:rPr>
        <w:t xml:space="preserve">, </w:t>
      </w:r>
      <w:r>
        <w:rPr>
          <w:bCs/>
        </w:rPr>
        <w:t>Global</w:t>
      </w:r>
      <w:r>
        <w:t xml:space="preserve"> patterns of </w:t>
      </w:r>
      <w:r w:rsidRPr="00722D53">
        <w:rPr>
          <w:rFonts w:ascii="Cambria Math" w:eastAsia="微软雅黑" w:hAnsi="Cambria Math"/>
          <w:bCs/>
        </w:rPr>
        <w:t>∂</w:t>
      </w:r>
      <w:r w:rsidRPr="00722D53">
        <w:rPr>
          <w:rFonts w:eastAsia="微软雅黑"/>
          <w:bCs/>
        </w:rPr>
        <w:t>BF/</w:t>
      </w:r>
      <w:r w:rsidRPr="00722D53">
        <w:rPr>
          <w:rFonts w:ascii="Cambria Math" w:eastAsia="微软雅黑" w:hAnsi="Cambria Math"/>
          <w:bCs/>
        </w:rPr>
        <w:t>∂</w:t>
      </w:r>
      <w:proofErr w:type="spellStart"/>
      <w:r w:rsidRPr="00722D53">
        <w:rPr>
          <w:rFonts w:eastAsia="微软雅黑"/>
          <w:bCs/>
        </w:rPr>
        <w:t>LAI</w:t>
      </w:r>
      <w:r>
        <w:rPr>
          <w:rFonts w:eastAsia="微软雅黑"/>
          <w:bCs/>
          <w:vertAlign w:val="subscript"/>
        </w:rPr>
        <w:t>dead</w:t>
      </w:r>
      <w:proofErr w:type="spellEnd"/>
      <w:r>
        <w:rPr>
          <w:bCs/>
        </w:rPr>
        <w:t>.</w:t>
      </w:r>
      <w:r w:rsidRPr="0061377A">
        <w:t xml:space="preserve"> The black dots indicate regions with significant sensitivity (</w:t>
      </w:r>
      <w:r w:rsidRPr="001C0F8A">
        <w:rPr>
          <w:i/>
          <w:iCs/>
        </w:rPr>
        <w:t>p</w:t>
      </w:r>
      <w:r w:rsidRPr="009A70E3">
        <w:rPr>
          <w:iCs/>
        </w:rPr>
        <w:t>-value</w:t>
      </w:r>
      <w:r w:rsidRPr="0061377A">
        <w:t xml:space="preserve"> &lt; 0.1). The inset at bottom left indicates </w:t>
      </w:r>
      <w:r>
        <w:t xml:space="preserve">ensemble mean of </w:t>
      </w:r>
      <w:r w:rsidRPr="0061377A">
        <w:t>median sensitivity for global (red), tropical (green), arid (orange), temperate (pink)</w:t>
      </w:r>
      <w:r>
        <w:t>,</w:t>
      </w:r>
      <w:r w:rsidRPr="0061377A">
        <w:t xml:space="preserve"> and cold (blue) regions.</w:t>
      </w:r>
      <w:r>
        <w:t xml:space="preserve"> The error bar indicates the standard error across products. </w:t>
      </w:r>
      <w:r w:rsidR="00467763">
        <w:rPr>
          <w:b/>
        </w:rPr>
        <w:t>b</w:t>
      </w:r>
      <w:r w:rsidRPr="00722D53">
        <w:rPr>
          <w:b/>
        </w:rPr>
        <w:t>,</w:t>
      </w:r>
      <w:r>
        <w:t xml:space="preserve"> Comparison of </w:t>
      </w:r>
      <w:r w:rsidRPr="00722D53">
        <w:rPr>
          <w:rFonts w:ascii="Cambria Math" w:eastAsia="微软雅黑" w:hAnsi="Cambria Math"/>
          <w:bCs/>
        </w:rPr>
        <w:t>∂</w:t>
      </w:r>
      <w:r w:rsidRPr="00722D53">
        <w:rPr>
          <w:rFonts w:eastAsia="微软雅黑"/>
          <w:bCs/>
        </w:rPr>
        <w:t>BF/</w:t>
      </w:r>
      <w:r w:rsidRPr="00722D53">
        <w:rPr>
          <w:rFonts w:ascii="Cambria Math" w:eastAsia="微软雅黑" w:hAnsi="Cambria Math"/>
          <w:bCs/>
        </w:rPr>
        <w:t>∂</w:t>
      </w:r>
      <w:proofErr w:type="spellStart"/>
      <w:r w:rsidRPr="00722D53">
        <w:rPr>
          <w:rFonts w:eastAsia="微软雅黑"/>
          <w:bCs/>
        </w:rPr>
        <w:t>LAI</w:t>
      </w:r>
      <w:r>
        <w:rPr>
          <w:rFonts w:eastAsia="微软雅黑"/>
          <w:bCs/>
          <w:vertAlign w:val="subscript"/>
        </w:rPr>
        <w:t>dead</w:t>
      </w:r>
      <w:proofErr w:type="spellEnd"/>
      <w:r>
        <w:t xml:space="preserve"> between non-linear and linear models. </w:t>
      </w:r>
      <w:r w:rsidR="00467763">
        <w:rPr>
          <w:b/>
        </w:rPr>
        <w:t>c-d</w:t>
      </w:r>
      <w:r w:rsidRPr="00E16C13">
        <w:rPr>
          <w:b/>
        </w:rPr>
        <w:t>,</w:t>
      </w:r>
      <w:r>
        <w:t xml:space="preserve"> Same as </w:t>
      </w:r>
      <w:r w:rsidR="00467763">
        <w:rPr>
          <w:b/>
        </w:rPr>
        <w:t>a-b</w:t>
      </w:r>
      <w:r>
        <w:t xml:space="preserve"> but for </w:t>
      </w:r>
      <w:r w:rsidRPr="00722D53">
        <w:rPr>
          <w:rFonts w:ascii="Cambria Math" w:eastAsia="微软雅黑" w:hAnsi="Cambria Math"/>
          <w:bCs/>
        </w:rPr>
        <w:t>∂</w:t>
      </w:r>
      <w:r w:rsidRPr="00722D53">
        <w:rPr>
          <w:rFonts w:eastAsia="微软雅黑"/>
          <w:bCs/>
        </w:rPr>
        <w:t>BF/</w:t>
      </w:r>
      <w:r w:rsidRPr="00722D53">
        <w:rPr>
          <w:rFonts w:ascii="Cambria Math" w:eastAsia="微软雅黑" w:hAnsi="Cambria Math"/>
          <w:bCs/>
        </w:rPr>
        <w:t>∂</w:t>
      </w:r>
      <w:proofErr w:type="spellStart"/>
      <w:r w:rsidRPr="00722D53">
        <w:rPr>
          <w:rFonts w:eastAsia="微软雅黑"/>
          <w:bCs/>
        </w:rPr>
        <w:t>LAI</w:t>
      </w:r>
      <w:r>
        <w:rPr>
          <w:rFonts w:eastAsia="微软雅黑"/>
          <w:bCs/>
          <w:vertAlign w:val="subscript"/>
        </w:rPr>
        <w:t>live</w:t>
      </w:r>
      <w:proofErr w:type="spellEnd"/>
      <w:r>
        <w:t>.</w:t>
      </w:r>
    </w:p>
    <w:p w14:paraId="690ACFD9" w14:textId="4BE68D17" w:rsidR="006678BD" w:rsidRDefault="006678BD" w:rsidP="0054592D">
      <w:pPr>
        <w:spacing w:before="120" w:after="120" w:line="360" w:lineRule="auto"/>
        <w:jc w:val="center"/>
      </w:pPr>
    </w:p>
    <w:p w14:paraId="7DB3454A" w14:textId="77777777" w:rsidR="00084540" w:rsidRDefault="00084540" w:rsidP="0054592D">
      <w:pPr>
        <w:spacing w:before="120" w:after="120" w:line="360" w:lineRule="auto"/>
        <w:jc w:val="center"/>
        <w:sectPr w:rsidR="00084540" w:rsidSect="00071FB9">
          <w:pgSz w:w="12240" w:h="15840"/>
          <w:pgMar w:top="1440" w:right="1440" w:bottom="1440" w:left="1440" w:header="720" w:footer="720" w:gutter="0"/>
          <w:lnNumType w:countBy="1" w:restart="continuous"/>
          <w:cols w:space="720"/>
          <w:docGrid w:linePitch="360"/>
        </w:sectPr>
      </w:pPr>
    </w:p>
    <w:p w14:paraId="4BAF96B2" w14:textId="7EA23358" w:rsidR="00265958" w:rsidRDefault="00F40135" w:rsidP="00265958">
      <w:pPr>
        <w:spacing w:before="120" w:after="120" w:line="360" w:lineRule="auto"/>
        <w:jc w:val="center"/>
      </w:pPr>
      <w:r>
        <w:rPr>
          <w:noProof/>
        </w:rPr>
        <w:lastRenderedPageBreak/>
        <w:drawing>
          <wp:inline distT="0" distB="0" distL="0" distR="0" wp14:anchorId="2F98B154" wp14:editId="50D1280D">
            <wp:extent cx="5923722" cy="4808044"/>
            <wp:effectExtent l="0" t="0" r="127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I_Fig12.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6910" cy="4818748"/>
                    </a:xfrm>
                    <a:prstGeom prst="rect">
                      <a:avLst/>
                    </a:prstGeom>
                  </pic:spPr>
                </pic:pic>
              </a:graphicData>
            </a:graphic>
          </wp:inline>
        </w:drawing>
      </w:r>
    </w:p>
    <w:p w14:paraId="2A350002" w14:textId="624814B8" w:rsidR="00265958" w:rsidRDefault="00265958" w:rsidP="00265958">
      <w:pPr>
        <w:spacing w:before="120" w:after="120" w:line="360" w:lineRule="auto"/>
        <w:jc w:val="both"/>
      </w:pPr>
      <w:r>
        <w:rPr>
          <w:b/>
          <w:bCs/>
        </w:rPr>
        <w:t>Fig. S1</w:t>
      </w:r>
      <w:r w:rsidR="001E3B0A">
        <w:rPr>
          <w:b/>
          <w:bCs/>
        </w:rPr>
        <w:t>2</w:t>
      </w:r>
      <w:r>
        <w:rPr>
          <w:b/>
          <w:bCs/>
        </w:rPr>
        <w:t xml:space="preserve"> | The robustness of </w:t>
      </w:r>
      <w:r w:rsidRPr="00BE5302">
        <w:rPr>
          <w:rFonts w:ascii="Cambria Math" w:eastAsia="微软雅黑" w:hAnsi="Cambria Math"/>
          <w:b/>
          <w:bCs/>
        </w:rPr>
        <w:t>∂</w:t>
      </w:r>
      <w:r w:rsidRPr="00BE5302">
        <w:rPr>
          <w:rFonts w:eastAsia="微软雅黑"/>
          <w:b/>
          <w:bCs/>
        </w:rPr>
        <w:t>BF/</w:t>
      </w:r>
      <w:r w:rsidRPr="00BE5302">
        <w:rPr>
          <w:rFonts w:ascii="Cambria Math" w:eastAsia="微软雅黑" w:hAnsi="Cambria Math"/>
          <w:b/>
          <w:bCs/>
        </w:rPr>
        <w:t>∂</w:t>
      </w:r>
      <w:proofErr w:type="spellStart"/>
      <w:r w:rsidRPr="00BE5302">
        <w:rPr>
          <w:rFonts w:eastAsia="微软雅黑"/>
          <w:b/>
          <w:bCs/>
        </w:rPr>
        <w:t>LAI</w:t>
      </w:r>
      <w:r>
        <w:rPr>
          <w:rFonts w:eastAsia="微软雅黑"/>
          <w:b/>
          <w:bCs/>
          <w:vertAlign w:val="subscript"/>
        </w:rPr>
        <w:t>dead</w:t>
      </w:r>
      <w:proofErr w:type="spellEnd"/>
      <w:r w:rsidRPr="00BE5302">
        <w:rPr>
          <w:b/>
          <w:bCs/>
        </w:rPr>
        <w:t xml:space="preserve"> </w:t>
      </w:r>
      <w:r>
        <w:rPr>
          <w:b/>
          <w:bCs/>
        </w:rPr>
        <w:t xml:space="preserve">(left) </w:t>
      </w:r>
      <w:r w:rsidRPr="00BE5302">
        <w:rPr>
          <w:b/>
          <w:bCs/>
        </w:rPr>
        <w:t>and</w:t>
      </w:r>
      <w:r>
        <w:rPr>
          <w:b/>
          <w:bCs/>
        </w:rPr>
        <w:t xml:space="preserve"> </w:t>
      </w:r>
      <w:r w:rsidRPr="00BE5302">
        <w:rPr>
          <w:rFonts w:ascii="Cambria Math" w:eastAsia="微软雅黑" w:hAnsi="Cambria Math"/>
          <w:b/>
          <w:bCs/>
        </w:rPr>
        <w:t>∂</w:t>
      </w:r>
      <w:r w:rsidRPr="00BE5302">
        <w:rPr>
          <w:rFonts w:eastAsia="微软雅黑"/>
          <w:b/>
          <w:bCs/>
        </w:rPr>
        <w:t>BF/</w:t>
      </w:r>
      <w:r w:rsidRPr="00BE5302">
        <w:rPr>
          <w:rFonts w:ascii="Cambria Math" w:eastAsia="微软雅黑" w:hAnsi="Cambria Math"/>
          <w:b/>
          <w:bCs/>
        </w:rPr>
        <w:t>∂</w:t>
      </w:r>
      <w:proofErr w:type="spellStart"/>
      <w:r w:rsidRPr="00BE5302">
        <w:rPr>
          <w:rFonts w:eastAsia="微软雅黑"/>
          <w:b/>
          <w:bCs/>
        </w:rPr>
        <w:t>LAI</w:t>
      </w:r>
      <w:r>
        <w:rPr>
          <w:rFonts w:eastAsia="微软雅黑"/>
          <w:b/>
          <w:bCs/>
          <w:vertAlign w:val="subscript"/>
        </w:rPr>
        <w:t>live</w:t>
      </w:r>
      <w:proofErr w:type="spellEnd"/>
      <w:r>
        <w:rPr>
          <w:b/>
          <w:bCs/>
        </w:rPr>
        <w:t xml:space="preserve"> (right) for different sources of LAI products, including TCDR (</w:t>
      </w:r>
      <w:r w:rsidR="00467763">
        <w:rPr>
          <w:b/>
          <w:bCs/>
        </w:rPr>
        <w:t>a</w:t>
      </w:r>
      <w:r>
        <w:rPr>
          <w:b/>
          <w:bCs/>
        </w:rPr>
        <w:t xml:space="preserve">, </w:t>
      </w:r>
      <w:r w:rsidR="00467763">
        <w:rPr>
          <w:b/>
          <w:bCs/>
        </w:rPr>
        <w:t>b</w:t>
      </w:r>
      <w:r>
        <w:rPr>
          <w:b/>
          <w:bCs/>
        </w:rPr>
        <w:t>), GEOV2-VGT (</w:t>
      </w:r>
      <w:r w:rsidR="00467763">
        <w:rPr>
          <w:b/>
          <w:bCs/>
        </w:rPr>
        <w:t>c</w:t>
      </w:r>
      <w:r>
        <w:rPr>
          <w:b/>
          <w:bCs/>
        </w:rPr>
        <w:t xml:space="preserve">, </w:t>
      </w:r>
      <w:r w:rsidR="00467763">
        <w:rPr>
          <w:b/>
          <w:bCs/>
        </w:rPr>
        <w:t>d</w:t>
      </w:r>
      <w:r>
        <w:rPr>
          <w:b/>
          <w:bCs/>
        </w:rPr>
        <w:t>), and GEOV2-AVHRR (</w:t>
      </w:r>
      <w:r w:rsidR="00467763">
        <w:rPr>
          <w:b/>
          <w:bCs/>
        </w:rPr>
        <w:t>e</w:t>
      </w:r>
      <w:r>
        <w:rPr>
          <w:b/>
          <w:bCs/>
        </w:rPr>
        <w:t xml:space="preserve">, </w:t>
      </w:r>
      <w:r w:rsidR="00467763">
        <w:rPr>
          <w:b/>
          <w:bCs/>
        </w:rPr>
        <w:t>f</w:t>
      </w:r>
      <w:r>
        <w:rPr>
          <w:b/>
          <w:bCs/>
        </w:rPr>
        <w:t xml:space="preserve">). </w:t>
      </w:r>
      <w:r w:rsidRPr="0061377A">
        <w:t>The black dots indicate regions with significant sensitivity (</w:t>
      </w:r>
      <w:r w:rsidRPr="001C0F8A">
        <w:rPr>
          <w:i/>
          <w:iCs/>
        </w:rPr>
        <w:t>p</w:t>
      </w:r>
      <w:r w:rsidRPr="009A70E3">
        <w:rPr>
          <w:iCs/>
        </w:rPr>
        <w:t>-value</w:t>
      </w:r>
      <w:r w:rsidRPr="0061377A">
        <w:t xml:space="preserve"> &lt; 0.1). The inset at bottom left indicates median sensitivity for global (red), tropical (green), arid (orange), temperate (pink)</w:t>
      </w:r>
      <w:r>
        <w:t>,</w:t>
      </w:r>
      <w:r w:rsidRPr="0061377A">
        <w:t xml:space="preserve"> and cold (blue) regions.</w:t>
      </w:r>
    </w:p>
    <w:p w14:paraId="66BF772E" w14:textId="56962D37" w:rsidR="00084540" w:rsidRDefault="00084540" w:rsidP="0054592D">
      <w:pPr>
        <w:spacing w:before="120" w:after="120" w:line="360" w:lineRule="auto"/>
        <w:jc w:val="center"/>
      </w:pPr>
    </w:p>
    <w:p w14:paraId="67DBAB98" w14:textId="77777777" w:rsidR="00265958" w:rsidRDefault="00265958" w:rsidP="0054592D">
      <w:pPr>
        <w:spacing w:before="120" w:after="120" w:line="360" w:lineRule="auto"/>
        <w:jc w:val="center"/>
        <w:sectPr w:rsidR="00265958" w:rsidSect="00071FB9">
          <w:pgSz w:w="12240" w:h="15840"/>
          <w:pgMar w:top="1440" w:right="1440" w:bottom="1440" w:left="1440" w:header="720" w:footer="720" w:gutter="0"/>
          <w:lnNumType w:countBy="1" w:restart="continuous"/>
          <w:cols w:space="720"/>
          <w:docGrid w:linePitch="360"/>
        </w:sectPr>
      </w:pPr>
    </w:p>
    <w:p w14:paraId="2E26BF01" w14:textId="48119D41" w:rsidR="00265958" w:rsidRDefault="00E226D0" w:rsidP="00265958">
      <w:pPr>
        <w:spacing w:before="120" w:after="120" w:line="360" w:lineRule="auto"/>
        <w:jc w:val="center"/>
      </w:pPr>
      <w:r>
        <w:rPr>
          <w:noProof/>
        </w:rPr>
        <w:lastRenderedPageBreak/>
        <w:drawing>
          <wp:inline distT="0" distB="0" distL="0" distR="0" wp14:anchorId="66CAA0AD" wp14:editId="76035557">
            <wp:extent cx="5958890" cy="3220278"/>
            <wp:effectExtent l="0" t="0" r="381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I_Fig1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8467" cy="3230858"/>
                    </a:xfrm>
                    <a:prstGeom prst="rect">
                      <a:avLst/>
                    </a:prstGeom>
                  </pic:spPr>
                </pic:pic>
              </a:graphicData>
            </a:graphic>
          </wp:inline>
        </w:drawing>
      </w:r>
    </w:p>
    <w:p w14:paraId="1F7A65C1" w14:textId="75A6862D" w:rsidR="00265958" w:rsidRDefault="00265958" w:rsidP="00265958">
      <w:pPr>
        <w:spacing w:before="120" w:after="120" w:line="360" w:lineRule="auto"/>
        <w:jc w:val="both"/>
      </w:pPr>
      <w:r>
        <w:rPr>
          <w:b/>
          <w:bCs/>
        </w:rPr>
        <w:t>Fig. S1</w:t>
      </w:r>
      <w:r w:rsidR="001E3B0A">
        <w:rPr>
          <w:b/>
          <w:bCs/>
        </w:rPr>
        <w:t>3</w:t>
      </w:r>
      <w:r>
        <w:rPr>
          <w:b/>
          <w:bCs/>
        </w:rPr>
        <w:t xml:space="preserve"> | The robustness of </w:t>
      </w:r>
      <w:r w:rsidRPr="00FE6474">
        <w:rPr>
          <w:rFonts w:eastAsia="微软雅黑"/>
          <w:b/>
          <w:bCs/>
        </w:rPr>
        <w:t>fire sensi</w:t>
      </w:r>
      <w:r>
        <w:rPr>
          <w:rFonts w:eastAsia="微软雅黑"/>
          <w:b/>
          <w:bCs/>
        </w:rPr>
        <w:t>tivity to vegetation greening</w:t>
      </w:r>
      <w:r w:rsidRPr="00FE6474">
        <w:rPr>
          <w:b/>
          <w:bCs/>
        </w:rPr>
        <w:t xml:space="preserve"> f</w:t>
      </w:r>
      <w:r>
        <w:rPr>
          <w:b/>
          <w:bCs/>
        </w:rPr>
        <w:t>or 7</w:t>
      </w:r>
      <w:r w:rsidRPr="00EE5792">
        <w:rPr>
          <w:rFonts w:ascii="Cambria Math" w:hAnsi="Cambria Math"/>
          <w:b/>
          <w:bCs/>
        </w:rPr>
        <w:t>×</w:t>
      </w:r>
      <w:r>
        <w:rPr>
          <w:b/>
          <w:bCs/>
        </w:rPr>
        <w:t>7 (</w:t>
      </w:r>
      <w:r w:rsidR="00E5787C">
        <w:rPr>
          <w:b/>
          <w:bCs/>
        </w:rPr>
        <w:t>a</w:t>
      </w:r>
      <w:r>
        <w:rPr>
          <w:b/>
          <w:bCs/>
        </w:rPr>
        <w:t>-</w:t>
      </w:r>
      <w:r w:rsidR="00E5787C">
        <w:rPr>
          <w:b/>
          <w:bCs/>
        </w:rPr>
        <w:t>b</w:t>
      </w:r>
      <w:r>
        <w:rPr>
          <w:b/>
          <w:bCs/>
        </w:rPr>
        <w:t>) and 11</w:t>
      </w:r>
      <w:r w:rsidRPr="00EE5792">
        <w:rPr>
          <w:rFonts w:ascii="Cambria Math" w:hAnsi="Cambria Math"/>
          <w:b/>
          <w:bCs/>
        </w:rPr>
        <w:t>×</w:t>
      </w:r>
      <w:r>
        <w:rPr>
          <w:rFonts w:hint="eastAsia"/>
          <w:b/>
          <w:bCs/>
        </w:rPr>
        <w:t>1</w:t>
      </w:r>
      <w:r>
        <w:rPr>
          <w:b/>
          <w:bCs/>
        </w:rPr>
        <w:t>1 (</w:t>
      </w:r>
      <w:r w:rsidR="00E5787C">
        <w:rPr>
          <w:b/>
          <w:bCs/>
        </w:rPr>
        <w:t>c</w:t>
      </w:r>
      <w:r>
        <w:rPr>
          <w:b/>
          <w:bCs/>
        </w:rPr>
        <w:t>-</w:t>
      </w:r>
      <w:r w:rsidR="00E5787C">
        <w:rPr>
          <w:b/>
          <w:bCs/>
        </w:rPr>
        <w:t>d</w:t>
      </w:r>
      <w:r>
        <w:rPr>
          <w:b/>
          <w:bCs/>
        </w:rPr>
        <w:t xml:space="preserve">) spatial moving windows. </w:t>
      </w:r>
      <w:r>
        <w:t>The black dots indicate regions with significant sensitivity (</w:t>
      </w:r>
      <w:r w:rsidRPr="001C0F8A">
        <w:rPr>
          <w:i/>
          <w:iCs/>
        </w:rPr>
        <w:t>p</w:t>
      </w:r>
      <w:r w:rsidRPr="009A70E3">
        <w:rPr>
          <w:iCs/>
        </w:rPr>
        <w:t>-value</w:t>
      </w:r>
      <w:r>
        <w:t xml:space="preserve"> &lt; 0.1). The bars and error bars at bottom left indicate the ensemble mean of median sensitivity and standard error across products, respectively, for global (red), tropical (green), arid (orange), temperate (pink), and cold (blue) regions.</w:t>
      </w:r>
    </w:p>
    <w:p w14:paraId="5A516966" w14:textId="0C5804B0" w:rsidR="00265958" w:rsidRDefault="00265958" w:rsidP="0054592D">
      <w:pPr>
        <w:spacing w:before="120" w:after="120" w:line="360" w:lineRule="auto"/>
        <w:jc w:val="center"/>
      </w:pPr>
    </w:p>
    <w:p w14:paraId="3129456F" w14:textId="77777777" w:rsidR="00265958" w:rsidRDefault="00265958" w:rsidP="0054592D">
      <w:pPr>
        <w:spacing w:before="120" w:after="120" w:line="360" w:lineRule="auto"/>
        <w:jc w:val="center"/>
        <w:sectPr w:rsidR="00265958" w:rsidSect="00071FB9">
          <w:pgSz w:w="12240" w:h="15840"/>
          <w:pgMar w:top="1440" w:right="1440" w:bottom="1440" w:left="1440" w:header="720" w:footer="720" w:gutter="0"/>
          <w:lnNumType w:countBy="1" w:restart="continuous"/>
          <w:cols w:space="720"/>
          <w:docGrid w:linePitch="360"/>
        </w:sectPr>
      </w:pPr>
    </w:p>
    <w:p w14:paraId="36E42640" w14:textId="12B6DF7A" w:rsidR="00285F35" w:rsidRDefault="00D8385F" w:rsidP="00285F35">
      <w:pPr>
        <w:spacing w:before="120" w:after="120" w:line="360" w:lineRule="auto"/>
        <w:jc w:val="center"/>
      </w:pPr>
      <w:r>
        <w:rPr>
          <w:noProof/>
        </w:rPr>
        <w:lastRenderedPageBreak/>
        <w:drawing>
          <wp:inline distT="0" distB="0" distL="0" distR="0" wp14:anchorId="0CA7FA27" wp14:editId="24F885F8">
            <wp:extent cx="4463432" cy="4882101"/>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I_Fig1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91555" cy="4912862"/>
                    </a:xfrm>
                    <a:prstGeom prst="rect">
                      <a:avLst/>
                    </a:prstGeom>
                  </pic:spPr>
                </pic:pic>
              </a:graphicData>
            </a:graphic>
          </wp:inline>
        </w:drawing>
      </w:r>
    </w:p>
    <w:p w14:paraId="699C28AF" w14:textId="0C180D65" w:rsidR="00285F35" w:rsidRDefault="00285F35" w:rsidP="00285F35">
      <w:pPr>
        <w:spacing w:before="120" w:after="120" w:line="360" w:lineRule="auto"/>
        <w:jc w:val="both"/>
      </w:pPr>
      <w:r w:rsidRPr="000C0A7B">
        <w:rPr>
          <w:b/>
          <w:bCs/>
        </w:rPr>
        <w:t>Fig. S</w:t>
      </w:r>
      <w:r>
        <w:rPr>
          <w:b/>
          <w:bCs/>
        </w:rPr>
        <w:t>1</w:t>
      </w:r>
      <w:r w:rsidR="001E3B0A">
        <w:rPr>
          <w:b/>
          <w:bCs/>
        </w:rPr>
        <w:t>4</w:t>
      </w:r>
      <w:r>
        <w:rPr>
          <w:b/>
          <w:bCs/>
        </w:rPr>
        <w:t xml:space="preserve"> |</w:t>
      </w:r>
      <w:r w:rsidRPr="000C0A7B">
        <w:rPr>
          <w:b/>
          <w:bCs/>
        </w:rPr>
        <w:t xml:space="preserve"> The robustness of </w:t>
      </w:r>
      <w:r w:rsidRPr="000C0A7B">
        <w:rPr>
          <w:rFonts w:eastAsia="微软雅黑"/>
          <w:b/>
          <w:bCs/>
        </w:rPr>
        <w:t>fire sensitivity to vegetation greening</w:t>
      </w:r>
      <w:r w:rsidRPr="000C0A7B">
        <w:rPr>
          <w:b/>
          <w:bCs/>
        </w:rPr>
        <w:t xml:space="preserve"> by calculating </w:t>
      </w:r>
      <w:proofErr w:type="spellStart"/>
      <w:r w:rsidRPr="000C0A7B">
        <w:rPr>
          <w:b/>
          <w:bCs/>
        </w:rPr>
        <w:t>LAI</w:t>
      </w:r>
      <w:r w:rsidRPr="000C0A7B">
        <w:rPr>
          <w:b/>
          <w:bCs/>
          <w:vertAlign w:val="subscript"/>
        </w:rPr>
        <w:t>live</w:t>
      </w:r>
      <w:proofErr w:type="spellEnd"/>
      <w:r w:rsidRPr="000C0A7B">
        <w:rPr>
          <w:b/>
          <w:bCs/>
          <w:vertAlign w:val="subscript"/>
        </w:rPr>
        <w:t xml:space="preserve"> </w:t>
      </w:r>
      <w:r w:rsidRPr="000C0A7B">
        <w:rPr>
          <w:b/>
          <w:bCs/>
        </w:rPr>
        <w:t xml:space="preserve">as the maximum monthly LAI, and </w:t>
      </w:r>
      <w:proofErr w:type="spellStart"/>
      <w:r w:rsidRPr="000C0A7B">
        <w:rPr>
          <w:b/>
          <w:bCs/>
        </w:rPr>
        <w:t>LAI</w:t>
      </w:r>
      <w:r w:rsidRPr="000C0A7B">
        <w:rPr>
          <w:b/>
          <w:bCs/>
          <w:vertAlign w:val="subscript"/>
        </w:rPr>
        <w:t>dead</w:t>
      </w:r>
      <w:proofErr w:type="spellEnd"/>
      <w:r w:rsidRPr="000C0A7B">
        <w:rPr>
          <w:b/>
          <w:bCs/>
        </w:rPr>
        <w:t xml:space="preserve"> as the difference between maximum and the subsequent minimum monthly LAI. </w:t>
      </w:r>
      <w:r w:rsidRPr="000C0A7B">
        <w:t>The black dots indicate regions with significant sensitivity (</w:t>
      </w:r>
      <w:r w:rsidRPr="000C0A7B">
        <w:rPr>
          <w:i/>
          <w:iCs/>
        </w:rPr>
        <w:t>p</w:t>
      </w:r>
      <w:r w:rsidRPr="000C0A7B">
        <w:rPr>
          <w:iCs/>
        </w:rPr>
        <w:t>-value</w:t>
      </w:r>
      <w:r w:rsidRPr="000C0A7B">
        <w:t xml:space="preserve"> &lt; 0.1). The bars and error bars at bottom left indicate the ensemble mean of median sensitivity and standard error across products, respectively, for global (red), tropical (green), arid (orange), temperate (pink), and cold (blue) regions.</w:t>
      </w:r>
    </w:p>
    <w:p w14:paraId="27B88A7D" w14:textId="4BA7ED6C" w:rsidR="00265958" w:rsidRDefault="00265958" w:rsidP="0054592D">
      <w:pPr>
        <w:spacing w:before="120" w:after="120" w:line="360" w:lineRule="auto"/>
        <w:jc w:val="center"/>
      </w:pPr>
    </w:p>
    <w:p w14:paraId="1A154E04" w14:textId="77777777" w:rsidR="00285F35" w:rsidRDefault="00285F35" w:rsidP="0054592D">
      <w:pPr>
        <w:spacing w:before="120" w:after="120" w:line="360" w:lineRule="auto"/>
        <w:jc w:val="center"/>
        <w:sectPr w:rsidR="00285F35" w:rsidSect="00071FB9">
          <w:pgSz w:w="12240" w:h="15840"/>
          <w:pgMar w:top="1440" w:right="1440" w:bottom="1440" w:left="1440" w:header="720" w:footer="720" w:gutter="0"/>
          <w:lnNumType w:countBy="1" w:restart="continuous"/>
          <w:cols w:space="720"/>
          <w:docGrid w:linePitch="360"/>
        </w:sectPr>
      </w:pPr>
    </w:p>
    <w:p w14:paraId="4C48AC5B" w14:textId="0E776A86" w:rsidR="00CD6041" w:rsidRDefault="00AD71D2" w:rsidP="00CD6041">
      <w:pPr>
        <w:spacing w:before="120" w:after="120" w:line="360" w:lineRule="auto"/>
        <w:jc w:val="center"/>
      </w:pPr>
      <w:r>
        <w:rPr>
          <w:noProof/>
        </w:rPr>
        <w:lastRenderedPageBreak/>
        <w:drawing>
          <wp:inline distT="0" distB="0" distL="0" distR="0" wp14:anchorId="163E4ECE" wp14:editId="6ED8A20E">
            <wp:extent cx="5917031" cy="4945711"/>
            <wp:effectExtent l="0" t="0" r="7620" b="762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I_Fig1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1018" cy="4965760"/>
                    </a:xfrm>
                    <a:prstGeom prst="rect">
                      <a:avLst/>
                    </a:prstGeom>
                  </pic:spPr>
                </pic:pic>
              </a:graphicData>
            </a:graphic>
          </wp:inline>
        </w:drawing>
      </w:r>
    </w:p>
    <w:p w14:paraId="1B08FE25" w14:textId="452E5D81" w:rsidR="00CD6041" w:rsidRPr="00E454BB" w:rsidRDefault="00CD6041" w:rsidP="00CD6041">
      <w:pPr>
        <w:spacing w:before="120" w:after="120" w:line="360" w:lineRule="auto"/>
        <w:jc w:val="both"/>
        <w:rPr>
          <w:rFonts w:eastAsia="微软雅黑"/>
        </w:rPr>
      </w:pPr>
      <w:r w:rsidRPr="00E454BB">
        <w:rPr>
          <w:b/>
          <w:bCs/>
        </w:rPr>
        <w:t>Fig. S</w:t>
      </w:r>
      <w:r>
        <w:rPr>
          <w:b/>
          <w:bCs/>
        </w:rPr>
        <w:t>1</w:t>
      </w:r>
      <w:r w:rsidR="001E3B0A">
        <w:rPr>
          <w:b/>
          <w:bCs/>
        </w:rPr>
        <w:t>5</w:t>
      </w:r>
      <w:r>
        <w:rPr>
          <w:b/>
          <w:bCs/>
        </w:rPr>
        <w:t xml:space="preserve"> |</w:t>
      </w:r>
      <w:r w:rsidRPr="00E454BB">
        <w:rPr>
          <w:b/>
          <w:bCs/>
        </w:rPr>
        <w:t xml:space="preserve"> The impacts of changes in </w:t>
      </w:r>
      <w:proofErr w:type="spellStart"/>
      <w:r w:rsidRPr="00E454BB">
        <w:rPr>
          <w:b/>
          <w:bCs/>
        </w:rPr>
        <w:t>LAI</w:t>
      </w:r>
      <w:r w:rsidRPr="00E454BB">
        <w:rPr>
          <w:b/>
          <w:bCs/>
          <w:vertAlign w:val="subscript"/>
        </w:rPr>
        <w:t>dead</w:t>
      </w:r>
      <w:proofErr w:type="spellEnd"/>
      <w:r w:rsidRPr="00E454BB">
        <w:rPr>
          <w:b/>
          <w:bCs/>
        </w:rPr>
        <w:t xml:space="preserve"> (</w:t>
      </w:r>
      <w:r w:rsidRPr="00E454BB">
        <w:rPr>
          <w:rFonts w:eastAsia="微软雅黑"/>
          <w:b/>
          <w:bCs/>
        </w:rPr>
        <w:t>∆</w:t>
      </w:r>
      <w:proofErr w:type="spellStart"/>
      <w:r w:rsidRPr="00E454BB">
        <w:rPr>
          <w:b/>
          <w:bCs/>
        </w:rPr>
        <w:t>LAI</w:t>
      </w:r>
      <w:r w:rsidRPr="00E454BB">
        <w:rPr>
          <w:b/>
          <w:bCs/>
          <w:vertAlign w:val="subscript"/>
        </w:rPr>
        <w:t>rel</w:t>
      </w:r>
      <w:proofErr w:type="spellEnd"/>
      <w:r w:rsidRPr="00E454BB">
        <w:rPr>
          <w:b/>
          <w:bCs/>
          <w:vertAlign w:val="subscript"/>
        </w:rPr>
        <w:t>-dead</w:t>
      </w:r>
      <w:r w:rsidRPr="00E454BB">
        <w:rPr>
          <w:b/>
          <w:bCs/>
        </w:rPr>
        <w:t>) on fire (</w:t>
      </w:r>
      <w:r w:rsidRPr="00E454BB">
        <w:rPr>
          <w:rFonts w:eastAsia="微软雅黑"/>
          <w:b/>
          <w:bCs/>
        </w:rPr>
        <w:t>∆</w:t>
      </w:r>
      <w:proofErr w:type="spellStart"/>
      <w:r w:rsidRPr="00E454BB">
        <w:rPr>
          <w:b/>
          <w:bCs/>
        </w:rPr>
        <w:t>BF</w:t>
      </w:r>
      <w:r w:rsidRPr="00E454BB">
        <w:rPr>
          <w:b/>
          <w:bCs/>
          <w:vertAlign w:val="subscript"/>
        </w:rPr>
        <w:t>rel</w:t>
      </w:r>
      <w:proofErr w:type="spellEnd"/>
      <w:r w:rsidRPr="00E454BB">
        <w:rPr>
          <w:b/>
          <w:bCs/>
        </w:rPr>
        <w:t>) along the gradients of water availability (</w:t>
      </w:r>
      <w:r w:rsidR="00E5787C">
        <w:rPr>
          <w:b/>
          <w:bCs/>
        </w:rPr>
        <w:t>a</w:t>
      </w:r>
      <w:r w:rsidRPr="00E454BB">
        <w:rPr>
          <w:b/>
          <w:bCs/>
        </w:rPr>
        <w:t xml:space="preserve">, </w:t>
      </w:r>
      <w:r>
        <w:rPr>
          <w:b/>
          <w:bCs/>
        </w:rPr>
        <w:t>aridity index</w:t>
      </w:r>
      <w:r w:rsidRPr="00E454BB">
        <w:rPr>
          <w:b/>
          <w:bCs/>
        </w:rPr>
        <w:t xml:space="preserve">; </w:t>
      </w:r>
      <w:r w:rsidR="00E5787C">
        <w:rPr>
          <w:b/>
          <w:bCs/>
        </w:rPr>
        <w:t>c</w:t>
      </w:r>
      <w:r w:rsidRPr="00E454BB">
        <w:rPr>
          <w:b/>
          <w:bCs/>
        </w:rPr>
        <w:t xml:space="preserve">, </w:t>
      </w:r>
      <w:r>
        <w:rPr>
          <w:b/>
          <w:bCs/>
        </w:rPr>
        <w:t>relative humidity</w:t>
      </w:r>
      <w:r w:rsidRPr="00E454BB">
        <w:rPr>
          <w:b/>
          <w:bCs/>
        </w:rPr>
        <w:t>) and vegetation growth (</w:t>
      </w:r>
      <w:r w:rsidR="00E5787C">
        <w:rPr>
          <w:b/>
          <w:bCs/>
        </w:rPr>
        <w:t>b</w:t>
      </w:r>
      <w:r w:rsidRPr="00E454BB">
        <w:rPr>
          <w:b/>
          <w:bCs/>
        </w:rPr>
        <w:t xml:space="preserve">, </w:t>
      </w:r>
      <w:proofErr w:type="spellStart"/>
      <w:r w:rsidRPr="00E454BB">
        <w:rPr>
          <w:b/>
          <w:bCs/>
        </w:rPr>
        <w:t>LAI</w:t>
      </w:r>
      <w:r w:rsidRPr="00E454BB">
        <w:rPr>
          <w:b/>
          <w:bCs/>
          <w:vertAlign w:val="subscript"/>
        </w:rPr>
        <w:t>live</w:t>
      </w:r>
      <w:proofErr w:type="spellEnd"/>
      <w:r w:rsidRPr="00E454BB">
        <w:rPr>
          <w:b/>
          <w:bCs/>
        </w:rPr>
        <w:t xml:space="preserve">; </w:t>
      </w:r>
      <w:r w:rsidR="00E5787C">
        <w:rPr>
          <w:b/>
          <w:bCs/>
        </w:rPr>
        <w:t>d</w:t>
      </w:r>
      <w:r w:rsidRPr="00E454BB">
        <w:rPr>
          <w:b/>
          <w:bCs/>
        </w:rPr>
        <w:t xml:space="preserve">, </w:t>
      </w:r>
      <w:r>
        <w:rPr>
          <w:b/>
          <w:bCs/>
        </w:rPr>
        <w:t>tree cover</w:t>
      </w:r>
      <w:r w:rsidRPr="00E454BB">
        <w:rPr>
          <w:b/>
          <w:bCs/>
        </w:rPr>
        <w:t xml:space="preserve">). </w:t>
      </w:r>
      <w:r w:rsidRPr="00E454BB">
        <w:rPr>
          <w:rFonts w:eastAsia="微软雅黑"/>
        </w:rPr>
        <w:t>∆</w:t>
      </w:r>
      <w:proofErr w:type="spellStart"/>
      <w:r w:rsidRPr="00E454BB">
        <w:rPr>
          <w:rFonts w:eastAsia="微软雅黑"/>
        </w:rPr>
        <w:t>X</w:t>
      </w:r>
      <w:r w:rsidRPr="00E454BB">
        <w:rPr>
          <w:rFonts w:eastAsia="微软雅黑"/>
          <w:vertAlign w:val="subscript"/>
        </w:rPr>
        <w:t>rel</w:t>
      </w:r>
      <w:proofErr w:type="spellEnd"/>
      <w:r w:rsidRPr="00E454BB">
        <w:rPr>
          <w:rFonts w:eastAsia="微软雅黑"/>
        </w:rPr>
        <w:t xml:space="preserve"> </w:t>
      </w:r>
      <w:r w:rsidRPr="00E454BB">
        <w:t xml:space="preserve">indicates year-to-year variation (i.e. consecutive </w:t>
      </w:r>
      <w:r w:rsidR="00F30148">
        <w:t>two-</w:t>
      </w:r>
      <w:r w:rsidRPr="00E454BB">
        <w:t xml:space="preserve">year difference) of X normalized by annual mean X. </w:t>
      </w:r>
      <w:r w:rsidRPr="00E454BB">
        <w:rPr>
          <w:rFonts w:eastAsia="微软雅黑"/>
        </w:rPr>
        <w:t>∆</w:t>
      </w:r>
      <w:proofErr w:type="spellStart"/>
      <w:r w:rsidRPr="00E454BB">
        <w:rPr>
          <w:rFonts w:eastAsia="微软雅黑"/>
        </w:rPr>
        <w:t>BF</w:t>
      </w:r>
      <w:r w:rsidRPr="00E454BB">
        <w:rPr>
          <w:rFonts w:eastAsia="微软雅黑"/>
          <w:vertAlign w:val="subscript"/>
        </w:rPr>
        <w:t>rel</w:t>
      </w:r>
      <w:proofErr w:type="spellEnd"/>
      <w:r w:rsidRPr="00E454BB">
        <w:rPr>
          <w:rFonts w:eastAsia="微软雅黑"/>
          <w:vertAlign w:val="subscript"/>
        </w:rPr>
        <w:t xml:space="preserve"> </w:t>
      </w:r>
      <w:r w:rsidRPr="00E454BB">
        <w:rPr>
          <w:rFonts w:eastAsia="微软雅黑"/>
        </w:rPr>
        <w:t>is binned as a function of ∆</w:t>
      </w:r>
      <w:proofErr w:type="spellStart"/>
      <w:r w:rsidRPr="00E454BB">
        <w:rPr>
          <w:rFonts w:eastAsia="微软雅黑"/>
        </w:rPr>
        <w:t>LAI</w:t>
      </w:r>
      <w:r w:rsidRPr="00E454BB">
        <w:rPr>
          <w:rFonts w:eastAsia="微软雅黑"/>
          <w:vertAlign w:val="subscript"/>
        </w:rPr>
        <w:t>rel</w:t>
      </w:r>
      <w:proofErr w:type="spellEnd"/>
      <w:r w:rsidRPr="00E454BB">
        <w:rPr>
          <w:rFonts w:eastAsia="微软雅黑"/>
          <w:vertAlign w:val="subscript"/>
        </w:rPr>
        <w:t xml:space="preserve">-dead </w:t>
      </w:r>
      <w:r w:rsidRPr="00E454BB">
        <w:rPr>
          <w:rFonts w:eastAsia="微软雅黑"/>
        </w:rPr>
        <w:t xml:space="preserve">and </w:t>
      </w:r>
      <w:r>
        <w:rPr>
          <w:rFonts w:eastAsia="微软雅黑"/>
        </w:rPr>
        <w:t>AI</w:t>
      </w:r>
      <w:r w:rsidRPr="00E454BB">
        <w:rPr>
          <w:rFonts w:eastAsia="微软雅黑"/>
        </w:rPr>
        <w:t>/</w:t>
      </w:r>
      <w:r>
        <w:rPr>
          <w:rFonts w:eastAsia="微软雅黑"/>
        </w:rPr>
        <w:t>RH</w:t>
      </w:r>
      <w:r w:rsidRPr="00E454BB">
        <w:rPr>
          <w:rFonts w:eastAsia="微软雅黑"/>
        </w:rPr>
        <w:t>/</w:t>
      </w:r>
      <w:proofErr w:type="spellStart"/>
      <w:r w:rsidRPr="00E454BB">
        <w:rPr>
          <w:rFonts w:eastAsia="微软雅黑"/>
        </w:rPr>
        <w:t>LAI</w:t>
      </w:r>
      <w:r w:rsidRPr="00E454BB">
        <w:rPr>
          <w:rFonts w:eastAsia="微软雅黑"/>
          <w:vertAlign w:val="subscript"/>
        </w:rPr>
        <w:t>live</w:t>
      </w:r>
      <w:proofErr w:type="spellEnd"/>
      <w:r w:rsidRPr="00E454BB">
        <w:rPr>
          <w:rFonts w:eastAsia="微软雅黑"/>
        </w:rPr>
        <w:t>/</w:t>
      </w:r>
      <w:r>
        <w:rPr>
          <w:rFonts w:eastAsia="微软雅黑"/>
        </w:rPr>
        <w:t>tree cover</w:t>
      </w:r>
      <w:r w:rsidRPr="00E454BB">
        <w:rPr>
          <w:rFonts w:eastAsia="微软雅黑"/>
        </w:rPr>
        <w:t>. ∆</w:t>
      </w:r>
      <w:proofErr w:type="spellStart"/>
      <w:r w:rsidRPr="00E454BB">
        <w:rPr>
          <w:rFonts w:eastAsia="微软雅黑"/>
        </w:rPr>
        <w:t>LAI</w:t>
      </w:r>
      <w:r w:rsidRPr="00E454BB">
        <w:rPr>
          <w:rFonts w:eastAsia="微软雅黑"/>
          <w:vertAlign w:val="subscript"/>
        </w:rPr>
        <w:t>rel</w:t>
      </w:r>
      <w:proofErr w:type="spellEnd"/>
      <w:r w:rsidRPr="00E454BB">
        <w:rPr>
          <w:rFonts w:eastAsia="微软雅黑"/>
          <w:vertAlign w:val="subscript"/>
        </w:rPr>
        <w:t xml:space="preserve">-dead </w:t>
      </w:r>
      <w:r w:rsidRPr="00E454BB">
        <w:rPr>
          <w:rFonts w:eastAsia="微软雅黑"/>
        </w:rPr>
        <w:t>&gt; 0 and &lt; 0 represent increase and decrease of dead litter, respectively. ∆</w:t>
      </w:r>
      <w:proofErr w:type="spellStart"/>
      <w:r w:rsidRPr="00E454BB">
        <w:rPr>
          <w:rFonts w:eastAsia="微软雅黑"/>
        </w:rPr>
        <w:t>BF</w:t>
      </w:r>
      <w:r w:rsidRPr="00E454BB">
        <w:rPr>
          <w:rFonts w:eastAsia="微软雅黑"/>
          <w:vertAlign w:val="subscript"/>
        </w:rPr>
        <w:t>rel</w:t>
      </w:r>
      <w:proofErr w:type="spellEnd"/>
      <w:r w:rsidRPr="00E454BB">
        <w:rPr>
          <w:rFonts w:eastAsia="微软雅黑"/>
          <w:vertAlign w:val="subscript"/>
        </w:rPr>
        <w:t xml:space="preserve"> </w:t>
      </w:r>
      <w:r w:rsidRPr="00E454BB">
        <w:rPr>
          <w:rFonts w:eastAsia="微软雅黑"/>
        </w:rPr>
        <w:t>&gt; 0 and &lt; 0 represent BF increasing (red) and decreasing (blue), respectively.</w:t>
      </w:r>
    </w:p>
    <w:p w14:paraId="044C2DEB" w14:textId="6D3F9A75" w:rsidR="00285F35" w:rsidRDefault="00285F35" w:rsidP="0054592D">
      <w:pPr>
        <w:spacing w:before="120" w:after="120" w:line="360" w:lineRule="auto"/>
        <w:jc w:val="center"/>
      </w:pPr>
    </w:p>
    <w:p w14:paraId="630CC5CD" w14:textId="77777777" w:rsidR="00CD6041" w:rsidRDefault="00CD6041" w:rsidP="0054592D">
      <w:pPr>
        <w:spacing w:before="120" w:after="120" w:line="360" w:lineRule="auto"/>
        <w:jc w:val="center"/>
        <w:sectPr w:rsidR="00CD6041" w:rsidSect="00071FB9">
          <w:pgSz w:w="12240" w:h="15840"/>
          <w:pgMar w:top="1440" w:right="1440" w:bottom="1440" w:left="1440" w:header="720" w:footer="720" w:gutter="0"/>
          <w:lnNumType w:countBy="1" w:restart="continuous"/>
          <w:cols w:space="720"/>
          <w:docGrid w:linePitch="360"/>
        </w:sectPr>
      </w:pPr>
    </w:p>
    <w:p w14:paraId="355F2DBD" w14:textId="1587ECD8" w:rsidR="00CD6041" w:rsidRDefault="00EC717B" w:rsidP="00CD6041">
      <w:pPr>
        <w:spacing w:before="120" w:after="120" w:line="360" w:lineRule="auto"/>
        <w:jc w:val="center"/>
      </w:pPr>
      <w:r>
        <w:rPr>
          <w:noProof/>
        </w:rPr>
        <w:lastRenderedPageBreak/>
        <w:drawing>
          <wp:inline distT="0" distB="0" distL="0" distR="0" wp14:anchorId="1A95CE06" wp14:editId="42CC8C31">
            <wp:extent cx="5883965" cy="5003166"/>
            <wp:effectExtent l="0" t="0" r="2540" b="698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I_Fig1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96594" cy="5013905"/>
                    </a:xfrm>
                    <a:prstGeom prst="rect">
                      <a:avLst/>
                    </a:prstGeom>
                  </pic:spPr>
                </pic:pic>
              </a:graphicData>
            </a:graphic>
          </wp:inline>
        </w:drawing>
      </w:r>
    </w:p>
    <w:p w14:paraId="1F6A73F8" w14:textId="7346ADC5" w:rsidR="00CD6041" w:rsidRPr="00CA3E9D" w:rsidRDefault="00CD6041" w:rsidP="00CD6041">
      <w:pPr>
        <w:spacing w:before="120" w:after="120" w:line="360" w:lineRule="auto"/>
        <w:jc w:val="both"/>
        <w:rPr>
          <w:rFonts w:eastAsia="微软雅黑"/>
        </w:rPr>
      </w:pPr>
      <w:r w:rsidRPr="00CA3E9D">
        <w:rPr>
          <w:b/>
          <w:bCs/>
        </w:rPr>
        <w:t>Fig. S</w:t>
      </w:r>
      <w:r>
        <w:rPr>
          <w:b/>
          <w:bCs/>
        </w:rPr>
        <w:t>1</w:t>
      </w:r>
      <w:r w:rsidR="001E3B0A">
        <w:rPr>
          <w:b/>
          <w:bCs/>
        </w:rPr>
        <w:t>6</w:t>
      </w:r>
      <w:r>
        <w:rPr>
          <w:b/>
          <w:bCs/>
        </w:rPr>
        <w:t xml:space="preserve"> |</w:t>
      </w:r>
      <w:r w:rsidRPr="00CA3E9D">
        <w:rPr>
          <w:b/>
          <w:bCs/>
        </w:rPr>
        <w:t xml:space="preserve"> Same as </w:t>
      </w:r>
      <w:r w:rsidRPr="00F14DA6">
        <w:rPr>
          <w:b/>
          <w:bCs/>
          <w:color w:val="0000FF"/>
        </w:rPr>
        <w:t>Fig. S</w:t>
      </w:r>
      <w:r>
        <w:rPr>
          <w:b/>
          <w:bCs/>
          <w:color w:val="0000FF"/>
        </w:rPr>
        <w:t>1</w:t>
      </w:r>
      <w:r w:rsidR="001E3B0A">
        <w:rPr>
          <w:b/>
          <w:bCs/>
          <w:color w:val="0000FF"/>
        </w:rPr>
        <w:t>5</w:t>
      </w:r>
      <w:r w:rsidRPr="00CA3E9D">
        <w:rPr>
          <w:b/>
          <w:bCs/>
        </w:rPr>
        <w:t xml:space="preserve"> but for the impacts of changes in </w:t>
      </w:r>
      <w:proofErr w:type="spellStart"/>
      <w:r w:rsidRPr="00CA3E9D">
        <w:rPr>
          <w:b/>
          <w:bCs/>
        </w:rPr>
        <w:t>LAI</w:t>
      </w:r>
      <w:r w:rsidRPr="00CA3E9D">
        <w:rPr>
          <w:b/>
          <w:bCs/>
          <w:vertAlign w:val="subscript"/>
        </w:rPr>
        <w:t>live</w:t>
      </w:r>
      <w:proofErr w:type="spellEnd"/>
      <w:r w:rsidRPr="00CA3E9D">
        <w:rPr>
          <w:b/>
          <w:bCs/>
        </w:rPr>
        <w:t xml:space="preserve"> (</w:t>
      </w:r>
      <w:r w:rsidRPr="00CA3E9D">
        <w:rPr>
          <w:rFonts w:eastAsia="微软雅黑"/>
          <w:b/>
          <w:bCs/>
        </w:rPr>
        <w:t>∆</w:t>
      </w:r>
      <w:proofErr w:type="spellStart"/>
      <w:r w:rsidRPr="00CA3E9D">
        <w:rPr>
          <w:b/>
          <w:bCs/>
        </w:rPr>
        <w:t>LAI</w:t>
      </w:r>
      <w:r w:rsidRPr="00CA3E9D">
        <w:rPr>
          <w:b/>
          <w:bCs/>
          <w:vertAlign w:val="subscript"/>
        </w:rPr>
        <w:t>rel</w:t>
      </w:r>
      <w:proofErr w:type="spellEnd"/>
      <w:r w:rsidRPr="00CA3E9D">
        <w:rPr>
          <w:b/>
          <w:bCs/>
          <w:vertAlign w:val="subscript"/>
        </w:rPr>
        <w:t>-live</w:t>
      </w:r>
      <w:r w:rsidRPr="00CA3E9D">
        <w:rPr>
          <w:b/>
          <w:bCs/>
        </w:rPr>
        <w:t>) on fire (</w:t>
      </w:r>
      <w:r w:rsidRPr="00CA3E9D">
        <w:rPr>
          <w:rFonts w:eastAsia="微软雅黑"/>
          <w:b/>
          <w:bCs/>
        </w:rPr>
        <w:t>∆</w:t>
      </w:r>
      <w:proofErr w:type="spellStart"/>
      <w:r w:rsidRPr="00CA3E9D">
        <w:rPr>
          <w:b/>
          <w:bCs/>
        </w:rPr>
        <w:t>BF</w:t>
      </w:r>
      <w:r w:rsidRPr="00CA3E9D">
        <w:rPr>
          <w:b/>
          <w:bCs/>
          <w:vertAlign w:val="subscript"/>
        </w:rPr>
        <w:t>rel</w:t>
      </w:r>
      <w:proofErr w:type="spellEnd"/>
      <w:r w:rsidRPr="00CA3E9D">
        <w:rPr>
          <w:b/>
          <w:bCs/>
        </w:rPr>
        <w:t>) along the gradients of water availability (</w:t>
      </w:r>
      <w:r w:rsidR="0096718B">
        <w:rPr>
          <w:b/>
          <w:bCs/>
        </w:rPr>
        <w:t>a</w:t>
      </w:r>
      <w:r w:rsidRPr="00CA3E9D">
        <w:rPr>
          <w:b/>
          <w:bCs/>
        </w:rPr>
        <w:t xml:space="preserve">, </w:t>
      </w:r>
      <w:r>
        <w:rPr>
          <w:b/>
          <w:bCs/>
        </w:rPr>
        <w:t>aridity index</w:t>
      </w:r>
      <w:r w:rsidRPr="00CA3E9D">
        <w:rPr>
          <w:b/>
          <w:bCs/>
        </w:rPr>
        <w:t xml:space="preserve">; </w:t>
      </w:r>
      <w:r w:rsidR="0096718B">
        <w:rPr>
          <w:b/>
          <w:bCs/>
        </w:rPr>
        <w:t>c</w:t>
      </w:r>
      <w:r w:rsidRPr="00CA3E9D">
        <w:rPr>
          <w:b/>
          <w:bCs/>
        </w:rPr>
        <w:t xml:space="preserve">, </w:t>
      </w:r>
      <w:r>
        <w:rPr>
          <w:b/>
          <w:bCs/>
        </w:rPr>
        <w:t>relative humidity</w:t>
      </w:r>
      <w:r w:rsidRPr="00CA3E9D">
        <w:rPr>
          <w:b/>
          <w:bCs/>
        </w:rPr>
        <w:t>) and vegetation growth (</w:t>
      </w:r>
      <w:r w:rsidR="0096718B">
        <w:rPr>
          <w:b/>
          <w:bCs/>
        </w:rPr>
        <w:t>b</w:t>
      </w:r>
      <w:r w:rsidRPr="00CA3E9D">
        <w:rPr>
          <w:b/>
          <w:bCs/>
        </w:rPr>
        <w:t xml:space="preserve">, </w:t>
      </w:r>
      <w:proofErr w:type="spellStart"/>
      <w:r w:rsidRPr="00CA3E9D">
        <w:rPr>
          <w:b/>
          <w:bCs/>
        </w:rPr>
        <w:t>LAI</w:t>
      </w:r>
      <w:r w:rsidRPr="00CA3E9D">
        <w:rPr>
          <w:b/>
          <w:bCs/>
          <w:vertAlign w:val="subscript"/>
        </w:rPr>
        <w:t>live</w:t>
      </w:r>
      <w:proofErr w:type="spellEnd"/>
      <w:r w:rsidRPr="00CA3E9D">
        <w:rPr>
          <w:b/>
          <w:bCs/>
        </w:rPr>
        <w:t xml:space="preserve">; </w:t>
      </w:r>
      <w:r w:rsidR="0096718B">
        <w:rPr>
          <w:b/>
          <w:bCs/>
        </w:rPr>
        <w:t>d</w:t>
      </w:r>
      <w:r w:rsidRPr="00CA3E9D">
        <w:rPr>
          <w:b/>
          <w:bCs/>
        </w:rPr>
        <w:t xml:space="preserve">, </w:t>
      </w:r>
      <w:r>
        <w:rPr>
          <w:b/>
          <w:bCs/>
        </w:rPr>
        <w:t>tree cover</w:t>
      </w:r>
      <w:r w:rsidRPr="00CA3E9D">
        <w:rPr>
          <w:b/>
          <w:bCs/>
        </w:rPr>
        <w:t xml:space="preserve">). </w:t>
      </w:r>
      <w:r w:rsidRPr="00CA3E9D">
        <w:rPr>
          <w:rFonts w:eastAsia="微软雅黑"/>
        </w:rPr>
        <w:t>∆</w:t>
      </w:r>
      <w:proofErr w:type="spellStart"/>
      <w:r w:rsidRPr="00CA3E9D">
        <w:rPr>
          <w:rFonts w:eastAsia="微软雅黑"/>
        </w:rPr>
        <w:t>X</w:t>
      </w:r>
      <w:r w:rsidRPr="00CA3E9D">
        <w:rPr>
          <w:rFonts w:eastAsia="微软雅黑"/>
          <w:vertAlign w:val="subscript"/>
        </w:rPr>
        <w:t>rel</w:t>
      </w:r>
      <w:proofErr w:type="spellEnd"/>
      <w:r w:rsidRPr="00CA3E9D">
        <w:rPr>
          <w:rFonts w:eastAsia="微软雅黑"/>
        </w:rPr>
        <w:t xml:space="preserve"> </w:t>
      </w:r>
      <w:r w:rsidRPr="00CA3E9D">
        <w:t xml:space="preserve">indicates year-to-year variation (i.e. consecutive </w:t>
      </w:r>
      <w:r w:rsidR="00F30148">
        <w:t>two-</w:t>
      </w:r>
      <w:r w:rsidRPr="00CA3E9D">
        <w:t xml:space="preserve">year difference) of X normalized by annual mean X. </w:t>
      </w:r>
      <w:r w:rsidRPr="00CA3E9D">
        <w:rPr>
          <w:rFonts w:eastAsia="微软雅黑"/>
        </w:rPr>
        <w:t>∆</w:t>
      </w:r>
      <w:proofErr w:type="spellStart"/>
      <w:r w:rsidRPr="00CA3E9D">
        <w:rPr>
          <w:rFonts w:eastAsia="微软雅黑"/>
        </w:rPr>
        <w:t>BF</w:t>
      </w:r>
      <w:r w:rsidRPr="00CA3E9D">
        <w:rPr>
          <w:rFonts w:eastAsia="微软雅黑"/>
          <w:vertAlign w:val="subscript"/>
        </w:rPr>
        <w:t>rel</w:t>
      </w:r>
      <w:proofErr w:type="spellEnd"/>
      <w:r w:rsidRPr="00CA3E9D">
        <w:rPr>
          <w:rFonts w:eastAsia="微软雅黑"/>
          <w:vertAlign w:val="subscript"/>
        </w:rPr>
        <w:t xml:space="preserve"> </w:t>
      </w:r>
      <w:r w:rsidRPr="00CA3E9D">
        <w:rPr>
          <w:rFonts w:eastAsia="微软雅黑"/>
        </w:rPr>
        <w:t>is binned as a function of ∆</w:t>
      </w:r>
      <w:proofErr w:type="spellStart"/>
      <w:r w:rsidRPr="00CA3E9D">
        <w:rPr>
          <w:rFonts w:eastAsia="微软雅黑"/>
        </w:rPr>
        <w:t>LAI</w:t>
      </w:r>
      <w:r w:rsidRPr="00CA3E9D">
        <w:rPr>
          <w:rFonts w:eastAsia="微软雅黑"/>
          <w:vertAlign w:val="subscript"/>
        </w:rPr>
        <w:t>rel</w:t>
      </w:r>
      <w:proofErr w:type="spellEnd"/>
      <w:r w:rsidRPr="00CA3E9D">
        <w:rPr>
          <w:rFonts w:eastAsia="微软雅黑"/>
          <w:vertAlign w:val="subscript"/>
        </w:rPr>
        <w:t xml:space="preserve">-live </w:t>
      </w:r>
      <w:r w:rsidRPr="00CA3E9D">
        <w:rPr>
          <w:rFonts w:eastAsia="微软雅黑"/>
        </w:rPr>
        <w:t xml:space="preserve">and </w:t>
      </w:r>
      <w:r>
        <w:rPr>
          <w:rFonts w:eastAsia="微软雅黑"/>
        </w:rPr>
        <w:t>AI</w:t>
      </w:r>
      <w:r w:rsidRPr="00CA3E9D">
        <w:rPr>
          <w:rFonts w:eastAsia="微软雅黑"/>
        </w:rPr>
        <w:t>/</w:t>
      </w:r>
      <w:r>
        <w:rPr>
          <w:rFonts w:eastAsia="微软雅黑"/>
        </w:rPr>
        <w:t>RH</w:t>
      </w:r>
      <w:r w:rsidRPr="00CA3E9D">
        <w:rPr>
          <w:rFonts w:eastAsia="微软雅黑"/>
        </w:rPr>
        <w:t>/</w:t>
      </w:r>
      <w:proofErr w:type="spellStart"/>
      <w:r w:rsidRPr="00CA3E9D">
        <w:rPr>
          <w:rFonts w:eastAsia="微软雅黑"/>
        </w:rPr>
        <w:t>LAI</w:t>
      </w:r>
      <w:r w:rsidRPr="00CA3E9D">
        <w:rPr>
          <w:rFonts w:eastAsia="微软雅黑"/>
          <w:vertAlign w:val="subscript"/>
        </w:rPr>
        <w:t>live</w:t>
      </w:r>
      <w:proofErr w:type="spellEnd"/>
      <w:r w:rsidRPr="00CA3E9D">
        <w:rPr>
          <w:rFonts w:eastAsia="微软雅黑"/>
        </w:rPr>
        <w:t>/</w:t>
      </w:r>
      <w:r>
        <w:rPr>
          <w:rFonts w:eastAsia="微软雅黑"/>
        </w:rPr>
        <w:t>tree cover</w:t>
      </w:r>
      <w:r w:rsidRPr="00CA3E9D">
        <w:rPr>
          <w:rFonts w:eastAsia="微软雅黑"/>
        </w:rPr>
        <w:t>. ∆</w:t>
      </w:r>
      <w:proofErr w:type="spellStart"/>
      <w:r w:rsidRPr="00CA3E9D">
        <w:rPr>
          <w:rFonts w:eastAsia="微软雅黑"/>
        </w:rPr>
        <w:t>LAI</w:t>
      </w:r>
      <w:r w:rsidRPr="00CA3E9D">
        <w:rPr>
          <w:rFonts w:eastAsia="微软雅黑"/>
          <w:vertAlign w:val="subscript"/>
        </w:rPr>
        <w:t>rel</w:t>
      </w:r>
      <w:proofErr w:type="spellEnd"/>
      <w:r w:rsidRPr="00CA3E9D">
        <w:rPr>
          <w:rFonts w:eastAsia="微软雅黑"/>
          <w:vertAlign w:val="subscript"/>
        </w:rPr>
        <w:t xml:space="preserve">-live </w:t>
      </w:r>
      <w:r w:rsidRPr="00CA3E9D">
        <w:rPr>
          <w:rFonts w:eastAsia="微软雅黑"/>
        </w:rPr>
        <w:t>&gt; 0 and &lt; 0 represent greening and browning, respectively. ∆</w:t>
      </w:r>
      <w:proofErr w:type="spellStart"/>
      <w:r w:rsidRPr="00CA3E9D">
        <w:rPr>
          <w:rFonts w:eastAsia="微软雅黑"/>
        </w:rPr>
        <w:t>BF</w:t>
      </w:r>
      <w:r w:rsidRPr="00CA3E9D">
        <w:rPr>
          <w:rFonts w:eastAsia="微软雅黑"/>
          <w:vertAlign w:val="subscript"/>
        </w:rPr>
        <w:t>rel</w:t>
      </w:r>
      <w:proofErr w:type="spellEnd"/>
      <w:r w:rsidRPr="00CA3E9D">
        <w:rPr>
          <w:rFonts w:eastAsia="微软雅黑"/>
          <w:vertAlign w:val="subscript"/>
        </w:rPr>
        <w:t xml:space="preserve"> </w:t>
      </w:r>
      <w:r w:rsidRPr="00CA3E9D">
        <w:rPr>
          <w:rFonts w:eastAsia="微软雅黑"/>
        </w:rPr>
        <w:t xml:space="preserve">&gt; 0 and &lt; 0 represent BF increasing (red) and decreasing (blue), respectively. The colored labels refer to the ensemble mean thresholds identified in </w:t>
      </w:r>
      <w:r w:rsidRPr="00CA3E9D">
        <w:rPr>
          <w:rFonts w:eastAsia="微软雅黑"/>
          <w:color w:val="0000FF"/>
        </w:rPr>
        <w:t>Fig. 3</w:t>
      </w:r>
      <w:r w:rsidR="0096718B">
        <w:rPr>
          <w:rFonts w:eastAsia="微软雅黑"/>
          <w:color w:val="0000FF"/>
        </w:rPr>
        <w:t>e</w:t>
      </w:r>
      <w:r>
        <w:rPr>
          <w:rFonts w:eastAsia="微软雅黑"/>
          <w:color w:val="0000FF"/>
        </w:rPr>
        <w:t>-</w:t>
      </w:r>
      <w:r w:rsidR="0096718B">
        <w:rPr>
          <w:rFonts w:eastAsia="微软雅黑"/>
          <w:color w:val="0000FF"/>
        </w:rPr>
        <w:t>f</w:t>
      </w:r>
      <w:r w:rsidRPr="00CA3E9D">
        <w:rPr>
          <w:rFonts w:eastAsia="微软雅黑"/>
        </w:rPr>
        <w:t xml:space="preserve"> </w:t>
      </w:r>
      <w:r>
        <w:rPr>
          <w:rFonts w:eastAsia="微软雅黑"/>
          <w:lang w:eastAsia="zh-CN"/>
        </w:rPr>
        <w:t xml:space="preserve">in the main text </w:t>
      </w:r>
      <w:r w:rsidRPr="00CA3E9D">
        <w:rPr>
          <w:rFonts w:eastAsia="微软雅黑"/>
        </w:rPr>
        <w:t>and</w:t>
      </w:r>
      <w:r w:rsidRPr="00CA3E9D">
        <w:rPr>
          <w:rFonts w:eastAsia="微软雅黑"/>
          <w:b/>
        </w:rPr>
        <w:t xml:space="preserve"> </w:t>
      </w:r>
      <w:r w:rsidRPr="00CD6041">
        <w:rPr>
          <w:rFonts w:eastAsia="微软雅黑"/>
          <w:color w:val="0000FF"/>
        </w:rPr>
        <w:t>Extended Data</w:t>
      </w:r>
      <w:r w:rsidRPr="00CD6041">
        <w:rPr>
          <w:rFonts w:eastAsia="微软雅黑"/>
          <w:b/>
          <w:color w:val="0000FF"/>
        </w:rPr>
        <w:t xml:space="preserve"> </w:t>
      </w:r>
      <w:r w:rsidRPr="00CD6041">
        <w:rPr>
          <w:rFonts w:eastAsia="微软雅黑"/>
          <w:color w:val="0000FF"/>
        </w:rPr>
        <w:t xml:space="preserve">Fig. </w:t>
      </w:r>
      <w:r>
        <w:rPr>
          <w:rFonts w:eastAsia="微软雅黑"/>
          <w:color w:val="0000FF"/>
        </w:rPr>
        <w:t>6</w:t>
      </w:r>
      <w:r w:rsidR="0096718B">
        <w:rPr>
          <w:rFonts w:eastAsia="微软雅黑"/>
          <w:color w:val="0000FF"/>
        </w:rPr>
        <w:t>b</w:t>
      </w:r>
      <w:r>
        <w:rPr>
          <w:rFonts w:eastAsia="微软雅黑"/>
          <w:color w:val="0000FF"/>
        </w:rPr>
        <w:t xml:space="preserve"> and </w:t>
      </w:r>
      <w:r w:rsidR="0096718B">
        <w:rPr>
          <w:rFonts w:eastAsia="微软雅黑"/>
          <w:color w:val="0000FF"/>
        </w:rPr>
        <w:t>d</w:t>
      </w:r>
      <w:r w:rsidRPr="00CA3E9D">
        <w:rPr>
          <w:rFonts w:eastAsia="微软雅黑"/>
        </w:rPr>
        <w:t>.</w:t>
      </w:r>
    </w:p>
    <w:p w14:paraId="3C157E4E" w14:textId="5EC8DB9F" w:rsidR="00CD6041" w:rsidRDefault="00CD6041" w:rsidP="0054592D">
      <w:pPr>
        <w:spacing w:before="120" w:after="120" w:line="360" w:lineRule="auto"/>
        <w:jc w:val="center"/>
      </w:pPr>
    </w:p>
    <w:p w14:paraId="36FB2B76" w14:textId="77777777" w:rsidR="00CD6041" w:rsidRDefault="00CD6041" w:rsidP="0054592D">
      <w:pPr>
        <w:spacing w:before="120" w:after="120" w:line="360" w:lineRule="auto"/>
        <w:jc w:val="center"/>
        <w:sectPr w:rsidR="00CD6041" w:rsidSect="00071FB9">
          <w:pgSz w:w="12240" w:h="15840"/>
          <w:pgMar w:top="1440" w:right="1440" w:bottom="1440" w:left="1440" w:header="720" w:footer="720" w:gutter="0"/>
          <w:lnNumType w:countBy="1" w:restart="continuous"/>
          <w:cols w:space="720"/>
          <w:docGrid w:linePitch="360"/>
        </w:sectPr>
      </w:pPr>
    </w:p>
    <w:p w14:paraId="49E6048E" w14:textId="496AAFC6" w:rsidR="001D1EA0" w:rsidRDefault="00763E59" w:rsidP="001D1EA0">
      <w:pPr>
        <w:spacing w:before="120" w:after="120" w:line="360" w:lineRule="auto"/>
        <w:jc w:val="center"/>
      </w:pPr>
      <w:r>
        <w:rPr>
          <w:noProof/>
        </w:rPr>
        <w:lastRenderedPageBreak/>
        <w:drawing>
          <wp:inline distT="0" distB="0" distL="0" distR="0" wp14:anchorId="1CE618D9" wp14:editId="63B338B4">
            <wp:extent cx="5097781" cy="5319423"/>
            <wp:effectExtent l="0" t="0" r="762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I_Fig1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03790" cy="5325693"/>
                    </a:xfrm>
                    <a:prstGeom prst="rect">
                      <a:avLst/>
                    </a:prstGeom>
                  </pic:spPr>
                </pic:pic>
              </a:graphicData>
            </a:graphic>
          </wp:inline>
        </w:drawing>
      </w:r>
    </w:p>
    <w:p w14:paraId="184997C0" w14:textId="129B0FEB" w:rsidR="001D1EA0" w:rsidRDefault="001D1EA0" w:rsidP="001D1EA0">
      <w:pPr>
        <w:spacing w:before="120" w:after="120" w:line="360" w:lineRule="auto"/>
        <w:jc w:val="both"/>
      </w:pPr>
      <w:r>
        <w:rPr>
          <w:b/>
          <w:bCs/>
        </w:rPr>
        <w:t>Fig. S1</w:t>
      </w:r>
      <w:r w:rsidR="001E3B0A">
        <w:rPr>
          <w:b/>
          <w:bCs/>
        </w:rPr>
        <w:t>7</w:t>
      </w:r>
      <w:r>
        <w:rPr>
          <w:b/>
          <w:bCs/>
        </w:rPr>
        <w:t xml:space="preserve"> | The robustness of </w:t>
      </w:r>
      <w:r w:rsidRPr="00FE6474">
        <w:rPr>
          <w:rFonts w:eastAsia="微软雅黑"/>
          <w:b/>
          <w:bCs/>
        </w:rPr>
        <w:t>fire sensi</w:t>
      </w:r>
      <w:r>
        <w:rPr>
          <w:rFonts w:eastAsia="微软雅黑"/>
          <w:b/>
          <w:bCs/>
        </w:rPr>
        <w:t>tivity to vegetation greening</w:t>
      </w:r>
      <w:r w:rsidRPr="00FE6474">
        <w:rPr>
          <w:b/>
          <w:bCs/>
        </w:rPr>
        <w:t xml:space="preserve"> </w:t>
      </w:r>
      <w:r>
        <w:rPr>
          <w:b/>
          <w:bCs/>
        </w:rPr>
        <w:t>derived from combining random forest and explainable machine learning (</w:t>
      </w:r>
      <w:proofErr w:type="spellStart"/>
      <w:r w:rsidRPr="00701278">
        <w:rPr>
          <w:b/>
          <w:bCs/>
        </w:rPr>
        <w:t>SHapley</w:t>
      </w:r>
      <w:proofErr w:type="spellEnd"/>
      <w:r w:rsidRPr="00701278">
        <w:rPr>
          <w:b/>
          <w:bCs/>
        </w:rPr>
        <w:t xml:space="preserve"> Additive </w:t>
      </w:r>
      <w:proofErr w:type="spellStart"/>
      <w:r w:rsidRPr="00701278">
        <w:rPr>
          <w:b/>
          <w:bCs/>
        </w:rPr>
        <w:t>exPlanations</w:t>
      </w:r>
      <w:proofErr w:type="spellEnd"/>
      <w:r>
        <w:rPr>
          <w:b/>
          <w:bCs/>
        </w:rPr>
        <w:t>,</w:t>
      </w:r>
      <w:r w:rsidRPr="00701278">
        <w:rPr>
          <w:b/>
          <w:bCs/>
        </w:rPr>
        <w:t xml:space="preserve"> </w:t>
      </w:r>
      <w:r>
        <w:rPr>
          <w:b/>
          <w:bCs/>
        </w:rPr>
        <w:t xml:space="preserve">SHAP). </w:t>
      </w:r>
      <w:r w:rsidR="004415F2">
        <w:rPr>
          <w:b/>
          <w:bCs/>
        </w:rPr>
        <w:t>a</w:t>
      </w:r>
      <w:r>
        <w:rPr>
          <w:b/>
          <w:bCs/>
        </w:rPr>
        <w:t>-</w:t>
      </w:r>
      <w:r w:rsidR="004415F2">
        <w:rPr>
          <w:b/>
          <w:bCs/>
        </w:rPr>
        <w:t>b</w:t>
      </w:r>
      <w:r w:rsidRPr="00E00586">
        <w:t xml:space="preserve">, Global pattern of </w:t>
      </w:r>
      <w:r w:rsidRPr="00981E73">
        <w:rPr>
          <w:rFonts w:ascii="Cambria Math" w:eastAsia="微软雅黑" w:hAnsi="Cambria Math"/>
        </w:rPr>
        <w:t>∂</w:t>
      </w:r>
      <w:r w:rsidRPr="00981E73">
        <w:rPr>
          <w:rFonts w:eastAsia="微软雅黑"/>
        </w:rPr>
        <w:t>BF/</w:t>
      </w:r>
      <w:r w:rsidRPr="00981E73">
        <w:rPr>
          <w:rFonts w:ascii="Cambria Math" w:eastAsia="微软雅黑" w:hAnsi="Cambria Math"/>
        </w:rPr>
        <w:t>∂</w:t>
      </w:r>
      <w:proofErr w:type="spellStart"/>
      <w:r w:rsidRPr="00981E73">
        <w:rPr>
          <w:rFonts w:eastAsia="微软雅黑"/>
        </w:rPr>
        <w:t>LAI</w:t>
      </w:r>
      <w:r>
        <w:rPr>
          <w:rFonts w:eastAsia="微软雅黑"/>
          <w:vertAlign w:val="subscript"/>
        </w:rPr>
        <w:t>dead</w:t>
      </w:r>
      <w:proofErr w:type="spellEnd"/>
      <w:r>
        <w:t xml:space="preserve"> and </w:t>
      </w:r>
      <w:r w:rsidRPr="00981E73">
        <w:rPr>
          <w:rFonts w:ascii="Cambria Math" w:eastAsia="微软雅黑" w:hAnsi="Cambria Math"/>
        </w:rPr>
        <w:t>∂</w:t>
      </w:r>
      <w:r w:rsidRPr="00981E73">
        <w:rPr>
          <w:rFonts w:eastAsia="微软雅黑"/>
        </w:rPr>
        <w:t>BF/</w:t>
      </w:r>
      <w:r w:rsidRPr="00981E73">
        <w:rPr>
          <w:rFonts w:ascii="Cambria Math" w:eastAsia="微软雅黑" w:hAnsi="Cambria Math"/>
        </w:rPr>
        <w:t>∂</w:t>
      </w:r>
      <w:proofErr w:type="spellStart"/>
      <w:r w:rsidRPr="00981E73">
        <w:rPr>
          <w:rFonts w:eastAsia="微软雅黑"/>
        </w:rPr>
        <w:t>LAI</w:t>
      </w:r>
      <w:r>
        <w:rPr>
          <w:rFonts w:eastAsia="微软雅黑"/>
          <w:vertAlign w:val="subscript"/>
        </w:rPr>
        <w:t>live</w:t>
      </w:r>
      <w:proofErr w:type="spellEnd"/>
      <w:r>
        <w:t>, respectively. The black dots indicate regions with significant sensitivity (</w:t>
      </w:r>
      <w:r w:rsidRPr="001C0F8A">
        <w:rPr>
          <w:i/>
          <w:iCs/>
        </w:rPr>
        <w:t>p</w:t>
      </w:r>
      <w:r w:rsidRPr="009A70E3">
        <w:rPr>
          <w:iCs/>
        </w:rPr>
        <w:t>-value</w:t>
      </w:r>
      <w:r>
        <w:t xml:space="preserve"> &lt; 0.1). The bars at bottom left indicate</w:t>
      </w:r>
      <w:r w:rsidRPr="007D4505">
        <w:rPr>
          <w:color w:val="000000" w:themeColor="text1"/>
        </w:rPr>
        <w:t xml:space="preserve"> </w:t>
      </w:r>
      <w:r w:rsidRPr="007D4505">
        <w:rPr>
          <w:color w:val="000000" w:themeColor="text1"/>
          <w:szCs w:val="24"/>
          <w:lang w:eastAsia="zh-CN"/>
        </w:rPr>
        <w:t>the</w:t>
      </w:r>
      <w:r>
        <w:t xml:space="preserve"> median sensitivity for global (red), tropical (green), arid (orange), temperate (pink), and cold (blue) regions. This analysis was based on the time series of MCD64A1 BF and the GLASS LAI.</w:t>
      </w:r>
    </w:p>
    <w:p w14:paraId="5A9E48E3" w14:textId="70B1EC00" w:rsidR="00CD6041" w:rsidRDefault="00CD6041" w:rsidP="0054592D">
      <w:pPr>
        <w:spacing w:before="120" w:after="120" w:line="360" w:lineRule="auto"/>
        <w:jc w:val="center"/>
      </w:pPr>
    </w:p>
    <w:p w14:paraId="2DC5F6E6" w14:textId="77777777" w:rsidR="001D1EA0" w:rsidRDefault="001D1EA0" w:rsidP="0054592D">
      <w:pPr>
        <w:spacing w:before="120" w:after="120" w:line="360" w:lineRule="auto"/>
        <w:jc w:val="center"/>
        <w:sectPr w:rsidR="001D1EA0" w:rsidSect="00071FB9">
          <w:pgSz w:w="12240" w:h="15840"/>
          <w:pgMar w:top="1440" w:right="1440" w:bottom="1440" w:left="1440" w:header="720" w:footer="720" w:gutter="0"/>
          <w:lnNumType w:countBy="1" w:restart="continuous"/>
          <w:cols w:space="720"/>
          <w:docGrid w:linePitch="360"/>
        </w:sectPr>
      </w:pPr>
    </w:p>
    <w:p w14:paraId="7426A15C" w14:textId="521351CE" w:rsidR="0054592D" w:rsidRDefault="0094309B" w:rsidP="0054592D">
      <w:pPr>
        <w:spacing w:before="120" w:after="120" w:line="360" w:lineRule="auto"/>
        <w:jc w:val="center"/>
      </w:pPr>
      <w:r>
        <w:rPr>
          <w:noProof/>
        </w:rPr>
        <w:lastRenderedPageBreak/>
        <w:drawing>
          <wp:inline distT="0" distB="0" distL="0" distR="0" wp14:anchorId="55DBDA82" wp14:editId="2AF46B46">
            <wp:extent cx="5932776" cy="249671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pplementary-Fig9-PFTs-map-scienc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55189" cy="2506142"/>
                    </a:xfrm>
                    <a:prstGeom prst="rect">
                      <a:avLst/>
                    </a:prstGeom>
                  </pic:spPr>
                </pic:pic>
              </a:graphicData>
            </a:graphic>
          </wp:inline>
        </w:drawing>
      </w:r>
    </w:p>
    <w:p w14:paraId="4AAF3109" w14:textId="7B318EDF" w:rsidR="0054592D" w:rsidRDefault="0054592D" w:rsidP="0054592D">
      <w:pPr>
        <w:spacing w:before="120" w:after="120" w:line="360" w:lineRule="auto"/>
        <w:jc w:val="both"/>
      </w:pPr>
      <w:r>
        <w:rPr>
          <w:b/>
          <w:bCs/>
        </w:rPr>
        <w:t>Fig. S</w:t>
      </w:r>
      <w:r w:rsidR="00001DA2">
        <w:rPr>
          <w:b/>
          <w:bCs/>
        </w:rPr>
        <w:t>1</w:t>
      </w:r>
      <w:r w:rsidR="001E3B0A">
        <w:rPr>
          <w:b/>
          <w:bCs/>
        </w:rPr>
        <w:t>8</w:t>
      </w:r>
      <w:r w:rsidR="00E265E1">
        <w:rPr>
          <w:b/>
          <w:bCs/>
        </w:rPr>
        <w:t xml:space="preserve"> |</w:t>
      </w:r>
      <w:r>
        <w:rPr>
          <w:b/>
          <w:bCs/>
        </w:rPr>
        <w:t xml:space="preserve"> Global map of ten plant functional types (PFTs) derived from 2010 MCD12Q1 V6 IGBP land cover map. </w:t>
      </w:r>
      <w:r>
        <w:t xml:space="preserve">ENF, evergreen needleleaf forest; EBF, evergreen broadleaf forest; DNF, deciduous needleleaf forest; DBF, deciduous broadleaf forest; MF, mixed forest; </w:t>
      </w:r>
      <w:r w:rsidR="0094309B">
        <w:t>SHR</w:t>
      </w:r>
      <w:r>
        <w:t xml:space="preserve">, </w:t>
      </w:r>
      <w:r w:rsidR="0094309B">
        <w:t>shrubland (including closed and open shrublands)</w:t>
      </w:r>
      <w:r>
        <w:t>; WSA, woody savannas; SAV, savannas; GRA, grassland.</w:t>
      </w:r>
    </w:p>
    <w:p w14:paraId="5AB0A38F" w14:textId="2DDDC2FC" w:rsidR="0054592D" w:rsidRDefault="0054592D" w:rsidP="0054592D">
      <w:pPr>
        <w:spacing w:before="120" w:after="120" w:line="360" w:lineRule="auto"/>
        <w:jc w:val="both"/>
      </w:pPr>
      <w:r>
        <w:br w:type="page"/>
      </w:r>
    </w:p>
    <w:p w14:paraId="03FDAA62" w14:textId="22F6858E" w:rsidR="005C037C" w:rsidRDefault="00582993" w:rsidP="00A8629B">
      <w:pPr>
        <w:spacing w:before="120" w:after="120" w:line="360" w:lineRule="auto"/>
        <w:jc w:val="center"/>
      </w:pPr>
      <w:r>
        <w:rPr>
          <w:noProof/>
        </w:rPr>
        <w:lastRenderedPageBreak/>
        <w:drawing>
          <wp:inline distT="0" distB="0" distL="0" distR="0" wp14:anchorId="666E555A" wp14:editId="6720DF2F">
            <wp:extent cx="5939624" cy="2910613"/>
            <wp:effectExtent l="0" t="0" r="4445"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lementary-Fig9-biome-map-natur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71553" cy="2926259"/>
                    </a:xfrm>
                    <a:prstGeom prst="rect">
                      <a:avLst/>
                    </a:prstGeom>
                  </pic:spPr>
                </pic:pic>
              </a:graphicData>
            </a:graphic>
          </wp:inline>
        </w:drawing>
      </w:r>
    </w:p>
    <w:p w14:paraId="30E393AD" w14:textId="129FF7F8" w:rsidR="005C037C" w:rsidRDefault="00582993" w:rsidP="00FD08B8">
      <w:pPr>
        <w:spacing w:before="120" w:after="120" w:line="360" w:lineRule="exact"/>
        <w:jc w:val="both"/>
      </w:pPr>
      <w:r>
        <w:rPr>
          <w:b/>
          <w:bCs/>
        </w:rPr>
        <w:t>Fig. S</w:t>
      </w:r>
      <w:r w:rsidR="00001DA2">
        <w:rPr>
          <w:b/>
          <w:bCs/>
        </w:rPr>
        <w:t>1</w:t>
      </w:r>
      <w:r w:rsidR="001E3B0A">
        <w:rPr>
          <w:b/>
          <w:bCs/>
        </w:rPr>
        <w:t>9</w:t>
      </w:r>
      <w:r w:rsidR="00E265E1">
        <w:rPr>
          <w:b/>
          <w:bCs/>
        </w:rPr>
        <w:t xml:space="preserve"> |</w:t>
      </w:r>
      <w:r>
        <w:rPr>
          <w:b/>
          <w:bCs/>
        </w:rPr>
        <w:t xml:space="preserve"> Global map of biomes derived </w:t>
      </w:r>
      <w:bookmarkStart w:id="9" w:name="_Hlk173586588"/>
      <w:r>
        <w:rPr>
          <w:b/>
          <w:bCs/>
        </w:rPr>
        <w:t xml:space="preserve">from </w:t>
      </w:r>
      <w:r w:rsidR="00FD08B8" w:rsidRPr="00FD08B8">
        <w:rPr>
          <w:b/>
          <w:bCs/>
        </w:rPr>
        <w:t>Terrestrial Ecoregions of the World</w:t>
      </w:r>
      <w:bookmarkEnd w:id="9"/>
      <w:r>
        <w:rPr>
          <w:b/>
          <w:bCs/>
        </w:rPr>
        <w:t>.</w:t>
      </w:r>
      <w:r w:rsidR="00FD08B8" w:rsidRPr="00FD08B8">
        <w:t xml:space="preserve"> </w:t>
      </w:r>
      <w:proofErr w:type="spellStart"/>
      <w:r w:rsidR="00FD08B8" w:rsidRPr="00FD08B8">
        <w:t>TrMBF</w:t>
      </w:r>
      <w:proofErr w:type="spellEnd"/>
      <w:r w:rsidR="00FD08B8" w:rsidRPr="00FD08B8">
        <w:t xml:space="preserve">: Tropical and Subtropical Moist Broadleaf Forests; </w:t>
      </w:r>
      <w:proofErr w:type="spellStart"/>
      <w:r w:rsidR="00FD08B8" w:rsidRPr="00FD08B8">
        <w:t>TrDBF</w:t>
      </w:r>
      <w:proofErr w:type="spellEnd"/>
      <w:r w:rsidR="00FD08B8" w:rsidRPr="00FD08B8">
        <w:t xml:space="preserve">: Tropical and Subtropical Dry Broadleaf Forests; </w:t>
      </w:r>
      <w:proofErr w:type="spellStart"/>
      <w:r w:rsidR="00FD08B8" w:rsidRPr="00FD08B8">
        <w:t>TrCF</w:t>
      </w:r>
      <w:proofErr w:type="spellEnd"/>
      <w:r w:rsidR="00FD08B8" w:rsidRPr="00FD08B8">
        <w:t xml:space="preserve">: Tropical and Subtropical Coniferous Forests; </w:t>
      </w:r>
      <w:proofErr w:type="spellStart"/>
      <w:r w:rsidR="00FD08B8" w:rsidRPr="00FD08B8">
        <w:t>TeBF</w:t>
      </w:r>
      <w:proofErr w:type="spellEnd"/>
      <w:r w:rsidR="00FD08B8" w:rsidRPr="00FD08B8">
        <w:t xml:space="preserve">: Temperate Broadleaf and Mixed Forests; </w:t>
      </w:r>
      <w:proofErr w:type="spellStart"/>
      <w:r w:rsidR="00FD08B8" w:rsidRPr="00FD08B8">
        <w:t>TeCF</w:t>
      </w:r>
      <w:proofErr w:type="spellEnd"/>
      <w:r w:rsidR="00FD08B8" w:rsidRPr="00FD08B8">
        <w:t xml:space="preserve">: Temperate Coniferous Forests; </w:t>
      </w:r>
      <w:proofErr w:type="spellStart"/>
      <w:r w:rsidR="00FD08B8" w:rsidRPr="00FD08B8">
        <w:t>BoFT</w:t>
      </w:r>
      <w:proofErr w:type="spellEnd"/>
      <w:r w:rsidR="00FD08B8" w:rsidRPr="00FD08B8">
        <w:t xml:space="preserve">: Boreal Forests/Taiga; </w:t>
      </w:r>
      <w:proofErr w:type="spellStart"/>
      <w:r w:rsidR="00FD08B8" w:rsidRPr="00FD08B8">
        <w:t>TrG</w:t>
      </w:r>
      <w:proofErr w:type="spellEnd"/>
      <w:r w:rsidR="00FD08B8" w:rsidRPr="00FD08B8">
        <w:t xml:space="preserve">: Tropical and Subtropical Grasslands, Savannas and Shrublands; </w:t>
      </w:r>
      <w:proofErr w:type="spellStart"/>
      <w:r w:rsidR="00FD08B8" w:rsidRPr="00FD08B8">
        <w:t>TeG</w:t>
      </w:r>
      <w:proofErr w:type="spellEnd"/>
      <w:r w:rsidR="00FD08B8" w:rsidRPr="00FD08B8">
        <w:t xml:space="preserve">: Temperate Grasslands, Savannas and Shrublands; </w:t>
      </w:r>
      <w:proofErr w:type="spellStart"/>
      <w:r w:rsidR="00A00034">
        <w:t>MoG</w:t>
      </w:r>
      <w:proofErr w:type="spellEnd"/>
      <w:r w:rsidR="00A00034">
        <w:t xml:space="preserve">: </w:t>
      </w:r>
      <w:r w:rsidR="00A00034" w:rsidRPr="00A00034">
        <w:t xml:space="preserve">Montane Grasslands </w:t>
      </w:r>
      <w:r w:rsidR="00A00034">
        <w:t>and</w:t>
      </w:r>
      <w:r w:rsidR="00A00034" w:rsidRPr="00A00034">
        <w:t xml:space="preserve"> Shrublands</w:t>
      </w:r>
      <w:r w:rsidR="00A00034">
        <w:t xml:space="preserve">; </w:t>
      </w:r>
      <w:r w:rsidR="00FD08B8" w:rsidRPr="00FD08B8">
        <w:t xml:space="preserve">Tu: Tundra; </w:t>
      </w:r>
      <w:proofErr w:type="spellStart"/>
      <w:r w:rsidR="00FD08B8" w:rsidRPr="00FD08B8">
        <w:t>MeF</w:t>
      </w:r>
      <w:proofErr w:type="spellEnd"/>
      <w:r w:rsidR="00FD08B8" w:rsidRPr="00FD08B8">
        <w:t>: Mediterranean Forests, Woodlands and Scrub; DXS: Deserts and Xeric Shrublands.</w:t>
      </w:r>
    </w:p>
    <w:p w14:paraId="692DE679" w14:textId="220F64E0" w:rsidR="00275638" w:rsidRDefault="00275638" w:rsidP="00FD08B8">
      <w:pPr>
        <w:spacing w:before="120" w:after="120" w:line="360" w:lineRule="exact"/>
        <w:jc w:val="both"/>
      </w:pPr>
    </w:p>
    <w:p w14:paraId="3E5A2D14" w14:textId="4975C2DF" w:rsidR="00682921" w:rsidRDefault="00682921" w:rsidP="00CC2348">
      <w:pPr>
        <w:spacing w:before="120" w:after="120" w:line="360" w:lineRule="auto"/>
        <w:jc w:val="both"/>
        <w:rPr>
          <w:bCs/>
        </w:rPr>
      </w:pPr>
      <w:r>
        <w:rPr>
          <w:bCs/>
        </w:rPr>
        <w:br w:type="page"/>
      </w:r>
    </w:p>
    <w:p w14:paraId="6CA219E1" w14:textId="1500A806" w:rsidR="00682921" w:rsidRDefault="00880C2A" w:rsidP="00682921">
      <w:pPr>
        <w:spacing w:before="120" w:after="120" w:line="360" w:lineRule="auto"/>
        <w:jc w:val="center"/>
      </w:pPr>
      <w:r>
        <w:rPr>
          <w:noProof/>
        </w:rPr>
        <w:lastRenderedPageBreak/>
        <w:drawing>
          <wp:inline distT="0" distB="0" distL="0" distR="0" wp14:anchorId="553AB4FC" wp14:editId="795B90F5">
            <wp:extent cx="4635611" cy="8268072"/>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I_Fig20.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42419" cy="8280215"/>
                    </a:xfrm>
                    <a:prstGeom prst="rect">
                      <a:avLst/>
                    </a:prstGeom>
                  </pic:spPr>
                </pic:pic>
              </a:graphicData>
            </a:graphic>
          </wp:inline>
        </w:drawing>
      </w:r>
    </w:p>
    <w:p w14:paraId="21C7B0C5" w14:textId="400C3F1E" w:rsidR="00682921" w:rsidRDefault="00682921" w:rsidP="00682921">
      <w:pPr>
        <w:spacing w:before="120" w:after="120" w:line="360" w:lineRule="auto"/>
        <w:jc w:val="both"/>
      </w:pPr>
      <w:r>
        <w:rPr>
          <w:b/>
          <w:bCs/>
        </w:rPr>
        <w:lastRenderedPageBreak/>
        <w:t>Fig. S</w:t>
      </w:r>
      <w:r w:rsidR="00001DA2">
        <w:rPr>
          <w:b/>
          <w:bCs/>
        </w:rPr>
        <w:t>20</w:t>
      </w:r>
      <w:r w:rsidR="00E265E1">
        <w:rPr>
          <w:b/>
          <w:bCs/>
        </w:rPr>
        <w:t xml:space="preserve"> |</w:t>
      </w:r>
      <w:r>
        <w:rPr>
          <w:b/>
          <w:bCs/>
        </w:rPr>
        <w:t xml:space="preserve"> The thresholds of water availability (</w:t>
      </w:r>
      <w:r w:rsidR="004415F2">
        <w:rPr>
          <w:b/>
          <w:bCs/>
        </w:rPr>
        <w:t>a</w:t>
      </w:r>
      <w:r>
        <w:rPr>
          <w:b/>
          <w:bCs/>
        </w:rPr>
        <w:t>-</w:t>
      </w:r>
      <w:r w:rsidR="004415F2">
        <w:rPr>
          <w:b/>
          <w:bCs/>
        </w:rPr>
        <w:t>g</w:t>
      </w:r>
      <w:r>
        <w:rPr>
          <w:b/>
          <w:bCs/>
        </w:rPr>
        <w:t xml:space="preserve">, </w:t>
      </w:r>
      <w:r w:rsidR="00CC2348">
        <w:rPr>
          <w:b/>
          <w:bCs/>
        </w:rPr>
        <w:t>aridity index</w:t>
      </w:r>
      <w:r>
        <w:rPr>
          <w:b/>
          <w:bCs/>
        </w:rPr>
        <w:t xml:space="preserve">; </w:t>
      </w:r>
      <w:r w:rsidR="004415F2">
        <w:rPr>
          <w:b/>
          <w:bCs/>
        </w:rPr>
        <w:t>h</w:t>
      </w:r>
      <w:r>
        <w:rPr>
          <w:b/>
          <w:bCs/>
        </w:rPr>
        <w:t>-</w:t>
      </w:r>
      <w:r w:rsidR="004415F2">
        <w:rPr>
          <w:b/>
          <w:bCs/>
        </w:rPr>
        <w:t>n</w:t>
      </w:r>
      <w:r>
        <w:rPr>
          <w:b/>
          <w:bCs/>
        </w:rPr>
        <w:t xml:space="preserve">, </w:t>
      </w:r>
      <w:r w:rsidR="00CC2348">
        <w:rPr>
          <w:b/>
          <w:bCs/>
        </w:rPr>
        <w:t>relative humidity</w:t>
      </w:r>
      <w:r>
        <w:rPr>
          <w:b/>
          <w:bCs/>
        </w:rPr>
        <w:t xml:space="preserve">) regulate the spatial variability of </w:t>
      </w:r>
      <w:r w:rsidRPr="00BE5302">
        <w:rPr>
          <w:rFonts w:ascii="Cambria Math" w:eastAsia="微软雅黑" w:hAnsi="Cambria Math"/>
          <w:b/>
          <w:bCs/>
        </w:rPr>
        <w:t>∂</w:t>
      </w:r>
      <w:r w:rsidRPr="00BE5302">
        <w:rPr>
          <w:rFonts w:eastAsia="微软雅黑"/>
          <w:b/>
          <w:bCs/>
        </w:rPr>
        <w:t>BF/</w:t>
      </w:r>
      <w:r w:rsidRPr="00BE5302">
        <w:rPr>
          <w:rFonts w:ascii="Cambria Math" w:eastAsia="微软雅黑" w:hAnsi="Cambria Math"/>
          <w:b/>
          <w:bCs/>
        </w:rPr>
        <w:t>∂</w:t>
      </w:r>
      <w:proofErr w:type="spellStart"/>
      <w:r w:rsidRPr="00BE5302">
        <w:rPr>
          <w:rFonts w:eastAsia="微软雅黑"/>
          <w:b/>
          <w:bCs/>
        </w:rPr>
        <w:t>LAI</w:t>
      </w:r>
      <w:r w:rsidRPr="00BE5302">
        <w:rPr>
          <w:rFonts w:eastAsia="微软雅黑"/>
          <w:b/>
          <w:bCs/>
          <w:vertAlign w:val="subscript"/>
        </w:rPr>
        <w:t>live</w:t>
      </w:r>
      <w:proofErr w:type="spellEnd"/>
      <w:r w:rsidRPr="00BE5302">
        <w:rPr>
          <w:b/>
          <w:bCs/>
        </w:rPr>
        <w:t xml:space="preserve"> </w:t>
      </w:r>
      <w:r>
        <w:rPr>
          <w:b/>
          <w:bCs/>
        </w:rPr>
        <w:t xml:space="preserve">for MCD64A1-MODIS, MCD64A1-GLOBMAP, MCD64A1-GIMMS, FireCCI51-GLASS, FireCCI51-MODIS, FireCCI51-GLOBMAP, and FireCCI51-GIMMS. </w:t>
      </w:r>
      <w:r w:rsidRPr="00B040F8">
        <w:t xml:space="preserve">Detailed description refers to </w:t>
      </w:r>
      <w:r w:rsidRPr="00320C57">
        <w:rPr>
          <w:color w:val="0000FF"/>
        </w:rPr>
        <w:t>Fig. 3</w:t>
      </w:r>
      <w:r>
        <w:t xml:space="preserve"> in the main text.</w:t>
      </w:r>
    </w:p>
    <w:p w14:paraId="19285315" w14:textId="3FD6F943" w:rsidR="00682921" w:rsidRDefault="00682921" w:rsidP="00320C57">
      <w:pPr>
        <w:spacing w:before="120" w:after="120" w:line="360" w:lineRule="auto"/>
        <w:jc w:val="both"/>
        <w:rPr>
          <w:bCs/>
        </w:rPr>
      </w:pPr>
      <w:r>
        <w:rPr>
          <w:bCs/>
        </w:rPr>
        <w:br w:type="page"/>
      </w:r>
    </w:p>
    <w:p w14:paraId="0BDF5B7B" w14:textId="646DDE08" w:rsidR="00682921" w:rsidRDefault="00880C2A" w:rsidP="00682921">
      <w:pPr>
        <w:spacing w:before="120" w:after="120" w:line="360" w:lineRule="auto"/>
        <w:jc w:val="center"/>
      </w:pPr>
      <w:r>
        <w:rPr>
          <w:noProof/>
        </w:rPr>
        <w:lastRenderedPageBreak/>
        <w:drawing>
          <wp:inline distT="0" distB="0" distL="0" distR="0" wp14:anchorId="65EBD583" wp14:editId="3584E52F">
            <wp:extent cx="4619708" cy="8239708"/>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I_Fig2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26655" cy="8252098"/>
                    </a:xfrm>
                    <a:prstGeom prst="rect">
                      <a:avLst/>
                    </a:prstGeom>
                  </pic:spPr>
                </pic:pic>
              </a:graphicData>
            </a:graphic>
          </wp:inline>
        </w:drawing>
      </w:r>
    </w:p>
    <w:p w14:paraId="35254912" w14:textId="29C60E76" w:rsidR="00682921" w:rsidRDefault="00682921" w:rsidP="00320C57">
      <w:pPr>
        <w:spacing w:before="120" w:after="120" w:line="360" w:lineRule="auto"/>
        <w:jc w:val="both"/>
      </w:pPr>
      <w:r>
        <w:rPr>
          <w:b/>
          <w:bCs/>
        </w:rPr>
        <w:lastRenderedPageBreak/>
        <w:t>Fig. S</w:t>
      </w:r>
      <w:r w:rsidR="007E3685">
        <w:rPr>
          <w:b/>
          <w:bCs/>
        </w:rPr>
        <w:t>2</w:t>
      </w:r>
      <w:r w:rsidR="00001DA2">
        <w:rPr>
          <w:b/>
          <w:bCs/>
        </w:rPr>
        <w:t>1</w:t>
      </w:r>
      <w:r w:rsidR="00E265E1">
        <w:rPr>
          <w:b/>
          <w:bCs/>
        </w:rPr>
        <w:t xml:space="preserve"> |</w:t>
      </w:r>
      <w:r>
        <w:rPr>
          <w:b/>
          <w:bCs/>
        </w:rPr>
        <w:t xml:space="preserve"> The thresholds of vegetation growth (</w:t>
      </w:r>
      <w:r w:rsidR="00EE4458">
        <w:rPr>
          <w:b/>
          <w:bCs/>
        </w:rPr>
        <w:t>a</w:t>
      </w:r>
      <w:r>
        <w:rPr>
          <w:b/>
          <w:bCs/>
        </w:rPr>
        <w:t>-</w:t>
      </w:r>
      <w:r w:rsidR="00EE4458">
        <w:rPr>
          <w:b/>
          <w:bCs/>
        </w:rPr>
        <w:t>g</w:t>
      </w:r>
      <w:r>
        <w:rPr>
          <w:b/>
          <w:bCs/>
        </w:rPr>
        <w:t xml:space="preserve">, </w:t>
      </w:r>
      <w:proofErr w:type="spellStart"/>
      <w:r>
        <w:rPr>
          <w:b/>
          <w:bCs/>
        </w:rPr>
        <w:t>LAI</w:t>
      </w:r>
      <w:r w:rsidRPr="0057198A">
        <w:rPr>
          <w:b/>
          <w:bCs/>
          <w:vertAlign w:val="subscript"/>
        </w:rPr>
        <w:t>live</w:t>
      </w:r>
      <w:proofErr w:type="spellEnd"/>
      <w:r>
        <w:rPr>
          <w:b/>
          <w:bCs/>
        </w:rPr>
        <w:t xml:space="preserve">; </w:t>
      </w:r>
      <w:r w:rsidR="00EE4458">
        <w:rPr>
          <w:b/>
          <w:bCs/>
        </w:rPr>
        <w:t>h</w:t>
      </w:r>
      <w:r>
        <w:rPr>
          <w:b/>
          <w:bCs/>
        </w:rPr>
        <w:t>-</w:t>
      </w:r>
      <w:r w:rsidR="00EE4458">
        <w:rPr>
          <w:b/>
          <w:bCs/>
        </w:rPr>
        <w:t>n</w:t>
      </w:r>
      <w:r>
        <w:rPr>
          <w:b/>
          <w:bCs/>
        </w:rPr>
        <w:t xml:space="preserve">, </w:t>
      </w:r>
      <w:r w:rsidR="007E3685">
        <w:rPr>
          <w:b/>
          <w:bCs/>
        </w:rPr>
        <w:t>tree cover</w:t>
      </w:r>
      <w:r>
        <w:rPr>
          <w:b/>
          <w:bCs/>
        </w:rPr>
        <w:t xml:space="preserve">) regulate the spatial variability of </w:t>
      </w:r>
      <w:r w:rsidRPr="00BE5302">
        <w:rPr>
          <w:rFonts w:ascii="Cambria Math" w:eastAsia="微软雅黑" w:hAnsi="Cambria Math"/>
          <w:b/>
          <w:bCs/>
        </w:rPr>
        <w:t>∂</w:t>
      </w:r>
      <w:r w:rsidRPr="00BE5302">
        <w:rPr>
          <w:rFonts w:eastAsia="微软雅黑"/>
          <w:b/>
          <w:bCs/>
        </w:rPr>
        <w:t>BF/</w:t>
      </w:r>
      <w:r w:rsidRPr="00BE5302">
        <w:rPr>
          <w:rFonts w:ascii="Cambria Math" w:eastAsia="微软雅黑" w:hAnsi="Cambria Math"/>
          <w:b/>
          <w:bCs/>
        </w:rPr>
        <w:t>∂</w:t>
      </w:r>
      <w:proofErr w:type="spellStart"/>
      <w:r w:rsidRPr="00BE5302">
        <w:rPr>
          <w:rFonts w:eastAsia="微软雅黑"/>
          <w:b/>
          <w:bCs/>
        </w:rPr>
        <w:t>LAI</w:t>
      </w:r>
      <w:r w:rsidRPr="00BE5302">
        <w:rPr>
          <w:rFonts w:eastAsia="微软雅黑"/>
          <w:b/>
          <w:bCs/>
          <w:vertAlign w:val="subscript"/>
        </w:rPr>
        <w:t>live</w:t>
      </w:r>
      <w:proofErr w:type="spellEnd"/>
      <w:r w:rsidRPr="00BE5302">
        <w:rPr>
          <w:b/>
          <w:bCs/>
        </w:rPr>
        <w:t xml:space="preserve"> </w:t>
      </w:r>
      <w:r>
        <w:rPr>
          <w:b/>
          <w:bCs/>
        </w:rPr>
        <w:t xml:space="preserve">for MCD64A1-MODIS, MCD64A1-GLOBMAP, MCD64A1-GIMMS, FireCCI51-GLASS, FireCCI51-MODIS, FireCCI51-GLOBMAP, and FireCCI51-GIMMS. </w:t>
      </w:r>
      <w:r w:rsidRPr="00B040F8">
        <w:t>Detailed description</w:t>
      </w:r>
      <w:r w:rsidRPr="00320C57">
        <w:t xml:space="preserve"> </w:t>
      </w:r>
      <w:r w:rsidRPr="00B040F8">
        <w:t xml:space="preserve">refers to </w:t>
      </w:r>
      <w:r w:rsidRPr="00320C57">
        <w:rPr>
          <w:color w:val="0000FF"/>
        </w:rPr>
        <w:t>Fig. 3</w:t>
      </w:r>
      <w:r>
        <w:t xml:space="preserve"> in the main text.</w:t>
      </w:r>
    </w:p>
    <w:p w14:paraId="0F83286B" w14:textId="77777777" w:rsidR="00682921" w:rsidRPr="00682921" w:rsidRDefault="00682921" w:rsidP="00320C57">
      <w:pPr>
        <w:spacing w:before="120" w:after="120" w:line="360" w:lineRule="auto"/>
        <w:jc w:val="both"/>
      </w:pPr>
    </w:p>
    <w:p w14:paraId="21F36D65" w14:textId="3A172B48" w:rsidR="00AE15BD" w:rsidRDefault="00AE15BD" w:rsidP="00AE15BD">
      <w:pPr>
        <w:sectPr w:rsidR="00AE15BD" w:rsidSect="00647867">
          <w:pgSz w:w="12240" w:h="15840"/>
          <w:pgMar w:top="1440" w:right="1440" w:bottom="1440" w:left="1440" w:header="720" w:footer="720" w:gutter="0"/>
          <w:lnNumType w:countBy="1" w:restart="continuous"/>
          <w:cols w:space="720"/>
          <w:docGrid w:linePitch="360"/>
        </w:sectPr>
      </w:pPr>
    </w:p>
    <w:p w14:paraId="4BF502D5" w14:textId="77777777" w:rsidR="007C4FD0" w:rsidRPr="00BE2D40" w:rsidRDefault="007C4FD0" w:rsidP="007C4FD0">
      <w:pPr>
        <w:spacing w:before="120" w:after="120" w:line="360" w:lineRule="exact"/>
        <w:rPr>
          <w:b/>
          <w:bCs/>
          <w:szCs w:val="24"/>
        </w:rPr>
      </w:pPr>
      <w:bookmarkStart w:id="10" w:name="_Hlk160220777"/>
      <w:bookmarkStart w:id="11" w:name="_Hlk150376868"/>
      <w:r w:rsidRPr="00BE2D40">
        <w:rPr>
          <w:rFonts w:hint="eastAsia"/>
          <w:b/>
          <w:bCs/>
          <w:szCs w:val="24"/>
        </w:rPr>
        <w:lastRenderedPageBreak/>
        <w:t>T</w:t>
      </w:r>
      <w:r w:rsidRPr="00BE2D40">
        <w:rPr>
          <w:b/>
          <w:bCs/>
          <w:szCs w:val="24"/>
        </w:rPr>
        <w:t>able S1. Descriptions and access information of the datasets.</w:t>
      </w:r>
    </w:p>
    <w:tbl>
      <w:tblPr>
        <w:tblStyle w:val="affffa"/>
        <w:tblW w:w="0" w:type="auto"/>
        <w:jc w:val="center"/>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1316"/>
        <w:gridCol w:w="2394"/>
        <w:gridCol w:w="1936"/>
        <w:gridCol w:w="1406"/>
        <w:gridCol w:w="5908"/>
      </w:tblGrid>
      <w:tr w:rsidR="009626AE" w:rsidRPr="001F7196" w14:paraId="39A160A7" w14:textId="77777777" w:rsidTr="0069063E">
        <w:trPr>
          <w:jc w:val="center"/>
        </w:trPr>
        <w:tc>
          <w:tcPr>
            <w:tcW w:w="1316" w:type="dxa"/>
            <w:tcBorders>
              <w:top w:val="single" w:sz="18" w:space="0" w:color="auto"/>
              <w:bottom w:val="single" w:sz="18" w:space="0" w:color="auto"/>
            </w:tcBorders>
          </w:tcPr>
          <w:p w14:paraId="52865374"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Variables</w:t>
            </w:r>
          </w:p>
        </w:tc>
        <w:tc>
          <w:tcPr>
            <w:tcW w:w="2394" w:type="dxa"/>
            <w:tcBorders>
              <w:top w:val="single" w:sz="18" w:space="0" w:color="auto"/>
              <w:bottom w:val="single" w:sz="18" w:space="0" w:color="auto"/>
            </w:tcBorders>
          </w:tcPr>
          <w:p w14:paraId="063C7544"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Datasets</w:t>
            </w:r>
          </w:p>
        </w:tc>
        <w:tc>
          <w:tcPr>
            <w:tcW w:w="1936" w:type="dxa"/>
            <w:tcBorders>
              <w:top w:val="single" w:sz="18" w:space="0" w:color="auto"/>
              <w:bottom w:val="single" w:sz="18" w:space="0" w:color="auto"/>
            </w:tcBorders>
          </w:tcPr>
          <w:p w14:paraId="586B694C"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Resolution</w:t>
            </w:r>
          </w:p>
        </w:tc>
        <w:tc>
          <w:tcPr>
            <w:tcW w:w="1406" w:type="dxa"/>
            <w:tcBorders>
              <w:top w:val="single" w:sz="18" w:space="0" w:color="auto"/>
              <w:bottom w:val="single" w:sz="18" w:space="0" w:color="auto"/>
            </w:tcBorders>
          </w:tcPr>
          <w:p w14:paraId="2BB38045"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Periods</w:t>
            </w:r>
          </w:p>
        </w:tc>
        <w:tc>
          <w:tcPr>
            <w:tcW w:w="0" w:type="auto"/>
            <w:tcBorders>
              <w:top w:val="single" w:sz="18" w:space="0" w:color="auto"/>
              <w:bottom w:val="single" w:sz="18" w:space="0" w:color="auto"/>
            </w:tcBorders>
          </w:tcPr>
          <w:p w14:paraId="204CB3FB"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Data access</w:t>
            </w:r>
          </w:p>
        </w:tc>
      </w:tr>
      <w:tr w:rsidR="009626AE" w:rsidRPr="001F7196" w14:paraId="4FA14A7D" w14:textId="77777777" w:rsidTr="0069063E">
        <w:trPr>
          <w:jc w:val="center"/>
        </w:trPr>
        <w:tc>
          <w:tcPr>
            <w:tcW w:w="1316" w:type="dxa"/>
            <w:vMerge w:val="restart"/>
            <w:tcBorders>
              <w:top w:val="single" w:sz="18" w:space="0" w:color="auto"/>
              <w:bottom w:val="nil"/>
            </w:tcBorders>
          </w:tcPr>
          <w:p w14:paraId="7F05B08B"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LAI</w:t>
            </w:r>
          </w:p>
        </w:tc>
        <w:tc>
          <w:tcPr>
            <w:tcW w:w="2394" w:type="dxa"/>
            <w:tcBorders>
              <w:top w:val="single" w:sz="18" w:space="0" w:color="auto"/>
              <w:bottom w:val="nil"/>
            </w:tcBorders>
          </w:tcPr>
          <w:p w14:paraId="1852C873"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GLASS V6</w:t>
            </w:r>
          </w:p>
        </w:tc>
        <w:tc>
          <w:tcPr>
            <w:tcW w:w="1936" w:type="dxa"/>
            <w:tcBorders>
              <w:top w:val="single" w:sz="18" w:space="0" w:color="auto"/>
              <w:bottom w:val="nil"/>
            </w:tcBorders>
          </w:tcPr>
          <w:p w14:paraId="3AE0924F"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0.25°/500m, monthly</w:t>
            </w:r>
          </w:p>
        </w:tc>
        <w:tc>
          <w:tcPr>
            <w:tcW w:w="1406" w:type="dxa"/>
            <w:tcBorders>
              <w:top w:val="single" w:sz="18" w:space="0" w:color="auto"/>
              <w:bottom w:val="nil"/>
            </w:tcBorders>
          </w:tcPr>
          <w:p w14:paraId="5459B2D2"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tc>
          <w:tcPr>
            <w:tcW w:w="0" w:type="auto"/>
            <w:tcBorders>
              <w:top w:val="single" w:sz="18" w:space="0" w:color="auto"/>
              <w:bottom w:val="nil"/>
            </w:tcBorders>
          </w:tcPr>
          <w:p w14:paraId="102DFF21" w14:textId="77777777" w:rsidR="009626AE" w:rsidRPr="001F7196" w:rsidRDefault="009F43B9" w:rsidP="009626AE">
            <w:pPr>
              <w:spacing w:line="360" w:lineRule="exact"/>
              <w:rPr>
                <w:rFonts w:ascii="Times New Roman" w:hAnsi="Times New Roman" w:cs="Times New Roman"/>
                <w:sz w:val="20"/>
                <w:szCs w:val="20"/>
              </w:rPr>
            </w:pPr>
            <w:hyperlink r:id="rId34" w:history="1">
              <w:r w:rsidR="009626AE" w:rsidRPr="001F7196">
                <w:rPr>
                  <w:rFonts w:ascii="Times New Roman" w:hAnsi="Times New Roman" w:cs="Times New Roman"/>
                  <w:color w:val="0000FF"/>
                  <w:sz w:val="20"/>
                  <w:szCs w:val="20"/>
                  <w:u w:val="single"/>
                </w:rPr>
                <w:t>http://glass.umd.edu/LAI/MODIS/0.25D/</w:t>
              </w:r>
            </w:hyperlink>
          </w:p>
        </w:tc>
      </w:tr>
      <w:tr w:rsidR="009626AE" w:rsidRPr="001F7196" w14:paraId="60BD79ED" w14:textId="77777777" w:rsidTr="0069063E">
        <w:trPr>
          <w:jc w:val="center"/>
        </w:trPr>
        <w:tc>
          <w:tcPr>
            <w:tcW w:w="1316" w:type="dxa"/>
            <w:vMerge/>
            <w:tcBorders>
              <w:top w:val="nil"/>
              <w:bottom w:val="nil"/>
            </w:tcBorders>
          </w:tcPr>
          <w:p w14:paraId="79B36B68" w14:textId="77777777" w:rsidR="009626AE" w:rsidRPr="001F7196" w:rsidRDefault="009626AE" w:rsidP="009626AE">
            <w:pPr>
              <w:spacing w:line="360" w:lineRule="exact"/>
              <w:rPr>
                <w:rFonts w:ascii="Times New Roman" w:hAnsi="Times New Roman" w:cs="Times New Roman"/>
                <w:sz w:val="20"/>
                <w:szCs w:val="20"/>
              </w:rPr>
            </w:pPr>
          </w:p>
        </w:tc>
        <w:tc>
          <w:tcPr>
            <w:tcW w:w="2394" w:type="dxa"/>
            <w:tcBorders>
              <w:top w:val="nil"/>
              <w:bottom w:val="nil"/>
            </w:tcBorders>
          </w:tcPr>
          <w:p w14:paraId="732C785A"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MOD15A2H V6</w:t>
            </w:r>
          </w:p>
        </w:tc>
        <w:tc>
          <w:tcPr>
            <w:tcW w:w="1936" w:type="dxa"/>
            <w:tcBorders>
              <w:top w:val="nil"/>
              <w:bottom w:val="nil"/>
            </w:tcBorders>
          </w:tcPr>
          <w:p w14:paraId="0C121367"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500m, 8 days</w:t>
            </w:r>
          </w:p>
        </w:tc>
        <w:tc>
          <w:tcPr>
            <w:tcW w:w="1406" w:type="dxa"/>
            <w:tcBorders>
              <w:top w:val="nil"/>
              <w:bottom w:val="nil"/>
            </w:tcBorders>
          </w:tcPr>
          <w:p w14:paraId="2C7F0FE4"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tc>
          <w:tcPr>
            <w:tcW w:w="0" w:type="auto"/>
            <w:tcBorders>
              <w:top w:val="nil"/>
              <w:bottom w:val="nil"/>
            </w:tcBorders>
          </w:tcPr>
          <w:p w14:paraId="21915D85" w14:textId="77777777" w:rsidR="009626AE" w:rsidRPr="001F7196" w:rsidRDefault="009F43B9" w:rsidP="009626AE">
            <w:pPr>
              <w:spacing w:line="360" w:lineRule="exact"/>
              <w:rPr>
                <w:rFonts w:ascii="Times New Roman" w:hAnsi="Times New Roman" w:cs="Times New Roman"/>
                <w:sz w:val="20"/>
                <w:szCs w:val="20"/>
              </w:rPr>
            </w:pPr>
            <w:hyperlink r:id="rId35" w:history="1">
              <w:r w:rsidR="009626AE" w:rsidRPr="001F7196">
                <w:rPr>
                  <w:rFonts w:ascii="Times New Roman" w:hAnsi="Times New Roman" w:cs="Times New Roman"/>
                  <w:color w:val="0000FF"/>
                  <w:sz w:val="20"/>
                  <w:szCs w:val="20"/>
                  <w:u w:val="single"/>
                </w:rPr>
                <w:t>https://doi.org/10.5067/MODIS/MOD15A2H.006</w:t>
              </w:r>
            </w:hyperlink>
          </w:p>
        </w:tc>
      </w:tr>
      <w:tr w:rsidR="009626AE" w:rsidRPr="001F7196" w14:paraId="62EE0545" w14:textId="77777777" w:rsidTr="0069063E">
        <w:trPr>
          <w:jc w:val="center"/>
        </w:trPr>
        <w:tc>
          <w:tcPr>
            <w:tcW w:w="1316" w:type="dxa"/>
            <w:vMerge/>
            <w:tcBorders>
              <w:top w:val="nil"/>
              <w:bottom w:val="nil"/>
            </w:tcBorders>
          </w:tcPr>
          <w:p w14:paraId="5FFB654B" w14:textId="77777777" w:rsidR="009626AE" w:rsidRPr="001F7196" w:rsidRDefault="009626AE" w:rsidP="009626AE">
            <w:pPr>
              <w:spacing w:line="360" w:lineRule="exact"/>
              <w:rPr>
                <w:rFonts w:ascii="Times New Roman" w:hAnsi="Times New Roman" w:cs="Times New Roman"/>
                <w:sz w:val="20"/>
                <w:szCs w:val="20"/>
              </w:rPr>
            </w:pPr>
          </w:p>
        </w:tc>
        <w:tc>
          <w:tcPr>
            <w:tcW w:w="2394" w:type="dxa"/>
            <w:tcBorders>
              <w:top w:val="nil"/>
              <w:bottom w:val="nil"/>
            </w:tcBorders>
          </w:tcPr>
          <w:p w14:paraId="4A69D32D"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GLOBMAP V3</w:t>
            </w:r>
          </w:p>
        </w:tc>
        <w:tc>
          <w:tcPr>
            <w:tcW w:w="1936" w:type="dxa"/>
            <w:tcBorders>
              <w:top w:val="nil"/>
              <w:bottom w:val="nil"/>
            </w:tcBorders>
          </w:tcPr>
          <w:p w14:paraId="58D73286"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0.0727273°, 8 days</w:t>
            </w:r>
          </w:p>
        </w:tc>
        <w:tc>
          <w:tcPr>
            <w:tcW w:w="1406" w:type="dxa"/>
            <w:tcBorders>
              <w:top w:val="nil"/>
              <w:bottom w:val="nil"/>
            </w:tcBorders>
          </w:tcPr>
          <w:p w14:paraId="52BA1BF7"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tc>
          <w:tcPr>
            <w:tcW w:w="0" w:type="auto"/>
            <w:tcBorders>
              <w:top w:val="nil"/>
              <w:bottom w:val="nil"/>
            </w:tcBorders>
          </w:tcPr>
          <w:p w14:paraId="48CFB20A" w14:textId="77777777" w:rsidR="009626AE" w:rsidRPr="001F7196" w:rsidRDefault="009F43B9" w:rsidP="009626AE">
            <w:pPr>
              <w:spacing w:line="360" w:lineRule="exact"/>
              <w:rPr>
                <w:rFonts w:ascii="Times New Roman" w:hAnsi="Times New Roman" w:cs="Times New Roman"/>
                <w:sz w:val="20"/>
                <w:szCs w:val="20"/>
              </w:rPr>
            </w:pPr>
            <w:hyperlink r:id="rId36" w:history="1">
              <w:r w:rsidR="009626AE" w:rsidRPr="001F7196">
                <w:rPr>
                  <w:rFonts w:ascii="Times New Roman" w:hAnsi="Times New Roman" w:cs="Times New Roman"/>
                  <w:color w:val="0000FF"/>
                  <w:sz w:val="20"/>
                  <w:szCs w:val="20"/>
                  <w:u w:val="single"/>
                </w:rPr>
                <w:t>https://zenodo.org/record/4700264</w:t>
              </w:r>
            </w:hyperlink>
          </w:p>
        </w:tc>
      </w:tr>
      <w:tr w:rsidR="009626AE" w:rsidRPr="001F7196" w14:paraId="7BB2B2C4" w14:textId="77777777" w:rsidTr="0069063E">
        <w:trPr>
          <w:jc w:val="center"/>
        </w:trPr>
        <w:tc>
          <w:tcPr>
            <w:tcW w:w="1316" w:type="dxa"/>
            <w:vMerge/>
            <w:tcBorders>
              <w:top w:val="nil"/>
              <w:bottom w:val="nil"/>
            </w:tcBorders>
          </w:tcPr>
          <w:p w14:paraId="604D0786" w14:textId="77777777" w:rsidR="009626AE" w:rsidRPr="001F7196" w:rsidRDefault="009626AE" w:rsidP="009626AE">
            <w:pPr>
              <w:spacing w:line="360" w:lineRule="exact"/>
              <w:rPr>
                <w:rFonts w:ascii="Times New Roman" w:hAnsi="Times New Roman" w:cs="Times New Roman"/>
                <w:sz w:val="20"/>
                <w:szCs w:val="20"/>
              </w:rPr>
            </w:pPr>
          </w:p>
        </w:tc>
        <w:tc>
          <w:tcPr>
            <w:tcW w:w="2394" w:type="dxa"/>
            <w:tcBorders>
              <w:top w:val="nil"/>
              <w:bottom w:val="nil"/>
            </w:tcBorders>
          </w:tcPr>
          <w:p w14:paraId="06268942"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GIMMS LAI4g</w:t>
            </w:r>
          </w:p>
        </w:tc>
        <w:tc>
          <w:tcPr>
            <w:tcW w:w="1936" w:type="dxa"/>
            <w:tcBorders>
              <w:top w:val="nil"/>
              <w:bottom w:val="nil"/>
            </w:tcBorders>
          </w:tcPr>
          <w:p w14:paraId="0F6C59D5"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1/12°, half-monthly</w:t>
            </w:r>
          </w:p>
        </w:tc>
        <w:tc>
          <w:tcPr>
            <w:tcW w:w="1406" w:type="dxa"/>
            <w:tcBorders>
              <w:top w:val="nil"/>
              <w:bottom w:val="nil"/>
            </w:tcBorders>
          </w:tcPr>
          <w:p w14:paraId="4ABF0457"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tc>
          <w:tcPr>
            <w:tcW w:w="0" w:type="auto"/>
            <w:tcBorders>
              <w:top w:val="nil"/>
              <w:bottom w:val="nil"/>
            </w:tcBorders>
          </w:tcPr>
          <w:p w14:paraId="1D164DC8" w14:textId="77777777" w:rsidR="009626AE" w:rsidRPr="001F7196" w:rsidRDefault="009626AE" w:rsidP="009626AE">
            <w:pPr>
              <w:spacing w:line="360" w:lineRule="exact"/>
              <w:rPr>
                <w:rFonts w:ascii="Times New Roman" w:hAnsi="Times New Roman" w:cs="Times New Roman"/>
                <w:color w:val="0000FF"/>
                <w:sz w:val="20"/>
                <w:szCs w:val="20"/>
                <w:u w:val="single"/>
              </w:rPr>
            </w:pPr>
            <w:r w:rsidRPr="001F7196">
              <w:rPr>
                <w:rFonts w:ascii="Times New Roman" w:hAnsi="Times New Roman" w:cs="Times New Roman"/>
                <w:color w:val="0000FF"/>
                <w:sz w:val="20"/>
                <w:szCs w:val="20"/>
                <w:u w:val="single"/>
              </w:rPr>
              <w:t>https://zenodo.org/record/7649108</w:t>
            </w:r>
          </w:p>
        </w:tc>
      </w:tr>
      <w:tr w:rsidR="009626AE" w:rsidRPr="001F7196" w14:paraId="49DB64AD" w14:textId="77777777" w:rsidTr="0069063E">
        <w:trPr>
          <w:jc w:val="center"/>
        </w:trPr>
        <w:tc>
          <w:tcPr>
            <w:tcW w:w="1316" w:type="dxa"/>
            <w:vMerge/>
            <w:tcBorders>
              <w:top w:val="nil"/>
              <w:bottom w:val="nil"/>
            </w:tcBorders>
          </w:tcPr>
          <w:p w14:paraId="1181037D" w14:textId="77777777" w:rsidR="009626AE" w:rsidRPr="001F7196" w:rsidRDefault="009626AE" w:rsidP="009626AE">
            <w:pPr>
              <w:spacing w:line="360" w:lineRule="exact"/>
              <w:rPr>
                <w:rFonts w:ascii="Times New Roman" w:hAnsi="Times New Roman" w:cs="Times New Roman"/>
                <w:sz w:val="20"/>
                <w:szCs w:val="20"/>
              </w:rPr>
            </w:pPr>
          </w:p>
        </w:tc>
        <w:tc>
          <w:tcPr>
            <w:tcW w:w="2394" w:type="dxa"/>
            <w:tcBorders>
              <w:top w:val="nil"/>
              <w:bottom w:val="nil"/>
            </w:tcBorders>
          </w:tcPr>
          <w:p w14:paraId="1D6F96AC"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TCDR V4</w:t>
            </w:r>
          </w:p>
        </w:tc>
        <w:tc>
          <w:tcPr>
            <w:tcW w:w="1936" w:type="dxa"/>
            <w:tcBorders>
              <w:top w:val="nil"/>
              <w:bottom w:val="nil"/>
            </w:tcBorders>
          </w:tcPr>
          <w:p w14:paraId="5CF40A2B"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0.05°, daily</w:t>
            </w:r>
          </w:p>
        </w:tc>
        <w:tc>
          <w:tcPr>
            <w:tcW w:w="1406" w:type="dxa"/>
            <w:tcBorders>
              <w:top w:val="nil"/>
              <w:bottom w:val="nil"/>
            </w:tcBorders>
          </w:tcPr>
          <w:p w14:paraId="1936EA9E"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tc>
          <w:tcPr>
            <w:tcW w:w="0" w:type="auto"/>
            <w:tcBorders>
              <w:top w:val="nil"/>
              <w:bottom w:val="nil"/>
            </w:tcBorders>
          </w:tcPr>
          <w:p w14:paraId="6AD35E73" w14:textId="77777777" w:rsidR="009626AE" w:rsidRPr="001F7196" w:rsidRDefault="009F43B9" w:rsidP="009626AE">
            <w:pPr>
              <w:spacing w:line="360" w:lineRule="exact"/>
              <w:rPr>
                <w:rFonts w:ascii="Times New Roman" w:hAnsi="Times New Roman" w:cs="Times New Roman"/>
                <w:sz w:val="20"/>
                <w:szCs w:val="20"/>
                <w:u w:val="single"/>
              </w:rPr>
            </w:pPr>
            <w:hyperlink r:id="rId37" w:history="1">
              <w:r w:rsidR="009626AE" w:rsidRPr="001F7196">
                <w:rPr>
                  <w:rFonts w:ascii="Times New Roman" w:hAnsi="Times New Roman" w:cs="Times New Roman"/>
                  <w:color w:val="0000FF"/>
                  <w:sz w:val="20"/>
                  <w:szCs w:val="20"/>
                  <w:u w:val="single"/>
                </w:rPr>
                <w:t>https://www.ncei.noaa.gov/data/avhrr-land-leaf-area-index-and-fapar/access/</w:t>
              </w:r>
            </w:hyperlink>
          </w:p>
        </w:tc>
      </w:tr>
      <w:tr w:rsidR="009626AE" w:rsidRPr="001F7196" w14:paraId="0CA91B80" w14:textId="77777777" w:rsidTr="0069063E">
        <w:trPr>
          <w:jc w:val="center"/>
        </w:trPr>
        <w:tc>
          <w:tcPr>
            <w:tcW w:w="1316" w:type="dxa"/>
            <w:vMerge/>
            <w:tcBorders>
              <w:top w:val="nil"/>
              <w:bottom w:val="nil"/>
            </w:tcBorders>
          </w:tcPr>
          <w:p w14:paraId="00B22747" w14:textId="77777777" w:rsidR="009626AE" w:rsidRPr="001F7196" w:rsidRDefault="009626AE" w:rsidP="009626AE">
            <w:pPr>
              <w:spacing w:line="360" w:lineRule="exact"/>
              <w:rPr>
                <w:rFonts w:ascii="Times New Roman" w:hAnsi="Times New Roman" w:cs="Times New Roman"/>
                <w:sz w:val="20"/>
                <w:szCs w:val="20"/>
              </w:rPr>
            </w:pPr>
          </w:p>
        </w:tc>
        <w:tc>
          <w:tcPr>
            <w:tcW w:w="2394" w:type="dxa"/>
            <w:tcBorders>
              <w:top w:val="nil"/>
              <w:bottom w:val="nil"/>
            </w:tcBorders>
          </w:tcPr>
          <w:p w14:paraId="4D998DE2"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GEOV2-VGT</w:t>
            </w:r>
          </w:p>
        </w:tc>
        <w:tc>
          <w:tcPr>
            <w:tcW w:w="1936" w:type="dxa"/>
            <w:tcBorders>
              <w:top w:val="nil"/>
              <w:bottom w:val="nil"/>
            </w:tcBorders>
          </w:tcPr>
          <w:p w14:paraId="16E4EEB2"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1 km, 10 days</w:t>
            </w:r>
          </w:p>
        </w:tc>
        <w:tc>
          <w:tcPr>
            <w:tcW w:w="1406" w:type="dxa"/>
            <w:tcBorders>
              <w:top w:val="nil"/>
              <w:bottom w:val="nil"/>
            </w:tcBorders>
          </w:tcPr>
          <w:p w14:paraId="67A5EE90"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2001-2019</w:t>
            </w:r>
          </w:p>
        </w:tc>
        <w:tc>
          <w:tcPr>
            <w:tcW w:w="0" w:type="auto"/>
            <w:tcBorders>
              <w:top w:val="nil"/>
              <w:bottom w:val="nil"/>
            </w:tcBorders>
          </w:tcPr>
          <w:p w14:paraId="63BE0A96" w14:textId="77777777" w:rsidR="009626AE" w:rsidRPr="001F7196" w:rsidRDefault="009F43B9" w:rsidP="009626AE">
            <w:pPr>
              <w:spacing w:line="360" w:lineRule="exact"/>
              <w:rPr>
                <w:rFonts w:ascii="Times New Roman" w:hAnsi="Times New Roman" w:cs="Times New Roman"/>
                <w:sz w:val="20"/>
                <w:szCs w:val="20"/>
                <w:u w:val="single"/>
              </w:rPr>
            </w:pPr>
            <w:hyperlink r:id="rId38" w:history="1">
              <w:r w:rsidR="009626AE" w:rsidRPr="001F7196">
                <w:rPr>
                  <w:rFonts w:ascii="Times New Roman" w:hAnsi="Times New Roman" w:cs="Times New Roman"/>
                  <w:color w:val="0000FF"/>
                  <w:sz w:val="20"/>
                  <w:szCs w:val="20"/>
                  <w:u w:val="single"/>
                </w:rPr>
                <w:t>https://land.copernicus.eu/global/products/lai</w:t>
              </w:r>
            </w:hyperlink>
          </w:p>
        </w:tc>
      </w:tr>
      <w:tr w:rsidR="009626AE" w:rsidRPr="001F7196" w14:paraId="5ED85307" w14:textId="77777777" w:rsidTr="0069063E">
        <w:trPr>
          <w:jc w:val="center"/>
        </w:trPr>
        <w:tc>
          <w:tcPr>
            <w:tcW w:w="1316" w:type="dxa"/>
            <w:vMerge/>
            <w:tcBorders>
              <w:top w:val="nil"/>
              <w:bottom w:val="single" w:sz="8" w:space="0" w:color="auto"/>
            </w:tcBorders>
          </w:tcPr>
          <w:p w14:paraId="4E90AC68" w14:textId="77777777" w:rsidR="009626AE" w:rsidRPr="001F7196" w:rsidRDefault="009626AE" w:rsidP="009626AE">
            <w:pPr>
              <w:spacing w:line="360" w:lineRule="exact"/>
              <w:rPr>
                <w:rFonts w:ascii="Times New Roman" w:hAnsi="Times New Roman" w:cs="Times New Roman"/>
                <w:sz w:val="20"/>
                <w:szCs w:val="20"/>
              </w:rPr>
            </w:pPr>
          </w:p>
        </w:tc>
        <w:tc>
          <w:tcPr>
            <w:tcW w:w="2394" w:type="dxa"/>
            <w:tcBorders>
              <w:top w:val="nil"/>
              <w:bottom w:val="single" w:sz="8" w:space="0" w:color="auto"/>
            </w:tcBorders>
          </w:tcPr>
          <w:p w14:paraId="1F32E062"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GEOV2-AVHRR</w:t>
            </w:r>
          </w:p>
        </w:tc>
        <w:tc>
          <w:tcPr>
            <w:tcW w:w="1936" w:type="dxa"/>
            <w:tcBorders>
              <w:top w:val="nil"/>
              <w:bottom w:val="single" w:sz="8" w:space="0" w:color="auto"/>
            </w:tcBorders>
          </w:tcPr>
          <w:p w14:paraId="7DD6D7D4"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0.05°, 10 days</w:t>
            </w:r>
          </w:p>
        </w:tc>
        <w:tc>
          <w:tcPr>
            <w:tcW w:w="1406" w:type="dxa"/>
            <w:tcBorders>
              <w:top w:val="nil"/>
              <w:bottom w:val="single" w:sz="8" w:space="0" w:color="auto"/>
            </w:tcBorders>
          </w:tcPr>
          <w:p w14:paraId="3622E41D"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2001-2019</w:t>
            </w:r>
          </w:p>
        </w:tc>
        <w:tc>
          <w:tcPr>
            <w:tcW w:w="0" w:type="auto"/>
            <w:tcBorders>
              <w:top w:val="nil"/>
              <w:bottom w:val="single" w:sz="8" w:space="0" w:color="auto"/>
            </w:tcBorders>
          </w:tcPr>
          <w:p w14:paraId="73960F5D" w14:textId="77777777" w:rsidR="009626AE" w:rsidRPr="001F7196" w:rsidRDefault="009F43B9" w:rsidP="009626AE">
            <w:pPr>
              <w:spacing w:line="360" w:lineRule="exact"/>
              <w:rPr>
                <w:rFonts w:ascii="Times New Roman" w:hAnsi="Times New Roman" w:cs="Times New Roman"/>
                <w:sz w:val="20"/>
                <w:szCs w:val="20"/>
                <w:u w:val="single"/>
              </w:rPr>
            </w:pPr>
            <w:hyperlink r:id="rId39" w:history="1">
              <w:r w:rsidR="009626AE" w:rsidRPr="001F7196">
                <w:rPr>
                  <w:rFonts w:ascii="Times New Roman" w:hAnsi="Times New Roman" w:cs="Times New Roman"/>
                  <w:color w:val="0000FF"/>
                  <w:sz w:val="20"/>
                  <w:szCs w:val="20"/>
                  <w:u w:val="single"/>
                </w:rPr>
                <w:t>https://www.theia-land.fr/en/geov2-avhrr-monitoring-changes-in-vegetation-on-a-global-scale-over-the-last-38-years/</w:t>
              </w:r>
            </w:hyperlink>
          </w:p>
        </w:tc>
      </w:tr>
      <w:tr w:rsidR="009626AE" w:rsidRPr="001F7196" w14:paraId="715BE7DD" w14:textId="77777777" w:rsidTr="0069063E">
        <w:trPr>
          <w:jc w:val="center"/>
        </w:trPr>
        <w:tc>
          <w:tcPr>
            <w:tcW w:w="1316" w:type="dxa"/>
            <w:tcBorders>
              <w:top w:val="single" w:sz="8" w:space="0" w:color="auto"/>
              <w:bottom w:val="single" w:sz="8" w:space="0" w:color="auto"/>
            </w:tcBorders>
          </w:tcPr>
          <w:p w14:paraId="2BF61148"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Vegetation Index</w:t>
            </w:r>
          </w:p>
        </w:tc>
        <w:tc>
          <w:tcPr>
            <w:tcW w:w="2394" w:type="dxa"/>
            <w:tcBorders>
              <w:top w:val="single" w:sz="8" w:space="0" w:color="auto"/>
              <w:bottom w:val="single" w:sz="8" w:space="0" w:color="auto"/>
            </w:tcBorders>
          </w:tcPr>
          <w:p w14:paraId="1A01B38D" w14:textId="77777777" w:rsidR="009626AE" w:rsidRPr="001F7196" w:rsidRDefault="009626AE" w:rsidP="009626AE">
            <w:pPr>
              <w:spacing w:line="360" w:lineRule="exact"/>
              <w:rPr>
                <w:rFonts w:ascii="Times New Roman" w:hAnsi="Times New Roman" w:cs="Times New Roman"/>
                <w:sz w:val="20"/>
                <w:szCs w:val="20"/>
              </w:rPr>
            </w:pPr>
            <w:proofErr w:type="spellStart"/>
            <w:r w:rsidRPr="001F7196">
              <w:rPr>
                <w:rFonts w:ascii="Times New Roman" w:hAnsi="Times New Roman" w:cs="Times New Roman"/>
                <w:sz w:val="20"/>
                <w:szCs w:val="20"/>
              </w:rPr>
              <w:t>NIRv</w:t>
            </w:r>
            <w:proofErr w:type="spellEnd"/>
            <w:r w:rsidRPr="001F7196">
              <w:rPr>
                <w:rFonts w:ascii="Times New Roman" w:hAnsi="Times New Roman" w:cs="Times New Roman"/>
                <w:sz w:val="20"/>
                <w:szCs w:val="20"/>
              </w:rPr>
              <w:t xml:space="preserve"> and EVI derived from MOD13A2 V6.1</w:t>
            </w:r>
          </w:p>
        </w:tc>
        <w:tc>
          <w:tcPr>
            <w:tcW w:w="1936" w:type="dxa"/>
            <w:tcBorders>
              <w:top w:val="single" w:sz="8" w:space="0" w:color="auto"/>
              <w:bottom w:val="single" w:sz="8" w:space="0" w:color="auto"/>
            </w:tcBorders>
          </w:tcPr>
          <w:p w14:paraId="4E51EB22"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1 km, 16 days</w:t>
            </w:r>
          </w:p>
        </w:tc>
        <w:tc>
          <w:tcPr>
            <w:tcW w:w="1406" w:type="dxa"/>
            <w:tcBorders>
              <w:top w:val="single" w:sz="8" w:space="0" w:color="auto"/>
              <w:bottom w:val="single" w:sz="8" w:space="0" w:color="auto"/>
            </w:tcBorders>
          </w:tcPr>
          <w:p w14:paraId="37B6590F"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tc>
          <w:tcPr>
            <w:tcW w:w="0" w:type="auto"/>
            <w:tcBorders>
              <w:top w:val="single" w:sz="8" w:space="0" w:color="auto"/>
              <w:bottom w:val="single" w:sz="8" w:space="0" w:color="auto"/>
            </w:tcBorders>
          </w:tcPr>
          <w:p w14:paraId="698368E4" w14:textId="77777777" w:rsidR="009626AE" w:rsidRPr="001F7196" w:rsidRDefault="009F43B9" w:rsidP="009626AE">
            <w:pPr>
              <w:spacing w:line="360" w:lineRule="exact"/>
              <w:rPr>
                <w:rFonts w:ascii="Times New Roman" w:hAnsi="Times New Roman" w:cs="Times New Roman"/>
                <w:sz w:val="20"/>
                <w:szCs w:val="20"/>
                <w:u w:val="single"/>
              </w:rPr>
            </w:pPr>
            <w:hyperlink r:id="rId40" w:history="1">
              <w:r w:rsidR="009626AE" w:rsidRPr="001F7196">
                <w:rPr>
                  <w:rFonts w:ascii="Times New Roman" w:hAnsi="Times New Roman" w:cs="Times New Roman"/>
                  <w:color w:val="0000FF"/>
                  <w:sz w:val="20"/>
                  <w:szCs w:val="20"/>
                  <w:u w:val="single"/>
                </w:rPr>
                <w:t>https://doi.org/10.5067/MODIS/MOD13A2.061</w:t>
              </w:r>
            </w:hyperlink>
          </w:p>
        </w:tc>
      </w:tr>
      <w:tr w:rsidR="009626AE" w:rsidRPr="001F7196" w14:paraId="7D459495" w14:textId="77777777" w:rsidTr="0069063E">
        <w:trPr>
          <w:jc w:val="center"/>
        </w:trPr>
        <w:tc>
          <w:tcPr>
            <w:tcW w:w="1316" w:type="dxa"/>
            <w:vMerge w:val="restart"/>
            <w:tcBorders>
              <w:top w:val="single" w:sz="8" w:space="0" w:color="auto"/>
              <w:bottom w:val="nil"/>
            </w:tcBorders>
          </w:tcPr>
          <w:p w14:paraId="6DDAFED8"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Fire activity</w:t>
            </w:r>
          </w:p>
        </w:tc>
        <w:tc>
          <w:tcPr>
            <w:tcW w:w="2394" w:type="dxa"/>
            <w:tcBorders>
              <w:top w:val="single" w:sz="8" w:space="0" w:color="auto"/>
              <w:bottom w:val="nil"/>
            </w:tcBorders>
          </w:tcPr>
          <w:p w14:paraId="056FA486"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MCD64A1 V6 BA</w:t>
            </w:r>
          </w:p>
        </w:tc>
        <w:tc>
          <w:tcPr>
            <w:tcW w:w="1936" w:type="dxa"/>
            <w:tcBorders>
              <w:top w:val="single" w:sz="8" w:space="0" w:color="auto"/>
              <w:bottom w:val="nil"/>
            </w:tcBorders>
          </w:tcPr>
          <w:p w14:paraId="27076C7E"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500 m, monthly</w:t>
            </w:r>
          </w:p>
        </w:tc>
        <w:tc>
          <w:tcPr>
            <w:tcW w:w="1406" w:type="dxa"/>
            <w:tcBorders>
              <w:top w:val="single" w:sz="8" w:space="0" w:color="auto"/>
              <w:bottom w:val="nil"/>
            </w:tcBorders>
          </w:tcPr>
          <w:p w14:paraId="62D9E002"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bookmarkStart w:id="12" w:name="_Hlk120476573"/>
        <w:tc>
          <w:tcPr>
            <w:tcW w:w="0" w:type="auto"/>
            <w:tcBorders>
              <w:top w:val="single" w:sz="8" w:space="0" w:color="auto"/>
              <w:bottom w:val="nil"/>
            </w:tcBorders>
          </w:tcPr>
          <w:p w14:paraId="5B739C71" w14:textId="77777777" w:rsidR="009626AE" w:rsidRPr="001F7196" w:rsidRDefault="009626AE" w:rsidP="009626AE">
            <w:pPr>
              <w:spacing w:line="360" w:lineRule="exact"/>
              <w:rPr>
                <w:rFonts w:ascii="Times New Roman" w:hAnsi="Times New Roman" w:cs="Times New Roman"/>
                <w:sz w:val="20"/>
                <w:szCs w:val="20"/>
              </w:rPr>
            </w:pPr>
            <w:r w:rsidRPr="001F7196">
              <w:rPr>
                <w:sz w:val="20"/>
              </w:rPr>
              <w:fldChar w:fldCharType="begin"/>
            </w:r>
            <w:r w:rsidRPr="001F7196">
              <w:rPr>
                <w:rFonts w:ascii="Times New Roman" w:hAnsi="Times New Roman" w:cs="Times New Roman"/>
                <w:sz w:val="20"/>
                <w:szCs w:val="20"/>
              </w:rPr>
              <w:instrText xml:space="preserve"> HYPERLINK "https://doi.org/10.5067/MODIS/MCD64A1.006" </w:instrText>
            </w:r>
            <w:r w:rsidRPr="001F7196">
              <w:rPr>
                <w:sz w:val="20"/>
              </w:rPr>
              <w:fldChar w:fldCharType="separate"/>
            </w:r>
            <w:r w:rsidRPr="001F7196">
              <w:rPr>
                <w:rFonts w:ascii="Times New Roman" w:hAnsi="Times New Roman" w:cs="Times New Roman"/>
                <w:color w:val="0000FF"/>
                <w:sz w:val="20"/>
                <w:szCs w:val="20"/>
                <w:u w:val="single"/>
              </w:rPr>
              <w:t>https://doi.org/10.5067/MODIS/MCD64A1.006</w:t>
            </w:r>
            <w:r w:rsidRPr="001F7196">
              <w:rPr>
                <w:sz w:val="20"/>
              </w:rPr>
              <w:fldChar w:fldCharType="end"/>
            </w:r>
            <w:bookmarkEnd w:id="12"/>
          </w:p>
        </w:tc>
      </w:tr>
      <w:tr w:rsidR="009626AE" w:rsidRPr="001F7196" w14:paraId="2A3F5B6C" w14:textId="77777777" w:rsidTr="0069063E">
        <w:trPr>
          <w:jc w:val="center"/>
        </w:trPr>
        <w:tc>
          <w:tcPr>
            <w:tcW w:w="1316" w:type="dxa"/>
            <w:vMerge/>
            <w:tcBorders>
              <w:top w:val="nil"/>
              <w:bottom w:val="nil"/>
            </w:tcBorders>
          </w:tcPr>
          <w:p w14:paraId="716209CB" w14:textId="77777777" w:rsidR="009626AE" w:rsidRPr="001F7196" w:rsidRDefault="009626AE" w:rsidP="009626AE">
            <w:pPr>
              <w:spacing w:line="360" w:lineRule="exact"/>
              <w:rPr>
                <w:rFonts w:ascii="Times New Roman" w:hAnsi="Times New Roman" w:cs="Times New Roman"/>
                <w:sz w:val="20"/>
                <w:szCs w:val="20"/>
              </w:rPr>
            </w:pPr>
          </w:p>
        </w:tc>
        <w:tc>
          <w:tcPr>
            <w:tcW w:w="2394" w:type="dxa"/>
            <w:tcBorders>
              <w:top w:val="nil"/>
              <w:bottom w:val="nil"/>
            </w:tcBorders>
          </w:tcPr>
          <w:p w14:paraId="591E9FB7" w14:textId="77777777" w:rsidR="009626AE" w:rsidRPr="001F7196" w:rsidRDefault="009626AE" w:rsidP="009626AE">
            <w:pPr>
              <w:spacing w:line="360" w:lineRule="exact"/>
              <w:rPr>
                <w:rFonts w:ascii="Times New Roman" w:hAnsi="Times New Roman" w:cs="Times New Roman"/>
                <w:sz w:val="20"/>
                <w:szCs w:val="20"/>
              </w:rPr>
            </w:pPr>
            <w:proofErr w:type="spellStart"/>
            <w:r w:rsidRPr="001F7196">
              <w:rPr>
                <w:rFonts w:ascii="Times New Roman" w:hAnsi="Times New Roman" w:cs="Times New Roman"/>
                <w:sz w:val="20"/>
                <w:szCs w:val="20"/>
              </w:rPr>
              <w:t>FireCCI</w:t>
            </w:r>
            <w:proofErr w:type="spellEnd"/>
            <w:r w:rsidRPr="001F7196">
              <w:rPr>
                <w:rFonts w:ascii="Times New Roman" w:hAnsi="Times New Roman" w:cs="Times New Roman"/>
                <w:sz w:val="20"/>
                <w:szCs w:val="20"/>
              </w:rPr>
              <w:t xml:space="preserve"> V5.1 BA</w:t>
            </w:r>
          </w:p>
        </w:tc>
        <w:tc>
          <w:tcPr>
            <w:tcW w:w="1936" w:type="dxa"/>
            <w:tcBorders>
              <w:top w:val="nil"/>
              <w:bottom w:val="nil"/>
            </w:tcBorders>
          </w:tcPr>
          <w:p w14:paraId="06E209C6"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250 m, monthly</w:t>
            </w:r>
          </w:p>
        </w:tc>
        <w:tc>
          <w:tcPr>
            <w:tcW w:w="1406" w:type="dxa"/>
            <w:tcBorders>
              <w:top w:val="nil"/>
              <w:bottom w:val="nil"/>
            </w:tcBorders>
          </w:tcPr>
          <w:p w14:paraId="289D9FB0"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bookmarkStart w:id="13" w:name="_Hlk120476608"/>
        <w:tc>
          <w:tcPr>
            <w:tcW w:w="0" w:type="auto"/>
            <w:tcBorders>
              <w:top w:val="nil"/>
              <w:bottom w:val="nil"/>
            </w:tcBorders>
          </w:tcPr>
          <w:p w14:paraId="4203E39A" w14:textId="77777777" w:rsidR="009626AE" w:rsidRPr="001F7196" w:rsidRDefault="009626AE" w:rsidP="009626AE">
            <w:pPr>
              <w:spacing w:line="360" w:lineRule="exact"/>
              <w:rPr>
                <w:rFonts w:ascii="Times New Roman" w:hAnsi="Times New Roman" w:cs="Times New Roman"/>
                <w:sz w:val="20"/>
                <w:szCs w:val="20"/>
              </w:rPr>
            </w:pPr>
            <w:r w:rsidRPr="001F7196">
              <w:rPr>
                <w:sz w:val="20"/>
              </w:rPr>
              <w:fldChar w:fldCharType="begin"/>
            </w:r>
            <w:r w:rsidRPr="001F7196">
              <w:rPr>
                <w:rFonts w:ascii="Times New Roman" w:hAnsi="Times New Roman" w:cs="Times New Roman"/>
                <w:sz w:val="20"/>
                <w:szCs w:val="20"/>
              </w:rPr>
              <w:instrText xml:space="preserve"> HYPERLINK "https://climate.esa.int/en/projects/fire/data/" </w:instrText>
            </w:r>
            <w:r w:rsidRPr="001F7196">
              <w:rPr>
                <w:sz w:val="20"/>
              </w:rPr>
              <w:fldChar w:fldCharType="separate"/>
            </w:r>
            <w:r w:rsidRPr="001F7196">
              <w:rPr>
                <w:rFonts w:ascii="Times New Roman" w:hAnsi="Times New Roman" w:cs="Times New Roman"/>
                <w:color w:val="0000FF"/>
                <w:sz w:val="20"/>
                <w:szCs w:val="20"/>
                <w:u w:val="single"/>
              </w:rPr>
              <w:t>https://climate.esa.int/en/projects/fire/data/</w:t>
            </w:r>
            <w:r w:rsidRPr="001F7196">
              <w:rPr>
                <w:sz w:val="20"/>
              </w:rPr>
              <w:fldChar w:fldCharType="end"/>
            </w:r>
            <w:bookmarkEnd w:id="13"/>
          </w:p>
        </w:tc>
      </w:tr>
      <w:tr w:rsidR="009626AE" w:rsidRPr="001F7196" w14:paraId="3D325C91" w14:textId="77777777" w:rsidTr="0069063E">
        <w:trPr>
          <w:jc w:val="center"/>
        </w:trPr>
        <w:tc>
          <w:tcPr>
            <w:tcW w:w="1316" w:type="dxa"/>
            <w:vMerge/>
            <w:tcBorders>
              <w:top w:val="nil"/>
              <w:bottom w:val="single" w:sz="8" w:space="0" w:color="auto"/>
            </w:tcBorders>
          </w:tcPr>
          <w:p w14:paraId="5BA2F4DB" w14:textId="77777777" w:rsidR="009626AE" w:rsidRPr="001F7196" w:rsidRDefault="009626AE" w:rsidP="009626AE">
            <w:pPr>
              <w:spacing w:line="360" w:lineRule="exact"/>
              <w:rPr>
                <w:rFonts w:ascii="Times New Roman" w:hAnsi="Times New Roman" w:cs="Times New Roman"/>
                <w:sz w:val="20"/>
                <w:szCs w:val="20"/>
              </w:rPr>
            </w:pPr>
          </w:p>
        </w:tc>
        <w:tc>
          <w:tcPr>
            <w:tcW w:w="2394" w:type="dxa"/>
            <w:tcBorders>
              <w:top w:val="nil"/>
              <w:bottom w:val="single" w:sz="8" w:space="0" w:color="auto"/>
            </w:tcBorders>
          </w:tcPr>
          <w:p w14:paraId="15985F5C"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MCD14ML V6 FRP</w:t>
            </w:r>
          </w:p>
        </w:tc>
        <w:tc>
          <w:tcPr>
            <w:tcW w:w="1936" w:type="dxa"/>
            <w:tcBorders>
              <w:top w:val="nil"/>
              <w:bottom w:val="single" w:sz="8" w:space="0" w:color="auto"/>
            </w:tcBorders>
          </w:tcPr>
          <w:p w14:paraId="118F122F"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0.25°, yearly</w:t>
            </w:r>
          </w:p>
        </w:tc>
        <w:tc>
          <w:tcPr>
            <w:tcW w:w="1406" w:type="dxa"/>
            <w:tcBorders>
              <w:top w:val="nil"/>
              <w:bottom w:val="single" w:sz="8" w:space="0" w:color="auto"/>
            </w:tcBorders>
          </w:tcPr>
          <w:p w14:paraId="38B94CAC"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tc>
          <w:tcPr>
            <w:tcW w:w="0" w:type="auto"/>
            <w:tcBorders>
              <w:top w:val="nil"/>
              <w:bottom w:val="single" w:sz="8" w:space="0" w:color="auto"/>
            </w:tcBorders>
          </w:tcPr>
          <w:p w14:paraId="37BF33C8" w14:textId="77777777" w:rsidR="009626AE" w:rsidRPr="001F7196" w:rsidRDefault="009F43B9" w:rsidP="009626AE">
            <w:pPr>
              <w:spacing w:line="360" w:lineRule="exact"/>
              <w:rPr>
                <w:rFonts w:ascii="Times New Roman" w:hAnsi="Times New Roman" w:cs="Times New Roman"/>
                <w:sz w:val="20"/>
                <w:szCs w:val="20"/>
              </w:rPr>
            </w:pPr>
            <w:hyperlink r:id="rId41" w:history="1">
              <w:r w:rsidR="009626AE" w:rsidRPr="001F7196">
                <w:rPr>
                  <w:rFonts w:ascii="Times New Roman" w:hAnsi="Times New Roman" w:cs="Times New Roman"/>
                  <w:color w:val="0000FF"/>
                  <w:sz w:val="20"/>
                  <w:szCs w:val="20"/>
                  <w:u w:val="single"/>
                </w:rPr>
                <w:t>https://www.earthdata.nasa.gov/learn/find-data/near-real-time/firms/mcd14ml</w:t>
              </w:r>
            </w:hyperlink>
          </w:p>
        </w:tc>
      </w:tr>
      <w:tr w:rsidR="001F7196" w:rsidRPr="001F7196" w14:paraId="660925DF" w14:textId="77777777" w:rsidTr="00B56701">
        <w:trPr>
          <w:jc w:val="center"/>
        </w:trPr>
        <w:tc>
          <w:tcPr>
            <w:tcW w:w="1316" w:type="dxa"/>
            <w:vMerge w:val="restart"/>
            <w:tcBorders>
              <w:top w:val="single" w:sz="8" w:space="0" w:color="auto"/>
            </w:tcBorders>
          </w:tcPr>
          <w:p w14:paraId="50160981" w14:textId="77777777" w:rsidR="001F7196" w:rsidRPr="001F7196" w:rsidRDefault="001F7196"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Climate variable</w:t>
            </w:r>
          </w:p>
        </w:tc>
        <w:tc>
          <w:tcPr>
            <w:tcW w:w="2394" w:type="dxa"/>
            <w:tcBorders>
              <w:top w:val="single" w:sz="8" w:space="0" w:color="auto"/>
              <w:bottom w:val="single" w:sz="8" w:space="0" w:color="auto"/>
            </w:tcBorders>
          </w:tcPr>
          <w:p w14:paraId="78778A1A" w14:textId="77777777" w:rsidR="001F7196" w:rsidRPr="001F7196" w:rsidRDefault="001F7196"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ERA5-Land monthly averaged reanalysis data (T, PRE, SM, Td)</w:t>
            </w:r>
          </w:p>
        </w:tc>
        <w:tc>
          <w:tcPr>
            <w:tcW w:w="1936" w:type="dxa"/>
            <w:tcBorders>
              <w:top w:val="single" w:sz="8" w:space="0" w:color="auto"/>
              <w:bottom w:val="single" w:sz="8" w:space="0" w:color="auto"/>
            </w:tcBorders>
          </w:tcPr>
          <w:p w14:paraId="1CFA0B66" w14:textId="77777777" w:rsidR="001F7196" w:rsidRPr="001F7196" w:rsidRDefault="001F7196"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0.1°, monthly</w:t>
            </w:r>
          </w:p>
        </w:tc>
        <w:tc>
          <w:tcPr>
            <w:tcW w:w="1406" w:type="dxa"/>
            <w:tcBorders>
              <w:top w:val="single" w:sz="8" w:space="0" w:color="auto"/>
              <w:bottom w:val="single" w:sz="8" w:space="0" w:color="auto"/>
            </w:tcBorders>
          </w:tcPr>
          <w:p w14:paraId="3F93F696" w14:textId="77777777" w:rsidR="001F7196" w:rsidRPr="001F7196" w:rsidRDefault="001F7196"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tc>
          <w:tcPr>
            <w:tcW w:w="0" w:type="auto"/>
            <w:tcBorders>
              <w:top w:val="single" w:sz="8" w:space="0" w:color="auto"/>
              <w:bottom w:val="single" w:sz="8" w:space="0" w:color="auto"/>
            </w:tcBorders>
          </w:tcPr>
          <w:p w14:paraId="2A67AA9E" w14:textId="77777777" w:rsidR="001F7196" w:rsidRPr="001F7196" w:rsidRDefault="009F43B9" w:rsidP="009626AE">
            <w:pPr>
              <w:spacing w:line="360" w:lineRule="exact"/>
              <w:rPr>
                <w:rFonts w:ascii="Times New Roman" w:hAnsi="Times New Roman" w:cs="Times New Roman"/>
                <w:sz w:val="20"/>
                <w:szCs w:val="20"/>
              </w:rPr>
            </w:pPr>
            <w:hyperlink r:id="rId42" w:history="1">
              <w:r w:rsidR="001F7196" w:rsidRPr="001F7196">
                <w:rPr>
                  <w:rFonts w:ascii="Times New Roman" w:hAnsi="Times New Roman" w:cs="Times New Roman"/>
                  <w:color w:val="0000FF"/>
                  <w:sz w:val="20"/>
                  <w:szCs w:val="20"/>
                  <w:u w:val="single"/>
                </w:rPr>
                <w:t>https://cds.climate.copernicus.eu/cdsapp#!/dataset/reanalysis-era5-land-monthly-means?tab=overview</w:t>
              </w:r>
            </w:hyperlink>
          </w:p>
        </w:tc>
      </w:tr>
      <w:tr w:rsidR="001F7196" w:rsidRPr="001F7196" w14:paraId="5EA3682E" w14:textId="77777777" w:rsidTr="00B56701">
        <w:trPr>
          <w:jc w:val="center"/>
        </w:trPr>
        <w:tc>
          <w:tcPr>
            <w:tcW w:w="1316" w:type="dxa"/>
            <w:vMerge/>
          </w:tcPr>
          <w:p w14:paraId="46481619" w14:textId="77777777" w:rsidR="001F7196" w:rsidRPr="001F7196" w:rsidRDefault="001F7196" w:rsidP="009626AE">
            <w:pPr>
              <w:spacing w:line="360" w:lineRule="exact"/>
              <w:rPr>
                <w:rFonts w:ascii="Times New Roman" w:hAnsi="Times New Roman" w:cs="Times New Roman"/>
                <w:sz w:val="20"/>
                <w:szCs w:val="20"/>
              </w:rPr>
            </w:pPr>
          </w:p>
        </w:tc>
        <w:tc>
          <w:tcPr>
            <w:tcW w:w="2394" w:type="dxa"/>
            <w:tcBorders>
              <w:top w:val="single" w:sz="8" w:space="0" w:color="auto"/>
              <w:bottom w:val="single" w:sz="8" w:space="0" w:color="auto"/>
            </w:tcBorders>
          </w:tcPr>
          <w:p w14:paraId="56848503" w14:textId="0DC58D93" w:rsidR="001F7196" w:rsidRPr="001F7196" w:rsidRDefault="001F7196" w:rsidP="009626AE">
            <w:pPr>
              <w:spacing w:line="360" w:lineRule="exact"/>
              <w:rPr>
                <w:rFonts w:ascii="Times New Roman" w:hAnsi="Times New Roman" w:cs="Times New Roman"/>
                <w:sz w:val="20"/>
                <w:szCs w:val="20"/>
              </w:rPr>
            </w:pPr>
            <w:proofErr w:type="spellStart"/>
            <w:r w:rsidRPr="001F7196">
              <w:rPr>
                <w:rFonts w:ascii="Times New Roman" w:hAnsi="Times New Roman" w:cs="Times New Roman"/>
                <w:sz w:val="20"/>
                <w:szCs w:val="20"/>
              </w:rPr>
              <w:t>TerraClimate</w:t>
            </w:r>
            <w:proofErr w:type="spellEnd"/>
            <w:r w:rsidRPr="001F7196">
              <w:rPr>
                <w:rFonts w:ascii="Times New Roman" w:hAnsi="Times New Roman" w:cs="Times New Roman"/>
                <w:sz w:val="20"/>
                <w:szCs w:val="20"/>
              </w:rPr>
              <w:t xml:space="preserve"> data (</w:t>
            </w:r>
            <w:proofErr w:type="spellStart"/>
            <w:r w:rsidRPr="001F7196">
              <w:rPr>
                <w:rFonts w:ascii="Times New Roman" w:hAnsi="Times New Roman" w:cs="Times New Roman"/>
                <w:sz w:val="20"/>
                <w:szCs w:val="20"/>
              </w:rPr>
              <w:t>T</w:t>
            </w:r>
            <w:r w:rsidRPr="001F7196">
              <w:rPr>
                <w:rFonts w:ascii="Times New Roman" w:hAnsi="Times New Roman" w:cs="Times New Roman"/>
                <w:sz w:val="20"/>
                <w:szCs w:val="20"/>
                <w:vertAlign w:val="subscript"/>
              </w:rPr>
              <w:t>max</w:t>
            </w:r>
            <w:proofErr w:type="spellEnd"/>
            <w:r w:rsidRPr="001F7196">
              <w:rPr>
                <w:rFonts w:ascii="Times New Roman" w:hAnsi="Times New Roman" w:cs="Times New Roman"/>
                <w:sz w:val="20"/>
                <w:szCs w:val="20"/>
              </w:rPr>
              <w:t xml:space="preserve"> and CWD)</w:t>
            </w:r>
          </w:p>
        </w:tc>
        <w:tc>
          <w:tcPr>
            <w:tcW w:w="1936" w:type="dxa"/>
            <w:tcBorders>
              <w:top w:val="single" w:sz="8" w:space="0" w:color="auto"/>
              <w:bottom w:val="single" w:sz="8" w:space="0" w:color="auto"/>
            </w:tcBorders>
          </w:tcPr>
          <w:p w14:paraId="34EFAC51" w14:textId="29334590" w:rsidR="001F7196" w:rsidRPr="001F7196" w:rsidRDefault="001F7196"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1/24°, monthly</w:t>
            </w:r>
          </w:p>
        </w:tc>
        <w:tc>
          <w:tcPr>
            <w:tcW w:w="1406" w:type="dxa"/>
            <w:tcBorders>
              <w:top w:val="single" w:sz="8" w:space="0" w:color="auto"/>
              <w:bottom w:val="single" w:sz="8" w:space="0" w:color="auto"/>
            </w:tcBorders>
          </w:tcPr>
          <w:p w14:paraId="69B26C4D" w14:textId="265B6637" w:rsidR="001F7196" w:rsidRPr="001F7196" w:rsidRDefault="001F7196"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tc>
          <w:tcPr>
            <w:tcW w:w="0" w:type="auto"/>
            <w:tcBorders>
              <w:top w:val="single" w:sz="8" w:space="0" w:color="auto"/>
              <w:bottom w:val="single" w:sz="8" w:space="0" w:color="auto"/>
            </w:tcBorders>
          </w:tcPr>
          <w:p w14:paraId="7CF1ADBF" w14:textId="2C0A8017" w:rsidR="001F7196" w:rsidRPr="001F7196" w:rsidRDefault="001F7196" w:rsidP="009626AE">
            <w:pPr>
              <w:spacing w:line="360" w:lineRule="exact"/>
              <w:rPr>
                <w:rFonts w:ascii="Times New Roman" w:hAnsi="Times New Roman" w:cs="Times New Roman"/>
                <w:color w:val="0000FF"/>
                <w:sz w:val="20"/>
                <w:szCs w:val="20"/>
                <w:u w:val="single"/>
              </w:rPr>
            </w:pPr>
            <w:r w:rsidRPr="001F7196">
              <w:rPr>
                <w:rFonts w:ascii="Times New Roman" w:hAnsi="Times New Roman" w:cs="Times New Roman"/>
                <w:color w:val="0000FF"/>
                <w:sz w:val="20"/>
                <w:szCs w:val="20"/>
                <w:u w:val="single"/>
              </w:rPr>
              <w:t>https://www.climatologylab.org/terraclimate.html</w:t>
            </w:r>
          </w:p>
        </w:tc>
      </w:tr>
      <w:tr w:rsidR="001F7196" w:rsidRPr="001F7196" w14:paraId="6B40EFEF" w14:textId="77777777" w:rsidTr="00B56701">
        <w:trPr>
          <w:jc w:val="center"/>
        </w:trPr>
        <w:tc>
          <w:tcPr>
            <w:tcW w:w="1316" w:type="dxa"/>
            <w:vMerge/>
            <w:tcBorders>
              <w:bottom w:val="single" w:sz="8" w:space="0" w:color="auto"/>
            </w:tcBorders>
          </w:tcPr>
          <w:p w14:paraId="75B2C8FB" w14:textId="77777777" w:rsidR="001F7196" w:rsidRPr="001F7196" w:rsidRDefault="001F7196" w:rsidP="009626AE">
            <w:pPr>
              <w:spacing w:line="360" w:lineRule="exact"/>
              <w:rPr>
                <w:rFonts w:ascii="Times New Roman" w:hAnsi="Times New Roman" w:cs="Times New Roman"/>
                <w:sz w:val="20"/>
                <w:szCs w:val="20"/>
              </w:rPr>
            </w:pPr>
          </w:p>
        </w:tc>
        <w:tc>
          <w:tcPr>
            <w:tcW w:w="2394" w:type="dxa"/>
            <w:tcBorders>
              <w:top w:val="single" w:sz="8" w:space="0" w:color="auto"/>
              <w:bottom w:val="single" w:sz="8" w:space="0" w:color="auto"/>
            </w:tcBorders>
          </w:tcPr>
          <w:p w14:paraId="66D52DDB" w14:textId="582CA205" w:rsidR="001F7196" w:rsidRPr="001F7196" w:rsidRDefault="001F7196"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ERA5-based global meteorological wildfire danger dataset (FWI)</w:t>
            </w:r>
          </w:p>
        </w:tc>
        <w:tc>
          <w:tcPr>
            <w:tcW w:w="1936" w:type="dxa"/>
            <w:tcBorders>
              <w:top w:val="single" w:sz="8" w:space="0" w:color="auto"/>
              <w:bottom w:val="single" w:sz="8" w:space="0" w:color="auto"/>
            </w:tcBorders>
          </w:tcPr>
          <w:p w14:paraId="1B4D2153" w14:textId="590079BE" w:rsidR="001F7196" w:rsidRPr="001F7196" w:rsidRDefault="001F7196"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0.25°, daily</w:t>
            </w:r>
          </w:p>
        </w:tc>
        <w:tc>
          <w:tcPr>
            <w:tcW w:w="1406" w:type="dxa"/>
            <w:tcBorders>
              <w:top w:val="single" w:sz="8" w:space="0" w:color="auto"/>
              <w:bottom w:val="single" w:sz="8" w:space="0" w:color="auto"/>
            </w:tcBorders>
          </w:tcPr>
          <w:p w14:paraId="79041CCE" w14:textId="4DB78CE8" w:rsidR="001F7196" w:rsidRPr="001F7196" w:rsidRDefault="001F7196"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tc>
          <w:tcPr>
            <w:tcW w:w="0" w:type="auto"/>
            <w:tcBorders>
              <w:top w:val="single" w:sz="8" w:space="0" w:color="auto"/>
              <w:bottom w:val="single" w:sz="8" w:space="0" w:color="auto"/>
            </w:tcBorders>
          </w:tcPr>
          <w:p w14:paraId="2DD1F8C2" w14:textId="2C5707EA" w:rsidR="001F7196" w:rsidRPr="001F7196" w:rsidRDefault="001F7196" w:rsidP="009626AE">
            <w:pPr>
              <w:spacing w:line="360" w:lineRule="exact"/>
              <w:rPr>
                <w:rFonts w:ascii="Times New Roman" w:hAnsi="Times New Roman" w:cs="Times New Roman"/>
                <w:color w:val="0000FF"/>
                <w:sz w:val="20"/>
                <w:szCs w:val="20"/>
                <w:u w:val="single"/>
              </w:rPr>
            </w:pPr>
            <w:r w:rsidRPr="001F7196">
              <w:rPr>
                <w:rFonts w:ascii="Times New Roman" w:hAnsi="Times New Roman" w:cs="Times New Roman"/>
                <w:color w:val="0000FF"/>
                <w:sz w:val="20"/>
                <w:szCs w:val="20"/>
                <w:u w:val="single"/>
              </w:rPr>
              <w:t>https://cds.climate.copernicus.eu/cdsapp#!/dataset/cems-fire-historical-v1?tab=overview</w:t>
            </w:r>
          </w:p>
        </w:tc>
      </w:tr>
      <w:tr w:rsidR="009626AE" w:rsidRPr="001F7196" w14:paraId="68AB7672" w14:textId="77777777" w:rsidTr="0069063E">
        <w:trPr>
          <w:jc w:val="center"/>
        </w:trPr>
        <w:tc>
          <w:tcPr>
            <w:tcW w:w="1316" w:type="dxa"/>
            <w:tcBorders>
              <w:top w:val="single" w:sz="8" w:space="0" w:color="auto"/>
              <w:bottom w:val="single" w:sz="8" w:space="0" w:color="auto"/>
            </w:tcBorders>
          </w:tcPr>
          <w:p w14:paraId="07FEB7E1"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Aridity Index</w:t>
            </w:r>
          </w:p>
        </w:tc>
        <w:tc>
          <w:tcPr>
            <w:tcW w:w="2394" w:type="dxa"/>
            <w:tcBorders>
              <w:top w:val="single" w:sz="8" w:space="0" w:color="auto"/>
              <w:bottom w:val="single" w:sz="8" w:space="0" w:color="auto"/>
            </w:tcBorders>
          </w:tcPr>
          <w:p w14:paraId="51E0DA60"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Global Aridity Index and Potential Evapotranspiration (ET0) Climate Database V2</w:t>
            </w:r>
          </w:p>
        </w:tc>
        <w:tc>
          <w:tcPr>
            <w:tcW w:w="1936" w:type="dxa"/>
            <w:tcBorders>
              <w:top w:val="single" w:sz="8" w:space="0" w:color="auto"/>
              <w:bottom w:val="single" w:sz="8" w:space="0" w:color="auto"/>
            </w:tcBorders>
          </w:tcPr>
          <w:p w14:paraId="3A267216"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30 arc-seconds</w:t>
            </w:r>
          </w:p>
        </w:tc>
        <w:tc>
          <w:tcPr>
            <w:tcW w:w="1406" w:type="dxa"/>
            <w:tcBorders>
              <w:top w:val="single" w:sz="8" w:space="0" w:color="auto"/>
              <w:bottom w:val="single" w:sz="8" w:space="0" w:color="auto"/>
            </w:tcBorders>
          </w:tcPr>
          <w:p w14:paraId="6FF38E54"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annual average over the 1970-2000 period</w:t>
            </w:r>
          </w:p>
        </w:tc>
        <w:bookmarkStart w:id="14" w:name="_Hlk120613297"/>
        <w:tc>
          <w:tcPr>
            <w:tcW w:w="0" w:type="auto"/>
            <w:tcBorders>
              <w:top w:val="single" w:sz="8" w:space="0" w:color="auto"/>
              <w:bottom w:val="single" w:sz="8" w:space="0" w:color="auto"/>
            </w:tcBorders>
          </w:tcPr>
          <w:p w14:paraId="6DA832A3" w14:textId="77777777" w:rsidR="009626AE" w:rsidRPr="001F7196" w:rsidRDefault="009626AE" w:rsidP="009626AE">
            <w:pPr>
              <w:spacing w:line="360" w:lineRule="exact"/>
              <w:rPr>
                <w:rFonts w:ascii="Times New Roman" w:hAnsi="Times New Roman" w:cs="Times New Roman"/>
                <w:sz w:val="20"/>
                <w:szCs w:val="20"/>
                <w:u w:val="single"/>
              </w:rPr>
            </w:pPr>
            <w:r w:rsidRPr="001F7196">
              <w:rPr>
                <w:sz w:val="20"/>
                <w:u w:val="single"/>
              </w:rPr>
              <w:fldChar w:fldCharType="begin"/>
            </w:r>
            <w:r w:rsidRPr="001F7196">
              <w:rPr>
                <w:rFonts w:ascii="Times New Roman" w:hAnsi="Times New Roman" w:cs="Times New Roman"/>
                <w:sz w:val="20"/>
                <w:szCs w:val="20"/>
                <w:u w:val="single"/>
              </w:rPr>
              <w:instrText xml:space="preserve"> HYPERLINK "https://doi.org/10.6084/m9.figshare.7504448.v3" </w:instrText>
            </w:r>
            <w:r w:rsidRPr="001F7196">
              <w:rPr>
                <w:sz w:val="20"/>
                <w:u w:val="single"/>
              </w:rPr>
              <w:fldChar w:fldCharType="separate"/>
            </w:r>
            <w:r w:rsidRPr="001F7196">
              <w:rPr>
                <w:rFonts w:ascii="Times New Roman" w:hAnsi="Times New Roman" w:cs="Times New Roman"/>
                <w:color w:val="0000FF"/>
                <w:sz w:val="20"/>
                <w:szCs w:val="20"/>
                <w:u w:val="single"/>
              </w:rPr>
              <w:t>https://doi.org/10.6084/m9.figshare.7504448.v3</w:t>
            </w:r>
            <w:bookmarkEnd w:id="14"/>
            <w:r w:rsidRPr="001F7196">
              <w:rPr>
                <w:sz w:val="20"/>
              </w:rPr>
              <w:fldChar w:fldCharType="end"/>
            </w:r>
          </w:p>
        </w:tc>
      </w:tr>
      <w:tr w:rsidR="009626AE" w:rsidRPr="001F7196" w14:paraId="7AEEC0A3" w14:textId="77777777" w:rsidTr="0069063E">
        <w:trPr>
          <w:jc w:val="center"/>
        </w:trPr>
        <w:tc>
          <w:tcPr>
            <w:tcW w:w="1316" w:type="dxa"/>
            <w:tcBorders>
              <w:top w:val="single" w:sz="8" w:space="0" w:color="auto"/>
              <w:bottom w:val="single" w:sz="8" w:space="0" w:color="auto"/>
            </w:tcBorders>
          </w:tcPr>
          <w:p w14:paraId="14EBEE86"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Land cover type</w:t>
            </w:r>
          </w:p>
        </w:tc>
        <w:tc>
          <w:tcPr>
            <w:tcW w:w="2394" w:type="dxa"/>
            <w:tcBorders>
              <w:top w:val="single" w:sz="8" w:space="0" w:color="auto"/>
              <w:bottom w:val="single" w:sz="8" w:space="0" w:color="auto"/>
            </w:tcBorders>
          </w:tcPr>
          <w:p w14:paraId="3A2A4EDD"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MCD12Q1 V6 IGBP classification</w:t>
            </w:r>
          </w:p>
        </w:tc>
        <w:tc>
          <w:tcPr>
            <w:tcW w:w="1936" w:type="dxa"/>
            <w:tcBorders>
              <w:top w:val="single" w:sz="8" w:space="0" w:color="auto"/>
              <w:bottom w:val="single" w:sz="8" w:space="0" w:color="auto"/>
            </w:tcBorders>
          </w:tcPr>
          <w:p w14:paraId="0420595E"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500 m, yearly</w:t>
            </w:r>
          </w:p>
        </w:tc>
        <w:tc>
          <w:tcPr>
            <w:tcW w:w="1406" w:type="dxa"/>
            <w:tcBorders>
              <w:top w:val="single" w:sz="8" w:space="0" w:color="auto"/>
              <w:bottom w:val="single" w:sz="8" w:space="0" w:color="auto"/>
            </w:tcBorders>
          </w:tcPr>
          <w:p w14:paraId="68111FE5"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2001-2020</w:t>
            </w:r>
          </w:p>
        </w:tc>
        <w:tc>
          <w:tcPr>
            <w:tcW w:w="0" w:type="auto"/>
            <w:tcBorders>
              <w:top w:val="single" w:sz="8" w:space="0" w:color="auto"/>
              <w:bottom w:val="single" w:sz="8" w:space="0" w:color="auto"/>
            </w:tcBorders>
          </w:tcPr>
          <w:p w14:paraId="74018F98" w14:textId="77777777" w:rsidR="009626AE" w:rsidRPr="001F7196" w:rsidRDefault="009F43B9" w:rsidP="009626AE">
            <w:pPr>
              <w:spacing w:line="360" w:lineRule="exact"/>
              <w:rPr>
                <w:rFonts w:ascii="Times New Roman" w:hAnsi="Times New Roman" w:cs="Times New Roman"/>
                <w:sz w:val="20"/>
                <w:szCs w:val="20"/>
              </w:rPr>
            </w:pPr>
            <w:hyperlink r:id="rId43" w:history="1">
              <w:r w:rsidR="009626AE" w:rsidRPr="001F7196">
                <w:rPr>
                  <w:rFonts w:ascii="Times New Roman" w:hAnsi="Times New Roman" w:cs="Times New Roman"/>
                  <w:color w:val="0000FF"/>
                  <w:sz w:val="20"/>
                  <w:szCs w:val="20"/>
                  <w:u w:val="single"/>
                </w:rPr>
                <w:t>https://doi.org/10.5067/MODIS/MCD12Q1.006</w:t>
              </w:r>
            </w:hyperlink>
          </w:p>
        </w:tc>
      </w:tr>
      <w:tr w:rsidR="009626AE" w:rsidRPr="001F7196" w14:paraId="0DDEA6CC" w14:textId="77777777" w:rsidTr="0069063E">
        <w:trPr>
          <w:jc w:val="center"/>
        </w:trPr>
        <w:tc>
          <w:tcPr>
            <w:tcW w:w="1316" w:type="dxa"/>
            <w:tcBorders>
              <w:top w:val="single" w:sz="8" w:space="0" w:color="auto"/>
              <w:bottom w:val="single" w:sz="8" w:space="0" w:color="auto"/>
            </w:tcBorders>
          </w:tcPr>
          <w:p w14:paraId="34612853"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Climate classification</w:t>
            </w:r>
          </w:p>
        </w:tc>
        <w:tc>
          <w:tcPr>
            <w:tcW w:w="2394" w:type="dxa"/>
            <w:tcBorders>
              <w:top w:val="single" w:sz="8" w:space="0" w:color="auto"/>
              <w:bottom w:val="single" w:sz="8" w:space="0" w:color="auto"/>
            </w:tcBorders>
          </w:tcPr>
          <w:p w14:paraId="0E54BC6A" w14:textId="77777777" w:rsidR="009626AE" w:rsidRPr="001F7196" w:rsidRDefault="009626AE" w:rsidP="009626AE">
            <w:pPr>
              <w:spacing w:line="360" w:lineRule="exact"/>
              <w:rPr>
                <w:rFonts w:ascii="Times New Roman" w:hAnsi="Times New Roman" w:cs="Times New Roman"/>
                <w:sz w:val="20"/>
                <w:szCs w:val="20"/>
              </w:rPr>
            </w:pPr>
            <w:proofErr w:type="spellStart"/>
            <w:r w:rsidRPr="001F7196">
              <w:rPr>
                <w:rFonts w:ascii="Times New Roman" w:hAnsi="Times New Roman" w:cs="Times New Roman"/>
                <w:sz w:val="20"/>
                <w:szCs w:val="20"/>
              </w:rPr>
              <w:t>Köppen</w:t>
            </w:r>
            <w:proofErr w:type="spellEnd"/>
            <w:r w:rsidRPr="001F7196">
              <w:rPr>
                <w:rFonts w:ascii="Times New Roman" w:hAnsi="Times New Roman" w:cs="Times New Roman"/>
                <w:sz w:val="20"/>
                <w:szCs w:val="20"/>
              </w:rPr>
              <w:t>-Geiger climate classification</w:t>
            </w:r>
          </w:p>
        </w:tc>
        <w:tc>
          <w:tcPr>
            <w:tcW w:w="1936" w:type="dxa"/>
            <w:tcBorders>
              <w:top w:val="single" w:sz="8" w:space="0" w:color="auto"/>
              <w:bottom w:val="single" w:sz="8" w:space="0" w:color="auto"/>
            </w:tcBorders>
          </w:tcPr>
          <w:p w14:paraId="63CCF430"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0.083°</w:t>
            </w:r>
          </w:p>
        </w:tc>
        <w:tc>
          <w:tcPr>
            <w:tcW w:w="1406" w:type="dxa"/>
            <w:tcBorders>
              <w:top w:val="single" w:sz="8" w:space="0" w:color="auto"/>
              <w:bottom w:val="single" w:sz="8" w:space="0" w:color="auto"/>
            </w:tcBorders>
          </w:tcPr>
          <w:p w14:paraId="48C0D2CB"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present-day (1980-2016)</w:t>
            </w:r>
          </w:p>
        </w:tc>
        <w:tc>
          <w:tcPr>
            <w:tcW w:w="0" w:type="auto"/>
            <w:tcBorders>
              <w:top w:val="single" w:sz="8" w:space="0" w:color="auto"/>
              <w:bottom w:val="single" w:sz="8" w:space="0" w:color="auto"/>
            </w:tcBorders>
          </w:tcPr>
          <w:p w14:paraId="28638B2B" w14:textId="77777777" w:rsidR="009626AE" w:rsidRPr="001F7196" w:rsidRDefault="009F43B9" w:rsidP="009626AE">
            <w:pPr>
              <w:spacing w:line="360" w:lineRule="exact"/>
              <w:rPr>
                <w:rFonts w:ascii="Times New Roman" w:hAnsi="Times New Roman" w:cs="Times New Roman"/>
                <w:sz w:val="20"/>
                <w:szCs w:val="20"/>
              </w:rPr>
            </w:pPr>
            <w:hyperlink r:id="rId44" w:history="1">
              <w:r w:rsidR="009626AE" w:rsidRPr="001F7196">
                <w:rPr>
                  <w:rFonts w:ascii="Times New Roman" w:hAnsi="Times New Roman" w:cs="Times New Roman"/>
                  <w:color w:val="0000FF"/>
                  <w:sz w:val="20"/>
                  <w:szCs w:val="20"/>
                  <w:u w:val="single"/>
                </w:rPr>
                <w:t>http://www.gloh2o.org/koppen/</w:t>
              </w:r>
            </w:hyperlink>
          </w:p>
        </w:tc>
      </w:tr>
      <w:tr w:rsidR="009626AE" w:rsidRPr="001F7196" w14:paraId="67D0441E" w14:textId="77777777" w:rsidTr="0069063E">
        <w:trPr>
          <w:jc w:val="center"/>
        </w:trPr>
        <w:tc>
          <w:tcPr>
            <w:tcW w:w="1316" w:type="dxa"/>
            <w:tcBorders>
              <w:top w:val="single" w:sz="8" w:space="0" w:color="auto"/>
              <w:bottom w:val="single" w:sz="8" w:space="0" w:color="auto"/>
            </w:tcBorders>
          </w:tcPr>
          <w:p w14:paraId="31B1A019"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NPP</w:t>
            </w:r>
          </w:p>
        </w:tc>
        <w:tc>
          <w:tcPr>
            <w:tcW w:w="2394" w:type="dxa"/>
            <w:tcBorders>
              <w:top w:val="single" w:sz="8" w:space="0" w:color="auto"/>
              <w:bottom w:val="single" w:sz="8" w:space="0" w:color="auto"/>
            </w:tcBorders>
          </w:tcPr>
          <w:p w14:paraId="0657BD92"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The dataset of simulated daily NPP over the globe during 1981-2019</w:t>
            </w:r>
          </w:p>
        </w:tc>
        <w:tc>
          <w:tcPr>
            <w:tcW w:w="1936" w:type="dxa"/>
            <w:tcBorders>
              <w:top w:val="single" w:sz="8" w:space="0" w:color="auto"/>
              <w:bottom w:val="single" w:sz="8" w:space="0" w:color="auto"/>
            </w:tcBorders>
          </w:tcPr>
          <w:p w14:paraId="6F103F63"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0.072727°, daily</w:t>
            </w:r>
          </w:p>
        </w:tc>
        <w:tc>
          <w:tcPr>
            <w:tcW w:w="1406" w:type="dxa"/>
            <w:tcBorders>
              <w:top w:val="single" w:sz="8" w:space="0" w:color="auto"/>
              <w:bottom w:val="single" w:sz="8" w:space="0" w:color="auto"/>
            </w:tcBorders>
          </w:tcPr>
          <w:p w14:paraId="5D5C9F64"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2001-2012</w:t>
            </w:r>
          </w:p>
        </w:tc>
        <w:tc>
          <w:tcPr>
            <w:tcW w:w="0" w:type="auto"/>
            <w:tcBorders>
              <w:top w:val="single" w:sz="8" w:space="0" w:color="auto"/>
              <w:bottom w:val="single" w:sz="8" w:space="0" w:color="auto"/>
            </w:tcBorders>
          </w:tcPr>
          <w:p w14:paraId="455BA4DB" w14:textId="77777777" w:rsidR="009626AE" w:rsidRPr="001F7196" w:rsidRDefault="009626AE" w:rsidP="009626AE">
            <w:pPr>
              <w:spacing w:line="360" w:lineRule="exact"/>
              <w:rPr>
                <w:rFonts w:ascii="Times New Roman" w:hAnsi="Times New Roman" w:cs="Times New Roman"/>
                <w:color w:val="0000FF"/>
                <w:sz w:val="20"/>
                <w:szCs w:val="20"/>
                <w:u w:val="single"/>
              </w:rPr>
            </w:pPr>
            <w:r w:rsidRPr="001F7196">
              <w:rPr>
                <w:rFonts w:ascii="Times New Roman" w:hAnsi="Times New Roman" w:cs="Times New Roman"/>
                <w:color w:val="0000FF"/>
                <w:sz w:val="20"/>
                <w:szCs w:val="20"/>
                <w:u w:val="single"/>
              </w:rPr>
              <w:t>http://www.nesdc.org.cn/sdo/detail?id=612f42ee7e28172cbed3d80b</w:t>
            </w:r>
          </w:p>
        </w:tc>
      </w:tr>
      <w:tr w:rsidR="009626AE" w:rsidRPr="001F7196" w14:paraId="0D9C9D43" w14:textId="77777777" w:rsidTr="0069063E">
        <w:trPr>
          <w:jc w:val="center"/>
        </w:trPr>
        <w:tc>
          <w:tcPr>
            <w:tcW w:w="1316" w:type="dxa"/>
            <w:tcBorders>
              <w:top w:val="single" w:sz="8" w:space="0" w:color="auto"/>
              <w:bottom w:val="single" w:sz="8" w:space="0" w:color="auto"/>
            </w:tcBorders>
          </w:tcPr>
          <w:p w14:paraId="237448CD"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Aboveground litterfall production</w:t>
            </w:r>
          </w:p>
        </w:tc>
        <w:tc>
          <w:tcPr>
            <w:tcW w:w="2394" w:type="dxa"/>
            <w:tcBorders>
              <w:top w:val="single" w:sz="8" w:space="0" w:color="auto"/>
              <w:bottom w:val="single" w:sz="8" w:space="0" w:color="auto"/>
            </w:tcBorders>
          </w:tcPr>
          <w:p w14:paraId="3F19AABA" w14:textId="2AF1D7AC"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Li et al. cLitter</w:t>
            </w:r>
            <w:r w:rsidRPr="001F7196">
              <w:rPr>
                <w:sz w:val="20"/>
              </w:rPr>
              <w:fldChar w:fldCharType="begin"/>
            </w:r>
            <w:r w:rsidR="00197A1B" w:rsidRPr="001F7196">
              <w:rPr>
                <w:rFonts w:ascii="Times New Roman" w:hAnsi="Times New Roman" w:cs="Times New Roman"/>
                <w:sz w:val="20"/>
                <w:szCs w:val="20"/>
              </w:rPr>
              <w:instrText xml:space="preserve"> ADDIN EN.CITE &lt;EndNote&gt;&lt;Cite&gt;&lt;Author&gt;Li&lt;/Author&gt;&lt;Year&gt;2019&lt;/Year&gt;&lt;RecNum&gt;463&lt;/RecNum&gt;&lt;DisplayText&gt;&lt;style face="superscript"&gt;1&lt;/style&gt;&lt;/DisplayText&gt;&lt;record&gt;&lt;rec-number&gt;463&lt;/rec-number&gt;&lt;foreign-keys&gt;&lt;key app="EN" db-id="pxzew0safrpr5xer0pbv05dq5sevsfse5sw9" timestamp="1676545429"&gt;463&lt;/key&gt;&lt;/foreign-keys&gt;&lt;ref-type name="Journal Article"&gt;17&lt;/ref-type&gt;&lt;contributors&gt;&lt;authors&gt;&lt;author&gt;Li, Shihua&lt;/author&gt;&lt;author&gt;Yuan, Wenping&lt;/author&gt;&lt;author&gt;Ciais, Philippe&lt;/author&gt;&lt;author&gt;Viovy, Nicolas&lt;/author&gt;&lt;author&gt;Ito, Akihiko&lt;/author&gt;&lt;author&gt;Jia, Bingrui&lt;/author&gt;&lt;author&gt;Zhu, Dan&lt;/author&gt;&lt;/authors&gt;&lt;/contributors&gt;&lt;titles&gt;&lt;title&gt;Benchmark estimates for aboveground litterfall data derived from ecosystem models&lt;/title&gt;&lt;secondary-title&gt;Environmental Research Letters&lt;/secondary-title&gt;&lt;/titles&gt;&lt;periodical&gt;&lt;full-title&gt;Environmental Research Letters&lt;/full-title&gt;&lt;/periodical&gt;&lt;volume&gt;14&lt;/volume&gt;&lt;number&gt;8&lt;/number&gt;&lt;section&gt;084020&lt;/section&gt;&lt;dates&gt;&lt;year&gt;2019&lt;/year&gt;&lt;/dates&gt;&lt;isbn&gt;1748-9326&lt;/isbn&gt;&lt;urls&gt;&lt;/urls&gt;&lt;electronic-resource-num&gt;10.1088/1748-9326/ab2ee4&lt;/electronic-resource-num&gt;&lt;/record&gt;&lt;/Cite&gt;&lt;/EndNote&gt;</w:instrText>
            </w:r>
            <w:r w:rsidRPr="001F7196">
              <w:rPr>
                <w:sz w:val="20"/>
              </w:rPr>
              <w:fldChar w:fldCharType="separate"/>
            </w:r>
            <w:r w:rsidR="00197A1B" w:rsidRPr="001F7196">
              <w:rPr>
                <w:rFonts w:ascii="Times New Roman" w:hAnsi="Times New Roman" w:cs="Times New Roman"/>
                <w:noProof/>
                <w:sz w:val="20"/>
                <w:szCs w:val="20"/>
                <w:vertAlign w:val="superscript"/>
              </w:rPr>
              <w:t>1</w:t>
            </w:r>
            <w:r w:rsidRPr="001F7196">
              <w:rPr>
                <w:sz w:val="20"/>
              </w:rPr>
              <w:fldChar w:fldCharType="end"/>
            </w:r>
          </w:p>
        </w:tc>
        <w:tc>
          <w:tcPr>
            <w:tcW w:w="1936" w:type="dxa"/>
            <w:tcBorders>
              <w:top w:val="single" w:sz="8" w:space="0" w:color="auto"/>
              <w:bottom w:val="single" w:sz="8" w:space="0" w:color="auto"/>
            </w:tcBorders>
          </w:tcPr>
          <w:p w14:paraId="56B77BA2"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0.5°, yearly</w:t>
            </w:r>
          </w:p>
        </w:tc>
        <w:tc>
          <w:tcPr>
            <w:tcW w:w="1406" w:type="dxa"/>
            <w:tcBorders>
              <w:top w:val="single" w:sz="8" w:space="0" w:color="auto"/>
              <w:bottom w:val="single" w:sz="8" w:space="0" w:color="auto"/>
            </w:tcBorders>
          </w:tcPr>
          <w:p w14:paraId="580EDC6D"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2002-2013</w:t>
            </w:r>
          </w:p>
        </w:tc>
        <w:tc>
          <w:tcPr>
            <w:tcW w:w="0" w:type="auto"/>
            <w:tcBorders>
              <w:top w:val="single" w:sz="8" w:space="0" w:color="auto"/>
              <w:bottom w:val="single" w:sz="8" w:space="0" w:color="auto"/>
            </w:tcBorders>
          </w:tcPr>
          <w:p w14:paraId="4D2B34FD" w14:textId="77777777" w:rsidR="009626AE" w:rsidRPr="001F7196" w:rsidRDefault="009626AE" w:rsidP="009626AE">
            <w:pPr>
              <w:spacing w:line="360" w:lineRule="exact"/>
              <w:rPr>
                <w:rFonts w:ascii="Times New Roman" w:hAnsi="Times New Roman" w:cs="Times New Roman"/>
                <w:color w:val="0000FF"/>
                <w:sz w:val="20"/>
                <w:szCs w:val="20"/>
                <w:u w:val="single"/>
              </w:rPr>
            </w:pPr>
            <w:r w:rsidRPr="001F7196">
              <w:rPr>
                <w:rFonts w:ascii="Times New Roman" w:hAnsi="Times New Roman" w:cs="Times New Roman"/>
                <w:color w:val="0000FF"/>
                <w:sz w:val="20"/>
                <w:szCs w:val="20"/>
                <w:u w:val="single"/>
              </w:rPr>
              <w:t>http://www.nesdc.org.cn/sdo/detail?id=618a22467e2817667e3c7d9e</w:t>
            </w:r>
          </w:p>
        </w:tc>
      </w:tr>
      <w:tr w:rsidR="009626AE" w:rsidRPr="001F7196" w14:paraId="1FD53452" w14:textId="77777777" w:rsidTr="0069063E">
        <w:trPr>
          <w:jc w:val="center"/>
        </w:trPr>
        <w:tc>
          <w:tcPr>
            <w:tcW w:w="1316" w:type="dxa"/>
            <w:tcBorders>
              <w:top w:val="single" w:sz="8" w:space="0" w:color="auto"/>
            </w:tcBorders>
          </w:tcPr>
          <w:p w14:paraId="4C49D487"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Biome</w:t>
            </w:r>
          </w:p>
        </w:tc>
        <w:tc>
          <w:tcPr>
            <w:tcW w:w="2394" w:type="dxa"/>
            <w:tcBorders>
              <w:top w:val="single" w:sz="8" w:space="0" w:color="auto"/>
            </w:tcBorders>
          </w:tcPr>
          <w:p w14:paraId="476B19EE"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Terrestrial Ecoregions of the World</w:t>
            </w:r>
          </w:p>
        </w:tc>
        <w:tc>
          <w:tcPr>
            <w:tcW w:w="1936" w:type="dxa"/>
            <w:tcBorders>
              <w:top w:val="single" w:sz="8" w:space="0" w:color="auto"/>
            </w:tcBorders>
          </w:tcPr>
          <w:p w14:paraId="72CEA5F6"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shapefile</w:t>
            </w:r>
          </w:p>
        </w:tc>
        <w:tc>
          <w:tcPr>
            <w:tcW w:w="1406" w:type="dxa"/>
            <w:tcBorders>
              <w:top w:val="single" w:sz="8" w:space="0" w:color="auto"/>
            </w:tcBorders>
          </w:tcPr>
          <w:p w14:paraId="7CC1BAC9" w14:textId="77777777" w:rsidR="009626AE" w:rsidRPr="001F7196" w:rsidRDefault="009626AE" w:rsidP="009626AE">
            <w:pPr>
              <w:spacing w:line="360" w:lineRule="exact"/>
              <w:rPr>
                <w:rFonts w:ascii="Times New Roman" w:hAnsi="Times New Roman" w:cs="Times New Roman"/>
                <w:sz w:val="20"/>
                <w:szCs w:val="20"/>
              </w:rPr>
            </w:pPr>
            <w:r w:rsidRPr="001F7196">
              <w:rPr>
                <w:rFonts w:ascii="Times New Roman" w:hAnsi="Times New Roman" w:cs="Times New Roman"/>
                <w:sz w:val="20"/>
                <w:szCs w:val="20"/>
              </w:rPr>
              <w:t>--</w:t>
            </w:r>
          </w:p>
        </w:tc>
        <w:tc>
          <w:tcPr>
            <w:tcW w:w="0" w:type="auto"/>
            <w:tcBorders>
              <w:top w:val="single" w:sz="8" w:space="0" w:color="auto"/>
            </w:tcBorders>
          </w:tcPr>
          <w:p w14:paraId="2F27AAEE" w14:textId="77777777" w:rsidR="009626AE" w:rsidRPr="001F7196" w:rsidRDefault="009626AE" w:rsidP="009626AE">
            <w:pPr>
              <w:spacing w:line="360" w:lineRule="exact"/>
              <w:rPr>
                <w:rFonts w:ascii="Times New Roman" w:hAnsi="Times New Roman" w:cs="Times New Roman"/>
                <w:color w:val="0000FF"/>
                <w:sz w:val="20"/>
                <w:szCs w:val="20"/>
                <w:u w:val="single"/>
              </w:rPr>
            </w:pPr>
            <w:r w:rsidRPr="001F7196">
              <w:rPr>
                <w:rFonts w:ascii="Times New Roman" w:hAnsi="Times New Roman" w:cs="Times New Roman"/>
                <w:color w:val="0000FF"/>
                <w:sz w:val="20"/>
                <w:szCs w:val="20"/>
                <w:u w:val="single"/>
              </w:rPr>
              <w:t>https://www.worldwildlife.org/publications/terrestrial-ecoregions-of-the-world</w:t>
            </w:r>
          </w:p>
        </w:tc>
      </w:tr>
    </w:tbl>
    <w:p w14:paraId="39F806F4" w14:textId="77777777" w:rsidR="000E2432" w:rsidRDefault="009626AE" w:rsidP="000E2432">
      <w:pPr>
        <w:pStyle w:val="EndNoteBibliography"/>
        <w:spacing w:line="360" w:lineRule="exact"/>
        <w:jc w:val="both"/>
        <w:rPr>
          <w:lang w:eastAsia="zh-CN"/>
        </w:rPr>
      </w:pPr>
      <w:r w:rsidRPr="00692C8F">
        <w:rPr>
          <w:rFonts w:hint="eastAsia"/>
          <w:lang w:eastAsia="zh-CN"/>
        </w:rPr>
        <w:t>L</w:t>
      </w:r>
      <w:r w:rsidRPr="00692C8F">
        <w:rPr>
          <w:lang w:eastAsia="zh-CN"/>
        </w:rPr>
        <w:t xml:space="preserve">AI: leaf area index; NIRv: near-infrared reflectance of vegetation; EVI: enhanced vegetation index; BA: burned area; FRP: fire radiative power; T: 2 m air temperature; PRE: total precipitation; SM: soil moisture at a layer of 0–7 cm; Td: 2 m dewpoint temperature; </w:t>
      </w:r>
      <w:r w:rsidR="001F7196">
        <w:rPr>
          <w:lang w:eastAsia="zh-CN"/>
        </w:rPr>
        <w:t>T</w:t>
      </w:r>
      <w:r w:rsidR="001F7196" w:rsidRPr="001F7196">
        <w:rPr>
          <w:vertAlign w:val="subscript"/>
          <w:lang w:eastAsia="zh-CN"/>
        </w:rPr>
        <w:t>max</w:t>
      </w:r>
      <w:r w:rsidR="001F7196">
        <w:rPr>
          <w:lang w:eastAsia="zh-CN"/>
        </w:rPr>
        <w:t xml:space="preserve">: maximum temperature; CWD: climatic water deficit; FWI: fire weather index; </w:t>
      </w:r>
      <w:r w:rsidRPr="00692C8F">
        <w:rPr>
          <w:lang w:eastAsia="zh-CN"/>
        </w:rPr>
        <w:t>NPP: net primary productivity</w:t>
      </w:r>
      <w:r w:rsidR="001F7196">
        <w:rPr>
          <w:lang w:eastAsia="zh-CN"/>
        </w:rPr>
        <w:t xml:space="preserve">. </w:t>
      </w:r>
      <w:r w:rsidRPr="00692C8F">
        <w:rPr>
          <w:lang w:eastAsia="zh-CN"/>
        </w:rPr>
        <w:t>T and Td were used to calculate vapor pressure deficit (VPD) and relative humidity (RH) following ref.</w:t>
      </w:r>
      <w:r w:rsidRPr="00692C8F">
        <w:rPr>
          <w:lang w:eastAsia="zh-CN"/>
        </w:rPr>
        <w:fldChar w:fldCharType="begin"/>
      </w:r>
      <w:r w:rsidR="0069063E">
        <w:rPr>
          <w:lang w:eastAsia="zh-CN"/>
        </w:rPr>
        <w:instrText xml:space="preserve"> ADDIN EN.CITE &lt;EndNote&gt;&lt;Cite&gt;&lt;Author&gt;Yuan&lt;/Author&gt;&lt;Year&gt;2019&lt;/Year&gt;&lt;RecNum&gt;456&lt;/RecNum&gt;&lt;DisplayText&gt;&lt;style face="superscript"&gt;8&lt;/style&gt;&lt;/DisplayText&gt;&lt;record&gt;&lt;rec-number&gt;456&lt;/rec-number&gt;&lt;foreign-keys&gt;&lt;key app="EN" db-id="pxzew0safrpr5xer0pbv05dq5sevsfse5sw9" timestamp="1676207836"&gt;456&lt;/key&gt;&lt;/foreign-keys&gt;&lt;ref-type name="Journal Article"&gt;17&lt;/ref-type&gt;&lt;contributors&gt;&lt;authors&gt;&lt;author&gt;Yuan, Wenping&lt;/author&gt;&lt;author&gt;Zheng, Yi&lt;/author&gt;&lt;author&gt;Piao, Shilong&lt;/author&gt;&lt;author&gt;Ciais, Philippe&lt;/author&gt;&lt;author&gt;Lombardozzi, Danica&lt;/author&gt;&lt;author&gt;Wang, Yingping&lt;/author&gt;&lt;author&gt;Ryu, Youngryel&lt;/author&gt;&lt;author&gt;Chen, Guixing&lt;/author&gt;&lt;author&gt;Dong, Wenjie&lt;/author&gt;&lt;author&gt;Hu, Zhongming&lt;/author&gt;&lt;author&gt;Jain, Atul K.&lt;/author&gt;&lt;author&gt;Jiang, Chongya&lt;/author&gt;&lt;author&gt;Kato, Etsushi&lt;/author&gt;&lt;author&gt;Li, Shihua&lt;/author&gt;&lt;author&gt;Lienert, Sebastian&lt;/author&gt;&lt;author&gt;Liu, Shuguang&lt;/author&gt;&lt;author&gt;Nabel, Julia E.M.S.&lt;/author&gt;&lt;author&gt;Qin, Zhangcai&lt;/author&gt;&lt;author&gt;Quine, Timothy&lt;/author&gt;&lt;author&gt;Sitch, Stephen&lt;/author&gt;&lt;author&gt;Smith, William K.&lt;/author&gt;&lt;author&gt;Wang, Fan&lt;/author&gt;&lt;author&gt;Wu, Chaoyang&lt;/author&gt;&lt;author&gt;Xiao, Zhiqiang&lt;/author&gt;&lt;author&gt;Yang, Song&lt;/author&gt;&lt;/authors&gt;&lt;/contributors&gt;&lt;titles&gt;&lt;title&gt;Increased atmospheric vapor pressure deficit reduces global vegetation growth&lt;/title&gt;&lt;secondary-title&gt;Science Advances&lt;/secondary-title&gt;&lt;/titles&gt;&lt;periodical&gt;&lt;full-title&gt;Science advances&lt;/full-title&gt;&lt;/periodical&gt;&lt;pages&gt;eaax1396&lt;/pages&gt;&lt;volume&gt;5&lt;/volume&gt;&lt;number&gt;8&lt;/number&gt;&lt;dates&gt;&lt;year&gt;2019&lt;/year&gt;&lt;/dates&gt;&lt;urls&gt;&lt;related-urls&gt;&lt;url&gt;https://www.science.org/doi/abs/10.1126/sciadv.aax1396&lt;/url&gt;&lt;/related-urls&gt;&lt;/urls&gt;&lt;electronic-resource-num&gt;https://doi.org/10.1126/sciadv.aax1396&lt;/electronic-resource-num&gt;&lt;/record&gt;&lt;/Cite&gt;&lt;/EndNote&gt;</w:instrText>
      </w:r>
      <w:r w:rsidRPr="00692C8F">
        <w:rPr>
          <w:lang w:eastAsia="zh-CN"/>
        </w:rPr>
        <w:fldChar w:fldCharType="separate"/>
      </w:r>
      <w:r w:rsidR="0069063E" w:rsidRPr="0069063E">
        <w:rPr>
          <w:vertAlign w:val="superscript"/>
          <w:lang w:eastAsia="zh-CN"/>
        </w:rPr>
        <w:t>8</w:t>
      </w:r>
      <w:r w:rsidRPr="00692C8F">
        <w:rPr>
          <w:lang w:eastAsia="zh-CN"/>
        </w:rPr>
        <w:fldChar w:fldCharType="end"/>
      </w:r>
      <w:r w:rsidRPr="00692C8F">
        <w:rPr>
          <w:lang w:eastAsia="zh-CN"/>
        </w:rPr>
        <w:t>.</w:t>
      </w:r>
      <w:bookmarkEnd w:id="10"/>
    </w:p>
    <w:p w14:paraId="4184E80E" w14:textId="631BA022" w:rsidR="005D2FB2" w:rsidRDefault="005D2FB2" w:rsidP="004B57FF">
      <w:pPr>
        <w:pStyle w:val="SMcaption"/>
        <w:spacing w:before="120" w:after="120" w:line="360" w:lineRule="exact"/>
        <w:jc w:val="both"/>
        <w:rPr>
          <w:szCs w:val="24"/>
        </w:rPr>
      </w:pPr>
    </w:p>
    <w:p w14:paraId="589C05ED" w14:textId="4F8F24D5" w:rsidR="005D2FB2" w:rsidRPr="001E2829" w:rsidRDefault="005D2FB2" w:rsidP="004B57FF">
      <w:pPr>
        <w:pStyle w:val="SMcaption"/>
        <w:spacing w:before="120" w:after="120" w:line="360" w:lineRule="exact"/>
        <w:jc w:val="both"/>
        <w:rPr>
          <w:szCs w:val="24"/>
        </w:rPr>
        <w:sectPr w:rsidR="005D2FB2" w:rsidRPr="001E2829" w:rsidSect="009B5668">
          <w:pgSz w:w="15840" w:h="12240" w:orient="landscape"/>
          <w:pgMar w:top="1440" w:right="1440" w:bottom="1440" w:left="1440" w:header="720" w:footer="720" w:gutter="0"/>
          <w:lnNumType w:countBy="1" w:restart="continuous"/>
          <w:cols w:space="720"/>
          <w:docGrid w:linePitch="360"/>
        </w:sectPr>
      </w:pPr>
    </w:p>
    <w:p w14:paraId="7C332B11" w14:textId="729A52F6" w:rsidR="009F66FA" w:rsidRPr="009F66FA" w:rsidRDefault="009F66FA" w:rsidP="00D85BE4">
      <w:pPr>
        <w:spacing w:before="120" w:after="120" w:line="360" w:lineRule="exact"/>
        <w:jc w:val="both"/>
        <w:rPr>
          <w:b/>
          <w:szCs w:val="24"/>
          <w:lang w:eastAsia="zh-CN"/>
        </w:rPr>
      </w:pPr>
      <w:bookmarkStart w:id="15" w:name="_Hlk160220856"/>
      <w:bookmarkEnd w:id="11"/>
      <w:r w:rsidRPr="009F66FA">
        <w:rPr>
          <w:rFonts w:hint="eastAsia"/>
          <w:b/>
          <w:szCs w:val="24"/>
          <w:lang w:eastAsia="zh-CN"/>
        </w:rPr>
        <w:lastRenderedPageBreak/>
        <w:t>T</w:t>
      </w:r>
      <w:r w:rsidRPr="009F66FA">
        <w:rPr>
          <w:b/>
          <w:szCs w:val="24"/>
          <w:lang w:eastAsia="zh-CN"/>
        </w:rPr>
        <w:t xml:space="preserve">able S2. Summary of the </w:t>
      </w:r>
      <w:proofErr w:type="spellStart"/>
      <w:r w:rsidRPr="009F66FA">
        <w:rPr>
          <w:b/>
          <w:szCs w:val="24"/>
          <w:lang w:eastAsia="zh-CN"/>
        </w:rPr>
        <w:t>FireMIP</w:t>
      </w:r>
      <w:proofErr w:type="spellEnd"/>
      <w:r w:rsidRPr="009F66FA">
        <w:rPr>
          <w:b/>
          <w:szCs w:val="24"/>
          <w:lang w:eastAsia="zh-CN"/>
        </w:rPr>
        <w:t xml:space="preserve"> fire-vegetation models</w:t>
      </w:r>
      <w:r w:rsidRPr="009F66FA">
        <w:rPr>
          <w:b/>
          <w:szCs w:val="24"/>
          <w:lang w:eastAsia="zh-CN"/>
        </w:rPr>
        <w:fldChar w:fldCharType="begin">
          <w:fldData xml:space="preserve">PEVuZE5vdGU+PENpdGU+PEF1dGhvcj5IYW50c29uPC9BdXRob3I+PFllYXI+MjAyMDwvWWVhcj48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</w:fldData>
        </w:fldChar>
      </w:r>
      <w:r w:rsidR="0069063E">
        <w:rPr>
          <w:b/>
          <w:szCs w:val="24"/>
          <w:lang w:eastAsia="zh-CN"/>
        </w:rPr>
        <w:instrText xml:space="preserve"> ADDIN EN.CITE </w:instrText>
      </w:r>
      <w:r w:rsidR="0069063E">
        <w:rPr>
          <w:b/>
          <w:szCs w:val="24"/>
          <w:lang w:eastAsia="zh-CN"/>
        </w:rPr>
        <w:fldChar w:fldCharType="begin">
          <w:fldData xml:space="preserve">PEVuZE5vdGU+PENpdGU+PEF1dGhvcj5IYW50c29uPC9BdXRob3I+PFllYXI+MjAyMDwvWWVhcj48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</w:fldData>
        </w:fldChar>
      </w:r>
      <w:r w:rsidR="0069063E">
        <w:rPr>
          <w:b/>
          <w:szCs w:val="24"/>
          <w:lang w:eastAsia="zh-CN"/>
        </w:rPr>
        <w:instrText xml:space="preserve"> ADDIN EN.CITE.DATA </w:instrText>
      </w:r>
      <w:r w:rsidR="0069063E">
        <w:rPr>
          <w:b/>
          <w:szCs w:val="24"/>
          <w:lang w:eastAsia="zh-CN"/>
        </w:rPr>
      </w:r>
      <w:r w:rsidR="0069063E">
        <w:rPr>
          <w:b/>
          <w:szCs w:val="24"/>
          <w:lang w:eastAsia="zh-CN"/>
        </w:rPr>
        <w:fldChar w:fldCharType="end"/>
      </w:r>
      <w:r w:rsidRPr="009F66FA">
        <w:rPr>
          <w:b/>
          <w:szCs w:val="24"/>
          <w:lang w:eastAsia="zh-CN"/>
        </w:rPr>
      </w:r>
      <w:r w:rsidRPr="009F66FA">
        <w:rPr>
          <w:b/>
          <w:szCs w:val="24"/>
          <w:lang w:eastAsia="zh-CN"/>
        </w:rPr>
        <w:fldChar w:fldCharType="separate"/>
      </w:r>
      <w:r w:rsidR="0069063E" w:rsidRPr="0069063E">
        <w:rPr>
          <w:b/>
          <w:noProof/>
          <w:szCs w:val="24"/>
          <w:vertAlign w:val="superscript"/>
          <w:lang w:eastAsia="zh-CN"/>
        </w:rPr>
        <w:t>9,10</w:t>
      </w:r>
      <w:r w:rsidRPr="009F66FA">
        <w:rPr>
          <w:b/>
          <w:szCs w:val="24"/>
          <w:lang w:eastAsia="zh-CN"/>
        </w:rPr>
        <w:fldChar w:fldCharType="end"/>
      </w:r>
      <w:r w:rsidRPr="009F66FA">
        <w:rPr>
          <w:b/>
          <w:szCs w:val="24"/>
          <w:lang w:eastAsia="zh-CN"/>
        </w:rPr>
        <w:t xml:space="preserve"> used in this study.</w:t>
      </w:r>
    </w:p>
    <w:tbl>
      <w:tblPr>
        <w:tblStyle w:val="affffa"/>
        <w:tblW w:w="0" w:type="auto"/>
        <w:jc w:val="center"/>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3119"/>
        <w:gridCol w:w="1559"/>
        <w:gridCol w:w="1275"/>
      </w:tblGrid>
      <w:tr w:rsidR="009F66FA" w:rsidRPr="00A30A96" w14:paraId="69EA2885" w14:textId="77777777" w:rsidTr="00D85BE4">
        <w:trPr>
          <w:trHeight w:val="391"/>
          <w:jc w:val="center"/>
        </w:trPr>
        <w:tc>
          <w:tcPr>
            <w:tcW w:w="3397" w:type="dxa"/>
            <w:tcBorders>
              <w:top w:val="single" w:sz="18" w:space="0" w:color="auto"/>
              <w:bottom w:val="single" w:sz="18" w:space="0" w:color="auto"/>
            </w:tcBorders>
            <w:vAlign w:val="center"/>
          </w:tcPr>
          <w:p w14:paraId="52082C47" w14:textId="77777777" w:rsidR="009F66FA" w:rsidRPr="00A30A96" w:rsidRDefault="009F66FA" w:rsidP="00D85BE4">
            <w:pPr>
              <w:spacing w:line="360" w:lineRule="auto"/>
              <w:jc w:val="center"/>
              <w:rPr>
                <w:rFonts w:ascii="Times New Roman" w:hAnsi="Times New Roman" w:cs="Times New Roman"/>
                <w:color w:val="000000" w:themeColor="text1"/>
                <w:sz w:val="20"/>
              </w:rPr>
            </w:pPr>
            <w:bookmarkStart w:id="16" w:name="_Hlk160644918"/>
            <w:r w:rsidRPr="00A30A96">
              <w:rPr>
                <w:rFonts w:ascii="Times New Roman" w:hAnsi="Times New Roman" w:cs="Times New Roman"/>
                <w:color w:val="000000" w:themeColor="text1"/>
                <w:sz w:val="20"/>
              </w:rPr>
              <w:t>Model</w:t>
            </w:r>
          </w:p>
        </w:tc>
        <w:tc>
          <w:tcPr>
            <w:tcW w:w="3119" w:type="dxa"/>
            <w:tcBorders>
              <w:top w:val="single" w:sz="18" w:space="0" w:color="auto"/>
              <w:bottom w:val="single" w:sz="18" w:space="0" w:color="auto"/>
            </w:tcBorders>
            <w:vAlign w:val="center"/>
          </w:tcPr>
          <w:p w14:paraId="1E97786F"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color w:val="000000" w:themeColor="text1"/>
                <w:sz w:val="20"/>
              </w:rPr>
              <w:t>Resolution</w:t>
            </w:r>
          </w:p>
        </w:tc>
        <w:tc>
          <w:tcPr>
            <w:tcW w:w="1559" w:type="dxa"/>
            <w:tcBorders>
              <w:top w:val="single" w:sz="18" w:space="0" w:color="auto"/>
              <w:bottom w:val="single" w:sz="18" w:space="0" w:color="auto"/>
            </w:tcBorders>
            <w:vAlign w:val="center"/>
          </w:tcPr>
          <w:p w14:paraId="33F40F98"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color w:val="000000" w:themeColor="text1"/>
                <w:sz w:val="20"/>
              </w:rPr>
              <w:t>Period</w:t>
            </w:r>
          </w:p>
        </w:tc>
        <w:tc>
          <w:tcPr>
            <w:tcW w:w="1275" w:type="dxa"/>
            <w:tcBorders>
              <w:top w:val="single" w:sz="18" w:space="0" w:color="auto"/>
              <w:bottom w:val="single" w:sz="18" w:space="0" w:color="auto"/>
            </w:tcBorders>
            <w:vAlign w:val="center"/>
          </w:tcPr>
          <w:p w14:paraId="350708D2"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color w:val="000000" w:themeColor="text1"/>
                <w:sz w:val="20"/>
              </w:rPr>
              <w:t>Output</w:t>
            </w:r>
          </w:p>
        </w:tc>
      </w:tr>
      <w:tr w:rsidR="009F66FA" w:rsidRPr="00A30A96" w14:paraId="5B72968A" w14:textId="77777777" w:rsidTr="00D85BE4">
        <w:trPr>
          <w:trHeight w:val="391"/>
          <w:jc w:val="center"/>
        </w:trPr>
        <w:tc>
          <w:tcPr>
            <w:tcW w:w="3397" w:type="dxa"/>
            <w:tcBorders>
              <w:top w:val="single" w:sz="18" w:space="0" w:color="auto"/>
            </w:tcBorders>
            <w:vAlign w:val="center"/>
          </w:tcPr>
          <w:p w14:paraId="5721540D" w14:textId="545F4A0F"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color w:val="000000" w:themeColor="text1"/>
                <w:sz w:val="20"/>
              </w:rPr>
              <w:t>CLM</w:t>
            </w:r>
            <w:r w:rsidRPr="00A30A96">
              <w:rPr>
                <w:color w:val="000000" w:themeColor="text1"/>
                <w:sz w:val="20"/>
              </w:rPr>
              <w:fldChar w:fldCharType="begin"/>
            </w:r>
            <w:r w:rsidR="0069063E" w:rsidRPr="00A30A96">
              <w:rPr>
                <w:rFonts w:ascii="Times New Roman" w:hAnsi="Times New Roman" w:cs="Times New Roman"/>
                <w:color w:val="000000" w:themeColor="text1"/>
                <w:sz w:val="20"/>
              </w:rPr>
              <w:instrText xml:space="preserve"> ADDIN EN.CITE &lt;EndNote&gt;&lt;Cite&gt;&lt;Author&gt;Li&lt;/Author&gt;&lt;Year&gt;2013&lt;/Year&gt;&lt;RecNum&gt;526&lt;/RecNum&gt;&lt;DisplayText&gt;&lt;style face="superscript"&gt;11&lt;/style&gt;&lt;/DisplayText&gt;&lt;record&gt;&lt;rec-number&gt;526&lt;/rec-number&gt;&lt;foreign-keys&gt;&lt;key app="EN" db-id="pxzew0safrpr5xer0pbv05dq5sevsfse5sw9" timestamp="1688799719"&gt;526&lt;/key&gt;&lt;/foreign-keys&gt;&lt;ref-type name="Journal Article"&gt;17&lt;/ref-type&gt;&lt;contributors&gt;&lt;authors&gt;&lt;author&gt;Li, F.&lt;/author&gt;&lt;author&gt;Levis, S.&lt;/author&gt;&lt;author&gt;Ward, D. S.&lt;/author&gt;&lt;/authors&gt;&lt;/contributors&gt;&lt;titles&gt;&lt;title&gt;Quantifying the role of fire in the Earth system – Part 1: Improved global fire modeling in the Community Earth System Model (CESM1)&lt;/title&gt;&lt;secondary-title&gt;Biogeosciences&lt;/secondary-title&gt;&lt;/titles&gt;&lt;periodical&gt;&lt;full-title&gt;Biogeosciences&lt;/full-title&gt;&lt;/periodical&gt;&lt;pages&gt;2293-2314&lt;/pages&gt;&lt;volume&gt;10&lt;/volume&gt;&lt;number&gt;4&lt;/number&gt;&lt;section&gt;2293&lt;/section&gt;&lt;dates&gt;&lt;year&gt;2013&lt;/year&gt;&lt;/dates&gt;&lt;isbn&gt;1726-4189&lt;/isbn&gt;&lt;urls&gt;&lt;/urls&gt;&lt;electronic-resource-num&gt;10.5194/bg-10-2293-2013&lt;/electronic-resource-num&gt;&lt;/record&gt;&lt;/Cite&gt;&lt;/EndNote&gt;</w:instrText>
            </w:r>
            <w:r w:rsidRPr="00A30A96">
              <w:rPr>
                <w:color w:val="000000" w:themeColor="text1"/>
                <w:sz w:val="20"/>
              </w:rPr>
              <w:fldChar w:fldCharType="separate"/>
            </w:r>
            <w:r w:rsidR="0069063E" w:rsidRPr="00A30A96">
              <w:rPr>
                <w:rFonts w:ascii="Times New Roman" w:hAnsi="Times New Roman" w:cs="Times New Roman"/>
                <w:noProof/>
                <w:color w:val="000000" w:themeColor="text1"/>
                <w:sz w:val="20"/>
                <w:vertAlign w:val="superscript"/>
              </w:rPr>
              <w:t>11</w:t>
            </w:r>
            <w:r w:rsidRPr="00A30A96">
              <w:rPr>
                <w:color w:val="000000" w:themeColor="text1"/>
                <w:sz w:val="20"/>
              </w:rPr>
              <w:fldChar w:fldCharType="end"/>
            </w:r>
          </w:p>
        </w:tc>
        <w:tc>
          <w:tcPr>
            <w:tcW w:w="3119" w:type="dxa"/>
            <w:tcBorders>
              <w:top w:val="single" w:sz="18" w:space="0" w:color="auto"/>
            </w:tcBorders>
            <w:vAlign w:val="center"/>
          </w:tcPr>
          <w:p w14:paraId="34A2597B"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2.5°×1.875°, monthly</w:t>
            </w:r>
          </w:p>
        </w:tc>
        <w:tc>
          <w:tcPr>
            <w:tcW w:w="1559" w:type="dxa"/>
            <w:tcBorders>
              <w:top w:val="single" w:sz="18" w:space="0" w:color="auto"/>
            </w:tcBorders>
            <w:vAlign w:val="center"/>
          </w:tcPr>
          <w:p w14:paraId="534F8698"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2001-2012</w:t>
            </w:r>
          </w:p>
        </w:tc>
        <w:tc>
          <w:tcPr>
            <w:tcW w:w="1275" w:type="dxa"/>
            <w:tcBorders>
              <w:top w:val="single" w:sz="18" w:space="0" w:color="auto"/>
            </w:tcBorders>
            <w:vAlign w:val="center"/>
          </w:tcPr>
          <w:p w14:paraId="2CEB56ED"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NPP, BF</w:t>
            </w:r>
          </w:p>
        </w:tc>
      </w:tr>
      <w:tr w:rsidR="009F66FA" w:rsidRPr="00A30A96" w14:paraId="4157C0EE" w14:textId="77777777" w:rsidTr="00D85BE4">
        <w:trPr>
          <w:trHeight w:val="391"/>
          <w:jc w:val="center"/>
        </w:trPr>
        <w:tc>
          <w:tcPr>
            <w:tcW w:w="3397" w:type="dxa"/>
            <w:vAlign w:val="center"/>
          </w:tcPr>
          <w:p w14:paraId="5606212B" w14:textId="057711B3"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color w:val="000000" w:themeColor="text1"/>
                <w:sz w:val="20"/>
              </w:rPr>
              <w:t>JSBACH-SPITFIRE</w:t>
            </w:r>
            <w:r w:rsidRPr="00A30A96">
              <w:rPr>
                <w:color w:val="000000" w:themeColor="text1"/>
                <w:sz w:val="20"/>
              </w:rPr>
              <w:fldChar w:fldCharType="begin"/>
            </w:r>
            <w:r w:rsidR="0069063E" w:rsidRPr="00A30A96">
              <w:rPr>
                <w:rFonts w:ascii="Times New Roman" w:hAnsi="Times New Roman" w:cs="Times New Roman"/>
                <w:color w:val="000000" w:themeColor="text1"/>
                <w:sz w:val="20"/>
              </w:rPr>
              <w:instrText xml:space="preserve"> ADDIN EN.CITE &lt;EndNote&gt;&lt;Cite&gt;&lt;Author&gt;Lasslop&lt;/Author&gt;&lt;Year&gt;2014&lt;/Year&gt;&lt;RecNum&gt;530&lt;/RecNum&gt;&lt;DisplayText&gt;&lt;style face="superscript"&gt;12&lt;/style&gt;&lt;/DisplayText&gt;&lt;record&gt;&lt;rec-number&gt;530&lt;/rec-number&gt;&lt;foreign-keys&gt;&lt;key app="EN" db-id="pxzew0safrpr5xer0pbv05dq5sevsfse5sw9" timestamp="1688799798"&gt;530&lt;/key&gt;&lt;/foreign-keys&gt;&lt;ref-type name="Journal Article"&gt;17&lt;/ref-type&gt;&lt;contributors&gt;&lt;authors&gt;&lt;author&gt;Lasslop, Gitta&lt;/author&gt;&lt;author&gt;Thonicke, Kirsten&lt;/author&gt;&lt;author&gt;Kloster, Silvia&lt;/author&gt;&lt;/authors&gt;&lt;/contributors&gt;&lt;titles&gt;&lt;title&gt;SPITFIRE within the MPI Earth system model: Model development and evaluation&lt;/title&gt;&lt;secondary-title&gt;Journal of Advances in Modeling Earth Systems&lt;/secondary-title&gt;&lt;/titles&gt;&lt;periodical&gt;&lt;full-title&gt;Journal of Advances in Modeling Earth Systems&lt;/full-title&gt;&lt;/periodical&gt;&lt;pages&gt;740-755&lt;/pages&gt;&lt;volume&gt;6&lt;/volume&gt;&lt;number&gt;3&lt;/number&gt;&lt;section&gt;740&lt;/section&gt;&lt;dates&gt;&lt;year&gt;2014&lt;/year&gt;&lt;/dates&gt;&lt;isbn&gt;19422466&lt;/isbn&gt;&lt;urls&gt;&lt;/urls&gt;&lt;electronic-resource-num&gt;10.1002/2013ms000284&lt;/electronic-resource-num&gt;&lt;/record&gt;&lt;/Cite&gt;&lt;/EndNote&gt;</w:instrText>
            </w:r>
            <w:r w:rsidRPr="00A30A96">
              <w:rPr>
                <w:color w:val="000000" w:themeColor="text1"/>
                <w:sz w:val="20"/>
              </w:rPr>
              <w:fldChar w:fldCharType="separate"/>
            </w:r>
            <w:r w:rsidR="0069063E" w:rsidRPr="00A30A96">
              <w:rPr>
                <w:rFonts w:ascii="Times New Roman" w:hAnsi="Times New Roman" w:cs="Times New Roman"/>
                <w:noProof/>
                <w:color w:val="000000" w:themeColor="text1"/>
                <w:sz w:val="20"/>
                <w:vertAlign w:val="superscript"/>
              </w:rPr>
              <w:t>12</w:t>
            </w:r>
            <w:r w:rsidRPr="00A30A96">
              <w:rPr>
                <w:color w:val="000000" w:themeColor="text1"/>
                <w:sz w:val="20"/>
              </w:rPr>
              <w:fldChar w:fldCharType="end"/>
            </w:r>
          </w:p>
        </w:tc>
        <w:tc>
          <w:tcPr>
            <w:tcW w:w="3119" w:type="dxa"/>
            <w:vAlign w:val="center"/>
          </w:tcPr>
          <w:p w14:paraId="4433642F"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1.875°×1.875°, monthly</w:t>
            </w:r>
          </w:p>
        </w:tc>
        <w:tc>
          <w:tcPr>
            <w:tcW w:w="1559" w:type="dxa"/>
            <w:vAlign w:val="center"/>
          </w:tcPr>
          <w:p w14:paraId="029738B1"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2001-2012</w:t>
            </w:r>
          </w:p>
        </w:tc>
        <w:tc>
          <w:tcPr>
            <w:tcW w:w="1275" w:type="dxa"/>
            <w:vAlign w:val="center"/>
          </w:tcPr>
          <w:p w14:paraId="7E669B10"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NPP, BF</w:t>
            </w:r>
          </w:p>
        </w:tc>
      </w:tr>
      <w:tr w:rsidR="009F66FA" w:rsidRPr="00A30A96" w14:paraId="423C257C" w14:textId="77777777" w:rsidTr="00D85BE4">
        <w:trPr>
          <w:trHeight w:val="391"/>
          <w:jc w:val="center"/>
        </w:trPr>
        <w:tc>
          <w:tcPr>
            <w:tcW w:w="3397" w:type="dxa"/>
            <w:vAlign w:val="center"/>
          </w:tcPr>
          <w:p w14:paraId="5E914EA3" w14:textId="159DA24B"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color w:val="000000" w:themeColor="text1"/>
                <w:sz w:val="20"/>
              </w:rPr>
              <w:t>LPJ-GUESS-SPITFIRE</w:t>
            </w:r>
            <w:r w:rsidRPr="00A30A96">
              <w:rPr>
                <w:color w:val="000000" w:themeColor="text1"/>
                <w:sz w:val="20"/>
              </w:rPr>
              <w:fldChar w:fldCharType="begin"/>
            </w:r>
            <w:r w:rsidR="0069063E" w:rsidRPr="00A30A96">
              <w:rPr>
                <w:rFonts w:ascii="Times New Roman" w:hAnsi="Times New Roman" w:cs="Times New Roman"/>
                <w:color w:val="000000" w:themeColor="text1"/>
                <w:sz w:val="20"/>
              </w:rPr>
              <w:instrText xml:space="preserve"> ADDIN EN.CITE &lt;EndNote&gt;&lt;Cite&gt;&lt;Author&gt;Lehsten&lt;/Author&gt;&lt;Year&gt;2009&lt;/Year&gt;&lt;RecNum&gt;535&lt;/RecNum&gt;&lt;DisplayText&gt;&lt;style face="superscript"&gt;13&lt;/style&gt;&lt;/DisplayText&gt;&lt;record&gt;&lt;rec-number&gt;535&lt;/rec-number&gt;&lt;foreign-keys&gt;&lt;key app="EN" db-id="pxzew0safrpr5xer0pbv05dq5sevsfse5sw9" timestamp="1688799897"&gt;535&lt;/key&gt;&lt;/foreign-keys&gt;&lt;ref-type name="Journal Article"&gt;17&lt;/ref-type&gt;&lt;contributors&gt;&lt;authors&gt;&lt;author&gt;Lehsten, V.&lt;/author&gt;&lt;author&gt;Tansey, K.&lt;/author&gt;&lt;author&gt;Balzter, H.&lt;/author&gt;&lt;author&gt;Thonicke, K.&lt;/author&gt;&lt;author&gt;Spessa, A.&lt;/author&gt;&lt;author&gt;Weber, U.&lt;/author&gt;&lt;author&gt;Smith, B.&lt;/author&gt;&lt;author&gt;Arneth, A.&lt;/author&gt;&lt;/authors&gt;&lt;/contributors&gt;&lt;titles&gt;&lt;title&gt;Estimating carbon emissions from African wildfires&lt;/title&gt;&lt;secondary-title&gt;Biogeosciences&lt;/secondary-title&gt;&lt;/titles&gt;&lt;periodical&gt;&lt;full-title&gt;Biogeosciences&lt;/full-title&gt;&lt;/periodical&gt;&lt;pages&gt;349-360&lt;/pages&gt;&lt;volume&gt;6&lt;/volume&gt;&lt;number&gt;3&lt;/number&gt;&lt;dates&gt;&lt;year&gt;2009&lt;/year&gt;&lt;/dates&gt;&lt;publisher&gt;Copernicus Publications&lt;/publisher&gt;&lt;isbn&gt;1726-4189&lt;/isbn&gt;&lt;urls&gt;&lt;related-urls&gt;&lt;url&gt;https://bg.copernicus.org/articles/6/349/2009/&lt;/url&gt;&lt;/related-urls&gt;&lt;/urls&gt;&lt;electronic-resource-num&gt;10.5194/bg-6-349-2009&lt;/electronic-resource-num&gt;&lt;/record&gt;&lt;/Cite&gt;&lt;/EndNote&gt;</w:instrText>
            </w:r>
            <w:r w:rsidRPr="00A30A96">
              <w:rPr>
                <w:color w:val="000000" w:themeColor="text1"/>
                <w:sz w:val="20"/>
              </w:rPr>
              <w:fldChar w:fldCharType="separate"/>
            </w:r>
            <w:r w:rsidR="0069063E" w:rsidRPr="00A30A96">
              <w:rPr>
                <w:rFonts w:ascii="Times New Roman" w:hAnsi="Times New Roman" w:cs="Times New Roman"/>
                <w:noProof/>
                <w:color w:val="000000" w:themeColor="text1"/>
                <w:sz w:val="20"/>
                <w:vertAlign w:val="superscript"/>
              </w:rPr>
              <w:t>13</w:t>
            </w:r>
            <w:r w:rsidRPr="00A30A96">
              <w:rPr>
                <w:color w:val="000000" w:themeColor="text1"/>
                <w:sz w:val="20"/>
              </w:rPr>
              <w:fldChar w:fldCharType="end"/>
            </w:r>
          </w:p>
        </w:tc>
        <w:tc>
          <w:tcPr>
            <w:tcW w:w="3119" w:type="dxa"/>
            <w:vAlign w:val="center"/>
          </w:tcPr>
          <w:p w14:paraId="0782BDCD"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0.5°×0.5°, monthly</w:t>
            </w:r>
          </w:p>
        </w:tc>
        <w:tc>
          <w:tcPr>
            <w:tcW w:w="1559" w:type="dxa"/>
            <w:vAlign w:val="center"/>
          </w:tcPr>
          <w:p w14:paraId="3DB81B3E"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2001-2012</w:t>
            </w:r>
          </w:p>
        </w:tc>
        <w:tc>
          <w:tcPr>
            <w:tcW w:w="1275" w:type="dxa"/>
            <w:vAlign w:val="center"/>
          </w:tcPr>
          <w:p w14:paraId="5AF9F516"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NPP, BF</w:t>
            </w:r>
          </w:p>
        </w:tc>
      </w:tr>
      <w:tr w:rsidR="009F66FA" w:rsidRPr="00A30A96" w14:paraId="3E259FE1" w14:textId="77777777" w:rsidTr="00D85BE4">
        <w:trPr>
          <w:trHeight w:val="391"/>
          <w:jc w:val="center"/>
        </w:trPr>
        <w:tc>
          <w:tcPr>
            <w:tcW w:w="3397" w:type="dxa"/>
            <w:vAlign w:val="center"/>
          </w:tcPr>
          <w:p w14:paraId="1876CD62" w14:textId="0A180EEF"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color w:val="000000" w:themeColor="text1"/>
                <w:sz w:val="20"/>
              </w:rPr>
              <w:t>ORCHIDEE-SPITFIRE</w:t>
            </w:r>
            <w:r w:rsidRPr="00A30A96">
              <w:rPr>
                <w:color w:val="000000" w:themeColor="text1"/>
                <w:sz w:val="20"/>
              </w:rPr>
              <w:fldChar w:fldCharType="begin"/>
            </w:r>
            <w:r w:rsidR="0069063E" w:rsidRPr="00A30A96">
              <w:rPr>
                <w:rFonts w:ascii="Times New Roman" w:hAnsi="Times New Roman" w:cs="Times New Roman"/>
                <w:color w:val="000000" w:themeColor="text1"/>
                <w:sz w:val="20"/>
              </w:rPr>
              <w:instrText xml:space="preserve"> ADDIN EN.CITE &lt;EndNote&gt;&lt;Cite&gt;&lt;Author&gt;Yue&lt;/Author&gt;&lt;Year&gt;2014&lt;/Year&gt;&lt;RecNum&gt;529&lt;/RecNum&gt;&lt;DisplayText&gt;&lt;style face="superscript"&gt;14&lt;/style&gt;&lt;/DisplayText&gt;&lt;record&gt;&lt;rec-number&gt;529&lt;/rec-number&gt;&lt;foreign-keys&gt;&lt;key app="EN" db-id="pxzew0safrpr5xer0pbv05dq5sevsfse5sw9" timestamp="1688799793"&gt;529&lt;/key&gt;&lt;/foreign-keys&gt;&lt;ref-type name="Journal Article"&gt;17&lt;/ref-type&gt;&lt;contributors&gt;&lt;authors&gt;&lt;author&gt;Yue, C.&lt;/author&gt;&lt;author&gt;Ciais, P.&lt;/author&gt;&lt;author&gt;Cadule, P.&lt;/author&gt;&lt;author&gt;Thonicke, K.&lt;/author&gt;&lt;author&gt;Archibald, S.&lt;/author&gt;&lt;author&gt;Poulter, B.&lt;/author&gt;&lt;author&gt;Hao, W. M.&lt;/author&gt;&lt;author&gt;Hantson, S.&lt;/author&gt;&lt;author&gt;Mouillot, F.&lt;/author&gt;&lt;author&gt;Friedlingstein, P.&lt;/author&gt;&lt;author&gt;Maignan, F.&lt;/author&gt;&lt;author&gt;Viovy, N.&lt;/author&gt;&lt;/authors&gt;&lt;/contributors&gt;&lt;titles&gt;&lt;title&gt;Modelling the role of fires in the terrestrial carbon balance by incorporating SPITFIRE into the global vegetation model ORCHIDEE – Part 1: simulating historical global burned area and fire regimes&lt;/title&gt;&lt;secondary-title&gt;Geoscientific Model Development&lt;/secondary-title&gt;&lt;/titles&gt;&lt;periodical&gt;&lt;full-title&gt;Geoscientific Model Development&lt;/full-title&gt;&lt;/periodical&gt;&lt;pages&gt;2747-2767&lt;/pages&gt;&lt;volume&gt;7&lt;/volume&gt;&lt;number&gt;6&lt;/number&gt;&lt;section&gt;2747&lt;/section&gt;&lt;dates&gt;&lt;year&gt;2014&lt;/year&gt;&lt;/dates&gt;&lt;isbn&gt;1991-9603&lt;/isbn&gt;&lt;urls&gt;&lt;/urls&gt;&lt;electronic-resource-num&gt;10.5194/gmd-7-2747-2014&lt;/electronic-resource-num&gt;&lt;/record&gt;&lt;/Cite&gt;&lt;/EndNote&gt;</w:instrText>
            </w:r>
            <w:r w:rsidRPr="00A30A96">
              <w:rPr>
                <w:color w:val="000000" w:themeColor="text1"/>
                <w:sz w:val="20"/>
              </w:rPr>
              <w:fldChar w:fldCharType="separate"/>
            </w:r>
            <w:r w:rsidR="0069063E" w:rsidRPr="00A30A96">
              <w:rPr>
                <w:rFonts w:ascii="Times New Roman" w:hAnsi="Times New Roman" w:cs="Times New Roman"/>
                <w:noProof/>
                <w:color w:val="000000" w:themeColor="text1"/>
                <w:sz w:val="20"/>
                <w:vertAlign w:val="superscript"/>
              </w:rPr>
              <w:t>14</w:t>
            </w:r>
            <w:r w:rsidRPr="00A30A96">
              <w:rPr>
                <w:color w:val="000000" w:themeColor="text1"/>
                <w:sz w:val="20"/>
              </w:rPr>
              <w:fldChar w:fldCharType="end"/>
            </w:r>
          </w:p>
        </w:tc>
        <w:tc>
          <w:tcPr>
            <w:tcW w:w="3119" w:type="dxa"/>
            <w:vAlign w:val="center"/>
          </w:tcPr>
          <w:p w14:paraId="20B1D915"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0.5°×0.5°, monthly</w:t>
            </w:r>
          </w:p>
        </w:tc>
        <w:tc>
          <w:tcPr>
            <w:tcW w:w="1559" w:type="dxa"/>
            <w:vAlign w:val="center"/>
          </w:tcPr>
          <w:p w14:paraId="61E1C21C"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2001-2012</w:t>
            </w:r>
          </w:p>
        </w:tc>
        <w:tc>
          <w:tcPr>
            <w:tcW w:w="1275" w:type="dxa"/>
            <w:vAlign w:val="center"/>
          </w:tcPr>
          <w:p w14:paraId="2CE090F4"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NPP, BF</w:t>
            </w:r>
          </w:p>
        </w:tc>
      </w:tr>
      <w:tr w:rsidR="009F66FA" w:rsidRPr="00A30A96" w14:paraId="30072517" w14:textId="77777777" w:rsidTr="00D85BE4">
        <w:trPr>
          <w:trHeight w:val="391"/>
          <w:jc w:val="center"/>
        </w:trPr>
        <w:tc>
          <w:tcPr>
            <w:tcW w:w="3397" w:type="dxa"/>
            <w:vAlign w:val="center"/>
          </w:tcPr>
          <w:p w14:paraId="44736044" w14:textId="31AF4A3C"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color w:val="000000" w:themeColor="text1"/>
                <w:sz w:val="20"/>
              </w:rPr>
              <w:t>CTEM</w:t>
            </w:r>
            <w:r w:rsidRPr="00A30A96">
              <w:rPr>
                <w:color w:val="000000" w:themeColor="text1"/>
                <w:sz w:val="20"/>
              </w:rPr>
              <w:fldChar w:fldCharType="begin"/>
            </w:r>
            <w:r w:rsidR="0069063E" w:rsidRPr="00A30A96">
              <w:rPr>
                <w:rFonts w:ascii="Times New Roman" w:hAnsi="Times New Roman" w:cs="Times New Roman"/>
                <w:color w:val="000000" w:themeColor="text1"/>
                <w:sz w:val="20"/>
              </w:rPr>
              <w:instrText xml:space="preserve"> ADDIN EN.CITE &lt;EndNote&gt;&lt;Cite&gt;&lt;Author&gt;Melton&lt;/Author&gt;&lt;Year&gt;2016&lt;/Year&gt;&lt;RecNum&gt;533&lt;/RecNum&gt;&lt;DisplayText&gt;&lt;style face="superscript"&gt;15&lt;/style&gt;&lt;/DisplayText&gt;&lt;record&gt;&lt;rec-number&gt;533&lt;/rec-number&gt;&lt;foreign-keys&gt;&lt;key app="EN" db-id="pxzew0safrpr5xer0pbv05dq5sevsfse5sw9" timestamp="1688799815"&gt;533&lt;/key&gt;&lt;/foreign-keys&gt;&lt;ref-type name="Journal Article"&gt;17&lt;/ref-type&gt;&lt;contributors&gt;&lt;authors&gt;&lt;author&gt;Melton, J. R.&lt;/author&gt;&lt;author&gt;Arora, V. K.&lt;/author&gt;&lt;/authors&gt;&lt;/contributors&gt;&lt;titles&gt;&lt;title&gt;Competition between plant functional types in the Canadian Terrestrial Ecosystem Model (CTEM) v. 2.0&lt;/title&gt;&lt;secondary-title&gt;Geoscientific Model Development&lt;/secondary-title&gt;&lt;/titles&gt;&lt;periodical&gt;&lt;full-title&gt;Geoscientific Model Development&lt;/full-title&gt;&lt;/periodical&gt;&lt;pages&gt;323-361&lt;/pages&gt;&lt;volume&gt;9&lt;/volume&gt;&lt;number&gt;1&lt;/number&gt;&lt;section&gt;323&lt;/section&gt;&lt;dates&gt;&lt;year&gt;2016&lt;/year&gt;&lt;/dates&gt;&lt;isbn&gt;1991-9603&lt;/isbn&gt;&lt;urls&gt;&lt;/urls&gt;&lt;electronic-resource-num&gt;10.5194/gmd-9-323-2016&lt;/electronic-resource-num&gt;&lt;/record&gt;&lt;/Cite&gt;&lt;/EndNote&gt;</w:instrText>
            </w:r>
            <w:r w:rsidRPr="00A30A96">
              <w:rPr>
                <w:color w:val="000000" w:themeColor="text1"/>
                <w:sz w:val="20"/>
              </w:rPr>
              <w:fldChar w:fldCharType="separate"/>
            </w:r>
            <w:r w:rsidR="0069063E" w:rsidRPr="00A30A96">
              <w:rPr>
                <w:rFonts w:ascii="Times New Roman" w:hAnsi="Times New Roman" w:cs="Times New Roman"/>
                <w:noProof/>
                <w:color w:val="000000" w:themeColor="text1"/>
                <w:sz w:val="20"/>
                <w:vertAlign w:val="superscript"/>
              </w:rPr>
              <w:t>15</w:t>
            </w:r>
            <w:r w:rsidRPr="00A30A96">
              <w:rPr>
                <w:color w:val="000000" w:themeColor="text1"/>
                <w:sz w:val="20"/>
              </w:rPr>
              <w:fldChar w:fldCharType="end"/>
            </w:r>
          </w:p>
        </w:tc>
        <w:tc>
          <w:tcPr>
            <w:tcW w:w="3119" w:type="dxa"/>
            <w:vAlign w:val="center"/>
          </w:tcPr>
          <w:p w14:paraId="1940EF44"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2.8125°×2.8125°, monthly</w:t>
            </w:r>
          </w:p>
        </w:tc>
        <w:tc>
          <w:tcPr>
            <w:tcW w:w="1559" w:type="dxa"/>
            <w:vAlign w:val="center"/>
          </w:tcPr>
          <w:p w14:paraId="6B27C005"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2001-2012</w:t>
            </w:r>
          </w:p>
        </w:tc>
        <w:tc>
          <w:tcPr>
            <w:tcW w:w="1275" w:type="dxa"/>
            <w:vAlign w:val="center"/>
          </w:tcPr>
          <w:p w14:paraId="6EFE621F"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NPP, BF</w:t>
            </w:r>
          </w:p>
        </w:tc>
      </w:tr>
      <w:tr w:rsidR="009F66FA" w:rsidRPr="00A30A96" w14:paraId="7A96D258" w14:textId="77777777" w:rsidTr="00D85BE4">
        <w:trPr>
          <w:trHeight w:val="391"/>
          <w:jc w:val="center"/>
        </w:trPr>
        <w:tc>
          <w:tcPr>
            <w:tcW w:w="3397" w:type="dxa"/>
            <w:vAlign w:val="center"/>
          </w:tcPr>
          <w:p w14:paraId="1D26B781" w14:textId="775972ED"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color w:val="000000" w:themeColor="text1"/>
                <w:sz w:val="20"/>
              </w:rPr>
              <w:t>JULES-INFERNO</w:t>
            </w:r>
            <w:r w:rsidRPr="00A30A96">
              <w:rPr>
                <w:color w:val="000000" w:themeColor="text1"/>
                <w:sz w:val="20"/>
              </w:rPr>
              <w:fldChar w:fldCharType="begin"/>
            </w:r>
            <w:r w:rsidR="0069063E" w:rsidRPr="00A30A96">
              <w:rPr>
                <w:rFonts w:ascii="Times New Roman" w:hAnsi="Times New Roman" w:cs="Times New Roman"/>
                <w:color w:val="000000" w:themeColor="text1"/>
                <w:sz w:val="20"/>
              </w:rPr>
              <w:instrText xml:space="preserve"> ADDIN EN.CITE &lt;EndNote&gt;&lt;Cite&gt;&lt;Author&gt;Mangeon&lt;/Author&gt;&lt;Year&gt;2016&lt;/Year&gt;&lt;RecNum&gt;534&lt;/RecNum&gt;&lt;DisplayText&gt;&lt;style face="superscript"&gt;16&lt;/style&gt;&lt;/DisplayText&gt;&lt;record&gt;&lt;rec-number&gt;534&lt;/rec-number&gt;&lt;foreign-keys&gt;&lt;key app="EN" db-id="pxzew0safrpr5xer0pbv05dq5sevsfse5sw9" timestamp="1688799822"&gt;534&lt;/key&gt;&lt;/foreign-keys&gt;&lt;ref-type name="Journal Article"&gt;17&lt;/ref-type&gt;&lt;contributors&gt;&lt;authors&gt;&lt;author&gt;Mangeon, Stéphane&lt;/author&gt;&lt;author&gt;Voulgarakis, Apostolos&lt;/author&gt;&lt;author&gt;Gilham, Richard&lt;/author&gt;&lt;author&gt;Harper, Anna&lt;/author&gt;&lt;author&gt;Sitch, Stephen&lt;/author&gt;&lt;author&gt;Folberth, Gerd&lt;/author&gt;&lt;/authors&gt;&lt;/contributors&gt;&lt;titles&gt;&lt;title&gt;INFERNO: a fire and emissions scheme for the UK Met Office&amp;apos;s Unified Model&lt;/title&gt;&lt;secondary-title&gt;Geoscientific Model Development&lt;/secondary-title&gt;&lt;/titles&gt;&lt;periodical&gt;&lt;full-title&gt;Geoscientific Model Development&lt;/full-title&gt;&lt;/periodical&gt;&lt;pages&gt;2685-2700&lt;/pages&gt;&lt;volume&gt;9&lt;/volume&gt;&lt;number&gt;8&lt;/number&gt;&lt;section&gt;2685&lt;/section&gt;&lt;dates&gt;&lt;year&gt;2016&lt;/year&gt;&lt;/dates&gt;&lt;isbn&gt;1991-9603&lt;/isbn&gt;&lt;urls&gt;&lt;/urls&gt;&lt;electronic-resource-num&gt;10.5194/gmd-9-2685-2016&lt;/electronic-resource-num&gt;&lt;/record&gt;&lt;/Cite&gt;&lt;/EndNote&gt;</w:instrText>
            </w:r>
            <w:r w:rsidRPr="00A30A96">
              <w:rPr>
                <w:color w:val="000000" w:themeColor="text1"/>
                <w:sz w:val="20"/>
              </w:rPr>
              <w:fldChar w:fldCharType="separate"/>
            </w:r>
            <w:r w:rsidR="0069063E" w:rsidRPr="00A30A96">
              <w:rPr>
                <w:rFonts w:ascii="Times New Roman" w:hAnsi="Times New Roman" w:cs="Times New Roman"/>
                <w:noProof/>
                <w:color w:val="000000" w:themeColor="text1"/>
                <w:sz w:val="20"/>
                <w:vertAlign w:val="superscript"/>
              </w:rPr>
              <w:t>16</w:t>
            </w:r>
            <w:r w:rsidRPr="00A30A96">
              <w:rPr>
                <w:color w:val="000000" w:themeColor="text1"/>
                <w:sz w:val="20"/>
              </w:rPr>
              <w:fldChar w:fldCharType="end"/>
            </w:r>
          </w:p>
        </w:tc>
        <w:tc>
          <w:tcPr>
            <w:tcW w:w="3119" w:type="dxa"/>
            <w:vAlign w:val="center"/>
          </w:tcPr>
          <w:p w14:paraId="715A82A9"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1.875°×1.245°, monthly</w:t>
            </w:r>
          </w:p>
        </w:tc>
        <w:tc>
          <w:tcPr>
            <w:tcW w:w="1559" w:type="dxa"/>
            <w:vAlign w:val="center"/>
          </w:tcPr>
          <w:p w14:paraId="38539371"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2001-2012</w:t>
            </w:r>
          </w:p>
        </w:tc>
        <w:tc>
          <w:tcPr>
            <w:tcW w:w="1275" w:type="dxa"/>
            <w:vAlign w:val="center"/>
          </w:tcPr>
          <w:p w14:paraId="794C2E3D"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NPP, BF</w:t>
            </w:r>
          </w:p>
        </w:tc>
      </w:tr>
      <w:tr w:rsidR="009F66FA" w:rsidRPr="00A30A96" w14:paraId="6C24C250" w14:textId="77777777" w:rsidTr="00D85BE4">
        <w:trPr>
          <w:trHeight w:val="391"/>
          <w:jc w:val="center"/>
        </w:trPr>
        <w:tc>
          <w:tcPr>
            <w:tcW w:w="3397" w:type="dxa"/>
            <w:vAlign w:val="center"/>
          </w:tcPr>
          <w:p w14:paraId="0710614C" w14:textId="3EAE92C5"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color w:val="000000" w:themeColor="text1"/>
                <w:sz w:val="20"/>
              </w:rPr>
              <w:t>LPJ-GUESS-SIMFIRE-BLAZE</w:t>
            </w:r>
            <w:r w:rsidRPr="00A30A96">
              <w:rPr>
                <w:color w:val="000000" w:themeColor="text1"/>
                <w:sz w:val="20"/>
              </w:rPr>
              <w:fldChar w:fldCharType="begin"/>
            </w:r>
            <w:r w:rsidR="0069063E" w:rsidRPr="00A30A96">
              <w:rPr>
                <w:rFonts w:ascii="Times New Roman" w:hAnsi="Times New Roman" w:cs="Times New Roman"/>
                <w:color w:val="000000" w:themeColor="text1"/>
                <w:sz w:val="20"/>
              </w:rPr>
              <w:instrText xml:space="preserve"> ADDIN EN.CITE &lt;EndNote&gt;&lt;Cite&gt;&lt;Author&gt;Knorr&lt;/Author&gt;&lt;Year&gt;2016&lt;/Year&gt;&lt;RecNum&gt;532&lt;/RecNum&gt;&lt;DisplayText&gt;&lt;style face="superscript"&gt;17&lt;/style&gt;&lt;/DisplayText&gt;&lt;record&gt;&lt;rec-number&gt;532&lt;/rec-number&gt;&lt;foreign-keys&gt;&lt;key app="EN" db-id="pxzew0safrpr5xer0pbv05dq5sevsfse5sw9" timestamp="1688799810"&gt;532&lt;/key&gt;&lt;/foreign-keys&gt;&lt;ref-type name="Journal Article"&gt;17&lt;/ref-type&gt;&lt;contributors&gt;&lt;authors&gt;&lt;author&gt;Knorr, W.&lt;/author&gt;&lt;author&gt;Jiang, L.&lt;/author&gt;&lt;author&gt;Arneth, A.&lt;/author&gt;&lt;/authors&gt;&lt;/contributors&gt;&lt;titles&gt;&lt;title&gt;Climate, CO2 and human population impacts on global wildfire emissions&lt;/title&gt;&lt;secondary-title&gt;Biogeosciences&lt;/secondary-title&gt;&lt;/titles&gt;&lt;periodical&gt;&lt;full-title&gt;Biogeosciences&lt;/full-title&gt;&lt;/periodical&gt;&lt;pages&gt;267-282&lt;/pages&gt;&lt;volume&gt;13&lt;/volume&gt;&lt;number&gt;1&lt;/number&gt;&lt;section&gt;267&lt;/section&gt;&lt;dates&gt;&lt;year&gt;2016&lt;/year&gt;&lt;/dates&gt;&lt;isbn&gt;1726-4189&lt;/isbn&gt;&lt;urls&gt;&lt;/urls&gt;&lt;electronic-resource-num&gt;10.5194/bg-13-267-2016&lt;/electronic-resource-num&gt;&lt;/record&gt;&lt;/Cite&gt;&lt;/EndNote&gt;</w:instrText>
            </w:r>
            <w:r w:rsidRPr="00A30A96">
              <w:rPr>
                <w:color w:val="000000" w:themeColor="text1"/>
                <w:sz w:val="20"/>
              </w:rPr>
              <w:fldChar w:fldCharType="separate"/>
            </w:r>
            <w:r w:rsidR="0069063E" w:rsidRPr="00A30A96">
              <w:rPr>
                <w:rFonts w:ascii="Times New Roman" w:hAnsi="Times New Roman" w:cs="Times New Roman"/>
                <w:noProof/>
                <w:color w:val="000000" w:themeColor="text1"/>
                <w:sz w:val="20"/>
                <w:vertAlign w:val="superscript"/>
              </w:rPr>
              <w:t>17</w:t>
            </w:r>
            <w:r w:rsidRPr="00A30A96">
              <w:rPr>
                <w:color w:val="000000" w:themeColor="text1"/>
                <w:sz w:val="20"/>
              </w:rPr>
              <w:fldChar w:fldCharType="end"/>
            </w:r>
          </w:p>
        </w:tc>
        <w:tc>
          <w:tcPr>
            <w:tcW w:w="3119" w:type="dxa"/>
            <w:vAlign w:val="center"/>
          </w:tcPr>
          <w:p w14:paraId="1A7166AC"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0.5°×0.5°, monthly</w:t>
            </w:r>
          </w:p>
        </w:tc>
        <w:tc>
          <w:tcPr>
            <w:tcW w:w="1559" w:type="dxa"/>
            <w:vAlign w:val="center"/>
          </w:tcPr>
          <w:p w14:paraId="0B7C8198"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2001-2012</w:t>
            </w:r>
          </w:p>
        </w:tc>
        <w:tc>
          <w:tcPr>
            <w:tcW w:w="1275" w:type="dxa"/>
            <w:vAlign w:val="center"/>
          </w:tcPr>
          <w:p w14:paraId="42846508" w14:textId="77777777" w:rsidR="009F66FA" w:rsidRPr="00A30A96" w:rsidRDefault="009F66FA" w:rsidP="00D85BE4">
            <w:pPr>
              <w:spacing w:line="360" w:lineRule="auto"/>
              <w:jc w:val="center"/>
              <w:rPr>
                <w:rFonts w:ascii="Times New Roman" w:hAnsi="Times New Roman" w:cs="Times New Roman"/>
                <w:color w:val="000000" w:themeColor="text1"/>
                <w:sz w:val="20"/>
              </w:rPr>
            </w:pPr>
            <w:r w:rsidRPr="00A30A96">
              <w:rPr>
                <w:rFonts w:ascii="Times New Roman" w:hAnsi="Times New Roman" w:cs="Times New Roman"/>
                <w:sz w:val="20"/>
              </w:rPr>
              <w:t>NPP, BF</w:t>
            </w:r>
          </w:p>
        </w:tc>
      </w:tr>
    </w:tbl>
    <w:bookmarkEnd w:id="16"/>
    <w:p w14:paraId="6AA6B27C" w14:textId="2A602858" w:rsidR="006671F9" w:rsidRPr="006671F9" w:rsidRDefault="009F66FA" w:rsidP="00D85BE4">
      <w:pPr>
        <w:spacing w:before="120" w:after="120" w:line="360" w:lineRule="exact"/>
        <w:jc w:val="both"/>
        <w:rPr>
          <w:b/>
          <w:szCs w:val="24"/>
          <w:lang w:eastAsia="zh-CN"/>
        </w:rPr>
      </w:pPr>
      <w:r w:rsidRPr="009F66FA">
        <w:rPr>
          <w:szCs w:val="24"/>
        </w:rPr>
        <w:t xml:space="preserve">NPP: net primary productivity; BF: burned fraction, the fraction of burned area within a grid cell (%). Notably another two </w:t>
      </w:r>
      <w:proofErr w:type="spellStart"/>
      <w:r w:rsidRPr="009F66FA">
        <w:rPr>
          <w:szCs w:val="24"/>
        </w:rPr>
        <w:t>FireMIP</w:t>
      </w:r>
      <w:proofErr w:type="spellEnd"/>
      <w:r w:rsidRPr="009F66FA">
        <w:rPr>
          <w:szCs w:val="24"/>
        </w:rPr>
        <w:t xml:space="preserve"> models, LPJ-GUESS-GlobFIRM</w:t>
      </w:r>
      <w:r w:rsidRPr="009F66FA">
        <w:rPr>
          <w:szCs w:val="24"/>
        </w:rPr>
        <w:fldChar w:fldCharType="begin"/>
      </w:r>
      <w:r w:rsidR="0069063E">
        <w:rPr>
          <w:szCs w:val="24"/>
        </w:rPr>
        <w:instrText xml:space="preserve"> ADDIN EN.CITE &lt;EndNote&gt;&lt;Cite&gt;&lt;Author&gt;Smith&lt;/Author&gt;&lt;Year&gt;2014&lt;/Year&gt;&lt;RecNum&gt;527&lt;/RecNum&gt;&lt;DisplayText&gt;&lt;style face="superscript"&gt;18&lt;/style&gt;&lt;/DisplayText&gt;&lt;record&gt;&lt;rec-number&gt;527&lt;/rec-number&gt;&lt;foreign-keys&gt;&lt;key app="EN" db-id="pxzew0safrpr5xer0pbv05dq5sevsfse5sw9" timestamp="1688799727"&gt;527&lt;/key&gt;&lt;/foreign-keys&gt;&lt;ref-type name="Journal Article"&gt;17&lt;/ref-type&gt;&lt;contributors&gt;&lt;authors&gt;&lt;author&gt;Smith, B.&lt;/author&gt;&lt;author&gt;Wårlind, D.&lt;/author&gt;&lt;author&gt;Arneth, A.&lt;/author&gt;&lt;author&gt;Hickler, T.&lt;/author&gt;&lt;author&gt;Leadley, P.&lt;/author&gt;&lt;author&gt;Siltberg, J.&lt;/author&gt;&lt;author&gt;Zaehle, S.&lt;/author&gt;&lt;/authors&gt;&lt;/contributors&gt;&lt;titles&gt;&lt;title&gt;Implications of incorporating N cycling and N limitations on primary production in an individual-based dynamic vegetation model&lt;/title&gt;&lt;secondary-title&gt;Biogeosciences&lt;/secondary-title&gt;&lt;/titles&gt;&lt;periodical&gt;&lt;full-title&gt;Biogeosciences&lt;/full-title&gt;&lt;/periodical&gt;&lt;pages&gt;2027-2054&lt;/pages&gt;&lt;volume&gt;11&lt;/volume&gt;&lt;number&gt;7&lt;/number&gt;&lt;section&gt;2027&lt;/section&gt;&lt;dates&gt;&lt;year&gt;2014&lt;/year&gt;&lt;/dates&gt;&lt;isbn&gt;1726-4189&lt;/isbn&gt;&lt;urls&gt;&lt;/urls&gt;&lt;electronic-resource-num&gt;10.5194/bg-11-2027-2014&lt;/electronic-resource-num&gt;&lt;/record&gt;&lt;/Cite&gt;&lt;/EndNote&gt;</w:instrText>
      </w:r>
      <w:r w:rsidRPr="009F66FA">
        <w:rPr>
          <w:szCs w:val="24"/>
        </w:rPr>
        <w:fldChar w:fldCharType="separate"/>
      </w:r>
      <w:r w:rsidR="0069063E" w:rsidRPr="0069063E">
        <w:rPr>
          <w:noProof/>
          <w:szCs w:val="24"/>
          <w:vertAlign w:val="superscript"/>
        </w:rPr>
        <w:t>18</w:t>
      </w:r>
      <w:r w:rsidRPr="009F66FA">
        <w:rPr>
          <w:szCs w:val="24"/>
        </w:rPr>
        <w:fldChar w:fldCharType="end"/>
      </w:r>
      <w:r w:rsidRPr="009F66FA">
        <w:rPr>
          <w:szCs w:val="24"/>
        </w:rPr>
        <w:t xml:space="preserve"> and MC2</w:t>
      </w:r>
      <w:r w:rsidRPr="009F66FA">
        <w:rPr>
          <w:szCs w:val="24"/>
        </w:rPr>
        <w:fldChar w:fldCharType="begin"/>
      </w:r>
      <w:r w:rsidR="0069063E">
        <w:rPr>
          <w:szCs w:val="24"/>
        </w:rPr>
        <w:instrText xml:space="preserve"> ADDIN EN.CITE &lt;EndNote&gt;&lt;Cite&gt;&lt;Author&gt;Bachelet&lt;/Author&gt;&lt;Year&gt;2015&lt;/Year&gt;&lt;RecNum&gt;531&lt;/RecNum&gt;&lt;DisplayText&gt;&lt;style face="superscript"&gt;19&lt;/style&gt;&lt;/DisplayText&gt;&lt;record&gt;&lt;rec-number&gt;531&lt;/rec-number&gt;&lt;foreign-keys&gt;&lt;key app="EN" db-id="pxzew0safrpr5xer0pbv05dq5sevsfse5sw9" timestamp="1688799804"&gt;531&lt;/key&gt;&lt;/foreign-keys&gt;&lt;ref-type name="Journal Article"&gt;17&lt;/ref-type&gt;&lt;contributors&gt;&lt;authors&gt;&lt;author&gt;Bachelet, D.&lt;/author&gt;&lt;author&gt;Ferschweiler, K.&lt;/author&gt;&lt;author&gt;Sheehan, T. J.&lt;/author&gt;&lt;author&gt;Sleeter, B. M.&lt;/author&gt;&lt;author&gt;Zhu, Z.&lt;/author&gt;&lt;/authors&gt;&lt;/contributors&gt;&lt;auth-address&gt;Conservation Biology Institute, Western Geographic Science Center, Menlo Park, CA, USA.&amp;#xD;U.S. Geological Survey, Western Geographic Science Center, Menlo Park, CA, USA.&amp;#xD;U.S. Geological Survey National Center, Renton, VA, USA.&lt;/auth-address&gt;&lt;titles&gt;&lt;title&gt;Projected carbon stocks in the conterminous USA with land use and variable fire regimes&lt;/title&gt;&lt;secondary-title&gt;Glob Chang Biol&lt;/secondary-title&gt;&lt;/titles&gt;&lt;periodical&gt;&lt;full-title&gt;Glob Chang Biol&lt;/full-title&gt;&lt;/periodical&gt;&lt;pages&gt;4548-60&lt;/pages&gt;&lt;volume&gt;21&lt;/volume&gt;&lt;number&gt;12&lt;/number&gt;&lt;edition&gt;2015/07/25&lt;/edition&gt;&lt;keywords&gt;&lt;keyword&gt;*Agriculture&lt;/keyword&gt;&lt;keyword&gt;Carbon/*analysis&lt;/keyword&gt;&lt;keyword&gt;*Carbon Sequestration&lt;/keyword&gt;&lt;keyword&gt;*Climate Change&lt;/keyword&gt;&lt;keyword&gt;Computer Simulation&lt;/keyword&gt;&lt;keyword&gt;Ecosystem&lt;/keyword&gt;&lt;keyword&gt;*Fires&lt;/keyword&gt;&lt;keyword&gt;*Forestry&lt;/keyword&gt;&lt;keyword&gt;Models, Theoretical&lt;/keyword&gt;&lt;keyword&gt;United States&lt;/keyword&gt;&lt;keyword&gt;Cmip3&lt;/keyword&gt;&lt;keyword&gt;Dgvm&lt;/keyword&gt;&lt;keyword&gt;Sres&lt;/keyword&gt;&lt;keyword&gt;USA&lt;/keyword&gt;&lt;keyword&gt;carbon&lt;/keyword&gt;&lt;keyword&gt;fire&lt;/keyword&gt;&lt;keyword&gt;land use&lt;/keyword&gt;&lt;keyword&gt;simulation&lt;/keyword&gt;&lt;/keywords&gt;&lt;dates&gt;&lt;year&gt;2015&lt;/year&gt;&lt;pub-dates&gt;&lt;date&gt;Dec&lt;/date&gt;&lt;/pub-dates&gt;&lt;/dates&gt;&lt;isbn&gt;1365-2486 (Electronic)&amp;#xD;1354-1013 (Linking)&lt;/isbn&gt;&lt;accession-num&gt;26207729&lt;/accession-num&gt;&lt;urls&gt;&lt;related-urls&gt;&lt;url&gt;https://www.ncbi.nlm.nih.gov/pubmed/26207729&lt;/url&gt;&lt;/related-urls&gt;&lt;/urls&gt;&lt;electronic-resource-num&gt;10.1111/gcb.13048&lt;/electronic-resource-num&gt;&lt;/record&gt;&lt;/Cite&gt;&lt;/EndNote&gt;</w:instrText>
      </w:r>
      <w:r w:rsidRPr="009F66FA">
        <w:rPr>
          <w:szCs w:val="24"/>
        </w:rPr>
        <w:fldChar w:fldCharType="separate"/>
      </w:r>
      <w:r w:rsidR="0069063E" w:rsidRPr="0069063E">
        <w:rPr>
          <w:noProof/>
          <w:szCs w:val="24"/>
          <w:vertAlign w:val="superscript"/>
        </w:rPr>
        <w:t>19</w:t>
      </w:r>
      <w:r w:rsidRPr="009F66FA">
        <w:rPr>
          <w:szCs w:val="24"/>
        </w:rPr>
        <w:fldChar w:fldCharType="end"/>
      </w:r>
      <w:r w:rsidRPr="009F66FA">
        <w:rPr>
          <w:szCs w:val="24"/>
        </w:rPr>
        <w:t>, were excluded in this study because they perform less well globally than other models in simulating global burned areas</w:t>
      </w:r>
      <w:r w:rsidRPr="009F66FA">
        <w:rPr>
          <w:szCs w:val="24"/>
        </w:rPr>
        <w:fldChar w:fldCharType="begin"/>
      </w:r>
      <w:r w:rsidR="0069063E">
        <w:rPr>
          <w:szCs w:val="24"/>
        </w:rPr>
        <w:instrText xml:space="preserve"> ADDIN EN.CITE &lt;EndNote&gt;&lt;Cite&gt;&lt;Author&gt;Hantson&lt;/Author&gt;&lt;Year&gt;2020&lt;/Year&gt;&lt;RecNum&gt;523&lt;/RecNum&gt;&lt;DisplayText&gt;&lt;style face="superscript"&gt;9&lt;/style&gt;&lt;/DisplayText&gt;&lt;record&gt;&lt;rec-number&gt;523&lt;/rec-number&gt;&lt;foreign-keys&gt;&lt;key app="EN" db-id="pxzew0safrpr5xer0pbv05dq5sevsfse5sw9" timestamp="1688784308"&gt;523&lt;/key&gt;&lt;/foreign-keys&gt;&lt;ref-type name="Journal Article"&gt;17&lt;/ref-type&gt;&lt;contributors&gt;&lt;authors&gt;&lt;author&gt;Hantson, Stijn&lt;/author&gt;&lt;author&gt;Kelley, Douglas I.&lt;/author&gt;&lt;author&gt;Arneth, Almut&lt;/author&gt;&lt;author&gt;Harrison, Sandy P.&lt;/author&gt;&lt;author&gt;Archibald, Sally&lt;/author&gt;&lt;author&gt;Bachelet, Dominique&lt;/author&gt;&lt;author&gt;Forrest, Matthew&lt;/author&gt;&lt;author&gt;Hickler, Thomas&lt;/author&gt;&lt;author&gt;Lasslop, Gitta&lt;/author&gt;&lt;author&gt;Li, Fang&lt;/author&gt;&lt;author&gt;Mangeon, Stephane&lt;/author&gt;&lt;author&gt;Melton, Joe R.&lt;/author&gt;&lt;author&gt;Nieradzik, Lars&lt;/author&gt;&lt;author&gt;Rabin, Sam S.&lt;/author&gt;&lt;author&gt;Prentice, I. Colin&lt;/author&gt;&lt;author&gt;Sheehan, Tim&lt;/author&gt;&lt;author&gt;Sitch, Stephen&lt;/author&gt;&lt;author&gt;Teckentrup, Lina&lt;/author&gt;&lt;author&gt;Voulgarakis, Apostolos&lt;/author&gt;&lt;author&gt;Yue, Chao&lt;/author&gt;&lt;/authors&gt;&lt;/contributors&gt;&lt;titles&gt;&lt;title&gt;Quantitative assessment of fire and vegetation properties in simulations with fire-enabled vegetation models from the Fire Model Intercomparison Project&lt;/title&gt;&lt;secondary-title&gt;Geoscientific Model Development&lt;/secondary-title&gt;&lt;/titles&gt;&lt;periodical&gt;&lt;full-title&gt;Geoscientific Model Development&lt;/full-title&gt;&lt;/periodical&gt;&lt;pages&gt;3299-3318&lt;/pages&gt;&lt;volume&gt;13&lt;/volume&gt;&lt;number&gt;7&lt;/number&gt;&lt;section&gt;3299&lt;/section&gt;&lt;dates&gt;&lt;year&gt;2020&lt;/year&gt;&lt;/dates&gt;&lt;isbn&gt;1991-9603&lt;/isbn&gt;&lt;urls&gt;&lt;/urls&gt;&lt;electronic-resource-num&gt;10.5194/gmd-13-3299-2020&lt;/electronic-resource-num&gt;&lt;/record&gt;&lt;/Cite&gt;&lt;/EndNote&gt;</w:instrText>
      </w:r>
      <w:r w:rsidRPr="009F66FA">
        <w:rPr>
          <w:szCs w:val="24"/>
        </w:rPr>
        <w:fldChar w:fldCharType="separate"/>
      </w:r>
      <w:r w:rsidR="0069063E" w:rsidRPr="0069063E">
        <w:rPr>
          <w:noProof/>
          <w:szCs w:val="24"/>
          <w:vertAlign w:val="superscript"/>
        </w:rPr>
        <w:t>9</w:t>
      </w:r>
      <w:r w:rsidRPr="009F66FA">
        <w:rPr>
          <w:szCs w:val="24"/>
        </w:rPr>
        <w:fldChar w:fldCharType="end"/>
      </w:r>
      <w:r w:rsidRPr="009F66FA">
        <w:rPr>
          <w:szCs w:val="24"/>
        </w:rPr>
        <w:t>.</w:t>
      </w:r>
    </w:p>
    <w:bookmarkEnd w:id="15"/>
    <w:p w14:paraId="014FB9EC" w14:textId="48DD26EE" w:rsidR="00B36F77" w:rsidRDefault="00B36F77" w:rsidP="008C145F">
      <w:pPr>
        <w:pStyle w:val="SMcaption"/>
        <w:spacing w:before="120" w:after="120" w:line="360" w:lineRule="exact"/>
        <w:jc w:val="both"/>
        <w:rPr>
          <w:szCs w:val="24"/>
        </w:rPr>
      </w:pPr>
      <w:r>
        <w:rPr>
          <w:szCs w:val="24"/>
        </w:rPr>
        <w:br w:type="page"/>
      </w:r>
    </w:p>
    <w:p w14:paraId="29806630" w14:textId="77777777" w:rsidR="00645D18" w:rsidRPr="00645D18" w:rsidRDefault="00645D18" w:rsidP="00645D18">
      <w:pPr>
        <w:spacing w:before="120" w:after="120" w:line="360" w:lineRule="exact"/>
        <w:rPr>
          <w:b/>
          <w:szCs w:val="24"/>
        </w:rPr>
      </w:pPr>
      <w:r w:rsidRPr="00645D18">
        <w:rPr>
          <w:rFonts w:hint="eastAsia"/>
          <w:b/>
          <w:szCs w:val="24"/>
        </w:rPr>
        <w:lastRenderedPageBreak/>
        <w:t>T</w:t>
      </w:r>
      <w:r w:rsidRPr="00645D18">
        <w:rPr>
          <w:b/>
          <w:szCs w:val="24"/>
        </w:rPr>
        <w:t>able S3. CMIP6 models used in this study.</w:t>
      </w:r>
    </w:p>
    <w:tbl>
      <w:tblPr>
        <w:tblStyle w:val="affff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6"/>
        <w:gridCol w:w="1505"/>
        <w:gridCol w:w="1449"/>
        <w:gridCol w:w="1177"/>
        <w:gridCol w:w="1140"/>
        <w:gridCol w:w="1239"/>
      </w:tblGrid>
      <w:tr w:rsidR="00645D18" w:rsidRPr="00AC5A83" w14:paraId="4A0A6A0E" w14:textId="77777777" w:rsidTr="00262761">
        <w:tc>
          <w:tcPr>
            <w:tcW w:w="1796" w:type="dxa"/>
            <w:tcBorders>
              <w:top w:val="single" w:sz="18" w:space="0" w:color="auto"/>
              <w:bottom w:val="single" w:sz="18" w:space="0" w:color="auto"/>
            </w:tcBorders>
            <w:vAlign w:val="center"/>
          </w:tcPr>
          <w:p w14:paraId="3DDCF742"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Model abbreviation</w:t>
            </w:r>
          </w:p>
        </w:tc>
        <w:tc>
          <w:tcPr>
            <w:tcW w:w="1505" w:type="dxa"/>
            <w:tcBorders>
              <w:top w:val="single" w:sz="18" w:space="0" w:color="auto"/>
              <w:bottom w:val="single" w:sz="18" w:space="0" w:color="auto"/>
            </w:tcBorders>
            <w:vAlign w:val="center"/>
          </w:tcPr>
          <w:p w14:paraId="6106852D"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Variant label</w:t>
            </w:r>
          </w:p>
        </w:tc>
        <w:tc>
          <w:tcPr>
            <w:tcW w:w="1449" w:type="dxa"/>
            <w:tcBorders>
              <w:top w:val="single" w:sz="18" w:space="0" w:color="auto"/>
              <w:bottom w:val="single" w:sz="18" w:space="0" w:color="auto"/>
            </w:tcBorders>
            <w:vAlign w:val="center"/>
          </w:tcPr>
          <w:p w14:paraId="52300642"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historical</w:t>
            </w:r>
          </w:p>
        </w:tc>
        <w:tc>
          <w:tcPr>
            <w:tcW w:w="1177" w:type="dxa"/>
            <w:tcBorders>
              <w:top w:val="single" w:sz="18" w:space="0" w:color="auto"/>
              <w:bottom w:val="single" w:sz="18" w:space="0" w:color="auto"/>
            </w:tcBorders>
            <w:vAlign w:val="center"/>
          </w:tcPr>
          <w:p w14:paraId="176CF5EF"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Future</w:t>
            </w:r>
          </w:p>
        </w:tc>
        <w:tc>
          <w:tcPr>
            <w:tcW w:w="1140" w:type="dxa"/>
            <w:tcBorders>
              <w:top w:val="single" w:sz="18" w:space="0" w:color="auto"/>
              <w:bottom w:val="single" w:sz="18" w:space="0" w:color="auto"/>
            </w:tcBorders>
            <w:vAlign w:val="center"/>
          </w:tcPr>
          <w:p w14:paraId="4A239123"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bCs/>
                <w:sz w:val="20"/>
              </w:rPr>
              <w:t>Scenarios</w:t>
            </w:r>
          </w:p>
        </w:tc>
        <w:tc>
          <w:tcPr>
            <w:tcW w:w="1239" w:type="dxa"/>
            <w:tcBorders>
              <w:top w:val="single" w:sz="18" w:space="0" w:color="auto"/>
              <w:bottom w:val="single" w:sz="18" w:space="0" w:color="auto"/>
            </w:tcBorders>
            <w:vAlign w:val="center"/>
          </w:tcPr>
          <w:p w14:paraId="5183D836" w14:textId="77777777" w:rsidR="00645D18" w:rsidRPr="00AC5A83" w:rsidRDefault="00645D18" w:rsidP="00645D18">
            <w:pPr>
              <w:spacing w:line="360" w:lineRule="auto"/>
              <w:rPr>
                <w:rFonts w:ascii="Times New Roman" w:hAnsi="Times New Roman" w:cs="Times New Roman"/>
                <w:bCs/>
                <w:sz w:val="20"/>
              </w:rPr>
            </w:pPr>
            <w:r w:rsidRPr="00AC5A83">
              <w:rPr>
                <w:rFonts w:ascii="Times New Roman" w:hAnsi="Times New Roman" w:cs="Times New Roman"/>
                <w:bCs/>
                <w:sz w:val="20"/>
              </w:rPr>
              <w:t>Resolution</w:t>
            </w:r>
          </w:p>
        </w:tc>
      </w:tr>
      <w:tr w:rsidR="00645D18" w:rsidRPr="00AC5A83" w14:paraId="6199C047" w14:textId="77777777" w:rsidTr="00262761">
        <w:tc>
          <w:tcPr>
            <w:tcW w:w="1796" w:type="dxa"/>
            <w:tcBorders>
              <w:top w:val="single" w:sz="18" w:space="0" w:color="auto"/>
            </w:tcBorders>
          </w:tcPr>
          <w:p w14:paraId="0C937E25"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CMCC-CM2-SR5</w:t>
            </w:r>
          </w:p>
        </w:tc>
        <w:tc>
          <w:tcPr>
            <w:tcW w:w="1505" w:type="dxa"/>
            <w:tcBorders>
              <w:top w:val="single" w:sz="18" w:space="0" w:color="auto"/>
            </w:tcBorders>
          </w:tcPr>
          <w:p w14:paraId="115B09DE"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r1i1p1f1</w:t>
            </w:r>
          </w:p>
        </w:tc>
        <w:tc>
          <w:tcPr>
            <w:tcW w:w="1449" w:type="dxa"/>
            <w:tcBorders>
              <w:top w:val="single" w:sz="18" w:space="0" w:color="auto"/>
            </w:tcBorders>
          </w:tcPr>
          <w:p w14:paraId="6C963481"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2000-2014</w:t>
            </w:r>
          </w:p>
        </w:tc>
        <w:tc>
          <w:tcPr>
            <w:tcW w:w="1177" w:type="dxa"/>
            <w:tcBorders>
              <w:top w:val="single" w:sz="18" w:space="0" w:color="auto"/>
            </w:tcBorders>
          </w:tcPr>
          <w:p w14:paraId="5969352B"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2015-2100</w:t>
            </w:r>
          </w:p>
        </w:tc>
        <w:tc>
          <w:tcPr>
            <w:tcW w:w="1140" w:type="dxa"/>
            <w:tcBorders>
              <w:top w:val="single" w:sz="18" w:space="0" w:color="auto"/>
            </w:tcBorders>
          </w:tcPr>
          <w:p w14:paraId="342999A6"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SSP126, 245, 370, 585</w:t>
            </w:r>
          </w:p>
        </w:tc>
        <w:tc>
          <w:tcPr>
            <w:tcW w:w="1239" w:type="dxa"/>
            <w:tcBorders>
              <w:top w:val="single" w:sz="18" w:space="0" w:color="auto"/>
            </w:tcBorders>
          </w:tcPr>
          <w:p w14:paraId="3AF845C7"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0.94°×1.25°, monthly</w:t>
            </w:r>
          </w:p>
        </w:tc>
      </w:tr>
      <w:tr w:rsidR="00645D18" w:rsidRPr="00AC5A83" w14:paraId="207C8DF8" w14:textId="77777777" w:rsidTr="00262761">
        <w:tc>
          <w:tcPr>
            <w:tcW w:w="1796" w:type="dxa"/>
          </w:tcPr>
          <w:p w14:paraId="62724D97"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CMCC-ESM2</w:t>
            </w:r>
          </w:p>
        </w:tc>
        <w:tc>
          <w:tcPr>
            <w:tcW w:w="1505" w:type="dxa"/>
          </w:tcPr>
          <w:p w14:paraId="561785FA"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r1i1p1f1</w:t>
            </w:r>
          </w:p>
        </w:tc>
        <w:tc>
          <w:tcPr>
            <w:tcW w:w="1449" w:type="dxa"/>
          </w:tcPr>
          <w:p w14:paraId="5F7BA5C7"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2000-2014</w:t>
            </w:r>
          </w:p>
        </w:tc>
        <w:tc>
          <w:tcPr>
            <w:tcW w:w="1177" w:type="dxa"/>
          </w:tcPr>
          <w:p w14:paraId="2593BAF5"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2015-2100</w:t>
            </w:r>
          </w:p>
        </w:tc>
        <w:tc>
          <w:tcPr>
            <w:tcW w:w="1140" w:type="dxa"/>
          </w:tcPr>
          <w:p w14:paraId="2F77FF8E"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SSP126, 245, 370, 585</w:t>
            </w:r>
          </w:p>
        </w:tc>
        <w:tc>
          <w:tcPr>
            <w:tcW w:w="1239" w:type="dxa"/>
          </w:tcPr>
          <w:p w14:paraId="2993A70E"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0.94°×1.25°, monthly</w:t>
            </w:r>
          </w:p>
        </w:tc>
      </w:tr>
      <w:tr w:rsidR="00645D18" w:rsidRPr="00AC5A83" w14:paraId="705A6439" w14:textId="77777777" w:rsidTr="001354A1">
        <w:tc>
          <w:tcPr>
            <w:tcW w:w="1796" w:type="dxa"/>
            <w:tcBorders>
              <w:bottom w:val="single" w:sz="18" w:space="0" w:color="auto"/>
            </w:tcBorders>
          </w:tcPr>
          <w:p w14:paraId="655F1A50"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GFDL-ESM4</w:t>
            </w:r>
          </w:p>
        </w:tc>
        <w:tc>
          <w:tcPr>
            <w:tcW w:w="1505" w:type="dxa"/>
            <w:tcBorders>
              <w:bottom w:val="single" w:sz="18" w:space="0" w:color="auto"/>
            </w:tcBorders>
          </w:tcPr>
          <w:p w14:paraId="0C816A40"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r1i1p1f1</w:t>
            </w:r>
          </w:p>
        </w:tc>
        <w:tc>
          <w:tcPr>
            <w:tcW w:w="1449" w:type="dxa"/>
            <w:tcBorders>
              <w:bottom w:val="single" w:sz="18" w:space="0" w:color="auto"/>
            </w:tcBorders>
          </w:tcPr>
          <w:p w14:paraId="5BD5BE0A"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2000-2014</w:t>
            </w:r>
          </w:p>
        </w:tc>
        <w:tc>
          <w:tcPr>
            <w:tcW w:w="1177" w:type="dxa"/>
            <w:tcBorders>
              <w:bottom w:val="single" w:sz="18" w:space="0" w:color="auto"/>
            </w:tcBorders>
          </w:tcPr>
          <w:p w14:paraId="31E86697"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2015-2100</w:t>
            </w:r>
          </w:p>
        </w:tc>
        <w:tc>
          <w:tcPr>
            <w:tcW w:w="1140" w:type="dxa"/>
            <w:tcBorders>
              <w:bottom w:val="single" w:sz="18" w:space="0" w:color="auto"/>
            </w:tcBorders>
          </w:tcPr>
          <w:p w14:paraId="3BB48A58"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SSP126, 245, 370, 585</w:t>
            </w:r>
          </w:p>
        </w:tc>
        <w:tc>
          <w:tcPr>
            <w:tcW w:w="1239" w:type="dxa"/>
            <w:tcBorders>
              <w:bottom w:val="single" w:sz="18" w:space="0" w:color="auto"/>
            </w:tcBorders>
          </w:tcPr>
          <w:p w14:paraId="182C237E" w14:textId="77777777" w:rsidR="00645D18" w:rsidRPr="00AC5A83" w:rsidRDefault="00645D18" w:rsidP="00645D18">
            <w:pPr>
              <w:spacing w:line="360" w:lineRule="auto"/>
              <w:rPr>
                <w:rFonts w:ascii="Times New Roman" w:hAnsi="Times New Roman" w:cs="Times New Roman"/>
                <w:sz w:val="20"/>
              </w:rPr>
            </w:pPr>
            <w:r w:rsidRPr="00AC5A83">
              <w:rPr>
                <w:rFonts w:ascii="Times New Roman" w:hAnsi="Times New Roman" w:cs="Times New Roman"/>
                <w:sz w:val="20"/>
              </w:rPr>
              <w:t>1°×1.25°, monthly</w:t>
            </w:r>
          </w:p>
        </w:tc>
      </w:tr>
    </w:tbl>
    <w:p w14:paraId="6229B1FB" w14:textId="604C86EC" w:rsidR="00C23DE5" w:rsidRDefault="00645D18" w:rsidP="00694BCD">
      <w:pPr>
        <w:spacing w:before="120" w:after="120" w:line="360" w:lineRule="exact"/>
        <w:jc w:val="both"/>
        <w:rPr>
          <w:rStyle w:val="affff5"/>
          <w:szCs w:val="24"/>
        </w:rPr>
      </w:pPr>
      <w:r w:rsidRPr="00645D18">
        <w:rPr>
          <w:rFonts w:hint="eastAsia"/>
          <w:szCs w:val="24"/>
        </w:rPr>
        <w:t>A</w:t>
      </w:r>
      <w:r w:rsidRPr="00645D18">
        <w:rPr>
          <w:szCs w:val="24"/>
        </w:rPr>
        <w:t xml:space="preserve">vailability: </w:t>
      </w:r>
      <w:hyperlink r:id="rId45" w:history="1">
        <w:r w:rsidR="00C23DE5" w:rsidRPr="00B25FF0">
          <w:rPr>
            <w:rStyle w:val="affff5"/>
            <w:szCs w:val="24"/>
          </w:rPr>
          <w:t>https://esgf-node.llnl.gov/projects/cmip6/</w:t>
        </w:r>
      </w:hyperlink>
    </w:p>
    <w:p w14:paraId="72E0FD53" w14:textId="77777777" w:rsidR="000E2432" w:rsidRDefault="000E2432" w:rsidP="00694BCD">
      <w:pPr>
        <w:spacing w:before="120" w:after="120" w:line="360" w:lineRule="exact"/>
        <w:jc w:val="both"/>
        <w:rPr>
          <w:color w:val="0000FF"/>
          <w:szCs w:val="24"/>
          <w:u w:val="single"/>
        </w:rPr>
      </w:pPr>
    </w:p>
    <w:p w14:paraId="5ACBC3E1" w14:textId="77777777" w:rsidR="00790A7C" w:rsidRDefault="00790A7C" w:rsidP="00C07825">
      <w:pPr>
        <w:pStyle w:val="SMcaption"/>
        <w:spacing w:before="120" w:after="120" w:line="360" w:lineRule="exact"/>
        <w:jc w:val="both"/>
        <w:rPr>
          <w:szCs w:val="24"/>
        </w:rPr>
        <w:sectPr w:rsidR="00790A7C" w:rsidSect="009F2D07">
          <w:pgSz w:w="12240" w:h="15840"/>
          <w:pgMar w:top="1440" w:right="1440" w:bottom="1440" w:left="1440" w:header="720" w:footer="720" w:gutter="0"/>
          <w:lnNumType w:countBy="1" w:restart="continuous"/>
          <w:cols w:space="720"/>
          <w:docGrid w:linePitch="360"/>
        </w:sectPr>
      </w:pPr>
    </w:p>
    <w:p w14:paraId="672B5AB1" w14:textId="36CD95CE" w:rsidR="00B36F77" w:rsidRPr="0064193B" w:rsidRDefault="00790A7C" w:rsidP="00C07825">
      <w:pPr>
        <w:pStyle w:val="SMcaption"/>
        <w:spacing w:before="120" w:after="120" w:line="360" w:lineRule="exact"/>
        <w:jc w:val="both"/>
        <w:rPr>
          <w:b/>
          <w:szCs w:val="24"/>
          <w:lang w:eastAsia="zh-CN"/>
        </w:rPr>
      </w:pPr>
      <w:r w:rsidRPr="0064193B">
        <w:rPr>
          <w:rFonts w:hint="eastAsia"/>
          <w:b/>
          <w:szCs w:val="24"/>
          <w:lang w:eastAsia="zh-CN"/>
        </w:rPr>
        <w:lastRenderedPageBreak/>
        <w:t>Ta</w:t>
      </w:r>
      <w:r w:rsidRPr="0064193B">
        <w:rPr>
          <w:b/>
          <w:szCs w:val="24"/>
          <w:lang w:eastAsia="zh-CN"/>
        </w:rPr>
        <w:t xml:space="preserve">ble S4. Information of litterfall ground measurements and </w:t>
      </w:r>
      <w:r w:rsidR="0064193B" w:rsidRPr="0064193B">
        <w:rPr>
          <w:b/>
          <w:szCs w:val="24"/>
          <w:lang w:eastAsia="zh-CN"/>
        </w:rPr>
        <w:t xml:space="preserve">the </w:t>
      </w:r>
      <w:proofErr w:type="spellStart"/>
      <w:r w:rsidR="0064193B" w:rsidRPr="0064193B">
        <w:rPr>
          <w:b/>
          <w:szCs w:val="24"/>
          <w:lang w:eastAsia="zh-CN"/>
        </w:rPr>
        <w:t>LAI</w:t>
      </w:r>
      <w:r w:rsidR="0064193B" w:rsidRPr="0064193B">
        <w:rPr>
          <w:b/>
          <w:szCs w:val="24"/>
          <w:vertAlign w:val="subscript"/>
          <w:lang w:eastAsia="zh-CN"/>
        </w:rPr>
        <w:t>dead</w:t>
      </w:r>
      <w:proofErr w:type="spellEnd"/>
      <w:r w:rsidR="0064193B" w:rsidRPr="0064193B">
        <w:rPr>
          <w:b/>
          <w:szCs w:val="24"/>
          <w:lang w:eastAsia="zh-CN"/>
        </w:rPr>
        <w:t xml:space="preserve"> validation of individual site.</w:t>
      </w:r>
    </w:p>
    <w:tbl>
      <w:tblPr>
        <w:tblStyle w:val="affffa"/>
        <w:tblW w:w="0" w:type="auto"/>
        <w:tblLook w:val="04A0" w:firstRow="1" w:lastRow="0" w:firstColumn="1" w:lastColumn="0" w:noHBand="0" w:noVBand="1"/>
      </w:tblPr>
      <w:tblGrid>
        <w:gridCol w:w="988"/>
        <w:gridCol w:w="2551"/>
        <w:gridCol w:w="992"/>
        <w:gridCol w:w="993"/>
        <w:gridCol w:w="1134"/>
        <w:gridCol w:w="1112"/>
        <w:gridCol w:w="1295"/>
        <w:gridCol w:w="1295"/>
        <w:gridCol w:w="1295"/>
        <w:gridCol w:w="1295"/>
      </w:tblGrid>
      <w:tr w:rsidR="0064193B" w:rsidRPr="00AC5A83" w14:paraId="7DC56724" w14:textId="77777777" w:rsidTr="007112A8">
        <w:trPr>
          <w:trHeight w:hRule="exact" w:val="454"/>
        </w:trPr>
        <w:tc>
          <w:tcPr>
            <w:tcW w:w="988" w:type="dxa"/>
            <w:vMerge w:val="restart"/>
            <w:vAlign w:val="center"/>
          </w:tcPr>
          <w:p w14:paraId="5B3A011D" w14:textId="69A95466" w:rsidR="00AF6508" w:rsidRPr="00AC5A83" w:rsidRDefault="0064193B" w:rsidP="00CA7BCB">
            <w:pPr>
              <w:pStyle w:val="SMcaption"/>
              <w:spacing w:before="120" w:after="120" w:line="360" w:lineRule="auto"/>
              <w:jc w:val="center"/>
              <w:rPr>
                <w:rFonts w:ascii="Times New Roman" w:hAnsi="Times New Roman" w:cs="Times New Roman"/>
                <w:b/>
                <w:sz w:val="20"/>
                <w:szCs w:val="20"/>
              </w:rPr>
            </w:pPr>
            <w:r w:rsidRPr="00AC5A83">
              <w:rPr>
                <w:rFonts w:ascii="Times New Roman" w:hAnsi="Times New Roman" w:cs="Times New Roman"/>
                <w:b/>
                <w:sz w:val="20"/>
                <w:szCs w:val="20"/>
              </w:rPr>
              <w:t>Biome</w:t>
            </w:r>
          </w:p>
        </w:tc>
        <w:tc>
          <w:tcPr>
            <w:tcW w:w="2551" w:type="dxa"/>
            <w:vMerge w:val="restart"/>
            <w:vAlign w:val="center"/>
          </w:tcPr>
          <w:p w14:paraId="5B499AFD" w14:textId="3AD08F3F" w:rsidR="0064193B" w:rsidRPr="00AC5A83" w:rsidRDefault="0064193B" w:rsidP="00CA7BCB">
            <w:pPr>
              <w:pStyle w:val="SMcaption"/>
              <w:spacing w:before="120" w:after="120" w:line="360" w:lineRule="auto"/>
              <w:jc w:val="center"/>
              <w:rPr>
                <w:rFonts w:ascii="Times New Roman" w:hAnsi="Times New Roman" w:cs="Times New Roman"/>
                <w:b/>
                <w:sz w:val="20"/>
                <w:szCs w:val="20"/>
              </w:rPr>
            </w:pPr>
            <w:r w:rsidRPr="00AC5A83">
              <w:rPr>
                <w:rFonts w:ascii="Times New Roman" w:hAnsi="Times New Roman" w:cs="Times New Roman"/>
                <w:b/>
                <w:sz w:val="20"/>
                <w:szCs w:val="20"/>
              </w:rPr>
              <w:t>Site</w:t>
            </w:r>
          </w:p>
        </w:tc>
        <w:tc>
          <w:tcPr>
            <w:tcW w:w="992" w:type="dxa"/>
            <w:vMerge w:val="restart"/>
            <w:vAlign w:val="center"/>
          </w:tcPr>
          <w:p w14:paraId="31CBB381" w14:textId="6A6AD148" w:rsidR="0064193B" w:rsidRPr="00AC5A83" w:rsidRDefault="0064193B" w:rsidP="00CA7BCB">
            <w:pPr>
              <w:pStyle w:val="SMcaption"/>
              <w:spacing w:before="120" w:after="120" w:line="360" w:lineRule="auto"/>
              <w:jc w:val="center"/>
              <w:rPr>
                <w:rFonts w:ascii="Times New Roman" w:hAnsi="Times New Roman" w:cs="Times New Roman"/>
                <w:b/>
                <w:sz w:val="20"/>
                <w:szCs w:val="20"/>
              </w:rPr>
            </w:pPr>
            <w:r w:rsidRPr="00AC5A83">
              <w:rPr>
                <w:rFonts w:ascii="Times New Roman" w:hAnsi="Times New Roman" w:cs="Times New Roman"/>
                <w:b/>
                <w:sz w:val="20"/>
                <w:szCs w:val="20"/>
              </w:rPr>
              <w:t>Lat</w:t>
            </w:r>
          </w:p>
        </w:tc>
        <w:tc>
          <w:tcPr>
            <w:tcW w:w="993" w:type="dxa"/>
            <w:vMerge w:val="restart"/>
            <w:vAlign w:val="center"/>
          </w:tcPr>
          <w:p w14:paraId="6EB21C4D" w14:textId="3E65A26B" w:rsidR="0064193B" w:rsidRPr="00AC5A83" w:rsidRDefault="0064193B" w:rsidP="00CA7BCB">
            <w:pPr>
              <w:pStyle w:val="SMcaption"/>
              <w:spacing w:before="120" w:after="120" w:line="360" w:lineRule="auto"/>
              <w:jc w:val="center"/>
              <w:rPr>
                <w:rFonts w:ascii="Times New Roman" w:hAnsi="Times New Roman" w:cs="Times New Roman"/>
                <w:b/>
                <w:sz w:val="20"/>
                <w:szCs w:val="20"/>
              </w:rPr>
            </w:pPr>
            <w:r w:rsidRPr="00AC5A83">
              <w:rPr>
                <w:rFonts w:ascii="Times New Roman" w:hAnsi="Times New Roman" w:cs="Times New Roman"/>
                <w:b/>
                <w:sz w:val="20"/>
                <w:szCs w:val="20"/>
              </w:rPr>
              <w:t>Lon</w:t>
            </w:r>
          </w:p>
        </w:tc>
        <w:tc>
          <w:tcPr>
            <w:tcW w:w="1134" w:type="dxa"/>
            <w:vMerge w:val="restart"/>
            <w:vAlign w:val="center"/>
          </w:tcPr>
          <w:p w14:paraId="41F497E7" w14:textId="13DE2937" w:rsidR="0064193B" w:rsidRPr="00AC5A83" w:rsidRDefault="0064193B" w:rsidP="00CA7BCB">
            <w:pPr>
              <w:pStyle w:val="SMcaption"/>
              <w:spacing w:before="120" w:after="120" w:line="360" w:lineRule="auto"/>
              <w:jc w:val="center"/>
              <w:rPr>
                <w:rFonts w:ascii="Times New Roman" w:hAnsi="Times New Roman" w:cs="Times New Roman"/>
                <w:b/>
                <w:sz w:val="20"/>
                <w:szCs w:val="20"/>
              </w:rPr>
            </w:pPr>
            <w:r w:rsidRPr="00AC5A83">
              <w:rPr>
                <w:rFonts w:ascii="Times New Roman" w:hAnsi="Times New Roman" w:cs="Times New Roman"/>
                <w:b/>
                <w:sz w:val="20"/>
                <w:szCs w:val="20"/>
              </w:rPr>
              <w:t>Country</w:t>
            </w:r>
          </w:p>
        </w:tc>
        <w:tc>
          <w:tcPr>
            <w:tcW w:w="1112" w:type="dxa"/>
            <w:vMerge w:val="restart"/>
            <w:vAlign w:val="center"/>
          </w:tcPr>
          <w:p w14:paraId="5F746257" w14:textId="00316CB9" w:rsidR="0064193B" w:rsidRPr="00AC5A83" w:rsidRDefault="0064193B" w:rsidP="00CA7BCB">
            <w:pPr>
              <w:pStyle w:val="SMcaption"/>
              <w:spacing w:before="120" w:after="120" w:line="360" w:lineRule="auto"/>
              <w:jc w:val="center"/>
              <w:rPr>
                <w:rFonts w:ascii="Times New Roman" w:hAnsi="Times New Roman" w:cs="Times New Roman"/>
                <w:b/>
                <w:sz w:val="20"/>
                <w:szCs w:val="20"/>
              </w:rPr>
            </w:pPr>
            <w:r w:rsidRPr="00AC5A83">
              <w:rPr>
                <w:rFonts w:ascii="Times New Roman" w:hAnsi="Times New Roman" w:cs="Times New Roman"/>
                <w:b/>
                <w:sz w:val="20"/>
                <w:szCs w:val="20"/>
              </w:rPr>
              <w:t>Period</w:t>
            </w:r>
          </w:p>
        </w:tc>
        <w:tc>
          <w:tcPr>
            <w:tcW w:w="2590" w:type="dxa"/>
            <w:gridSpan w:val="2"/>
            <w:vAlign w:val="center"/>
          </w:tcPr>
          <w:p w14:paraId="4B36CA74" w14:textId="01AC6D99" w:rsidR="0064193B" w:rsidRPr="00AC5A83" w:rsidRDefault="0064193B" w:rsidP="00CA7BCB">
            <w:pPr>
              <w:pStyle w:val="SMcaption"/>
              <w:spacing w:before="120" w:after="120" w:line="360" w:lineRule="auto"/>
              <w:jc w:val="center"/>
              <w:rPr>
                <w:rFonts w:ascii="Times New Roman" w:hAnsi="Times New Roman" w:cs="Times New Roman"/>
                <w:b/>
                <w:sz w:val="20"/>
                <w:szCs w:val="20"/>
              </w:rPr>
            </w:pPr>
            <w:r w:rsidRPr="00AC5A83">
              <w:rPr>
                <w:rFonts w:ascii="Times New Roman" w:hAnsi="Times New Roman" w:cs="Times New Roman"/>
                <w:b/>
                <w:sz w:val="20"/>
                <w:szCs w:val="20"/>
              </w:rPr>
              <w:t>GLASS 0.25° LAI</w:t>
            </w:r>
          </w:p>
        </w:tc>
        <w:tc>
          <w:tcPr>
            <w:tcW w:w="2590" w:type="dxa"/>
            <w:gridSpan w:val="2"/>
            <w:vAlign w:val="center"/>
          </w:tcPr>
          <w:p w14:paraId="2786E9D5" w14:textId="1B5D77C1" w:rsidR="0064193B" w:rsidRPr="00AC5A83" w:rsidRDefault="0064193B" w:rsidP="00CA7BCB">
            <w:pPr>
              <w:pStyle w:val="SMcaption"/>
              <w:spacing w:before="120" w:after="120" w:line="360" w:lineRule="auto"/>
              <w:jc w:val="center"/>
              <w:rPr>
                <w:rFonts w:ascii="Times New Roman" w:hAnsi="Times New Roman" w:cs="Times New Roman"/>
                <w:b/>
                <w:sz w:val="20"/>
                <w:szCs w:val="20"/>
              </w:rPr>
            </w:pPr>
            <w:r w:rsidRPr="00AC5A83">
              <w:rPr>
                <w:rFonts w:ascii="Times New Roman" w:hAnsi="Times New Roman" w:cs="Times New Roman"/>
                <w:b/>
                <w:sz w:val="20"/>
                <w:szCs w:val="20"/>
              </w:rPr>
              <w:t>GLASS 500m LAI</w:t>
            </w:r>
            <w:r w:rsidRPr="00AC5A83">
              <w:rPr>
                <w:rFonts w:ascii="Times New Roman" w:hAnsi="Times New Roman" w:cs="Times New Roman"/>
                <w:b/>
                <w:sz w:val="20"/>
                <w:szCs w:val="20"/>
                <w:vertAlign w:val="superscript"/>
              </w:rPr>
              <w:t>1</w:t>
            </w:r>
          </w:p>
        </w:tc>
      </w:tr>
      <w:tr w:rsidR="0064193B" w:rsidRPr="00AC5A83" w14:paraId="5AD7C5CD" w14:textId="77777777" w:rsidTr="007112A8">
        <w:trPr>
          <w:trHeight w:hRule="exact" w:val="454"/>
        </w:trPr>
        <w:tc>
          <w:tcPr>
            <w:tcW w:w="988" w:type="dxa"/>
            <w:vMerge/>
            <w:vAlign w:val="center"/>
          </w:tcPr>
          <w:p w14:paraId="1912DD52" w14:textId="77777777" w:rsidR="0064193B" w:rsidRPr="00AC5A83" w:rsidRDefault="0064193B" w:rsidP="00CA7BCB">
            <w:pPr>
              <w:pStyle w:val="SMcaption"/>
              <w:spacing w:before="120" w:after="120" w:line="360" w:lineRule="auto"/>
              <w:jc w:val="center"/>
              <w:rPr>
                <w:rFonts w:ascii="Times New Roman" w:hAnsi="Times New Roman" w:cs="Times New Roman"/>
                <w:b/>
                <w:sz w:val="20"/>
                <w:szCs w:val="20"/>
              </w:rPr>
            </w:pPr>
          </w:p>
        </w:tc>
        <w:tc>
          <w:tcPr>
            <w:tcW w:w="2551" w:type="dxa"/>
            <w:vMerge/>
            <w:vAlign w:val="center"/>
          </w:tcPr>
          <w:p w14:paraId="03C15568" w14:textId="77777777" w:rsidR="0064193B" w:rsidRPr="00AC5A83" w:rsidRDefault="0064193B" w:rsidP="00CA7BCB">
            <w:pPr>
              <w:pStyle w:val="SMcaption"/>
              <w:spacing w:before="120" w:after="120" w:line="360" w:lineRule="auto"/>
              <w:jc w:val="center"/>
              <w:rPr>
                <w:rFonts w:ascii="Times New Roman" w:hAnsi="Times New Roman" w:cs="Times New Roman"/>
                <w:b/>
                <w:sz w:val="20"/>
                <w:szCs w:val="20"/>
              </w:rPr>
            </w:pPr>
          </w:p>
        </w:tc>
        <w:tc>
          <w:tcPr>
            <w:tcW w:w="992" w:type="dxa"/>
            <w:vMerge/>
            <w:vAlign w:val="center"/>
          </w:tcPr>
          <w:p w14:paraId="2AF61641" w14:textId="77777777" w:rsidR="0064193B" w:rsidRPr="00AC5A83" w:rsidRDefault="0064193B" w:rsidP="00CA7BCB">
            <w:pPr>
              <w:pStyle w:val="SMcaption"/>
              <w:spacing w:before="120" w:after="120" w:line="360" w:lineRule="auto"/>
              <w:jc w:val="center"/>
              <w:rPr>
                <w:rFonts w:ascii="Times New Roman" w:hAnsi="Times New Roman" w:cs="Times New Roman"/>
                <w:b/>
                <w:sz w:val="20"/>
                <w:szCs w:val="20"/>
              </w:rPr>
            </w:pPr>
          </w:p>
        </w:tc>
        <w:tc>
          <w:tcPr>
            <w:tcW w:w="993" w:type="dxa"/>
            <w:vMerge/>
            <w:vAlign w:val="center"/>
          </w:tcPr>
          <w:p w14:paraId="3DC07A2E" w14:textId="77777777" w:rsidR="0064193B" w:rsidRPr="00AC5A83" w:rsidRDefault="0064193B" w:rsidP="00CA7BCB">
            <w:pPr>
              <w:pStyle w:val="SMcaption"/>
              <w:spacing w:before="120" w:after="120" w:line="360" w:lineRule="auto"/>
              <w:jc w:val="center"/>
              <w:rPr>
                <w:rFonts w:ascii="Times New Roman" w:hAnsi="Times New Roman" w:cs="Times New Roman"/>
                <w:b/>
                <w:sz w:val="20"/>
                <w:szCs w:val="20"/>
              </w:rPr>
            </w:pPr>
          </w:p>
        </w:tc>
        <w:tc>
          <w:tcPr>
            <w:tcW w:w="1134" w:type="dxa"/>
            <w:vMerge/>
            <w:vAlign w:val="center"/>
          </w:tcPr>
          <w:p w14:paraId="1C1C03E4" w14:textId="77777777" w:rsidR="0064193B" w:rsidRPr="00AC5A83" w:rsidRDefault="0064193B" w:rsidP="00CA7BCB">
            <w:pPr>
              <w:pStyle w:val="SMcaption"/>
              <w:spacing w:before="120" w:after="120" w:line="360" w:lineRule="auto"/>
              <w:jc w:val="center"/>
              <w:rPr>
                <w:rFonts w:ascii="Times New Roman" w:hAnsi="Times New Roman" w:cs="Times New Roman"/>
                <w:b/>
                <w:sz w:val="20"/>
                <w:szCs w:val="20"/>
              </w:rPr>
            </w:pPr>
          </w:p>
        </w:tc>
        <w:tc>
          <w:tcPr>
            <w:tcW w:w="1112" w:type="dxa"/>
            <w:vMerge/>
            <w:vAlign w:val="center"/>
          </w:tcPr>
          <w:p w14:paraId="79CDF8BF" w14:textId="77777777" w:rsidR="0064193B" w:rsidRPr="00AC5A83" w:rsidRDefault="0064193B" w:rsidP="00CA7BCB">
            <w:pPr>
              <w:pStyle w:val="SMcaption"/>
              <w:spacing w:before="120" w:after="120" w:line="360" w:lineRule="auto"/>
              <w:jc w:val="center"/>
              <w:rPr>
                <w:rFonts w:ascii="Times New Roman" w:hAnsi="Times New Roman" w:cs="Times New Roman"/>
                <w:b/>
                <w:sz w:val="20"/>
                <w:szCs w:val="20"/>
              </w:rPr>
            </w:pPr>
          </w:p>
        </w:tc>
        <w:tc>
          <w:tcPr>
            <w:tcW w:w="1295" w:type="dxa"/>
            <w:vAlign w:val="center"/>
          </w:tcPr>
          <w:p w14:paraId="6DCCBD0E" w14:textId="300097E8" w:rsidR="0064193B" w:rsidRPr="00AC5A83" w:rsidRDefault="0064193B" w:rsidP="00CA7BCB">
            <w:pPr>
              <w:pStyle w:val="SMcaption"/>
              <w:spacing w:before="120" w:after="120" w:line="360" w:lineRule="auto"/>
              <w:jc w:val="center"/>
              <w:rPr>
                <w:rFonts w:ascii="Times New Roman" w:hAnsi="Times New Roman" w:cs="Times New Roman"/>
                <w:b/>
                <w:sz w:val="20"/>
                <w:szCs w:val="20"/>
              </w:rPr>
            </w:pPr>
            <w:r w:rsidRPr="00AC5A83">
              <w:rPr>
                <w:rFonts w:ascii="Times New Roman" w:hAnsi="Times New Roman" w:cs="Times New Roman"/>
                <w:b/>
                <w:sz w:val="20"/>
                <w:szCs w:val="20"/>
              </w:rPr>
              <w:t>n</w:t>
            </w:r>
          </w:p>
        </w:tc>
        <w:tc>
          <w:tcPr>
            <w:tcW w:w="1295" w:type="dxa"/>
            <w:vAlign w:val="center"/>
          </w:tcPr>
          <w:p w14:paraId="627DC416" w14:textId="21D05B97" w:rsidR="0064193B" w:rsidRPr="00AC5A83" w:rsidRDefault="0064193B" w:rsidP="00CA7BCB">
            <w:pPr>
              <w:pStyle w:val="SMcaption"/>
              <w:spacing w:before="120" w:after="120" w:line="360" w:lineRule="auto"/>
              <w:jc w:val="center"/>
              <w:rPr>
                <w:rFonts w:ascii="Times New Roman" w:hAnsi="Times New Roman" w:cs="Times New Roman"/>
                <w:b/>
                <w:sz w:val="20"/>
                <w:szCs w:val="20"/>
              </w:rPr>
            </w:pPr>
            <w:r w:rsidRPr="00AC5A83">
              <w:rPr>
                <w:rFonts w:ascii="Times New Roman" w:hAnsi="Times New Roman" w:cs="Times New Roman"/>
                <w:b/>
                <w:sz w:val="20"/>
                <w:szCs w:val="20"/>
              </w:rPr>
              <w:t>R</w:t>
            </w:r>
          </w:p>
        </w:tc>
        <w:tc>
          <w:tcPr>
            <w:tcW w:w="1295" w:type="dxa"/>
            <w:vAlign w:val="center"/>
          </w:tcPr>
          <w:p w14:paraId="0DD85F87" w14:textId="51566BE9" w:rsidR="0064193B" w:rsidRPr="00AC5A83" w:rsidRDefault="0064193B" w:rsidP="00CA7BCB">
            <w:pPr>
              <w:pStyle w:val="SMcaption"/>
              <w:spacing w:before="120" w:after="120" w:line="360" w:lineRule="auto"/>
              <w:jc w:val="center"/>
              <w:rPr>
                <w:rFonts w:ascii="Times New Roman" w:hAnsi="Times New Roman" w:cs="Times New Roman"/>
                <w:b/>
                <w:sz w:val="20"/>
                <w:szCs w:val="20"/>
              </w:rPr>
            </w:pPr>
            <w:r w:rsidRPr="00AC5A83">
              <w:rPr>
                <w:rFonts w:ascii="Times New Roman" w:hAnsi="Times New Roman" w:cs="Times New Roman"/>
                <w:b/>
                <w:sz w:val="20"/>
                <w:szCs w:val="20"/>
              </w:rPr>
              <w:t>n</w:t>
            </w:r>
          </w:p>
        </w:tc>
        <w:tc>
          <w:tcPr>
            <w:tcW w:w="1295" w:type="dxa"/>
            <w:vAlign w:val="center"/>
          </w:tcPr>
          <w:p w14:paraId="40D58839" w14:textId="7B76A6BD" w:rsidR="0064193B" w:rsidRPr="00AC5A83" w:rsidRDefault="0064193B" w:rsidP="00CA7BCB">
            <w:pPr>
              <w:pStyle w:val="SMcaption"/>
              <w:spacing w:before="120" w:after="120" w:line="360" w:lineRule="auto"/>
              <w:jc w:val="center"/>
              <w:rPr>
                <w:rFonts w:ascii="Times New Roman" w:hAnsi="Times New Roman" w:cs="Times New Roman"/>
                <w:b/>
                <w:sz w:val="20"/>
                <w:szCs w:val="20"/>
              </w:rPr>
            </w:pPr>
            <w:r w:rsidRPr="00AC5A83">
              <w:rPr>
                <w:rFonts w:ascii="Times New Roman" w:hAnsi="Times New Roman" w:cs="Times New Roman"/>
                <w:b/>
                <w:sz w:val="20"/>
                <w:szCs w:val="20"/>
              </w:rPr>
              <w:t>R</w:t>
            </w:r>
          </w:p>
        </w:tc>
      </w:tr>
      <w:tr w:rsidR="003C2780" w:rsidRPr="00AC5A83" w14:paraId="0A1C9184" w14:textId="77777777" w:rsidTr="007112A8">
        <w:trPr>
          <w:trHeight w:hRule="exact" w:val="454"/>
        </w:trPr>
        <w:tc>
          <w:tcPr>
            <w:tcW w:w="988" w:type="dxa"/>
            <w:vMerge w:val="restart"/>
            <w:vAlign w:val="center"/>
          </w:tcPr>
          <w:p w14:paraId="22CC342C" w14:textId="7B475947"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EBF</w:t>
            </w:r>
          </w:p>
        </w:tc>
        <w:tc>
          <w:tcPr>
            <w:tcW w:w="2551" w:type="dxa"/>
            <w:vAlign w:val="center"/>
          </w:tcPr>
          <w:p w14:paraId="0EFA48A4" w14:textId="0428BC9E" w:rsidR="003C2780" w:rsidRPr="00AC5A83" w:rsidRDefault="003C2780" w:rsidP="00CA7BCB">
            <w:pPr>
              <w:pStyle w:val="SMcaption"/>
              <w:spacing w:before="120" w:after="120" w:line="360" w:lineRule="auto"/>
              <w:jc w:val="center"/>
              <w:rPr>
                <w:rFonts w:ascii="Times New Roman" w:hAnsi="Times New Roman" w:cs="Times New Roman"/>
                <w:sz w:val="20"/>
                <w:szCs w:val="20"/>
              </w:rPr>
            </w:pPr>
            <w:proofErr w:type="spellStart"/>
            <w:r w:rsidRPr="00AC5A83">
              <w:rPr>
                <w:rFonts w:ascii="Times New Roman" w:hAnsi="Times New Roman" w:cs="Times New Roman"/>
                <w:sz w:val="20"/>
                <w:szCs w:val="20"/>
              </w:rPr>
              <w:t>Bubeng</w:t>
            </w:r>
            <w:proofErr w:type="spellEnd"/>
          </w:p>
        </w:tc>
        <w:tc>
          <w:tcPr>
            <w:tcW w:w="992" w:type="dxa"/>
            <w:vAlign w:val="center"/>
          </w:tcPr>
          <w:p w14:paraId="32C16816" w14:textId="3BE1B842" w:rsidR="003C2780" w:rsidRPr="00AC5A83" w:rsidRDefault="00AF650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21.60</w:t>
            </w:r>
          </w:p>
        </w:tc>
        <w:tc>
          <w:tcPr>
            <w:tcW w:w="993" w:type="dxa"/>
            <w:vAlign w:val="center"/>
          </w:tcPr>
          <w:p w14:paraId="40C2E9C9" w14:textId="25ACF260" w:rsidR="003C2780" w:rsidRPr="00AC5A83" w:rsidRDefault="00AF650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101.58</w:t>
            </w:r>
          </w:p>
        </w:tc>
        <w:tc>
          <w:tcPr>
            <w:tcW w:w="1134" w:type="dxa"/>
            <w:vAlign w:val="center"/>
          </w:tcPr>
          <w:p w14:paraId="108F9D0A" w14:textId="1E01E679"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China</w:t>
            </w:r>
          </w:p>
        </w:tc>
        <w:tc>
          <w:tcPr>
            <w:tcW w:w="1112" w:type="dxa"/>
            <w:vAlign w:val="center"/>
          </w:tcPr>
          <w:p w14:paraId="70883403" w14:textId="09DD71F0"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2011-2020</w:t>
            </w:r>
          </w:p>
        </w:tc>
        <w:tc>
          <w:tcPr>
            <w:tcW w:w="1295" w:type="dxa"/>
            <w:vAlign w:val="center"/>
          </w:tcPr>
          <w:p w14:paraId="34405DD0" w14:textId="23C3E358"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10</w:t>
            </w:r>
          </w:p>
        </w:tc>
        <w:tc>
          <w:tcPr>
            <w:tcW w:w="1295" w:type="dxa"/>
            <w:vAlign w:val="center"/>
          </w:tcPr>
          <w:p w14:paraId="245BBED2" w14:textId="19CA15F7"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0.86</w:t>
            </w:r>
            <w:r w:rsidRPr="00AC5A83">
              <w:rPr>
                <w:rFonts w:ascii="Times New Roman" w:hAnsi="Times New Roman" w:cs="Times New Roman"/>
                <w:sz w:val="20"/>
                <w:szCs w:val="20"/>
                <w:vertAlign w:val="superscript"/>
              </w:rPr>
              <w:t>***</w:t>
            </w:r>
          </w:p>
        </w:tc>
        <w:tc>
          <w:tcPr>
            <w:tcW w:w="1295" w:type="dxa"/>
            <w:vAlign w:val="center"/>
          </w:tcPr>
          <w:p w14:paraId="6EB431FD" w14:textId="437E56C0"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10</w:t>
            </w:r>
          </w:p>
        </w:tc>
        <w:tc>
          <w:tcPr>
            <w:tcW w:w="1295" w:type="dxa"/>
            <w:vAlign w:val="center"/>
          </w:tcPr>
          <w:p w14:paraId="11EE9D7D" w14:textId="256644C2"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0.72</w:t>
            </w:r>
            <w:r w:rsidRPr="00AC5A83">
              <w:rPr>
                <w:rFonts w:ascii="Times New Roman" w:hAnsi="Times New Roman" w:cs="Times New Roman"/>
                <w:sz w:val="20"/>
                <w:szCs w:val="20"/>
                <w:vertAlign w:val="superscript"/>
              </w:rPr>
              <w:t>**</w:t>
            </w:r>
          </w:p>
        </w:tc>
      </w:tr>
      <w:tr w:rsidR="003C2780" w:rsidRPr="00AC5A83" w14:paraId="459623E1" w14:textId="77777777" w:rsidTr="007112A8">
        <w:trPr>
          <w:trHeight w:hRule="exact" w:val="454"/>
        </w:trPr>
        <w:tc>
          <w:tcPr>
            <w:tcW w:w="988" w:type="dxa"/>
            <w:vMerge/>
            <w:vAlign w:val="center"/>
          </w:tcPr>
          <w:p w14:paraId="050724E9" w14:textId="77777777" w:rsidR="003C2780" w:rsidRPr="00AC5A83" w:rsidRDefault="003C2780" w:rsidP="00CA7BCB">
            <w:pPr>
              <w:pStyle w:val="SMcaption"/>
              <w:spacing w:before="120" w:after="120" w:line="360" w:lineRule="auto"/>
              <w:jc w:val="center"/>
              <w:rPr>
                <w:rFonts w:ascii="Times New Roman" w:hAnsi="Times New Roman" w:cs="Times New Roman"/>
                <w:sz w:val="20"/>
                <w:szCs w:val="20"/>
              </w:rPr>
            </w:pPr>
          </w:p>
        </w:tc>
        <w:tc>
          <w:tcPr>
            <w:tcW w:w="2551" w:type="dxa"/>
            <w:vAlign w:val="center"/>
          </w:tcPr>
          <w:p w14:paraId="7E1FBBB5" w14:textId="05CD886A" w:rsidR="003C2780" w:rsidRPr="00AC5A83" w:rsidRDefault="003C2780" w:rsidP="00CA7BCB">
            <w:pPr>
              <w:pStyle w:val="SMcaption"/>
              <w:spacing w:before="120" w:after="120" w:line="360" w:lineRule="auto"/>
              <w:jc w:val="center"/>
              <w:rPr>
                <w:rFonts w:ascii="Times New Roman" w:hAnsi="Times New Roman" w:cs="Times New Roman"/>
                <w:sz w:val="20"/>
                <w:szCs w:val="20"/>
              </w:rPr>
            </w:pPr>
            <w:proofErr w:type="spellStart"/>
            <w:r w:rsidRPr="00AC5A83">
              <w:rPr>
                <w:rFonts w:ascii="Times New Roman" w:hAnsi="Times New Roman" w:cs="Times New Roman"/>
                <w:sz w:val="20"/>
                <w:szCs w:val="20"/>
              </w:rPr>
              <w:t>Menglun</w:t>
            </w:r>
            <w:proofErr w:type="spellEnd"/>
          </w:p>
        </w:tc>
        <w:tc>
          <w:tcPr>
            <w:tcW w:w="992" w:type="dxa"/>
            <w:vAlign w:val="center"/>
          </w:tcPr>
          <w:p w14:paraId="22711062" w14:textId="277CA5A4" w:rsidR="003C2780" w:rsidRPr="00AC5A83" w:rsidRDefault="00AF650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21.92</w:t>
            </w:r>
          </w:p>
        </w:tc>
        <w:tc>
          <w:tcPr>
            <w:tcW w:w="993" w:type="dxa"/>
            <w:vAlign w:val="center"/>
          </w:tcPr>
          <w:p w14:paraId="668E3C5E" w14:textId="700DDD36" w:rsidR="003C2780" w:rsidRPr="00AC5A83" w:rsidRDefault="00AF650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101.27</w:t>
            </w:r>
          </w:p>
        </w:tc>
        <w:tc>
          <w:tcPr>
            <w:tcW w:w="1134" w:type="dxa"/>
            <w:vAlign w:val="center"/>
          </w:tcPr>
          <w:p w14:paraId="79AEC7E6" w14:textId="1424869F"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China</w:t>
            </w:r>
          </w:p>
        </w:tc>
        <w:tc>
          <w:tcPr>
            <w:tcW w:w="1112" w:type="dxa"/>
            <w:vAlign w:val="center"/>
          </w:tcPr>
          <w:p w14:paraId="4137B605" w14:textId="55E49453"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2006-2020</w:t>
            </w:r>
          </w:p>
        </w:tc>
        <w:tc>
          <w:tcPr>
            <w:tcW w:w="1295" w:type="dxa"/>
            <w:vAlign w:val="center"/>
          </w:tcPr>
          <w:p w14:paraId="114EB436" w14:textId="5CC3ABC4"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14</w:t>
            </w:r>
          </w:p>
        </w:tc>
        <w:tc>
          <w:tcPr>
            <w:tcW w:w="1295" w:type="dxa"/>
            <w:vAlign w:val="center"/>
          </w:tcPr>
          <w:p w14:paraId="13643FA8" w14:textId="2EA51AAA"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0.76</w:t>
            </w:r>
            <w:r w:rsidRPr="00AC5A83">
              <w:rPr>
                <w:rFonts w:ascii="Times New Roman" w:hAnsi="Times New Roman" w:cs="Times New Roman"/>
                <w:sz w:val="20"/>
                <w:szCs w:val="20"/>
                <w:vertAlign w:val="superscript"/>
              </w:rPr>
              <w:t>***</w:t>
            </w:r>
          </w:p>
        </w:tc>
        <w:tc>
          <w:tcPr>
            <w:tcW w:w="1295" w:type="dxa"/>
            <w:vAlign w:val="center"/>
          </w:tcPr>
          <w:p w14:paraId="07EAC0D0" w14:textId="135B093D"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14</w:t>
            </w:r>
          </w:p>
        </w:tc>
        <w:tc>
          <w:tcPr>
            <w:tcW w:w="1295" w:type="dxa"/>
            <w:vAlign w:val="center"/>
          </w:tcPr>
          <w:p w14:paraId="53F3A88E" w14:textId="22263567"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0.67</w:t>
            </w:r>
            <w:r w:rsidRPr="00AC5A83">
              <w:rPr>
                <w:rFonts w:ascii="Times New Roman" w:hAnsi="Times New Roman" w:cs="Times New Roman"/>
                <w:sz w:val="20"/>
                <w:szCs w:val="20"/>
                <w:vertAlign w:val="superscript"/>
              </w:rPr>
              <w:t>***</w:t>
            </w:r>
          </w:p>
        </w:tc>
      </w:tr>
      <w:tr w:rsidR="003C2780" w:rsidRPr="00AC5A83" w14:paraId="51295258" w14:textId="77777777" w:rsidTr="007112A8">
        <w:trPr>
          <w:trHeight w:hRule="exact" w:val="454"/>
        </w:trPr>
        <w:tc>
          <w:tcPr>
            <w:tcW w:w="988" w:type="dxa"/>
            <w:vMerge/>
            <w:vAlign w:val="center"/>
          </w:tcPr>
          <w:p w14:paraId="2BEB55D7" w14:textId="77777777" w:rsidR="003C2780" w:rsidRPr="00AC5A83" w:rsidRDefault="003C2780" w:rsidP="00CA7BCB">
            <w:pPr>
              <w:pStyle w:val="SMcaption"/>
              <w:spacing w:before="120" w:after="120" w:line="360" w:lineRule="auto"/>
              <w:jc w:val="center"/>
              <w:rPr>
                <w:rFonts w:ascii="Times New Roman" w:hAnsi="Times New Roman" w:cs="Times New Roman"/>
                <w:sz w:val="20"/>
                <w:szCs w:val="20"/>
              </w:rPr>
            </w:pPr>
          </w:p>
        </w:tc>
        <w:tc>
          <w:tcPr>
            <w:tcW w:w="2551" w:type="dxa"/>
            <w:vAlign w:val="center"/>
          </w:tcPr>
          <w:p w14:paraId="7E48F08B" w14:textId="461EFB8A"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BCI</w:t>
            </w:r>
          </w:p>
        </w:tc>
        <w:tc>
          <w:tcPr>
            <w:tcW w:w="992" w:type="dxa"/>
            <w:vAlign w:val="center"/>
          </w:tcPr>
          <w:p w14:paraId="4F4103B9" w14:textId="4ED07790" w:rsidR="003C2780" w:rsidRPr="00AC5A83" w:rsidRDefault="00AF650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9.15</w:t>
            </w:r>
          </w:p>
        </w:tc>
        <w:tc>
          <w:tcPr>
            <w:tcW w:w="993" w:type="dxa"/>
            <w:vAlign w:val="center"/>
          </w:tcPr>
          <w:p w14:paraId="0C38BA89" w14:textId="1B533443" w:rsidR="003C2780" w:rsidRPr="00AC5A83" w:rsidRDefault="00AF650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-79.83</w:t>
            </w:r>
          </w:p>
        </w:tc>
        <w:tc>
          <w:tcPr>
            <w:tcW w:w="1134" w:type="dxa"/>
            <w:vAlign w:val="center"/>
          </w:tcPr>
          <w:p w14:paraId="7758C394" w14:textId="4A473B5D"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Panama</w:t>
            </w:r>
          </w:p>
        </w:tc>
        <w:tc>
          <w:tcPr>
            <w:tcW w:w="1112" w:type="dxa"/>
            <w:vAlign w:val="center"/>
          </w:tcPr>
          <w:p w14:paraId="2353EC3E" w14:textId="57402367"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2002-2016</w:t>
            </w:r>
          </w:p>
        </w:tc>
        <w:tc>
          <w:tcPr>
            <w:tcW w:w="1295" w:type="dxa"/>
            <w:vAlign w:val="center"/>
          </w:tcPr>
          <w:p w14:paraId="659ADA84" w14:textId="1D4B54B7"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15</w:t>
            </w:r>
          </w:p>
        </w:tc>
        <w:tc>
          <w:tcPr>
            <w:tcW w:w="1295" w:type="dxa"/>
            <w:vAlign w:val="center"/>
          </w:tcPr>
          <w:p w14:paraId="00BDEB8C" w14:textId="2728FE82"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0.48</w:t>
            </w:r>
            <w:r w:rsidRPr="00AC5A83">
              <w:rPr>
                <w:rFonts w:ascii="Times New Roman" w:hAnsi="Times New Roman" w:cs="Times New Roman"/>
                <w:sz w:val="20"/>
                <w:szCs w:val="20"/>
                <w:vertAlign w:val="superscript"/>
              </w:rPr>
              <w:t>*</w:t>
            </w:r>
          </w:p>
        </w:tc>
        <w:tc>
          <w:tcPr>
            <w:tcW w:w="1295" w:type="dxa"/>
            <w:vAlign w:val="center"/>
          </w:tcPr>
          <w:p w14:paraId="11021B6D" w14:textId="5145520E"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15</w:t>
            </w:r>
          </w:p>
        </w:tc>
        <w:tc>
          <w:tcPr>
            <w:tcW w:w="1295" w:type="dxa"/>
            <w:vAlign w:val="center"/>
          </w:tcPr>
          <w:p w14:paraId="18E2D59B" w14:textId="5078EA8A" w:rsidR="003C2780" w:rsidRPr="00AC5A83" w:rsidRDefault="003C2780" w:rsidP="00CA7BCB">
            <w:pPr>
              <w:pStyle w:val="SMcaption"/>
              <w:spacing w:before="120" w:after="120" w:line="360" w:lineRule="auto"/>
              <w:jc w:val="center"/>
              <w:rPr>
                <w:rFonts w:ascii="Times New Roman" w:hAnsi="Times New Roman" w:cs="Times New Roman"/>
                <w:sz w:val="20"/>
                <w:szCs w:val="20"/>
              </w:rPr>
            </w:pPr>
            <w:proofErr w:type="spellStart"/>
            <w:r w:rsidRPr="00AC5A83">
              <w:rPr>
                <w:rFonts w:ascii="Times New Roman" w:hAnsi="Times New Roman" w:cs="Times New Roman"/>
                <w:sz w:val="20"/>
                <w:szCs w:val="20"/>
              </w:rPr>
              <w:t>n.s</w:t>
            </w:r>
            <w:proofErr w:type="spellEnd"/>
            <w:r w:rsidRPr="00AC5A83">
              <w:rPr>
                <w:rFonts w:ascii="Times New Roman" w:hAnsi="Times New Roman" w:cs="Times New Roman"/>
                <w:sz w:val="20"/>
                <w:szCs w:val="20"/>
              </w:rPr>
              <w:t>.</w:t>
            </w:r>
          </w:p>
        </w:tc>
      </w:tr>
      <w:tr w:rsidR="003C2780" w:rsidRPr="00AC5A83" w14:paraId="3D5021BC" w14:textId="77777777" w:rsidTr="00CA7BCB">
        <w:trPr>
          <w:trHeight w:hRule="exact" w:val="454"/>
        </w:trPr>
        <w:tc>
          <w:tcPr>
            <w:tcW w:w="988" w:type="dxa"/>
            <w:vMerge/>
            <w:vAlign w:val="center"/>
          </w:tcPr>
          <w:p w14:paraId="3948D08D" w14:textId="77777777" w:rsidR="003C2780" w:rsidRPr="00AC5A83" w:rsidRDefault="003C2780" w:rsidP="00CA7BCB">
            <w:pPr>
              <w:pStyle w:val="SMcaption"/>
              <w:spacing w:before="120" w:after="120" w:line="360" w:lineRule="auto"/>
              <w:jc w:val="center"/>
              <w:rPr>
                <w:rFonts w:ascii="Times New Roman" w:hAnsi="Times New Roman" w:cs="Times New Roman"/>
                <w:sz w:val="20"/>
                <w:szCs w:val="20"/>
              </w:rPr>
            </w:pPr>
          </w:p>
        </w:tc>
        <w:tc>
          <w:tcPr>
            <w:tcW w:w="6782" w:type="dxa"/>
            <w:gridSpan w:val="5"/>
            <w:vAlign w:val="center"/>
          </w:tcPr>
          <w:p w14:paraId="16554588" w14:textId="26235A05"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All</w:t>
            </w:r>
          </w:p>
        </w:tc>
        <w:tc>
          <w:tcPr>
            <w:tcW w:w="1295" w:type="dxa"/>
            <w:vAlign w:val="center"/>
          </w:tcPr>
          <w:p w14:paraId="60591F49" w14:textId="505F66DE"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39</w:t>
            </w:r>
          </w:p>
        </w:tc>
        <w:tc>
          <w:tcPr>
            <w:tcW w:w="1295" w:type="dxa"/>
            <w:vAlign w:val="center"/>
          </w:tcPr>
          <w:p w14:paraId="56122C27" w14:textId="3CDF6DAC"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0.74</w:t>
            </w:r>
            <w:r w:rsidRPr="00AC5A83">
              <w:rPr>
                <w:rFonts w:ascii="Times New Roman" w:hAnsi="Times New Roman" w:cs="Times New Roman"/>
                <w:sz w:val="20"/>
                <w:szCs w:val="20"/>
                <w:vertAlign w:val="superscript"/>
              </w:rPr>
              <w:t>***</w:t>
            </w:r>
          </w:p>
        </w:tc>
        <w:tc>
          <w:tcPr>
            <w:tcW w:w="1295" w:type="dxa"/>
            <w:vAlign w:val="center"/>
          </w:tcPr>
          <w:p w14:paraId="1234BEF2" w14:textId="46792ECE"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39</w:t>
            </w:r>
          </w:p>
        </w:tc>
        <w:tc>
          <w:tcPr>
            <w:tcW w:w="1295" w:type="dxa"/>
            <w:vAlign w:val="center"/>
          </w:tcPr>
          <w:p w14:paraId="0C8DF72D" w14:textId="535C5F72"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0.45</w:t>
            </w:r>
            <w:r w:rsidRPr="00AC5A83">
              <w:rPr>
                <w:rFonts w:ascii="Times New Roman" w:hAnsi="Times New Roman" w:cs="Times New Roman"/>
                <w:sz w:val="20"/>
                <w:szCs w:val="20"/>
                <w:vertAlign w:val="superscript"/>
              </w:rPr>
              <w:t>**</w:t>
            </w:r>
          </w:p>
        </w:tc>
      </w:tr>
      <w:tr w:rsidR="003C2780" w:rsidRPr="00AC5A83" w14:paraId="477C2DC8" w14:textId="77777777" w:rsidTr="007112A8">
        <w:trPr>
          <w:trHeight w:hRule="exact" w:val="454"/>
        </w:trPr>
        <w:tc>
          <w:tcPr>
            <w:tcW w:w="988" w:type="dxa"/>
            <w:vMerge w:val="restart"/>
            <w:vAlign w:val="center"/>
          </w:tcPr>
          <w:p w14:paraId="462AFF77" w14:textId="0D8B7623"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TF</w:t>
            </w:r>
          </w:p>
        </w:tc>
        <w:tc>
          <w:tcPr>
            <w:tcW w:w="2551" w:type="dxa"/>
            <w:vAlign w:val="center"/>
          </w:tcPr>
          <w:p w14:paraId="7A974DB8" w14:textId="20EDE1E5"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Harvard forest</w:t>
            </w:r>
          </w:p>
        </w:tc>
        <w:tc>
          <w:tcPr>
            <w:tcW w:w="992" w:type="dxa"/>
            <w:vAlign w:val="center"/>
          </w:tcPr>
          <w:p w14:paraId="198D95B7" w14:textId="6BF5D129" w:rsidR="003C2780" w:rsidRPr="00AC5A83" w:rsidRDefault="00AF650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42.49</w:t>
            </w:r>
          </w:p>
        </w:tc>
        <w:tc>
          <w:tcPr>
            <w:tcW w:w="993" w:type="dxa"/>
            <w:vAlign w:val="center"/>
          </w:tcPr>
          <w:p w14:paraId="67B54959" w14:textId="003CFF0C" w:rsidR="003C2780" w:rsidRPr="00AC5A83" w:rsidRDefault="00AF650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-72.20</w:t>
            </w:r>
          </w:p>
        </w:tc>
        <w:tc>
          <w:tcPr>
            <w:tcW w:w="1134" w:type="dxa"/>
            <w:vAlign w:val="center"/>
          </w:tcPr>
          <w:p w14:paraId="30CBBA31" w14:textId="3EB7BCFE"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USA</w:t>
            </w:r>
          </w:p>
        </w:tc>
        <w:tc>
          <w:tcPr>
            <w:tcW w:w="1112" w:type="dxa"/>
            <w:vAlign w:val="center"/>
          </w:tcPr>
          <w:p w14:paraId="12B2C1FF" w14:textId="41673813"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2002-2020</w:t>
            </w:r>
          </w:p>
        </w:tc>
        <w:tc>
          <w:tcPr>
            <w:tcW w:w="1295" w:type="dxa"/>
            <w:vAlign w:val="center"/>
          </w:tcPr>
          <w:p w14:paraId="6EC8FF18" w14:textId="53D7F381"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19</w:t>
            </w:r>
          </w:p>
        </w:tc>
        <w:tc>
          <w:tcPr>
            <w:tcW w:w="1295" w:type="dxa"/>
            <w:vAlign w:val="center"/>
          </w:tcPr>
          <w:p w14:paraId="2FEF230C" w14:textId="109E1553"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0.44</w:t>
            </w:r>
            <w:r w:rsidRPr="00AC5A83">
              <w:rPr>
                <w:rFonts w:ascii="Times New Roman" w:hAnsi="Times New Roman" w:cs="Times New Roman"/>
                <w:sz w:val="20"/>
                <w:szCs w:val="20"/>
                <w:vertAlign w:val="superscript"/>
              </w:rPr>
              <w:t>*</w:t>
            </w:r>
          </w:p>
        </w:tc>
        <w:tc>
          <w:tcPr>
            <w:tcW w:w="1295" w:type="dxa"/>
            <w:vAlign w:val="center"/>
          </w:tcPr>
          <w:p w14:paraId="0420496C" w14:textId="239269ED"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19</w:t>
            </w:r>
          </w:p>
        </w:tc>
        <w:tc>
          <w:tcPr>
            <w:tcW w:w="1295" w:type="dxa"/>
            <w:vAlign w:val="center"/>
          </w:tcPr>
          <w:p w14:paraId="65AD6157" w14:textId="53F5E203"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0.52</w:t>
            </w:r>
            <w:r w:rsidRPr="00AC5A83">
              <w:rPr>
                <w:rFonts w:ascii="Times New Roman" w:hAnsi="Times New Roman" w:cs="Times New Roman"/>
                <w:sz w:val="20"/>
                <w:szCs w:val="20"/>
                <w:vertAlign w:val="superscript"/>
              </w:rPr>
              <w:t>**</w:t>
            </w:r>
          </w:p>
        </w:tc>
      </w:tr>
      <w:tr w:rsidR="003C2780" w:rsidRPr="00AC5A83" w14:paraId="535D66CC" w14:textId="77777777" w:rsidTr="007112A8">
        <w:trPr>
          <w:trHeight w:hRule="exact" w:val="454"/>
        </w:trPr>
        <w:tc>
          <w:tcPr>
            <w:tcW w:w="988" w:type="dxa"/>
            <w:vMerge/>
            <w:vAlign w:val="center"/>
          </w:tcPr>
          <w:p w14:paraId="01F53012" w14:textId="77777777" w:rsidR="003C2780" w:rsidRPr="00AC5A83" w:rsidRDefault="003C2780" w:rsidP="00CA7BCB">
            <w:pPr>
              <w:pStyle w:val="SMcaption"/>
              <w:spacing w:before="120" w:after="120" w:line="360" w:lineRule="auto"/>
              <w:jc w:val="center"/>
              <w:rPr>
                <w:rFonts w:ascii="Times New Roman" w:hAnsi="Times New Roman" w:cs="Times New Roman"/>
                <w:sz w:val="20"/>
                <w:szCs w:val="20"/>
              </w:rPr>
            </w:pPr>
          </w:p>
        </w:tc>
        <w:tc>
          <w:tcPr>
            <w:tcW w:w="2551" w:type="dxa"/>
            <w:vAlign w:val="center"/>
          </w:tcPr>
          <w:p w14:paraId="3641D0EC" w14:textId="692D198C" w:rsidR="003C2780" w:rsidRPr="00AC5A83" w:rsidRDefault="003C2780" w:rsidP="00CA7BCB">
            <w:pPr>
              <w:pStyle w:val="SMcaption"/>
              <w:spacing w:before="120" w:after="120" w:line="360" w:lineRule="auto"/>
              <w:jc w:val="center"/>
              <w:rPr>
                <w:rFonts w:ascii="Times New Roman" w:hAnsi="Times New Roman" w:cs="Times New Roman"/>
                <w:sz w:val="20"/>
                <w:szCs w:val="20"/>
              </w:rPr>
            </w:pPr>
            <w:proofErr w:type="spellStart"/>
            <w:r w:rsidRPr="00AC5A83">
              <w:rPr>
                <w:rFonts w:ascii="Times New Roman" w:hAnsi="Times New Roman" w:cs="Times New Roman"/>
                <w:sz w:val="20"/>
                <w:szCs w:val="20"/>
              </w:rPr>
              <w:t>Hainich</w:t>
            </w:r>
            <w:proofErr w:type="spellEnd"/>
          </w:p>
        </w:tc>
        <w:tc>
          <w:tcPr>
            <w:tcW w:w="992" w:type="dxa"/>
            <w:vAlign w:val="center"/>
          </w:tcPr>
          <w:p w14:paraId="15F8B1ED" w14:textId="29C57C44" w:rsidR="003C2780" w:rsidRPr="00AC5A83" w:rsidRDefault="00AF650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51.08</w:t>
            </w:r>
          </w:p>
        </w:tc>
        <w:tc>
          <w:tcPr>
            <w:tcW w:w="993" w:type="dxa"/>
            <w:vAlign w:val="center"/>
          </w:tcPr>
          <w:p w14:paraId="00CE8075" w14:textId="754261AF" w:rsidR="003C2780" w:rsidRPr="00AC5A83" w:rsidRDefault="00AF650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10.45</w:t>
            </w:r>
          </w:p>
        </w:tc>
        <w:tc>
          <w:tcPr>
            <w:tcW w:w="1134" w:type="dxa"/>
            <w:vAlign w:val="center"/>
          </w:tcPr>
          <w:p w14:paraId="0D22B431" w14:textId="7E5AA670"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Germany</w:t>
            </w:r>
          </w:p>
        </w:tc>
        <w:tc>
          <w:tcPr>
            <w:tcW w:w="1112" w:type="dxa"/>
            <w:vAlign w:val="center"/>
          </w:tcPr>
          <w:p w14:paraId="07676B4F" w14:textId="7AD89A36"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2003-2020</w:t>
            </w:r>
          </w:p>
        </w:tc>
        <w:tc>
          <w:tcPr>
            <w:tcW w:w="1295" w:type="dxa"/>
            <w:vAlign w:val="center"/>
          </w:tcPr>
          <w:p w14:paraId="258C7AD3" w14:textId="4F4A8D69"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16</w:t>
            </w:r>
          </w:p>
        </w:tc>
        <w:tc>
          <w:tcPr>
            <w:tcW w:w="1295" w:type="dxa"/>
            <w:vAlign w:val="center"/>
          </w:tcPr>
          <w:p w14:paraId="1950A691" w14:textId="0EE6C591"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0.50</w:t>
            </w:r>
            <w:r w:rsidRPr="00AC5A83">
              <w:rPr>
                <w:rFonts w:ascii="Times New Roman" w:hAnsi="Times New Roman" w:cs="Times New Roman"/>
                <w:sz w:val="20"/>
                <w:szCs w:val="20"/>
                <w:vertAlign w:val="superscript"/>
              </w:rPr>
              <w:t>**</w:t>
            </w:r>
          </w:p>
        </w:tc>
        <w:tc>
          <w:tcPr>
            <w:tcW w:w="1295" w:type="dxa"/>
            <w:vAlign w:val="center"/>
          </w:tcPr>
          <w:p w14:paraId="4612C375" w14:textId="0033461D"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16</w:t>
            </w:r>
          </w:p>
        </w:tc>
        <w:tc>
          <w:tcPr>
            <w:tcW w:w="1295" w:type="dxa"/>
            <w:vAlign w:val="center"/>
          </w:tcPr>
          <w:p w14:paraId="58E1393B" w14:textId="6537145E" w:rsidR="003C2780" w:rsidRPr="00AC5A83" w:rsidRDefault="003C2780" w:rsidP="00CA7BCB">
            <w:pPr>
              <w:pStyle w:val="SMcaption"/>
              <w:spacing w:before="120" w:after="120" w:line="360" w:lineRule="auto"/>
              <w:jc w:val="center"/>
              <w:rPr>
                <w:rFonts w:ascii="Times New Roman" w:hAnsi="Times New Roman" w:cs="Times New Roman"/>
                <w:sz w:val="20"/>
                <w:szCs w:val="20"/>
              </w:rPr>
            </w:pPr>
            <w:proofErr w:type="spellStart"/>
            <w:r w:rsidRPr="00AC5A83">
              <w:rPr>
                <w:rFonts w:ascii="Times New Roman" w:hAnsi="Times New Roman" w:cs="Times New Roman"/>
                <w:sz w:val="20"/>
                <w:szCs w:val="20"/>
              </w:rPr>
              <w:t>n.s</w:t>
            </w:r>
            <w:proofErr w:type="spellEnd"/>
            <w:r w:rsidRPr="00AC5A83">
              <w:rPr>
                <w:rFonts w:ascii="Times New Roman" w:hAnsi="Times New Roman" w:cs="Times New Roman"/>
                <w:sz w:val="20"/>
                <w:szCs w:val="20"/>
              </w:rPr>
              <w:t>.</w:t>
            </w:r>
          </w:p>
        </w:tc>
      </w:tr>
      <w:tr w:rsidR="003C2780" w:rsidRPr="00AC5A83" w14:paraId="790B0350" w14:textId="77777777" w:rsidTr="00CA7BCB">
        <w:trPr>
          <w:trHeight w:hRule="exact" w:val="454"/>
        </w:trPr>
        <w:tc>
          <w:tcPr>
            <w:tcW w:w="988" w:type="dxa"/>
            <w:vMerge/>
            <w:vAlign w:val="center"/>
          </w:tcPr>
          <w:p w14:paraId="413D7C32" w14:textId="77777777" w:rsidR="003C2780" w:rsidRPr="00AC5A83" w:rsidRDefault="003C2780" w:rsidP="00CA7BCB">
            <w:pPr>
              <w:pStyle w:val="SMcaption"/>
              <w:spacing w:before="120" w:after="120" w:line="360" w:lineRule="auto"/>
              <w:jc w:val="center"/>
              <w:rPr>
                <w:rFonts w:ascii="Times New Roman" w:hAnsi="Times New Roman" w:cs="Times New Roman"/>
                <w:sz w:val="20"/>
                <w:szCs w:val="20"/>
              </w:rPr>
            </w:pPr>
          </w:p>
        </w:tc>
        <w:tc>
          <w:tcPr>
            <w:tcW w:w="6782" w:type="dxa"/>
            <w:gridSpan w:val="5"/>
            <w:vAlign w:val="center"/>
          </w:tcPr>
          <w:p w14:paraId="69409033" w14:textId="13AA4579"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All</w:t>
            </w:r>
          </w:p>
        </w:tc>
        <w:tc>
          <w:tcPr>
            <w:tcW w:w="1295" w:type="dxa"/>
            <w:vAlign w:val="center"/>
          </w:tcPr>
          <w:p w14:paraId="6CE8F58D" w14:textId="0EB667B9"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35</w:t>
            </w:r>
          </w:p>
        </w:tc>
        <w:tc>
          <w:tcPr>
            <w:tcW w:w="1295" w:type="dxa"/>
            <w:vAlign w:val="center"/>
          </w:tcPr>
          <w:p w14:paraId="40211A2F" w14:textId="093225C9"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0.35</w:t>
            </w:r>
            <w:r w:rsidRPr="00AC5A83">
              <w:rPr>
                <w:rFonts w:ascii="Times New Roman" w:hAnsi="Times New Roman" w:cs="Times New Roman"/>
                <w:sz w:val="20"/>
                <w:szCs w:val="20"/>
                <w:vertAlign w:val="superscript"/>
              </w:rPr>
              <w:t>**</w:t>
            </w:r>
          </w:p>
        </w:tc>
        <w:tc>
          <w:tcPr>
            <w:tcW w:w="1295" w:type="dxa"/>
            <w:vAlign w:val="center"/>
          </w:tcPr>
          <w:p w14:paraId="50F64F92" w14:textId="304D50FF"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35</w:t>
            </w:r>
          </w:p>
        </w:tc>
        <w:tc>
          <w:tcPr>
            <w:tcW w:w="1295" w:type="dxa"/>
            <w:vAlign w:val="center"/>
          </w:tcPr>
          <w:p w14:paraId="14576D5B" w14:textId="77BA12E7" w:rsidR="003C2780" w:rsidRPr="00AC5A83" w:rsidRDefault="003C2780"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0.40</w:t>
            </w:r>
            <w:r w:rsidRPr="00AC5A83">
              <w:rPr>
                <w:rFonts w:ascii="Times New Roman" w:hAnsi="Times New Roman" w:cs="Times New Roman"/>
                <w:sz w:val="20"/>
                <w:szCs w:val="20"/>
                <w:vertAlign w:val="superscript"/>
              </w:rPr>
              <w:t>**</w:t>
            </w:r>
          </w:p>
        </w:tc>
      </w:tr>
      <w:tr w:rsidR="0064193B" w:rsidRPr="00AC5A83" w14:paraId="4CB69238" w14:textId="77777777" w:rsidTr="007112A8">
        <w:trPr>
          <w:trHeight w:hRule="exact" w:val="454"/>
        </w:trPr>
        <w:tc>
          <w:tcPr>
            <w:tcW w:w="988" w:type="dxa"/>
            <w:vAlign w:val="center"/>
          </w:tcPr>
          <w:p w14:paraId="368B0A4D" w14:textId="0526378D" w:rsidR="0064193B" w:rsidRPr="00AC5A83" w:rsidRDefault="00981501"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ENF</w:t>
            </w:r>
          </w:p>
        </w:tc>
        <w:tc>
          <w:tcPr>
            <w:tcW w:w="2551" w:type="dxa"/>
            <w:vAlign w:val="center"/>
          </w:tcPr>
          <w:p w14:paraId="0F16F7BA" w14:textId="3775C4BE" w:rsidR="0064193B" w:rsidRPr="00AC5A83" w:rsidRDefault="007112A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 xml:space="preserve">SMEAR Ⅱ </w:t>
            </w:r>
            <w:proofErr w:type="spellStart"/>
            <w:r w:rsidR="00981501" w:rsidRPr="00AC5A83">
              <w:rPr>
                <w:rFonts w:ascii="Times New Roman" w:hAnsi="Times New Roman" w:cs="Times New Roman"/>
                <w:sz w:val="20"/>
                <w:szCs w:val="20"/>
              </w:rPr>
              <w:t>Hyytiälä</w:t>
            </w:r>
            <w:proofErr w:type="spellEnd"/>
            <w:r w:rsidR="00981501" w:rsidRPr="00AC5A83">
              <w:rPr>
                <w:rFonts w:ascii="Times New Roman" w:hAnsi="Times New Roman" w:cs="Times New Roman"/>
                <w:sz w:val="20"/>
                <w:szCs w:val="20"/>
              </w:rPr>
              <w:t xml:space="preserve"> forest</w:t>
            </w:r>
          </w:p>
        </w:tc>
        <w:tc>
          <w:tcPr>
            <w:tcW w:w="992" w:type="dxa"/>
            <w:vAlign w:val="center"/>
          </w:tcPr>
          <w:p w14:paraId="7F2A668B" w14:textId="768F154D" w:rsidR="0064193B" w:rsidRPr="00AC5A83" w:rsidRDefault="00AF650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61.85</w:t>
            </w:r>
          </w:p>
        </w:tc>
        <w:tc>
          <w:tcPr>
            <w:tcW w:w="993" w:type="dxa"/>
            <w:vAlign w:val="center"/>
          </w:tcPr>
          <w:p w14:paraId="18ACE9BF" w14:textId="6C568BB6" w:rsidR="0064193B" w:rsidRPr="00AC5A83" w:rsidRDefault="00AF6508"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24.29</w:t>
            </w:r>
          </w:p>
        </w:tc>
        <w:tc>
          <w:tcPr>
            <w:tcW w:w="1134" w:type="dxa"/>
            <w:vAlign w:val="center"/>
          </w:tcPr>
          <w:p w14:paraId="3C8FF29E" w14:textId="18E8BCA3" w:rsidR="0064193B" w:rsidRPr="00AC5A83" w:rsidRDefault="00981501"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Finland</w:t>
            </w:r>
          </w:p>
        </w:tc>
        <w:tc>
          <w:tcPr>
            <w:tcW w:w="1112" w:type="dxa"/>
            <w:vAlign w:val="center"/>
          </w:tcPr>
          <w:p w14:paraId="795B7402" w14:textId="1FF3DA88" w:rsidR="0064193B" w:rsidRPr="00AC5A83" w:rsidRDefault="00981501"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2005-2018</w:t>
            </w:r>
          </w:p>
        </w:tc>
        <w:tc>
          <w:tcPr>
            <w:tcW w:w="1295" w:type="dxa"/>
            <w:vAlign w:val="center"/>
          </w:tcPr>
          <w:p w14:paraId="447E5E0C" w14:textId="2408F879" w:rsidR="0064193B" w:rsidRPr="00AC5A83" w:rsidRDefault="00981501"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14</w:t>
            </w:r>
          </w:p>
        </w:tc>
        <w:tc>
          <w:tcPr>
            <w:tcW w:w="1295" w:type="dxa"/>
            <w:vAlign w:val="center"/>
          </w:tcPr>
          <w:p w14:paraId="3EEACCCC" w14:textId="13E76DF2" w:rsidR="0064193B" w:rsidRPr="00AC5A83" w:rsidRDefault="00981501"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0.59</w:t>
            </w:r>
            <w:r w:rsidRPr="00AC5A83">
              <w:rPr>
                <w:rFonts w:ascii="Times New Roman" w:hAnsi="Times New Roman" w:cs="Times New Roman"/>
                <w:sz w:val="20"/>
                <w:szCs w:val="20"/>
                <w:vertAlign w:val="superscript"/>
              </w:rPr>
              <w:t>**</w:t>
            </w:r>
          </w:p>
        </w:tc>
        <w:tc>
          <w:tcPr>
            <w:tcW w:w="1295" w:type="dxa"/>
            <w:vAlign w:val="center"/>
          </w:tcPr>
          <w:p w14:paraId="50BF912A" w14:textId="1094B44E" w:rsidR="0064193B" w:rsidRPr="00AC5A83" w:rsidRDefault="00981501"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14</w:t>
            </w:r>
          </w:p>
        </w:tc>
        <w:tc>
          <w:tcPr>
            <w:tcW w:w="1295" w:type="dxa"/>
            <w:vAlign w:val="center"/>
          </w:tcPr>
          <w:p w14:paraId="6030D70A" w14:textId="178CB00C" w:rsidR="0064193B" w:rsidRPr="00AC5A83" w:rsidRDefault="00981501"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0.66</w:t>
            </w:r>
            <w:r w:rsidRPr="00AC5A83">
              <w:rPr>
                <w:rFonts w:ascii="Times New Roman" w:hAnsi="Times New Roman" w:cs="Times New Roman"/>
                <w:sz w:val="20"/>
                <w:szCs w:val="20"/>
                <w:vertAlign w:val="superscript"/>
              </w:rPr>
              <w:t>***</w:t>
            </w:r>
          </w:p>
        </w:tc>
      </w:tr>
      <w:tr w:rsidR="00981501" w:rsidRPr="00AC5A83" w14:paraId="6EF36ECB" w14:textId="77777777" w:rsidTr="00CA7BCB">
        <w:trPr>
          <w:trHeight w:hRule="exact" w:val="454"/>
        </w:trPr>
        <w:tc>
          <w:tcPr>
            <w:tcW w:w="7770" w:type="dxa"/>
            <w:gridSpan w:val="6"/>
            <w:vAlign w:val="center"/>
          </w:tcPr>
          <w:p w14:paraId="3651B562" w14:textId="3B6D414A" w:rsidR="00981501" w:rsidRPr="00AC5A83" w:rsidRDefault="00981501"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All sites</w:t>
            </w:r>
          </w:p>
        </w:tc>
        <w:tc>
          <w:tcPr>
            <w:tcW w:w="1295" w:type="dxa"/>
            <w:vAlign w:val="center"/>
          </w:tcPr>
          <w:p w14:paraId="77A83CCD" w14:textId="0E10D52D" w:rsidR="00981501" w:rsidRPr="00AC5A83" w:rsidRDefault="00981501"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88</w:t>
            </w:r>
          </w:p>
        </w:tc>
        <w:tc>
          <w:tcPr>
            <w:tcW w:w="1295" w:type="dxa"/>
            <w:vAlign w:val="center"/>
          </w:tcPr>
          <w:p w14:paraId="0C317A43" w14:textId="0A10A3F4" w:rsidR="00981501" w:rsidRPr="00AC5A83" w:rsidRDefault="00981501"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0.59</w:t>
            </w:r>
            <w:r w:rsidRPr="00AC5A83">
              <w:rPr>
                <w:rFonts w:ascii="Times New Roman" w:hAnsi="Times New Roman" w:cs="Times New Roman"/>
                <w:sz w:val="20"/>
                <w:szCs w:val="20"/>
                <w:vertAlign w:val="superscript"/>
              </w:rPr>
              <w:t>***</w:t>
            </w:r>
          </w:p>
        </w:tc>
        <w:tc>
          <w:tcPr>
            <w:tcW w:w="1295" w:type="dxa"/>
            <w:vAlign w:val="center"/>
          </w:tcPr>
          <w:p w14:paraId="612C247E" w14:textId="5F96AEB0" w:rsidR="00981501" w:rsidRPr="00AC5A83" w:rsidRDefault="00981501"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88</w:t>
            </w:r>
          </w:p>
        </w:tc>
        <w:tc>
          <w:tcPr>
            <w:tcW w:w="1295" w:type="dxa"/>
            <w:vAlign w:val="center"/>
          </w:tcPr>
          <w:p w14:paraId="7580F2E7" w14:textId="4E40EC41" w:rsidR="00981501" w:rsidRPr="00AC5A83" w:rsidRDefault="00981501" w:rsidP="00CA7BCB">
            <w:pPr>
              <w:pStyle w:val="SMcaption"/>
              <w:spacing w:before="120" w:after="120" w:line="360" w:lineRule="auto"/>
              <w:jc w:val="center"/>
              <w:rPr>
                <w:rFonts w:ascii="Times New Roman" w:hAnsi="Times New Roman" w:cs="Times New Roman"/>
                <w:sz w:val="20"/>
                <w:szCs w:val="20"/>
              </w:rPr>
            </w:pPr>
            <w:r w:rsidRPr="00AC5A83">
              <w:rPr>
                <w:rFonts w:ascii="Times New Roman" w:hAnsi="Times New Roman" w:cs="Times New Roman"/>
                <w:sz w:val="20"/>
                <w:szCs w:val="20"/>
              </w:rPr>
              <w:t>0.44</w:t>
            </w:r>
            <w:r w:rsidRPr="00AC5A83">
              <w:rPr>
                <w:rFonts w:ascii="Times New Roman" w:hAnsi="Times New Roman" w:cs="Times New Roman"/>
                <w:sz w:val="20"/>
                <w:szCs w:val="20"/>
                <w:vertAlign w:val="superscript"/>
              </w:rPr>
              <w:t>***</w:t>
            </w:r>
          </w:p>
        </w:tc>
      </w:tr>
    </w:tbl>
    <w:p w14:paraId="2C260EFB" w14:textId="77777777" w:rsidR="00981501" w:rsidRPr="00981501" w:rsidRDefault="00981501" w:rsidP="00981501">
      <w:pPr>
        <w:pStyle w:val="SMcaption"/>
        <w:spacing w:before="120" w:after="120" w:line="360" w:lineRule="exact"/>
        <w:jc w:val="both"/>
        <w:rPr>
          <w:szCs w:val="24"/>
        </w:rPr>
      </w:pPr>
      <w:r w:rsidRPr="00981501">
        <w:rPr>
          <w:szCs w:val="24"/>
        </w:rPr>
        <w:t>EBF: evergreen broadleaf forest; TF: temperate forest; ENF: evergreen needleleaf forest.</w:t>
      </w:r>
    </w:p>
    <w:p w14:paraId="4B19835B" w14:textId="23AB3788" w:rsidR="00981501" w:rsidRPr="00981501" w:rsidRDefault="00981501" w:rsidP="00981501">
      <w:pPr>
        <w:pStyle w:val="SMcaption"/>
        <w:spacing w:before="120" w:after="120" w:line="360" w:lineRule="exact"/>
        <w:jc w:val="both"/>
        <w:rPr>
          <w:szCs w:val="24"/>
        </w:rPr>
      </w:pPr>
      <w:r w:rsidRPr="00981501">
        <w:rPr>
          <w:szCs w:val="24"/>
        </w:rPr>
        <w:t xml:space="preserve">***: </w:t>
      </w:r>
      <w:r w:rsidRPr="00CA7BCB">
        <w:rPr>
          <w:i/>
          <w:szCs w:val="24"/>
        </w:rPr>
        <w:t>p</w:t>
      </w:r>
      <w:r w:rsidR="00CA7BCB">
        <w:rPr>
          <w:szCs w:val="24"/>
        </w:rPr>
        <w:t>-value</w:t>
      </w:r>
      <w:r w:rsidRPr="00981501">
        <w:rPr>
          <w:szCs w:val="24"/>
        </w:rPr>
        <w:t xml:space="preserve"> &lt; 0.01; **: </w:t>
      </w:r>
      <w:r w:rsidR="00CA7BCB" w:rsidRPr="00CA7BCB">
        <w:rPr>
          <w:i/>
          <w:szCs w:val="24"/>
        </w:rPr>
        <w:t>p</w:t>
      </w:r>
      <w:r w:rsidR="00CA7BCB">
        <w:rPr>
          <w:szCs w:val="24"/>
        </w:rPr>
        <w:t>-value</w:t>
      </w:r>
      <w:r w:rsidRPr="00981501">
        <w:rPr>
          <w:szCs w:val="24"/>
        </w:rPr>
        <w:t xml:space="preserve"> &lt; 0.05; *: </w:t>
      </w:r>
      <w:r w:rsidR="00CA7BCB" w:rsidRPr="00CA7BCB">
        <w:rPr>
          <w:i/>
          <w:szCs w:val="24"/>
        </w:rPr>
        <w:t>p</w:t>
      </w:r>
      <w:r w:rsidR="00CA7BCB">
        <w:rPr>
          <w:szCs w:val="24"/>
        </w:rPr>
        <w:t>-value</w:t>
      </w:r>
      <w:r w:rsidRPr="00981501">
        <w:rPr>
          <w:szCs w:val="24"/>
        </w:rPr>
        <w:t xml:space="preserve"> &lt; 0.1; </w:t>
      </w:r>
      <w:proofErr w:type="spellStart"/>
      <w:r w:rsidRPr="00981501">
        <w:rPr>
          <w:szCs w:val="24"/>
        </w:rPr>
        <w:t>n.s</w:t>
      </w:r>
      <w:proofErr w:type="spellEnd"/>
      <w:r w:rsidRPr="00981501">
        <w:rPr>
          <w:szCs w:val="24"/>
        </w:rPr>
        <w:t>.: not significant.</w:t>
      </w:r>
    </w:p>
    <w:p w14:paraId="07301156" w14:textId="77777777" w:rsidR="00820197" w:rsidRDefault="00981501" w:rsidP="00820197">
      <w:pPr>
        <w:pStyle w:val="SMcaption"/>
        <w:spacing w:before="120" w:after="120" w:line="360" w:lineRule="exact"/>
        <w:jc w:val="both"/>
        <w:rPr>
          <w:szCs w:val="24"/>
        </w:rPr>
      </w:pPr>
      <w:r w:rsidRPr="00981501">
        <w:rPr>
          <w:szCs w:val="24"/>
          <w:vertAlign w:val="superscript"/>
        </w:rPr>
        <w:t>1</w:t>
      </w:r>
      <w:r w:rsidRPr="00981501">
        <w:rPr>
          <w:szCs w:val="24"/>
        </w:rPr>
        <w:t>Note that considering the orientation bias, we used a 5×5 spatial smoothing window when extracting 500m LAI for each site.</w:t>
      </w:r>
      <w:r w:rsidR="00A14C84">
        <w:rPr>
          <w:szCs w:val="24"/>
        </w:rPr>
        <w:t xml:space="preserve"> We also tried the 3</w:t>
      </w:r>
      <w:r w:rsidR="00A14C84" w:rsidRPr="00981501">
        <w:rPr>
          <w:szCs w:val="24"/>
        </w:rPr>
        <w:t>×</w:t>
      </w:r>
      <w:r w:rsidR="00A14C84">
        <w:rPr>
          <w:szCs w:val="24"/>
        </w:rPr>
        <w:t>3 and 7</w:t>
      </w:r>
      <w:r w:rsidR="00A14C84" w:rsidRPr="00981501">
        <w:rPr>
          <w:szCs w:val="24"/>
        </w:rPr>
        <w:t>×</w:t>
      </w:r>
      <w:r w:rsidR="00A14C84">
        <w:rPr>
          <w:szCs w:val="24"/>
        </w:rPr>
        <w:t>7 spatial smoothing windows, and obtained similar results.</w:t>
      </w:r>
    </w:p>
    <w:p w14:paraId="7F3DEA7E" w14:textId="77777777" w:rsidR="00E40AD9" w:rsidRDefault="00E40AD9" w:rsidP="00820197">
      <w:pPr>
        <w:pStyle w:val="SMcaption"/>
        <w:spacing w:before="120" w:after="120" w:line="360" w:lineRule="exact"/>
        <w:jc w:val="both"/>
        <w:rPr>
          <w:szCs w:val="24"/>
        </w:rPr>
        <w:sectPr w:rsidR="00E40AD9" w:rsidSect="00790A7C">
          <w:pgSz w:w="15840" w:h="12240" w:orient="landscape"/>
          <w:pgMar w:top="1440" w:right="1440" w:bottom="1440" w:left="1440" w:header="720" w:footer="720" w:gutter="0"/>
          <w:lnNumType w:countBy="1" w:restart="continuous"/>
          <w:cols w:space="720"/>
          <w:docGrid w:linePitch="360"/>
        </w:sectPr>
      </w:pPr>
    </w:p>
    <w:p w14:paraId="19C2D66C" w14:textId="77777777" w:rsidR="00E40AD9" w:rsidRPr="00E40AD9" w:rsidRDefault="00E40AD9" w:rsidP="00E40AD9">
      <w:pPr>
        <w:pStyle w:val="SMcaption"/>
        <w:keepNext/>
        <w:spacing w:before="120" w:after="120" w:line="360" w:lineRule="exact"/>
        <w:jc w:val="both"/>
        <w:outlineLvl w:val="0"/>
        <w:rPr>
          <w:b/>
          <w:szCs w:val="24"/>
        </w:rPr>
      </w:pPr>
      <w:r w:rsidRPr="00E40AD9">
        <w:rPr>
          <w:b/>
          <w:szCs w:val="24"/>
        </w:rPr>
        <w:lastRenderedPageBreak/>
        <w:t>References</w:t>
      </w:r>
    </w:p>
    <w:p w14:paraId="6A1489C8" w14:textId="77777777" w:rsidR="000E2432" w:rsidRPr="00300354" w:rsidRDefault="000E2432" w:rsidP="005975D9">
      <w:pPr>
        <w:pStyle w:val="EndNoteBibliography"/>
        <w:spacing w:line="360" w:lineRule="exact"/>
        <w:ind w:left="480" w:hangingChars="200" w:hanging="480"/>
        <w:jc w:val="both"/>
      </w:pPr>
      <w:r w:rsidRPr="00300354">
        <w:t>1</w:t>
      </w:r>
      <w:r w:rsidRPr="00300354">
        <w:tab/>
        <w:t>Li, S.</w:t>
      </w:r>
      <w:r w:rsidRPr="00300354">
        <w:rPr>
          <w:i/>
        </w:rPr>
        <w:t xml:space="preserve"> et al.</w:t>
      </w:r>
      <w:r w:rsidRPr="00300354">
        <w:t xml:space="preserve"> Benchmark estimates for aboveground litterfall data derived from ecosystem models. </w:t>
      </w:r>
      <w:r w:rsidRPr="00300354">
        <w:rPr>
          <w:i/>
        </w:rPr>
        <w:t>Environmental Research Letters</w:t>
      </w:r>
      <w:r w:rsidRPr="00300354">
        <w:t xml:space="preserve"> </w:t>
      </w:r>
      <w:r w:rsidRPr="00300354">
        <w:rPr>
          <w:b/>
        </w:rPr>
        <w:t>14</w:t>
      </w:r>
      <w:r w:rsidRPr="00300354">
        <w:t xml:space="preserve"> (2019).</w:t>
      </w:r>
    </w:p>
    <w:p w14:paraId="30F6B1DF" w14:textId="77777777" w:rsidR="000E2432" w:rsidRPr="00300354" w:rsidRDefault="000E2432" w:rsidP="005975D9">
      <w:pPr>
        <w:pStyle w:val="EndNoteBibliography"/>
        <w:spacing w:line="360" w:lineRule="exact"/>
        <w:ind w:left="480" w:hangingChars="200" w:hanging="480"/>
        <w:jc w:val="both"/>
      </w:pPr>
      <w:r w:rsidRPr="00300354">
        <w:t>2</w:t>
      </w:r>
      <w:r w:rsidRPr="00300354">
        <w:tab/>
        <w:t xml:space="preserve">Detto, M., Wright, S. J., Calderón, O. &amp; Muller-Landau, H. C. Resource acquisition and reproductive strategies of tropical forest in response to the El Niño–Southern Oscillation. </w:t>
      </w:r>
      <w:r w:rsidRPr="00300354">
        <w:rPr>
          <w:i/>
        </w:rPr>
        <w:t>Nature Communications</w:t>
      </w:r>
      <w:r w:rsidRPr="00300354">
        <w:t xml:space="preserve"> </w:t>
      </w:r>
      <w:r w:rsidRPr="00300354">
        <w:rPr>
          <w:b/>
        </w:rPr>
        <w:t>9</w:t>
      </w:r>
      <w:r w:rsidRPr="00300354">
        <w:t xml:space="preserve"> (2018).</w:t>
      </w:r>
    </w:p>
    <w:p w14:paraId="0312874A" w14:textId="77777777" w:rsidR="000E2432" w:rsidRPr="00300354" w:rsidRDefault="000E2432" w:rsidP="005975D9">
      <w:pPr>
        <w:pStyle w:val="EndNoteBibliography"/>
        <w:spacing w:line="360" w:lineRule="exact"/>
        <w:ind w:left="480" w:hangingChars="200" w:hanging="480"/>
        <w:jc w:val="both"/>
      </w:pPr>
      <w:r w:rsidRPr="00300354">
        <w:t>3</w:t>
      </w:r>
      <w:r w:rsidRPr="00300354">
        <w:tab/>
        <w:t>Suni, T.</w:t>
      </w:r>
      <w:r w:rsidRPr="00300354">
        <w:rPr>
          <w:i/>
        </w:rPr>
        <w:t xml:space="preserve"> et al.</w:t>
      </w:r>
      <w:r w:rsidRPr="00300354">
        <w:t xml:space="preserve"> Long-term measurements of surface fluxes above a Scots pine forest in Hyytiälä, southern Finland, 1996–2001. </w:t>
      </w:r>
      <w:r w:rsidRPr="00300354">
        <w:rPr>
          <w:i/>
        </w:rPr>
        <w:t>Boreal Env. Res.</w:t>
      </w:r>
      <w:r w:rsidRPr="00300354">
        <w:t xml:space="preserve"> </w:t>
      </w:r>
      <w:r w:rsidRPr="00300354">
        <w:rPr>
          <w:b/>
        </w:rPr>
        <w:t>8</w:t>
      </w:r>
      <w:r w:rsidRPr="00300354">
        <w:t>, 287–301 (2003).</w:t>
      </w:r>
    </w:p>
    <w:p w14:paraId="78DCDC19" w14:textId="77777777" w:rsidR="000E2432" w:rsidRPr="00300354" w:rsidRDefault="000E2432" w:rsidP="005975D9">
      <w:pPr>
        <w:pStyle w:val="EndNoteBibliography"/>
        <w:spacing w:line="360" w:lineRule="exact"/>
        <w:ind w:left="480" w:hangingChars="200" w:hanging="480"/>
        <w:jc w:val="both"/>
      </w:pPr>
      <w:r w:rsidRPr="00300354">
        <w:t>4</w:t>
      </w:r>
      <w:r w:rsidRPr="00300354">
        <w:tab/>
        <w:t xml:space="preserve">A, M. &amp; A, B. P. Litterfall in Simulated Hurricane Experiment at Harvard Forest since 1989. Harvard Forest Data Archive: HF101 (v.25). </w:t>
      </w:r>
      <w:r w:rsidRPr="00300354">
        <w:rPr>
          <w:i/>
        </w:rPr>
        <w:t xml:space="preserve">Environmental Data Initiative: </w:t>
      </w:r>
      <w:hyperlink r:id="rId46" w:history="1">
        <w:r w:rsidRPr="00300354">
          <w:rPr>
            <w:rStyle w:val="affff5"/>
            <w:i/>
          </w:rPr>
          <w:t>https://doi.org/10.6073/pasta/f5ae1e144e434ec8198cf75682db33ac</w:t>
        </w:r>
      </w:hyperlink>
      <w:r w:rsidRPr="00300354">
        <w:rPr>
          <w:i/>
        </w:rPr>
        <w:t>.</w:t>
      </w:r>
      <w:r w:rsidRPr="00300354">
        <w:t xml:space="preserve"> (2023).</w:t>
      </w:r>
    </w:p>
    <w:p w14:paraId="4BF4B075" w14:textId="77777777" w:rsidR="000E2432" w:rsidRPr="00300354" w:rsidRDefault="000E2432" w:rsidP="005975D9">
      <w:pPr>
        <w:pStyle w:val="EndNoteBibliography"/>
        <w:spacing w:line="360" w:lineRule="exact"/>
        <w:ind w:left="480" w:hangingChars="200" w:hanging="480"/>
        <w:jc w:val="both"/>
      </w:pPr>
      <w:r w:rsidRPr="00300354">
        <w:t>5</w:t>
      </w:r>
      <w:r w:rsidRPr="00300354">
        <w:tab/>
        <w:t>Pinty, B.</w:t>
      </w:r>
      <w:r w:rsidRPr="00300354">
        <w:rPr>
          <w:i/>
        </w:rPr>
        <w:t xml:space="preserve"> et al.</w:t>
      </w:r>
      <w:r w:rsidRPr="00300354">
        <w:t xml:space="preserve"> Evaluation of the JRC-TIP 0.01° products over a mid-latitude deciduous forest site. </w:t>
      </w:r>
      <w:r w:rsidRPr="00300354">
        <w:rPr>
          <w:i/>
        </w:rPr>
        <w:t>Remote Sensing of Environment</w:t>
      </w:r>
      <w:r w:rsidRPr="00300354">
        <w:t xml:space="preserve"> </w:t>
      </w:r>
      <w:r w:rsidRPr="00300354">
        <w:rPr>
          <w:b/>
        </w:rPr>
        <w:t>115</w:t>
      </w:r>
      <w:r w:rsidRPr="00300354">
        <w:t>, 3567-3581 (2011).</w:t>
      </w:r>
    </w:p>
    <w:p w14:paraId="05224F5A" w14:textId="77777777" w:rsidR="000E2432" w:rsidRPr="00300354" w:rsidRDefault="000E2432" w:rsidP="005975D9">
      <w:pPr>
        <w:pStyle w:val="EndNoteBibliography"/>
        <w:spacing w:line="360" w:lineRule="exact"/>
        <w:ind w:left="480" w:hangingChars="200" w:hanging="480"/>
        <w:jc w:val="both"/>
      </w:pPr>
      <w:r w:rsidRPr="00300354">
        <w:t>6</w:t>
      </w:r>
      <w:r w:rsidRPr="00300354">
        <w:tab/>
        <w:t xml:space="preserve">Forzieri, G., Alkama, R., Miralles, D. G. &amp; Cescatti, A. Satellites reveal contrasting responses of regional climate to the widespread greening of Earth. </w:t>
      </w:r>
      <w:r w:rsidRPr="00300354">
        <w:rPr>
          <w:i/>
        </w:rPr>
        <w:t>Science</w:t>
      </w:r>
      <w:r w:rsidRPr="00300354">
        <w:t xml:space="preserve"> </w:t>
      </w:r>
      <w:r w:rsidRPr="00300354">
        <w:rPr>
          <w:b/>
        </w:rPr>
        <w:t>356</w:t>
      </w:r>
      <w:r w:rsidRPr="00300354">
        <w:t>, 1180-1184 (2017).</w:t>
      </w:r>
    </w:p>
    <w:p w14:paraId="46F86A34" w14:textId="695AC014" w:rsidR="006E7F20" w:rsidRDefault="000E2432" w:rsidP="005975D9">
      <w:pPr>
        <w:pStyle w:val="EndNoteBibliography"/>
        <w:spacing w:line="360" w:lineRule="exact"/>
        <w:ind w:left="480" w:hangingChars="200" w:hanging="480"/>
        <w:jc w:val="both"/>
      </w:pPr>
      <w:r w:rsidRPr="00300354">
        <w:t>7</w:t>
      </w:r>
      <w:r w:rsidRPr="00300354">
        <w:tab/>
        <w:t>Li, W.</w:t>
      </w:r>
      <w:r w:rsidRPr="00300354">
        <w:rPr>
          <w:i/>
        </w:rPr>
        <w:t xml:space="preserve"> et al.</w:t>
      </w:r>
      <w:r w:rsidRPr="00300354">
        <w:t xml:space="preserve"> Widespread increasing vegetation sensitivity to soil moisture. </w:t>
      </w:r>
      <w:r w:rsidRPr="00300354">
        <w:rPr>
          <w:i/>
        </w:rPr>
        <w:t>Nat Commun</w:t>
      </w:r>
      <w:r w:rsidRPr="00300354">
        <w:t xml:space="preserve"> </w:t>
      </w:r>
      <w:r w:rsidRPr="00300354">
        <w:rPr>
          <w:b/>
        </w:rPr>
        <w:t>13</w:t>
      </w:r>
      <w:r w:rsidRPr="00300354">
        <w:t>, 3959 (2022).</w:t>
      </w:r>
    </w:p>
    <w:p w14:paraId="5987AF6F" w14:textId="5CC7760E" w:rsidR="000E2432" w:rsidRDefault="000E2432" w:rsidP="005975D9">
      <w:pPr>
        <w:pStyle w:val="EndNoteBibliography"/>
        <w:spacing w:line="360" w:lineRule="exact"/>
        <w:ind w:left="480" w:hangingChars="200" w:hanging="480"/>
        <w:jc w:val="both"/>
      </w:pPr>
      <w:r w:rsidRPr="00300354">
        <w:t>8</w:t>
      </w:r>
      <w:r w:rsidRPr="00300354">
        <w:tab/>
        <w:t>Yuan, W.</w:t>
      </w:r>
      <w:r w:rsidRPr="00300354">
        <w:rPr>
          <w:i/>
        </w:rPr>
        <w:t xml:space="preserve"> et al.</w:t>
      </w:r>
      <w:r w:rsidRPr="00300354">
        <w:t xml:space="preserve"> Increased atmospheric vapor pressure deficit reduces global vegetation growth. </w:t>
      </w:r>
      <w:r w:rsidRPr="00300354">
        <w:rPr>
          <w:i/>
        </w:rPr>
        <w:t>Science Advances</w:t>
      </w:r>
      <w:r w:rsidRPr="00300354">
        <w:t xml:space="preserve"> </w:t>
      </w:r>
      <w:r w:rsidRPr="00300354">
        <w:rPr>
          <w:b/>
        </w:rPr>
        <w:t>5</w:t>
      </w:r>
      <w:r w:rsidRPr="00300354">
        <w:t>, eaax1396 (2019).</w:t>
      </w:r>
    </w:p>
    <w:p w14:paraId="18498447" w14:textId="77777777" w:rsidR="000E2432" w:rsidRPr="00300354" w:rsidRDefault="000E2432" w:rsidP="005975D9">
      <w:pPr>
        <w:pStyle w:val="EndNoteBibliography"/>
        <w:spacing w:line="360" w:lineRule="exact"/>
        <w:ind w:left="480" w:hangingChars="200" w:hanging="480"/>
        <w:jc w:val="both"/>
      </w:pPr>
      <w:r w:rsidRPr="00300354">
        <w:t>9</w:t>
      </w:r>
      <w:r w:rsidRPr="00300354">
        <w:tab/>
        <w:t>Hantson, S.</w:t>
      </w:r>
      <w:r w:rsidRPr="00300354">
        <w:rPr>
          <w:i/>
        </w:rPr>
        <w:t xml:space="preserve"> et al.</w:t>
      </w:r>
      <w:r w:rsidRPr="00300354">
        <w:t xml:space="preserve"> Quantitative assessment of fire and vegetation properties in simulations with fire-enabled vegetation models from the Fire Model Intercomparison Project. </w:t>
      </w:r>
      <w:r w:rsidRPr="00300354">
        <w:rPr>
          <w:i/>
        </w:rPr>
        <w:t>Geoscientific Model Development</w:t>
      </w:r>
      <w:r w:rsidRPr="00300354">
        <w:t xml:space="preserve"> </w:t>
      </w:r>
      <w:r w:rsidRPr="00300354">
        <w:rPr>
          <w:b/>
        </w:rPr>
        <w:t>13</w:t>
      </w:r>
      <w:r w:rsidRPr="00300354">
        <w:t>, 3299-3318 (2020).</w:t>
      </w:r>
    </w:p>
    <w:p w14:paraId="57644799" w14:textId="77777777" w:rsidR="000E2432" w:rsidRPr="00300354" w:rsidRDefault="000E2432" w:rsidP="005975D9">
      <w:pPr>
        <w:pStyle w:val="EndNoteBibliography"/>
        <w:spacing w:line="360" w:lineRule="exact"/>
        <w:ind w:left="480" w:hangingChars="200" w:hanging="480"/>
        <w:jc w:val="both"/>
      </w:pPr>
      <w:r w:rsidRPr="00300354">
        <w:t>10</w:t>
      </w:r>
      <w:r w:rsidRPr="00300354">
        <w:tab/>
        <w:t>Hantson, S.</w:t>
      </w:r>
      <w:r w:rsidRPr="00300354">
        <w:rPr>
          <w:i/>
        </w:rPr>
        <w:t xml:space="preserve"> et al.</w:t>
      </w:r>
      <w:r w:rsidRPr="00300354">
        <w:t xml:space="preserve"> Model outputs: Quantitative assessment of fire and vegetation properties in historical simulations with fire-enabled vegetation models from the Fire Model Intercomparison Project [Data set]. </w:t>
      </w:r>
      <w:r w:rsidRPr="00300354">
        <w:rPr>
          <w:i/>
        </w:rPr>
        <w:t>Zenodo</w:t>
      </w:r>
      <w:r w:rsidRPr="00300354">
        <w:t xml:space="preserve"> </w:t>
      </w:r>
      <w:hyperlink r:id="rId47" w:history="1">
        <w:r w:rsidRPr="00300354">
          <w:rPr>
            <w:rStyle w:val="affff5"/>
          </w:rPr>
          <w:t>https://doi.org/10.5281/zenodo.3555562</w:t>
        </w:r>
      </w:hyperlink>
      <w:r w:rsidRPr="00300354">
        <w:t xml:space="preserve"> (2019).</w:t>
      </w:r>
    </w:p>
    <w:p w14:paraId="3D1B8E13" w14:textId="77777777" w:rsidR="000E2432" w:rsidRPr="00300354" w:rsidRDefault="000E2432" w:rsidP="005975D9">
      <w:pPr>
        <w:pStyle w:val="EndNoteBibliography"/>
        <w:spacing w:line="360" w:lineRule="exact"/>
        <w:ind w:left="480" w:hangingChars="200" w:hanging="480"/>
        <w:jc w:val="both"/>
      </w:pPr>
      <w:r w:rsidRPr="00300354">
        <w:t>11</w:t>
      </w:r>
      <w:r w:rsidRPr="00300354">
        <w:tab/>
        <w:t xml:space="preserve">Li, F., Levis, S. &amp; Ward, D. S. Quantifying the role of fire in the Earth system – Part 1: Improved global fire modeling in the Community Earth System Model (CESM1). </w:t>
      </w:r>
      <w:r w:rsidRPr="00300354">
        <w:rPr>
          <w:i/>
        </w:rPr>
        <w:t>Biogeosciences</w:t>
      </w:r>
      <w:r w:rsidRPr="00300354">
        <w:t xml:space="preserve"> </w:t>
      </w:r>
      <w:r w:rsidRPr="00300354">
        <w:rPr>
          <w:b/>
        </w:rPr>
        <w:t>10</w:t>
      </w:r>
      <w:r w:rsidRPr="00300354">
        <w:t>, 2293-2314 (2013).</w:t>
      </w:r>
    </w:p>
    <w:p w14:paraId="65265268" w14:textId="77777777" w:rsidR="000E2432" w:rsidRPr="00300354" w:rsidRDefault="000E2432" w:rsidP="005975D9">
      <w:pPr>
        <w:pStyle w:val="EndNoteBibliography"/>
        <w:spacing w:line="360" w:lineRule="exact"/>
        <w:ind w:left="480" w:hangingChars="200" w:hanging="480"/>
        <w:jc w:val="both"/>
      </w:pPr>
      <w:r w:rsidRPr="00300354">
        <w:t>12</w:t>
      </w:r>
      <w:r w:rsidRPr="00300354">
        <w:tab/>
        <w:t xml:space="preserve">Lasslop, G., Thonicke, K. &amp; Kloster, S. SPITFIRE within the MPI Earth system model: Model development and evaluation. </w:t>
      </w:r>
      <w:r w:rsidRPr="00300354">
        <w:rPr>
          <w:i/>
        </w:rPr>
        <w:t>Journal of Advances in Modeling Earth Systems</w:t>
      </w:r>
      <w:r w:rsidRPr="00300354">
        <w:t xml:space="preserve"> </w:t>
      </w:r>
      <w:r w:rsidRPr="00300354">
        <w:rPr>
          <w:b/>
        </w:rPr>
        <w:t>6</w:t>
      </w:r>
      <w:r w:rsidRPr="00300354">
        <w:t>, 740-755 (2014).</w:t>
      </w:r>
    </w:p>
    <w:p w14:paraId="0A344204" w14:textId="77777777" w:rsidR="000E2432" w:rsidRPr="00300354" w:rsidRDefault="000E2432" w:rsidP="005975D9">
      <w:pPr>
        <w:pStyle w:val="EndNoteBibliography"/>
        <w:spacing w:line="360" w:lineRule="exact"/>
        <w:ind w:left="480" w:hangingChars="200" w:hanging="480"/>
        <w:jc w:val="both"/>
      </w:pPr>
      <w:r w:rsidRPr="00300354">
        <w:t>13</w:t>
      </w:r>
      <w:r w:rsidRPr="00300354">
        <w:tab/>
        <w:t>Lehsten, V.</w:t>
      </w:r>
      <w:r w:rsidRPr="00300354">
        <w:rPr>
          <w:i/>
        </w:rPr>
        <w:t xml:space="preserve"> et al.</w:t>
      </w:r>
      <w:r w:rsidRPr="00300354">
        <w:t xml:space="preserve"> Estimating carbon emissions from African wildfires. </w:t>
      </w:r>
      <w:r w:rsidRPr="00300354">
        <w:rPr>
          <w:i/>
        </w:rPr>
        <w:t>Biogeosciences</w:t>
      </w:r>
      <w:r w:rsidRPr="00300354">
        <w:t xml:space="preserve"> </w:t>
      </w:r>
      <w:r w:rsidRPr="00300354">
        <w:rPr>
          <w:b/>
        </w:rPr>
        <w:t>6</w:t>
      </w:r>
      <w:r w:rsidRPr="00300354">
        <w:t>, 349-360 (2009).</w:t>
      </w:r>
    </w:p>
    <w:p w14:paraId="11D54BF4" w14:textId="77777777" w:rsidR="000E2432" w:rsidRPr="00300354" w:rsidRDefault="000E2432" w:rsidP="005975D9">
      <w:pPr>
        <w:pStyle w:val="EndNoteBibliography"/>
        <w:spacing w:line="360" w:lineRule="exact"/>
        <w:ind w:left="480" w:hangingChars="200" w:hanging="480"/>
        <w:jc w:val="both"/>
      </w:pPr>
      <w:r w:rsidRPr="00300354">
        <w:lastRenderedPageBreak/>
        <w:t>14</w:t>
      </w:r>
      <w:r w:rsidRPr="00300354">
        <w:tab/>
        <w:t>Yue, C.</w:t>
      </w:r>
      <w:r w:rsidRPr="00300354">
        <w:rPr>
          <w:i/>
        </w:rPr>
        <w:t xml:space="preserve"> et al.</w:t>
      </w:r>
      <w:r w:rsidRPr="00300354">
        <w:t xml:space="preserve"> Modelling the role of fires in the terrestrial carbon balance by incorporating SPITFIRE into the global vegetation model ORCHIDEE – Part 1: simulating historical global burned area and fire regimes. </w:t>
      </w:r>
      <w:r w:rsidRPr="00300354">
        <w:rPr>
          <w:i/>
        </w:rPr>
        <w:t>Geoscientific Model Development</w:t>
      </w:r>
      <w:r w:rsidRPr="00300354">
        <w:t xml:space="preserve"> </w:t>
      </w:r>
      <w:r w:rsidRPr="00300354">
        <w:rPr>
          <w:b/>
        </w:rPr>
        <w:t>7</w:t>
      </w:r>
      <w:r w:rsidRPr="00300354">
        <w:t>, 2747-2767 (2014).</w:t>
      </w:r>
    </w:p>
    <w:p w14:paraId="3ECF8178" w14:textId="77777777" w:rsidR="000E2432" w:rsidRPr="00300354" w:rsidRDefault="000E2432" w:rsidP="005975D9">
      <w:pPr>
        <w:pStyle w:val="EndNoteBibliography"/>
        <w:spacing w:line="360" w:lineRule="exact"/>
        <w:ind w:left="480" w:hangingChars="200" w:hanging="480"/>
        <w:jc w:val="both"/>
      </w:pPr>
      <w:r w:rsidRPr="00300354">
        <w:t>15</w:t>
      </w:r>
      <w:r w:rsidRPr="00300354">
        <w:tab/>
        <w:t xml:space="preserve">Melton, J. R. &amp; Arora, V. K. Competition between plant functional types in the Canadian Terrestrial Ecosystem Model (CTEM) v. 2.0. </w:t>
      </w:r>
      <w:r w:rsidRPr="00300354">
        <w:rPr>
          <w:i/>
        </w:rPr>
        <w:t>Geoscientific Model Development</w:t>
      </w:r>
      <w:r w:rsidRPr="00300354">
        <w:t xml:space="preserve"> </w:t>
      </w:r>
      <w:r w:rsidRPr="00300354">
        <w:rPr>
          <w:b/>
        </w:rPr>
        <w:t>9</w:t>
      </w:r>
      <w:r w:rsidRPr="00300354">
        <w:t>, 323-361 (2016).</w:t>
      </w:r>
    </w:p>
    <w:p w14:paraId="39A6AA6B" w14:textId="77777777" w:rsidR="000E2432" w:rsidRPr="00300354" w:rsidRDefault="000E2432" w:rsidP="005975D9">
      <w:pPr>
        <w:pStyle w:val="EndNoteBibliography"/>
        <w:spacing w:line="360" w:lineRule="exact"/>
        <w:ind w:left="480" w:hangingChars="200" w:hanging="480"/>
        <w:jc w:val="both"/>
      </w:pPr>
      <w:r w:rsidRPr="00300354">
        <w:t>16</w:t>
      </w:r>
      <w:r w:rsidRPr="00300354">
        <w:tab/>
        <w:t>Mangeon, S.</w:t>
      </w:r>
      <w:r w:rsidRPr="00300354">
        <w:rPr>
          <w:i/>
        </w:rPr>
        <w:t xml:space="preserve"> et al.</w:t>
      </w:r>
      <w:r w:rsidRPr="00300354">
        <w:t xml:space="preserve"> INFERNO: a fire and emissions scheme for the UK Met Office's Unified Model. </w:t>
      </w:r>
      <w:r w:rsidRPr="00300354">
        <w:rPr>
          <w:i/>
        </w:rPr>
        <w:t>Geoscientific Model Development</w:t>
      </w:r>
      <w:r w:rsidRPr="00300354">
        <w:t xml:space="preserve"> </w:t>
      </w:r>
      <w:r w:rsidRPr="00300354">
        <w:rPr>
          <w:b/>
        </w:rPr>
        <w:t>9</w:t>
      </w:r>
      <w:r w:rsidRPr="00300354">
        <w:t>, 2685-2700 (2016).</w:t>
      </w:r>
    </w:p>
    <w:p w14:paraId="49E48BD5" w14:textId="77777777" w:rsidR="000E2432" w:rsidRPr="00300354" w:rsidRDefault="000E2432" w:rsidP="005975D9">
      <w:pPr>
        <w:pStyle w:val="EndNoteBibliography"/>
        <w:spacing w:line="360" w:lineRule="exact"/>
        <w:ind w:left="480" w:hangingChars="200" w:hanging="480"/>
        <w:jc w:val="both"/>
      </w:pPr>
      <w:r w:rsidRPr="00300354">
        <w:t>17</w:t>
      </w:r>
      <w:r w:rsidRPr="00300354">
        <w:tab/>
        <w:t xml:space="preserve">Knorr, W., Jiang, L. &amp; Arneth, A. Climate, CO2 and human population impacts on global wildfire emissions. </w:t>
      </w:r>
      <w:r w:rsidRPr="00300354">
        <w:rPr>
          <w:i/>
        </w:rPr>
        <w:t>Biogeosciences</w:t>
      </w:r>
      <w:r w:rsidRPr="00300354">
        <w:t xml:space="preserve"> </w:t>
      </w:r>
      <w:r w:rsidRPr="00300354">
        <w:rPr>
          <w:b/>
        </w:rPr>
        <w:t>13</w:t>
      </w:r>
      <w:r w:rsidRPr="00300354">
        <w:t>, 267-282 (2016).</w:t>
      </w:r>
    </w:p>
    <w:p w14:paraId="5FD556B9" w14:textId="77777777" w:rsidR="000E2432" w:rsidRPr="00300354" w:rsidRDefault="000E2432" w:rsidP="005975D9">
      <w:pPr>
        <w:pStyle w:val="EndNoteBibliography"/>
        <w:spacing w:line="360" w:lineRule="exact"/>
        <w:ind w:left="480" w:hangingChars="200" w:hanging="480"/>
        <w:jc w:val="both"/>
      </w:pPr>
      <w:r w:rsidRPr="00300354">
        <w:t>18</w:t>
      </w:r>
      <w:r w:rsidRPr="00300354">
        <w:tab/>
        <w:t>Smith, B.</w:t>
      </w:r>
      <w:r w:rsidRPr="00300354">
        <w:rPr>
          <w:i/>
        </w:rPr>
        <w:t xml:space="preserve"> et al.</w:t>
      </w:r>
      <w:r w:rsidRPr="00300354">
        <w:t xml:space="preserve"> Implications of incorporating N cycling and N limitations on primary production in an individual-based dynamic vegetation model. </w:t>
      </w:r>
      <w:r w:rsidRPr="00300354">
        <w:rPr>
          <w:i/>
        </w:rPr>
        <w:t>Biogeosciences</w:t>
      </w:r>
      <w:r w:rsidRPr="00300354">
        <w:t xml:space="preserve"> </w:t>
      </w:r>
      <w:r w:rsidRPr="00300354">
        <w:rPr>
          <w:b/>
        </w:rPr>
        <w:t>11</w:t>
      </w:r>
      <w:r w:rsidRPr="00300354">
        <w:t>, 2027-2054 (2014).</w:t>
      </w:r>
    </w:p>
    <w:p w14:paraId="6B08E408" w14:textId="166CEA13" w:rsidR="000E2432" w:rsidRPr="001F7196" w:rsidRDefault="000E2432" w:rsidP="005975D9">
      <w:pPr>
        <w:pStyle w:val="EndNoteBibliography"/>
        <w:spacing w:line="360" w:lineRule="exact"/>
        <w:ind w:left="480" w:hangingChars="200" w:hanging="480"/>
        <w:jc w:val="both"/>
      </w:pPr>
      <w:r w:rsidRPr="00300354">
        <w:t>19</w:t>
      </w:r>
      <w:r w:rsidRPr="00300354">
        <w:tab/>
        <w:t xml:space="preserve">Bachelet, D., Ferschweiler, K., Sheehan, T. J., Sleeter, B. M. &amp; Zhu, Z. Projected carbon stocks in the conterminous USA with land use and variable fire regimes. </w:t>
      </w:r>
      <w:r w:rsidRPr="00300354">
        <w:rPr>
          <w:i/>
        </w:rPr>
        <w:t>Glob Chang Biol</w:t>
      </w:r>
      <w:r w:rsidRPr="00300354">
        <w:t xml:space="preserve"> </w:t>
      </w:r>
      <w:r w:rsidRPr="00300354">
        <w:rPr>
          <w:b/>
        </w:rPr>
        <w:t>21</w:t>
      </w:r>
      <w:r w:rsidRPr="00300354">
        <w:t>, 4548-4560 (2015).</w:t>
      </w:r>
    </w:p>
    <w:p w14:paraId="2C942433" w14:textId="5A855E20" w:rsidR="006E7F20" w:rsidRDefault="006E7F20" w:rsidP="006E0471">
      <w:pPr>
        <w:pStyle w:val="SMcaption"/>
        <w:spacing w:line="360" w:lineRule="exact"/>
        <w:ind w:left="480" w:hangingChars="200" w:hanging="480"/>
        <w:jc w:val="both"/>
        <w:rPr>
          <w:szCs w:val="24"/>
        </w:rPr>
      </w:pPr>
    </w:p>
    <w:p w14:paraId="6F221E3F" w14:textId="77777777" w:rsidR="00E36B16" w:rsidRDefault="00E36B16" w:rsidP="006E7F20">
      <w:pPr>
        <w:pStyle w:val="SMcaption"/>
        <w:spacing w:before="120" w:after="120" w:line="360" w:lineRule="exact"/>
        <w:ind w:left="480" w:hangingChars="200" w:hanging="480"/>
        <w:jc w:val="both"/>
        <w:rPr>
          <w:szCs w:val="24"/>
        </w:rPr>
      </w:pPr>
    </w:p>
    <w:p w14:paraId="18923D87" w14:textId="336306FE" w:rsidR="00045E1F" w:rsidRPr="00045E1F" w:rsidRDefault="00045E1F" w:rsidP="00045E1F">
      <w:pPr>
        <w:pStyle w:val="EndNoteBibliography"/>
        <w:ind w:left="720" w:hanging="720"/>
      </w:pPr>
    </w:p>
    <w:p w14:paraId="547ED9E0" w14:textId="6CA5DE99" w:rsidR="0064193B" w:rsidRPr="008C145F" w:rsidRDefault="0064193B" w:rsidP="00820197">
      <w:pPr>
        <w:pStyle w:val="SMcaption"/>
        <w:spacing w:before="120" w:after="120" w:line="360" w:lineRule="exact"/>
        <w:jc w:val="both"/>
        <w:rPr>
          <w:szCs w:val="24"/>
        </w:rPr>
      </w:pPr>
    </w:p>
    <w:sectPr w:rsidR="0064193B" w:rsidRPr="008C145F" w:rsidSect="00E40AD9">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8B7D60" w14:textId="77777777" w:rsidR="009F43B9" w:rsidRDefault="009F43B9">
      <w:r>
        <w:separator/>
      </w:r>
    </w:p>
  </w:endnote>
  <w:endnote w:type="continuationSeparator" w:id="0">
    <w:p w14:paraId="20F25DA8" w14:textId="77777777" w:rsidR="009F43B9" w:rsidRDefault="009F43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58EA3E" w14:textId="32DFF1A6" w:rsidR="00E226D0" w:rsidRDefault="00E226D0">
    <w:pPr>
      <w:pStyle w:val="aff1"/>
      <w:jc w:val="right"/>
    </w:pPr>
    <w:r>
      <w:fldChar w:fldCharType="begin"/>
    </w:r>
    <w:r>
      <w:instrText xml:space="preserve"> PAGE   \* MERGEFORMAT </w:instrText>
    </w:r>
    <w:r>
      <w:fldChar w:fldCharType="separate"/>
    </w:r>
    <w:r>
      <w:rPr>
        <w:noProof/>
      </w:rPr>
      <w:t>3</w:t>
    </w:r>
    <w:r>
      <w:fldChar w:fldCharType="end"/>
    </w:r>
  </w:p>
  <w:p w14:paraId="211F3547" w14:textId="77777777" w:rsidR="00E226D0" w:rsidRDefault="00E226D0">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85F031" w14:textId="77777777" w:rsidR="009F43B9" w:rsidRDefault="009F43B9">
      <w:r>
        <w:separator/>
      </w:r>
    </w:p>
  </w:footnote>
  <w:footnote w:type="continuationSeparator" w:id="0">
    <w:p w14:paraId="2067E7BE" w14:textId="77777777" w:rsidR="009F43B9" w:rsidRDefault="009F43B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characterSpacingControl w:val="doNotCompress"/>
  <w:hdrShapeDefaults>
    <o:shapedefaults v:ext="edit" spidmax="2049"/>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rcwNjExMje1NDW3NDRS0lEKTi0uzszPAykwN64FAOqZEqwtAAAA"/>
    <w:docVar w:name="EN.InstantFormat" w:val="&lt;ENInstantFormat&gt;&lt;Enabled&gt;0&lt;/Enabled&gt;&lt;ScanUnformatted&gt;1&lt;/ScanUnformatted&gt;&lt;ScanChanges&gt;1&lt;/ScanChanges&gt;&lt;Suspended&gt;0&lt;/Suspended&gt;&lt;/ENInstantFormat&gt;"/>
    <w:docVar w:name="EN.Layout" w:val="&lt;ENLayout&gt;&lt;Style&gt;Nature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xzew0safrpr5xer0pbv05dq5sevsfse5sw9&quot;&gt;My Himawari-8 EndNote Library-Converted&lt;record-ids&gt;&lt;item&gt;394&lt;/item&gt;&lt;item&gt;421&lt;/item&gt;&lt;item&gt;456&lt;/item&gt;&lt;item&gt;463&lt;/item&gt;&lt;item&gt;523&lt;/item&gt;&lt;item&gt;526&lt;/item&gt;&lt;item&gt;527&lt;/item&gt;&lt;item&gt;529&lt;/item&gt;&lt;item&gt;530&lt;/item&gt;&lt;item&gt;531&lt;/item&gt;&lt;item&gt;532&lt;/item&gt;&lt;item&gt;533&lt;/item&gt;&lt;item&gt;534&lt;/item&gt;&lt;item&gt;535&lt;/item&gt;&lt;item&gt;547&lt;/item&gt;&lt;item&gt;650&lt;/item&gt;&lt;item&gt;651&lt;/item&gt;&lt;item&gt;652&lt;/item&gt;&lt;item&gt;653&lt;/item&gt;&lt;/record-ids&gt;&lt;/item&gt;&lt;/Libraries&gt;"/>
  </w:docVars>
  <w:rsids>
    <w:rsidRoot w:val="002C030F"/>
    <w:rsid w:val="00000EE2"/>
    <w:rsid w:val="00001967"/>
    <w:rsid w:val="00001DA2"/>
    <w:rsid w:val="00006F35"/>
    <w:rsid w:val="00011561"/>
    <w:rsid w:val="00015007"/>
    <w:rsid w:val="00015F74"/>
    <w:rsid w:val="0001701F"/>
    <w:rsid w:val="00024E6D"/>
    <w:rsid w:val="00025094"/>
    <w:rsid w:val="00031282"/>
    <w:rsid w:val="000333E1"/>
    <w:rsid w:val="0004216F"/>
    <w:rsid w:val="00045E1F"/>
    <w:rsid w:val="00050BB9"/>
    <w:rsid w:val="00051DDD"/>
    <w:rsid w:val="00053848"/>
    <w:rsid w:val="00054136"/>
    <w:rsid w:val="000608FC"/>
    <w:rsid w:val="0006218A"/>
    <w:rsid w:val="00063B5E"/>
    <w:rsid w:val="00065EBD"/>
    <w:rsid w:val="000710F9"/>
    <w:rsid w:val="00071FB9"/>
    <w:rsid w:val="0007373D"/>
    <w:rsid w:val="00076680"/>
    <w:rsid w:val="00083B44"/>
    <w:rsid w:val="000843E7"/>
    <w:rsid w:val="00084540"/>
    <w:rsid w:val="000850DC"/>
    <w:rsid w:val="00085290"/>
    <w:rsid w:val="00086536"/>
    <w:rsid w:val="0009337F"/>
    <w:rsid w:val="00094995"/>
    <w:rsid w:val="00094FAD"/>
    <w:rsid w:val="000953F5"/>
    <w:rsid w:val="000A510D"/>
    <w:rsid w:val="000A6DBF"/>
    <w:rsid w:val="000B2605"/>
    <w:rsid w:val="000B3785"/>
    <w:rsid w:val="000B3844"/>
    <w:rsid w:val="000B6675"/>
    <w:rsid w:val="000C0A7B"/>
    <w:rsid w:val="000C2771"/>
    <w:rsid w:val="000C2C5E"/>
    <w:rsid w:val="000C30E0"/>
    <w:rsid w:val="000D46F4"/>
    <w:rsid w:val="000D77F4"/>
    <w:rsid w:val="000E00D4"/>
    <w:rsid w:val="000E2432"/>
    <w:rsid w:val="000E27F2"/>
    <w:rsid w:val="000E42DE"/>
    <w:rsid w:val="000E6698"/>
    <w:rsid w:val="000F0DCE"/>
    <w:rsid w:val="000F3DF1"/>
    <w:rsid w:val="000F4E8F"/>
    <w:rsid w:val="000F5259"/>
    <w:rsid w:val="000F5937"/>
    <w:rsid w:val="000F6BE3"/>
    <w:rsid w:val="00100BA0"/>
    <w:rsid w:val="00102B73"/>
    <w:rsid w:val="0010361F"/>
    <w:rsid w:val="0010430E"/>
    <w:rsid w:val="00106A64"/>
    <w:rsid w:val="001128FC"/>
    <w:rsid w:val="00112C5B"/>
    <w:rsid w:val="00112E74"/>
    <w:rsid w:val="00114193"/>
    <w:rsid w:val="00115A38"/>
    <w:rsid w:val="0011687B"/>
    <w:rsid w:val="00116C3F"/>
    <w:rsid w:val="00121474"/>
    <w:rsid w:val="001229E7"/>
    <w:rsid w:val="00124F82"/>
    <w:rsid w:val="00134049"/>
    <w:rsid w:val="001354A1"/>
    <w:rsid w:val="00135D95"/>
    <w:rsid w:val="00142CD6"/>
    <w:rsid w:val="00142F30"/>
    <w:rsid w:val="001435AD"/>
    <w:rsid w:val="00144555"/>
    <w:rsid w:val="001471AE"/>
    <w:rsid w:val="001477D3"/>
    <w:rsid w:val="00147B36"/>
    <w:rsid w:val="00150381"/>
    <w:rsid w:val="001620DA"/>
    <w:rsid w:val="0016337A"/>
    <w:rsid w:val="00164269"/>
    <w:rsid w:val="001642D5"/>
    <w:rsid w:val="0016563A"/>
    <w:rsid w:val="001661B2"/>
    <w:rsid w:val="00172330"/>
    <w:rsid w:val="00173304"/>
    <w:rsid w:val="00173B26"/>
    <w:rsid w:val="00174ED4"/>
    <w:rsid w:val="00176C31"/>
    <w:rsid w:val="00182196"/>
    <w:rsid w:val="00182541"/>
    <w:rsid w:val="00186FD4"/>
    <w:rsid w:val="00197A1B"/>
    <w:rsid w:val="001A1A92"/>
    <w:rsid w:val="001A1BDE"/>
    <w:rsid w:val="001A1D16"/>
    <w:rsid w:val="001A247D"/>
    <w:rsid w:val="001A2C38"/>
    <w:rsid w:val="001A3299"/>
    <w:rsid w:val="001A3D5D"/>
    <w:rsid w:val="001A56FA"/>
    <w:rsid w:val="001B06DB"/>
    <w:rsid w:val="001B0BD0"/>
    <w:rsid w:val="001B1F8F"/>
    <w:rsid w:val="001B3B21"/>
    <w:rsid w:val="001C63D2"/>
    <w:rsid w:val="001D1EA0"/>
    <w:rsid w:val="001D21C3"/>
    <w:rsid w:val="001D5F93"/>
    <w:rsid w:val="001D6AF1"/>
    <w:rsid w:val="001E044E"/>
    <w:rsid w:val="001E2829"/>
    <w:rsid w:val="001E30B9"/>
    <w:rsid w:val="001E3B0A"/>
    <w:rsid w:val="001E638A"/>
    <w:rsid w:val="001F0876"/>
    <w:rsid w:val="001F167C"/>
    <w:rsid w:val="001F20A3"/>
    <w:rsid w:val="001F2FBB"/>
    <w:rsid w:val="001F5E91"/>
    <w:rsid w:val="001F65EB"/>
    <w:rsid w:val="001F7196"/>
    <w:rsid w:val="0020018E"/>
    <w:rsid w:val="002067FB"/>
    <w:rsid w:val="002077B9"/>
    <w:rsid w:val="00207A01"/>
    <w:rsid w:val="00215434"/>
    <w:rsid w:val="00224629"/>
    <w:rsid w:val="0022633E"/>
    <w:rsid w:val="00227787"/>
    <w:rsid w:val="00227951"/>
    <w:rsid w:val="0023046B"/>
    <w:rsid w:val="00233267"/>
    <w:rsid w:val="00234748"/>
    <w:rsid w:val="00234925"/>
    <w:rsid w:val="00243238"/>
    <w:rsid w:val="00244BCC"/>
    <w:rsid w:val="00245624"/>
    <w:rsid w:val="00247F11"/>
    <w:rsid w:val="00253BC7"/>
    <w:rsid w:val="00253FA1"/>
    <w:rsid w:val="002552E9"/>
    <w:rsid w:val="00255363"/>
    <w:rsid w:val="00255599"/>
    <w:rsid w:val="002622AB"/>
    <w:rsid w:val="00262761"/>
    <w:rsid w:val="00262D72"/>
    <w:rsid w:val="00265958"/>
    <w:rsid w:val="002671D0"/>
    <w:rsid w:val="00267491"/>
    <w:rsid w:val="00272FDA"/>
    <w:rsid w:val="00275321"/>
    <w:rsid w:val="00275638"/>
    <w:rsid w:val="00277A4B"/>
    <w:rsid w:val="00282B15"/>
    <w:rsid w:val="00284D35"/>
    <w:rsid w:val="00285F35"/>
    <w:rsid w:val="00286A9C"/>
    <w:rsid w:val="00292422"/>
    <w:rsid w:val="00294FBB"/>
    <w:rsid w:val="00295AF5"/>
    <w:rsid w:val="002A01FD"/>
    <w:rsid w:val="002A0EB8"/>
    <w:rsid w:val="002A781F"/>
    <w:rsid w:val="002B1634"/>
    <w:rsid w:val="002B2B23"/>
    <w:rsid w:val="002B2D76"/>
    <w:rsid w:val="002B5804"/>
    <w:rsid w:val="002C030F"/>
    <w:rsid w:val="002C4E15"/>
    <w:rsid w:val="002C670E"/>
    <w:rsid w:val="002D4217"/>
    <w:rsid w:val="002E6C7C"/>
    <w:rsid w:val="002F1127"/>
    <w:rsid w:val="002F4928"/>
    <w:rsid w:val="002F4AAC"/>
    <w:rsid w:val="002F767F"/>
    <w:rsid w:val="002F7900"/>
    <w:rsid w:val="002F7B46"/>
    <w:rsid w:val="00300354"/>
    <w:rsid w:val="0030151F"/>
    <w:rsid w:val="003026D1"/>
    <w:rsid w:val="00302DFE"/>
    <w:rsid w:val="0030527F"/>
    <w:rsid w:val="003067D4"/>
    <w:rsid w:val="00310DFF"/>
    <w:rsid w:val="003122B9"/>
    <w:rsid w:val="00312565"/>
    <w:rsid w:val="00315ECC"/>
    <w:rsid w:val="0032008A"/>
    <w:rsid w:val="00320C57"/>
    <w:rsid w:val="003227A1"/>
    <w:rsid w:val="00326533"/>
    <w:rsid w:val="00331D75"/>
    <w:rsid w:val="00332C89"/>
    <w:rsid w:val="003446CE"/>
    <w:rsid w:val="00355362"/>
    <w:rsid w:val="00360645"/>
    <w:rsid w:val="00361B71"/>
    <w:rsid w:val="00363E44"/>
    <w:rsid w:val="00371E32"/>
    <w:rsid w:val="003752DB"/>
    <w:rsid w:val="00377154"/>
    <w:rsid w:val="003802DA"/>
    <w:rsid w:val="00382F13"/>
    <w:rsid w:val="00385AB9"/>
    <w:rsid w:val="003904BC"/>
    <w:rsid w:val="00390541"/>
    <w:rsid w:val="00391E40"/>
    <w:rsid w:val="00392077"/>
    <w:rsid w:val="00395E86"/>
    <w:rsid w:val="0039657C"/>
    <w:rsid w:val="00396624"/>
    <w:rsid w:val="003A2205"/>
    <w:rsid w:val="003A2FD8"/>
    <w:rsid w:val="003A523C"/>
    <w:rsid w:val="003A607D"/>
    <w:rsid w:val="003A74FA"/>
    <w:rsid w:val="003B092E"/>
    <w:rsid w:val="003B352C"/>
    <w:rsid w:val="003B40E6"/>
    <w:rsid w:val="003B6ADD"/>
    <w:rsid w:val="003C2780"/>
    <w:rsid w:val="003C41A9"/>
    <w:rsid w:val="003C6C5A"/>
    <w:rsid w:val="003C6E5D"/>
    <w:rsid w:val="003C77E8"/>
    <w:rsid w:val="003D132E"/>
    <w:rsid w:val="003D1FC9"/>
    <w:rsid w:val="003D69BA"/>
    <w:rsid w:val="003E2EFB"/>
    <w:rsid w:val="003E74FB"/>
    <w:rsid w:val="003F2FCB"/>
    <w:rsid w:val="003F5F82"/>
    <w:rsid w:val="003F6E14"/>
    <w:rsid w:val="003F70B7"/>
    <w:rsid w:val="00400CF8"/>
    <w:rsid w:val="00402F48"/>
    <w:rsid w:val="00403D2C"/>
    <w:rsid w:val="00405336"/>
    <w:rsid w:val="00406031"/>
    <w:rsid w:val="00407FAF"/>
    <w:rsid w:val="00413B30"/>
    <w:rsid w:val="004166D5"/>
    <w:rsid w:val="00423553"/>
    <w:rsid w:val="004258EA"/>
    <w:rsid w:val="004265F5"/>
    <w:rsid w:val="004304AE"/>
    <w:rsid w:val="004306F4"/>
    <w:rsid w:val="00430FF8"/>
    <w:rsid w:val="00432448"/>
    <w:rsid w:val="004367A4"/>
    <w:rsid w:val="0043699A"/>
    <w:rsid w:val="004415F2"/>
    <w:rsid w:val="00441810"/>
    <w:rsid w:val="0044496F"/>
    <w:rsid w:val="00444CD4"/>
    <w:rsid w:val="00450E47"/>
    <w:rsid w:val="004510EA"/>
    <w:rsid w:val="0045397F"/>
    <w:rsid w:val="00454F57"/>
    <w:rsid w:val="004571D5"/>
    <w:rsid w:val="00461D81"/>
    <w:rsid w:val="0046356B"/>
    <w:rsid w:val="004643EF"/>
    <w:rsid w:val="00467763"/>
    <w:rsid w:val="00473DF0"/>
    <w:rsid w:val="00477182"/>
    <w:rsid w:val="004779CB"/>
    <w:rsid w:val="00477CCE"/>
    <w:rsid w:val="004809B6"/>
    <w:rsid w:val="0048160F"/>
    <w:rsid w:val="004838B7"/>
    <w:rsid w:val="00483E30"/>
    <w:rsid w:val="00484410"/>
    <w:rsid w:val="004876E5"/>
    <w:rsid w:val="004910E9"/>
    <w:rsid w:val="00491E47"/>
    <w:rsid w:val="00493707"/>
    <w:rsid w:val="0049622D"/>
    <w:rsid w:val="00496553"/>
    <w:rsid w:val="004A4B5B"/>
    <w:rsid w:val="004A70A1"/>
    <w:rsid w:val="004B57FF"/>
    <w:rsid w:val="004C218E"/>
    <w:rsid w:val="004D4714"/>
    <w:rsid w:val="004D568B"/>
    <w:rsid w:val="004E03AB"/>
    <w:rsid w:val="004E1736"/>
    <w:rsid w:val="004E32C8"/>
    <w:rsid w:val="004E3405"/>
    <w:rsid w:val="004E42D8"/>
    <w:rsid w:val="004E7BA2"/>
    <w:rsid w:val="004F3AA7"/>
    <w:rsid w:val="004F7599"/>
    <w:rsid w:val="004F7EDF"/>
    <w:rsid w:val="005001AC"/>
    <w:rsid w:val="00504FB1"/>
    <w:rsid w:val="00505BB7"/>
    <w:rsid w:val="005069A8"/>
    <w:rsid w:val="00510A5C"/>
    <w:rsid w:val="0051732D"/>
    <w:rsid w:val="00517A6B"/>
    <w:rsid w:val="00522295"/>
    <w:rsid w:val="005230A1"/>
    <w:rsid w:val="00525289"/>
    <w:rsid w:val="00527D71"/>
    <w:rsid w:val="00530281"/>
    <w:rsid w:val="00532D2C"/>
    <w:rsid w:val="005341EF"/>
    <w:rsid w:val="00544561"/>
    <w:rsid w:val="0054587E"/>
    <w:rsid w:val="0054592D"/>
    <w:rsid w:val="005475E4"/>
    <w:rsid w:val="00550C80"/>
    <w:rsid w:val="005520A8"/>
    <w:rsid w:val="00552527"/>
    <w:rsid w:val="00552BA4"/>
    <w:rsid w:val="0056047D"/>
    <w:rsid w:val="005607DD"/>
    <w:rsid w:val="00562483"/>
    <w:rsid w:val="005636F5"/>
    <w:rsid w:val="00566CFA"/>
    <w:rsid w:val="0056706D"/>
    <w:rsid w:val="00567D62"/>
    <w:rsid w:val="0057369B"/>
    <w:rsid w:val="00574A57"/>
    <w:rsid w:val="00582993"/>
    <w:rsid w:val="00582C78"/>
    <w:rsid w:val="00584179"/>
    <w:rsid w:val="0058423F"/>
    <w:rsid w:val="005902AD"/>
    <w:rsid w:val="00592D3A"/>
    <w:rsid w:val="005964E5"/>
    <w:rsid w:val="005975D9"/>
    <w:rsid w:val="005A303D"/>
    <w:rsid w:val="005A558C"/>
    <w:rsid w:val="005A675E"/>
    <w:rsid w:val="005A74A3"/>
    <w:rsid w:val="005B0C70"/>
    <w:rsid w:val="005B44F0"/>
    <w:rsid w:val="005B4D4E"/>
    <w:rsid w:val="005C037C"/>
    <w:rsid w:val="005C0C92"/>
    <w:rsid w:val="005C1377"/>
    <w:rsid w:val="005C6FB1"/>
    <w:rsid w:val="005C741C"/>
    <w:rsid w:val="005D1614"/>
    <w:rsid w:val="005D230F"/>
    <w:rsid w:val="005D2FB2"/>
    <w:rsid w:val="005D56EE"/>
    <w:rsid w:val="005E28F8"/>
    <w:rsid w:val="005E3040"/>
    <w:rsid w:val="005E43AA"/>
    <w:rsid w:val="005E6513"/>
    <w:rsid w:val="005E6C8E"/>
    <w:rsid w:val="005F31E3"/>
    <w:rsid w:val="005F6A66"/>
    <w:rsid w:val="00600F31"/>
    <w:rsid w:val="006025CC"/>
    <w:rsid w:val="006052E3"/>
    <w:rsid w:val="00622B16"/>
    <w:rsid w:val="00622D67"/>
    <w:rsid w:val="006276D3"/>
    <w:rsid w:val="00630499"/>
    <w:rsid w:val="006346FA"/>
    <w:rsid w:val="006357F6"/>
    <w:rsid w:val="0064193B"/>
    <w:rsid w:val="00643F51"/>
    <w:rsid w:val="00645516"/>
    <w:rsid w:val="00645D18"/>
    <w:rsid w:val="00646E6E"/>
    <w:rsid w:val="006471E4"/>
    <w:rsid w:val="00647867"/>
    <w:rsid w:val="00651114"/>
    <w:rsid w:val="00651C55"/>
    <w:rsid w:val="006536D4"/>
    <w:rsid w:val="00655258"/>
    <w:rsid w:val="00655452"/>
    <w:rsid w:val="006574F5"/>
    <w:rsid w:val="006644BF"/>
    <w:rsid w:val="00664560"/>
    <w:rsid w:val="00665367"/>
    <w:rsid w:val="006671F9"/>
    <w:rsid w:val="006678BD"/>
    <w:rsid w:val="00667DDB"/>
    <w:rsid w:val="00670299"/>
    <w:rsid w:val="00671250"/>
    <w:rsid w:val="00673FE6"/>
    <w:rsid w:val="00677695"/>
    <w:rsid w:val="0068134C"/>
    <w:rsid w:val="00682921"/>
    <w:rsid w:val="00684665"/>
    <w:rsid w:val="0069063E"/>
    <w:rsid w:val="00690E57"/>
    <w:rsid w:val="0069117A"/>
    <w:rsid w:val="00691985"/>
    <w:rsid w:val="00694BCD"/>
    <w:rsid w:val="006A018C"/>
    <w:rsid w:val="006A1B64"/>
    <w:rsid w:val="006A1F21"/>
    <w:rsid w:val="006A4AE1"/>
    <w:rsid w:val="006A66C5"/>
    <w:rsid w:val="006B024D"/>
    <w:rsid w:val="006B268C"/>
    <w:rsid w:val="006B70A5"/>
    <w:rsid w:val="006B7C31"/>
    <w:rsid w:val="006C3602"/>
    <w:rsid w:val="006C403D"/>
    <w:rsid w:val="006C7895"/>
    <w:rsid w:val="006D02CD"/>
    <w:rsid w:val="006D6AC6"/>
    <w:rsid w:val="006E0471"/>
    <w:rsid w:val="006E7F20"/>
    <w:rsid w:val="006F26DE"/>
    <w:rsid w:val="006F5815"/>
    <w:rsid w:val="00700299"/>
    <w:rsid w:val="00701278"/>
    <w:rsid w:val="007108F5"/>
    <w:rsid w:val="007112A8"/>
    <w:rsid w:val="00713E5B"/>
    <w:rsid w:val="00722573"/>
    <w:rsid w:val="00722F12"/>
    <w:rsid w:val="007230B4"/>
    <w:rsid w:val="007402FC"/>
    <w:rsid w:val="007411A1"/>
    <w:rsid w:val="007474D5"/>
    <w:rsid w:val="007502C4"/>
    <w:rsid w:val="00750E18"/>
    <w:rsid w:val="007516D6"/>
    <w:rsid w:val="00755BE6"/>
    <w:rsid w:val="00763E59"/>
    <w:rsid w:val="00765C59"/>
    <w:rsid w:val="00773065"/>
    <w:rsid w:val="00774043"/>
    <w:rsid w:val="00774F92"/>
    <w:rsid w:val="007753EC"/>
    <w:rsid w:val="00777D74"/>
    <w:rsid w:val="00777D9E"/>
    <w:rsid w:val="007809F6"/>
    <w:rsid w:val="00783E18"/>
    <w:rsid w:val="00784E98"/>
    <w:rsid w:val="007850B7"/>
    <w:rsid w:val="00786FEB"/>
    <w:rsid w:val="00790A7C"/>
    <w:rsid w:val="00791239"/>
    <w:rsid w:val="00793072"/>
    <w:rsid w:val="00795A9D"/>
    <w:rsid w:val="00795AA9"/>
    <w:rsid w:val="007969B5"/>
    <w:rsid w:val="007B1C10"/>
    <w:rsid w:val="007B2C14"/>
    <w:rsid w:val="007B5439"/>
    <w:rsid w:val="007B64CA"/>
    <w:rsid w:val="007C065F"/>
    <w:rsid w:val="007C376A"/>
    <w:rsid w:val="007C4F4A"/>
    <w:rsid w:val="007C4FD0"/>
    <w:rsid w:val="007C5053"/>
    <w:rsid w:val="007C5F1F"/>
    <w:rsid w:val="007D0052"/>
    <w:rsid w:val="007D2B80"/>
    <w:rsid w:val="007D4505"/>
    <w:rsid w:val="007E3685"/>
    <w:rsid w:val="007E3B42"/>
    <w:rsid w:val="007E5B9F"/>
    <w:rsid w:val="007F2182"/>
    <w:rsid w:val="007F33C1"/>
    <w:rsid w:val="007F4ADD"/>
    <w:rsid w:val="007F51E0"/>
    <w:rsid w:val="00803399"/>
    <w:rsid w:val="00807D35"/>
    <w:rsid w:val="00816CE6"/>
    <w:rsid w:val="00820197"/>
    <w:rsid w:val="00820FAB"/>
    <w:rsid w:val="008218C4"/>
    <w:rsid w:val="00825F43"/>
    <w:rsid w:val="00830B65"/>
    <w:rsid w:val="00831111"/>
    <w:rsid w:val="00832774"/>
    <w:rsid w:val="0083457E"/>
    <w:rsid w:val="00835F4E"/>
    <w:rsid w:val="0084110C"/>
    <w:rsid w:val="008429FE"/>
    <w:rsid w:val="008436E5"/>
    <w:rsid w:val="008457DA"/>
    <w:rsid w:val="00845BE5"/>
    <w:rsid w:val="00855B2D"/>
    <w:rsid w:val="00860294"/>
    <w:rsid w:val="00860616"/>
    <w:rsid w:val="00867A98"/>
    <w:rsid w:val="00870867"/>
    <w:rsid w:val="00873CBA"/>
    <w:rsid w:val="0087456A"/>
    <w:rsid w:val="00880C2A"/>
    <w:rsid w:val="00883883"/>
    <w:rsid w:val="00883AC4"/>
    <w:rsid w:val="00885C9B"/>
    <w:rsid w:val="00897FD4"/>
    <w:rsid w:val="008A3BD8"/>
    <w:rsid w:val="008A4FA2"/>
    <w:rsid w:val="008B0AF8"/>
    <w:rsid w:val="008B1614"/>
    <w:rsid w:val="008B379D"/>
    <w:rsid w:val="008B5864"/>
    <w:rsid w:val="008C145F"/>
    <w:rsid w:val="008D0D35"/>
    <w:rsid w:val="008D2843"/>
    <w:rsid w:val="008D4116"/>
    <w:rsid w:val="008D5BF5"/>
    <w:rsid w:val="008D5D2A"/>
    <w:rsid w:val="008E2C4C"/>
    <w:rsid w:val="008E4641"/>
    <w:rsid w:val="008F4FF4"/>
    <w:rsid w:val="008F618B"/>
    <w:rsid w:val="008F67DC"/>
    <w:rsid w:val="008F6E51"/>
    <w:rsid w:val="008F723F"/>
    <w:rsid w:val="00901D90"/>
    <w:rsid w:val="0090200D"/>
    <w:rsid w:val="00902C2D"/>
    <w:rsid w:val="0090438C"/>
    <w:rsid w:val="009054A3"/>
    <w:rsid w:val="00912EF4"/>
    <w:rsid w:val="00912FB0"/>
    <w:rsid w:val="00914B63"/>
    <w:rsid w:val="00920483"/>
    <w:rsid w:val="00925367"/>
    <w:rsid w:val="0092651C"/>
    <w:rsid w:val="00931B6D"/>
    <w:rsid w:val="00931E31"/>
    <w:rsid w:val="00932D48"/>
    <w:rsid w:val="0093520A"/>
    <w:rsid w:val="009354F3"/>
    <w:rsid w:val="0093762E"/>
    <w:rsid w:val="0094221C"/>
    <w:rsid w:val="00942D7E"/>
    <w:rsid w:val="0094309B"/>
    <w:rsid w:val="009447DC"/>
    <w:rsid w:val="009510CB"/>
    <w:rsid w:val="00954A80"/>
    <w:rsid w:val="00961BA5"/>
    <w:rsid w:val="009626AE"/>
    <w:rsid w:val="00964311"/>
    <w:rsid w:val="009654B3"/>
    <w:rsid w:val="0096718B"/>
    <w:rsid w:val="00972152"/>
    <w:rsid w:val="009743A9"/>
    <w:rsid w:val="00977072"/>
    <w:rsid w:val="00981501"/>
    <w:rsid w:val="009843D0"/>
    <w:rsid w:val="00986E43"/>
    <w:rsid w:val="009873A5"/>
    <w:rsid w:val="009922AA"/>
    <w:rsid w:val="009A5287"/>
    <w:rsid w:val="009B00A0"/>
    <w:rsid w:val="009B2337"/>
    <w:rsid w:val="009B2AC5"/>
    <w:rsid w:val="009B5668"/>
    <w:rsid w:val="009B7984"/>
    <w:rsid w:val="009C1B7B"/>
    <w:rsid w:val="009D2DB7"/>
    <w:rsid w:val="009D714A"/>
    <w:rsid w:val="009E5D5A"/>
    <w:rsid w:val="009E7A4C"/>
    <w:rsid w:val="009F2D07"/>
    <w:rsid w:val="009F43B9"/>
    <w:rsid w:val="009F4BED"/>
    <w:rsid w:val="009F66FA"/>
    <w:rsid w:val="009F7D93"/>
    <w:rsid w:val="00A00034"/>
    <w:rsid w:val="00A14C84"/>
    <w:rsid w:val="00A15278"/>
    <w:rsid w:val="00A16B29"/>
    <w:rsid w:val="00A17205"/>
    <w:rsid w:val="00A203C4"/>
    <w:rsid w:val="00A21370"/>
    <w:rsid w:val="00A21C91"/>
    <w:rsid w:val="00A22520"/>
    <w:rsid w:val="00A240C0"/>
    <w:rsid w:val="00A30A96"/>
    <w:rsid w:val="00A33AC9"/>
    <w:rsid w:val="00A3403B"/>
    <w:rsid w:val="00A400CF"/>
    <w:rsid w:val="00A44551"/>
    <w:rsid w:val="00A47019"/>
    <w:rsid w:val="00A50E05"/>
    <w:rsid w:val="00A5106B"/>
    <w:rsid w:val="00A51A12"/>
    <w:rsid w:val="00A53D60"/>
    <w:rsid w:val="00A571E5"/>
    <w:rsid w:val="00A627D4"/>
    <w:rsid w:val="00A63307"/>
    <w:rsid w:val="00A6510B"/>
    <w:rsid w:val="00A6736B"/>
    <w:rsid w:val="00A70A00"/>
    <w:rsid w:val="00A71744"/>
    <w:rsid w:val="00A74DA2"/>
    <w:rsid w:val="00A773DB"/>
    <w:rsid w:val="00A81BF4"/>
    <w:rsid w:val="00A84293"/>
    <w:rsid w:val="00A858A0"/>
    <w:rsid w:val="00A8629B"/>
    <w:rsid w:val="00A977AF"/>
    <w:rsid w:val="00AB399E"/>
    <w:rsid w:val="00AB39FB"/>
    <w:rsid w:val="00AB591C"/>
    <w:rsid w:val="00AB78B0"/>
    <w:rsid w:val="00AC3221"/>
    <w:rsid w:val="00AC59D0"/>
    <w:rsid w:val="00AC5A83"/>
    <w:rsid w:val="00AC681C"/>
    <w:rsid w:val="00AD04E6"/>
    <w:rsid w:val="00AD16B1"/>
    <w:rsid w:val="00AD499C"/>
    <w:rsid w:val="00AD4F78"/>
    <w:rsid w:val="00AD71D2"/>
    <w:rsid w:val="00AE0AA0"/>
    <w:rsid w:val="00AE15BD"/>
    <w:rsid w:val="00AE1A1A"/>
    <w:rsid w:val="00AE2841"/>
    <w:rsid w:val="00AE5D00"/>
    <w:rsid w:val="00AF2146"/>
    <w:rsid w:val="00AF2B51"/>
    <w:rsid w:val="00AF2D78"/>
    <w:rsid w:val="00AF5843"/>
    <w:rsid w:val="00AF6508"/>
    <w:rsid w:val="00B0071D"/>
    <w:rsid w:val="00B02AA8"/>
    <w:rsid w:val="00B02ED1"/>
    <w:rsid w:val="00B05EF0"/>
    <w:rsid w:val="00B06510"/>
    <w:rsid w:val="00B1009A"/>
    <w:rsid w:val="00B10169"/>
    <w:rsid w:val="00B135F1"/>
    <w:rsid w:val="00B137EA"/>
    <w:rsid w:val="00B14028"/>
    <w:rsid w:val="00B27BA9"/>
    <w:rsid w:val="00B3186E"/>
    <w:rsid w:val="00B33355"/>
    <w:rsid w:val="00B35BDF"/>
    <w:rsid w:val="00B36869"/>
    <w:rsid w:val="00B36F77"/>
    <w:rsid w:val="00B43B31"/>
    <w:rsid w:val="00B44A05"/>
    <w:rsid w:val="00B465EB"/>
    <w:rsid w:val="00B47CFA"/>
    <w:rsid w:val="00B47FAA"/>
    <w:rsid w:val="00B504C3"/>
    <w:rsid w:val="00B53B00"/>
    <w:rsid w:val="00B56701"/>
    <w:rsid w:val="00B57F00"/>
    <w:rsid w:val="00B61508"/>
    <w:rsid w:val="00B642F1"/>
    <w:rsid w:val="00B64C51"/>
    <w:rsid w:val="00B66904"/>
    <w:rsid w:val="00B757F6"/>
    <w:rsid w:val="00B77B2A"/>
    <w:rsid w:val="00B82C22"/>
    <w:rsid w:val="00B82EC6"/>
    <w:rsid w:val="00B84386"/>
    <w:rsid w:val="00B85D7B"/>
    <w:rsid w:val="00B93DBA"/>
    <w:rsid w:val="00B9440A"/>
    <w:rsid w:val="00BA1BD9"/>
    <w:rsid w:val="00BA4548"/>
    <w:rsid w:val="00BA733C"/>
    <w:rsid w:val="00BA7C75"/>
    <w:rsid w:val="00BA7E65"/>
    <w:rsid w:val="00BA7F11"/>
    <w:rsid w:val="00BB2D2A"/>
    <w:rsid w:val="00BB557A"/>
    <w:rsid w:val="00BC3E04"/>
    <w:rsid w:val="00BC4C29"/>
    <w:rsid w:val="00BC57B1"/>
    <w:rsid w:val="00BC6636"/>
    <w:rsid w:val="00BD20B6"/>
    <w:rsid w:val="00BD376C"/>
    <w:rsid w:val="00BD58CF"/>
    <w:rsid w:val="00BE07DD"/>
    <w:rsid w:val="00BE130C"/>
    <w:rsid w:val="00BF0C92"/>
    <w:rsid w:val="00BF7299"/>
    <w:rsid w:val="00C01557"/>
    <w:rsid w:val="00C04A55"/>
    <w:rsid w:val="00C04CC1"/>
    <w:rsid w:val="00C06D46"/>
    <w:rsid w:val="00C07825"/>
    <w:rsid w:val="00C12415"/>
    <w:rsid w:val="00C16281"/>
    <w:rsid w:val="00C17A29"/>
    <w:rsid w:val="00C2160B"/>
    <w:rsid w:val="00C228B1"/>
    <w:rsid w:val="00C23B39"/>
    <w:rsid w:val="00C23DE5"/>
    <w:rsid w:val="00C254BE"/>
    <w:rsid w:val="00C26D99"/>
    <w:rsid w:val="00C30482"/>
    <w:rsid w:val="00C323C4"/>
    <w:rsid w:val="00C32AB8"/>
    <w:rsid w:val="00C32BB9"/>
    <w:rsid w:val="00C32BEC"/>
    <w:rsid w:val="00C3543E"/>
    <w:rsid w:val="00C4096C"/>
    <w:rsid w:val="00C45068"/>
    <w:rsid w:val="00C50C6D"/>
    <w:rsid w:val="00C51F2F"/>
    <w:rsid w:val="00C55FFB"/>
    <w:rsid w:val="00C600D9"/>
    <w:rsid w:val="00C6203E"/>
    <w:rsid w:val="00C63E81"/>
    <w:rsid w:val="00C66F11"/>
    <w:rsid w:val="00C81808"/>
    <w:rsid w:val="00C82E88"/>
    <w:rsid w:val="00C87FA4"/>
    <w:rsid w:val="00C927B6"/>
    <w:rsid w:val="00C92B22"/>
    <w:rsid w:val="00C953B2"/>
    <w:rsid w:val="00CA0090"/>
    <w:rsid w:val="00CA3E9D"/>
    <w:rsid w:val="00CA5381"/>
    <w:rsid w:val="00CA7BCB"/>
    <w:rsid w:val="00CB673E"/>
    <w:rsid w:val="00CC1384"/>
    <w:rsid w:val="00CC2348"/>
    <w:rsid w:val="00CC4976"/>
    <w:rsid w:val="00CC75B0"/>
    <w:rsid w:val="00CD3720"/>
    <w:rsid w:val="00CD59C3"/>
    <w:rsid w:val="00CD6041"/>
    <w:rsid w:val="00CE137E"/>
    <w:rsid w:val="00CE338E"/>
    <w:rsid w:val="00CF1848"/>
    <w:rsid w:val="00CF1AA4"/>
    <w:rsid w:val="00CF1ABD"/>
    <w:rsid w:val="00CF4F1D"/>
    <w:rsid w:val="00CF5C2F"/>
    <w:rsid w:val="00CF75D1"/>
    <w:rsid w:val="00D00CC0"/>
    <w:rsid w:val="00D039FD"/>
    <w:rsid w:val="00D04BCF"/>
    <w:rsid w:val="00D0784A"/>
    <w:rsid w:val="00D07C26"/>
    <w:rsid w:val="00D10149"/>
    <w:rsid w:val="00D13E9E"/>
    <w:rsid w:val="00D1412E"/>
    <w:rsid w:val="00D143D9"/>
    <w:rsid w:val="00D1544C"/>
    <w:rsid w:val="00D25FDE"/>
    <w:rsid w:val="00D30E4E"/>
    <w:rsid w:val="00D32950"/>
    <w:rsid w:val="00D40102"/>
    <w:rsid w:val="00D501FA"/>
    <w:rsid w:val="00D52CD5"/>
    <w:rsid w:val="00D548A9"/>
    <w:rsid w:val="00D5511B"/>
    <w:rsid w:val="00D55D5C"/>
    <w:rsid w:val="00D56179"/>
    <w:rsid w:val="00D56215"/>
    <w:rsid w:val="00D639EE"/>
    <w:rsid w:val="00D6405F"/>
    <w:rsid w:val="00D66865"/>
    <w:rsid w:val="00D67B44"/>
    <w:rsid w:val="00D71BC0"/>
    <w:rsid w:val="00D75CA3"/>
    <w:rsid w:val="00D766F1"/>
    <w:rsid w:val="00D81283"/>
    <w:rsid w:val="00D81382"/>
    <w:rsid w:val="00D8385F"/>
    <w:rsid w:val="00D8478D"/>
    <w:rsid w:val="00D85369"/>
    <w:rsid w:val="00D85BE4"/>
    <w:rsid w:val="00D9744B"/>
    <w:rsid w:val="00D97BDA"/>
    <w:rsid w:val="00DA1902"/>
    <w:rsid w:val="00DA3E14"/>
    <w:rsid w:val="00DA7151"/>
    <w:rsid w:val="00DB20F0"/>
    <w:rsid w:val="00DB4999"/>
    <w:rsid w:val="00DB61DB"/>
    <w:rsid w:val="00DC0A81"/>
    <w:rsid w:val="00DC22BA"/>
    <w:rsid w:val="00DC5CF4"/>
    <w:rsid w:val="00DC617A"/>
    <w:rsid w:val="00DC62AF"/>
    <w:rsid w:val="00DC7C1F"/>
    <w:rsid w:val="00DD3A9C"/>
    <w:rsid w:val="00DD797D"/>
    <w:rsid w:val="00DE12A9"/>
    <w:rsid w:val="00DE1E51"/>
    <w:rsid w:val="00DE5C56"/>
    <w:rsid w:val="00DF03D8"/>
    <w:rsid w:val="00DF0D9F"/>
    <w:rsid w:val="00DF1DA3"/>
    <w:rsid w:val="00DF2664"/>
    <w:rsid w:val="00DF4387"/>
    <w:rsid w:val="00DF5794"/>
    <w:rsid w:val="00E00739"/>
    <w:rsid w:val="00E06FCA"/>
    <w:rsid w:val="00E076D5"/>
    <w:rsid w:val="00E07A0D"/>
    <w:rsid w:val="00E07EC5"/>
    <w:rsid w:val="00E122F4"/>
    <w:rsid w:val="00E12C1C"/>
    <w:rsid w:val="00E146A7"/>
    <w:rsid w:val="00E16B77"/>
    <w:rsid w:val="00E226D0"/>
    <w:rsid w:val="00E227A6"/>
    <w:rsid w:val="00E24A44"/>
    <w:rsid w:val="00E2561B"/>
    <w:rsid w:val="00E257C8"/>
    <w:rsid w:val="00E25925"/>
    <w:rsid w:val="00E265E1"/>
    <w:rsid w:val="00E27D68"/>
    <w:rsid w:val="00E27E3A"/>
    <w:rsid w:val="00E3531D"/>
    <w:rsid w:val="00E353A1"/>
    <w:rsid w:val="00E36B16"/>
    <w:rsid w:val="00E37776"/>
    <w:rsid w:val="00E40AD9"/>
    <w:rsid w:val="00E4102A"/>
    <w:rsid w:val="00E41512"/>
    <w:rsid w:val="00E4519A"/>
    <w:rsid w:val="00E454BB"/>
    <w:rsid w:val="00E4662A"/>
    <w:rsid w:val="00E52960"/>
    <w:rsid w:val="00E55514"/>
    <w:rsid w:val="00E56ADB"/>
    <w:rsid w:val="00E56F09"/>
    <w:rsid w:val="00E5787C"/>
    <w:rsid w:val="00E604AE"/>
    <w:rsid w:val="00E604CF"/>
    <w:rsid w:val="00E65169"/>
    <w:rsid w:val="00E7306C"/>
    <w:rsid w:val="00E770E2"/>
    <w:rsid w:val="00E84CF6"/>
    <w:rsid w:val="00E853D5"/>
    <w:rsid w:val="00E85A30"/>
    <w:rsid w:val="00E91C42"/>
    <w:rsid w:val="00E97215"/>
    <w:rsid w:val="00E9773B"/>
    <w:rsid w:val="00EA13B8"/>
    <w:rsid w:val="00EA2AD5"/>
    <w:rsid w:val="00EA2B4A"/>
    <w:rsid w:val="00EA6F42"/>
    <w:rsid w:val="00EB3165"/>
    <w:rsid w:val="00EB5107"/>
    <w:rsid w:val="00EC0B62"/>
    <w:rsid w:val="00EC13A3"/>
    <w:rsid w:val="00EC1B88"/>
    <w:rsid w:val="00EC5014"/>
    <w:rsid w:val="00EC5E1A"/>
    <w:rsid w:val="00EC6E9D"/>
    <w:rsid w:val="00EC717B"/>
    <w:rsid w:val="00EC7C85"/>
    <w:rsid w:val="00ED1C06"/>
    <w:rsid w:val="00ED2D9F"/>
    <w:rsid w:val="00ED6D5A"/>
    <w:rsid w:val="00EE3A06"/>
    <w:rsid w:val="00EE4458"/>
    <w:rsid w:val="00EE474E"/>
    <w:rsid w:val="00F125EE"/>
    <w:rsid w:val="00F12E98"/>
    <w:rsid w:val="00F14DA6"/>
    <w:rsid w:val="00F22029"/>
    <w:rsid w:val="00F27ED7"/>
    <w:rsid w:val="00F30148"/>
    <w:rsid w:val="00F3268B"/>
    <w:rsid w:val="00F35BA7"/>
    <w:rsid w:val="00F40135"/>
    <w:rsid w:val="00F401F4"/>
    <w:rsid w:val="00F4427B"/>
    <w:rsid w:val="00F4639B"/>
    <w:rsid w:val="00F515FB"/>
    <w:rsid w:val="00F553E9"/>
    <w:rsid w:val="00F5653D"/>
    <w:rsid w:val="00F60881"/>
    <w:rsid w:val="00F62B97"/>
    <w:rsid w:val="00F630EA"/>
    <w:rsid w:val="00F634CE"/>
    <w:rsid w:val="00F65C86"/>
    <w:rsid w:val="00F6600C"/>
    <w:rsid w:val="00F66BD2"/>
    <w:rsid w:val="00F7007E"/>
    <w:rsid w:val="00F73193"/>
    <w:rsid w:val="00F74F95"/>
    <w:rsid w:val="00F80705"/>
    <w:rsid w:val="00F84BD9"/>
    <w:rsid w:val="00F97600"/>
    <w:rsid w:val="00FA083E"/>
    <w:rsid w:val="00FA125B"/>
    <w:rsid w:val="00FA1481"/>
    <w:rsid w:val="00FB2065"/>
    <w:rsid w:val="00FC18DD"/>
    <w:rsid w:val="00FC38B4"/>
    <w:rsid w:val="00FC6C50"/>
    <w:rsid w:val="00FD08B8"/>
    <w:rsid w:val="00FD0FA4"/>
    <w:rsid w:val="00FD48D1"/>
    <w:rsid w:val="00FE0AD5"/>
    <w:rsid w:val="00FE22EA"/>
    <w:rsid w:val="00FE3948"/>
    <w:rsid w:val="00FE769B"/>
    <w:rsid w:val="00FE7D73"/>
    <w:rsid w:val="00FF04E3"/>
    <w:rsid w:val="00FF16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597622"/>
  <w15:docId w15:val="{33F2985D-26C6-4481-8BBD-3419E4697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1">
    <w:name w:val="Normal"/>
    <w:qFormat/>
    <w:rsid w:val="00F630EA"/>
    <w:rPr>
      <w:sz w:val="24"/>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link w:val="1"/>
    <w:semiHidden/>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批注文字 字符"/>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link w:val="af5"/>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semiHidden/>
    <w:rsid w:val="00405336"/>
    <w:pPr>
      <w:tabs>
        <w:tab w:val="center" w:pos="4680"/>
        <w:tab w:val="right" w:pos="9360"/>
      </w:tabs>
    </w:pPr>
  </w:style>
  <w:style w:type="character" w:customStyle="1" w:styleId="aff2">
    <w:name w:val="页脚 字符"/>
    <w:link w:val="aff1"/>
    <w:semiHidden/>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semiHidden/>
    <w:rsid w:val="00405336"/>
    <w:pPr>
      <w:tabs>
        <w:tab w:val="center" w:pos="4680"/>
        <w:tab w:val="right" w:pos="9360"/>
      </w:tabs>
    </w:pPr>
  </w:style>
  <w:style w:type="character" w:customStyle="1" w:styleId="aff6">
    <w:name w:val="页眉 字符"/>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semiHidden/>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semiHidden/>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semiHidden/>
    <w:rsid w:val="00405336"/>
  </w:style>
  <w:style w:type="paragraph" w:styleId="TOC2">
    <w:name w:val="toc 2"/>
    <w:basedOn w:val="a1"/>
    <w:next w:val="a1"/>
    <w:autoRedefine/>
    <w:semiHidden/>
    <w:rsid w:val="00405336"/>
    <w:pPr>
      <w:ind w:left="240"/>
    </w:pPr>
  </w:style>
  <w:style w:type="paragraph" w:styleId="TOC3">
    <w:name w:val="toc 3"/>
    <w:basedOn w:val="a1"/>
    <w:next w:val="a1"/>
    <w:autoRedefine/>
    <w:semiHidden/>
    <w:rsid w:val="00405336"/>
    <w:pPr>
      <w:ind w:left="480"/>
    </w:pPr>
  </w:style>
  <w:style w:type="paragraph" w:styleId="TOC4">
    <w:name w:val="toc 4"/>
    <w:basedOn w:val="a1"/>
    <w:next w:val="a1"/>
    <w:autoRedefine/>
    <w:semiHidden/>
    <w:rsid w:val="00405336"/>
    <w:pPr>
      <w:ind w:left="720"/>
    </w:pPr>
  </w:style>
  <w:style w:type="paragraph" w:styleId="TOC5">
    <w:name w:val="toc 5"/>
    <w:basedOn w:val="a1"/>
    <w:next w:val="a1"/>
    <w:autoRedefine/>
    <w:semiHidden/>
    <w:rsid w:val="00405336"/>
    <w:pPr>
      <w:ind w:left="960"/>
    </w:pPr>
  </w:style>
  <w:style w:type="paragraph" w:styleId="TOC6">
    <w:name w:val="toc 6"/>
    <w:basedOn w:val="a1"/>
    <w:next w:val="a1"/>
    <w:autoRedefine/>
    <w:semiHidden/>
    <w:rsid w:val="00405336"/>
    <w:pPr>
      <w:ind w:left="1200"/>
    </w:pPr>
  </w:style>
  <w:style w:type="paragraph" w:styleId="TOC7">
    <w:name w:val="toc 7"/>
    <w:basedOn w:val="a1"/>
    <w:next w:val="a1"/>
    <w:autoRedefine/>
    <w:semiHidden/>
    <w:rsid w:val="00405336"/>
    <w:pPr>
      <w:ind w:left="1440"/>
    </w:pPr>
  </w:style>
  <w:style w:type="paragraph" w:styleId="TOC8">
    <w:name w:val="toc 8"/>
    <w:basedOn w:val="a1"/>
    <w:next w:val="a1"/>
    <w:autoRedefine/>
    <w:semiHidden/>
    <w:rsid w:val="00405336"/>
    <w:pPr>
      <w:ind w:left="1680"/>
    </w:pPr>
  </w:style>
  <w:style w:type="paragraph" w:styleId="TOC9">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styleId="affff9">
    <w:name w:val="Revision"/>
    <w:hidden/>
    <w:uiPriority w:val="99"/>
    <w:semiHidden/>
    <w:rsid w:val="003227A1"/>
    <w:rPr>
      <w:sz w:val="24"/>
    </w:rPr>
  </w:style>
  <w:style w:type="paragraph" w:customStyle="1" w:styleId="Articletype">
    <w:name w:val="Article type"/>
    <w:basedOn w:val="a1"/>
    <w:rsid w:val="00400CF8"/>
    <w:pPr>
      <w:spacing w:before="120"/>
    </w:pPr>
    <w:rPr>
      <w:rFonts w:eastAsia="Times New Roman"/>
      <w:szCs w:val="24"/>
    </w:rPr>
  </w:style>
  <w:style w:type="paragraph" w:customStyle="1" w:styleId="Paragraph">
    <w:name w:val="Paragraph"/>
    <w:basedOn w:val="a1"/>
    <w:rsid w:val="00400CF8"/>
    <w:pPr>
      <w:spacing w:before="120"/>
      <w:ind w:firstLine="720"/>
    </w:pPr>
    <w:rPr>
      <w:rFonts w:eastAsia="Times New Roman"/>
      <w:szCs w:val="24"/>
    </w:rPr>
  </w:style>
  <w:style w:type="character" w:customStyle="1" w:styleId="aubase">
    <w:name w:val="au_base"/>
    <w:rsid w:val="004B57FF"/>
    <w:rPr>
      <w:sz w:val="24"/>
    </w:rPr>
  </w:style>
  <w:style w:type="table" w:styleId="affffa">
    <w:name w:val="Table Grid"/>
    <w:basedOn w:val="a3"/>
    <w:uiPriority w:val="39"/>
    <w:rsid w:val="004B57FF"/>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b">
    <w:name w:val="line number"/>
    <w:basedOn w:val="a2"/>
    <w:semiHidden/>
    <w:unhideWhenUsed/>
    <w:rsid w:val="00645D18"/>
  </w:style>
  <w:style w:type="paragraph" w:customStyle="1" w:styleId="EndNoteBibliography">
    <w:name w:val="EndNote Bibliography"/>
    <w:basedOn w:val="a1"/>
    <w:link w:val="EndNoteBibliography0"/>
    <w:rsid w:val="0043699A"/>
    <w:rPr>
      <w:noProof/>
    </w:rPr>
  </w:style>
  <w:style w:type="character" w:customStyle="1" w:styleId="EndNoteBibliography0">
    <w:name w:val="EndNote Bibliography 字符"/>
    <w:basedOn w:val="a2"/>
    <w:link w:val="EndNoteBibliography"/>
    <w:rsid w:val="0043699A"/>
    <w:rPr>
      <w:noProof/>
      <w:sz w:val="24"/>
    </w:rPr>
  </w:style>
  <w:style w:type="paragraph" w:customStyle="1" w:styleId="EndNoteBibliographyTitle">
    <w:name w:val="EndNote Bibliography Title"/>
    <w:basedOn w:val="a1"/>
    <w:link w:val="EndNoteBibliographyTitle0"/>
    <w:rsid w:val="00454F57"/>
    <w:pPr>
      <w:jc w:val="center"/>
    </w:pPr>
    <w:rPr>
      <w:noProof/>
    </w:rPr>
  </w:style>
  <w:style w:type="character" w:customStyle="1" w:styleId="EndNoteBibliographyTitle0">
    <w:name w:val="EndNote Bibliography Title 字符"/>
    <w:basedOn w:val="a2"/>
    <w:link w:val="EndNoteBibliographyTitle"/>
    <w:rsid w:val="00454F57"/>
    <w:rPr>
      <w:noProof/>
      <w:sz w:val="24"/>
    </w:rPr>
  </w:style>
  <w:style w:type="paragraph" w:customStyle="1" w:styleId="PublishedOnline">
    <w:name w:val="Published Online"/>
    <w:basedOn w:val="a1"/>
    <w:rsid w:val="00D501FA"/>
    <w:pPr>
      <w:spacing w:before="360"/>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https://www.theia-land.fr/en/geov2-avhrr-monitoring-changes-in-vegetation-on-a-global-scale-over-the-last-38-years/" TargetMode="External"/><Relationship Id="rId21" Type="http://schemas.openxmlformats.org/officeDocument/2006/relationships/image" Target="media/image9.png"/><Relationship Id="rId34" Type="http://schemas.openxmlformats.org/officeDocument/2006/relationships/hyperlink" Target="http://glass.umd.edu/LAI/MODIS/0.25D/" TargetMode="External"/><Relationship Id="rId42" Type="http://schemas.openxmlformats.org/officeDocument/2006/relationships/hyperlink" Target="https://cds.climate.copernicus.eu/cdsapp%23!/dataset/reanalysis-era5-land-monthly-means?tab=overview" TargetMode="External"/><Relationship Id="rId47" Type="http://schemas.openxmlformats.org/officeDocument/2006/relationships/hyperlink" Target="https://doi.org/10.5281/zenodo.3555562"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bnf.cern.ac.cn/"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s://www.ncei.noaa.gov/data/avhrr-land-leaf-area-index-and-fapar/access/" TargetMode="External"/><Relationship Id="rId40" Type="http://schemas.openxmlformats.org/officeDocument/2006/relationships/hyperlink" Target="https://doi.org/10.5067/MODIS/MOD13A2.061" TargetMode="External"/><Relationship Id="rId45" Type="http://schemas.openxmlformats.org/officeDocument/2006/relationships/hyperlink" Target="https://esgf-node.llnl.gov/projects/cmip6/"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zenodo.org/record/4700264" TargetMode="External"/><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yperlink" Target="http://www.gloh2o.org/koppen/" TargetMode="External"/><Relationship Id="rId4" Type="http://schemas.openxmlformats.org/officeDocument/2006/relationships/settings" Target="settings.xml"/><Relationship Id="rId9" Type="http://schemas.openxmlformats.org/officeDocument/2006/relationships/hyperlink" Target="file:///C:\Users\LaiGengke\AppData\Roaming\Microsoft\Word\wucy@igsnrr.ac.cn"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doi.org/10.5067/MODIS/MOD15A2H.006" TargetMode="External"/><Relationship Id="rId43" Type="http://schemas.openxmlformats.org/officeDocument/2006/relationships/hyperlink" Target="https://doi.org/10.5067/MODIS/MCD12Q1.006" TargetMode="External"/><Relationship Id="rId48" Type="http://schemas.openxmlformats.org/officeDocument/2006/relationships/fontTable" Target="fontTable.xml"/><Relationship Id="rId8" Type="http://schemas.openxmlformats.org/officeDocument/2006/relationships/hyperlink" Target="mailto:ygz@nju.edu.cn" TargetMode="External"/><Relationship Id="rId3" Type="http://schemas.openxmlformats.org/officeDocument/2006/relationships/styles" Target="styles.xml"/><Relationship Id="rId12" Type="http://schemas.openxmlformats.org/officeDocument/2006/relationships/hyperlink" Target="https://smear.avaa.csc.fi/download"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https://land.copernicus.eu/global/products/lai" TargetMode="External"/><Relationship Id="rId46" Type="http://schemas.openxmlformats.org/officeDocument/2006/relationships/hyperlink" Target="https://doi.org/10.6073/pasta/f5ae1e144e434ec8198cf75682db33ac" TargetMode="External"/><Relationship Id="rId20" Type="http://schemas.openxmlformats.org/officeDocument/2006/relationships/image" Target="media/image8.png"/><Relationship Id="rId41" Type="http://schemas.openxmlformats.org/officeDocument/2006/relationships/hyperlink" Target="https://www.earthdata.nasa.gov/learn/find-data/near-real-time/firms/mcd14ml"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1BB643-F3E5-4A0C-B995-1D5BCB948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1579</TotalTime>
  <Pages>35</Pages>
  <Words>7604</Words>
  <Characters>43348</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50851</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dc:description/>
  <cp:lastModifiedBy>Gengke Lai</cp:lastModifiedBy>
  <cp:revision>116</cp:revision>
  <cp:lastPrinted>2018-01-11T19:53:00Z</cp:lastPrinted>
  <dcterms:created xsi:type="dcterms:W3CDTF">2022-11-11T22:05:00Z</dcterms:created>
  <dcterms:modified xsi:type="dcterms:W3CDTF">2024-10-29T01:15:00Z</dcterms:modified>
</cp:coreProperties>
</file>