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33755" w14:textId="7B1F5469" w:rsidR="002B460E" w:rsidRDefault="002B460E" w:rsidP="002B460E">
      <w:pPr>
        <w:jc w:val="center"/>
        <w:rPr>
          <w:sz w:val="28"/>
          <w:lang w:val="en-US"/>
        </w:rPr>
      </w:pPr>
      <w:r w:rsidRPr="00AD2C8C">
        <w:rPr>
          <w:sz w:val="28"/>
          <w:lang w:val="en-US"/>
        </w:rPr>
        <w:t>Supplementary information</w:t>
      </w:r>
    </w:p>
    <w:p w14:paraId="3C55FA84" w14:textId="77777777" w:rsidR="009977CE" w:rsidRPr="00AD2C8C" w:rsidRDefault="009977CE" w:rsidP="002B460E">
      <w:pPr>
        <w:jc w:val="center"/>
        <w:rPr>
          <w:sz w:val="28"/>
          <w:lang w:val="en-US"/>
        </w:rPr>
      </w:pPr>
    </w:p>
    <w:p w14:paraId="1A0B1CE8" w14:textId="4D37F100" w:rsidR="009977CE" w:rsidRDefault="007B2A59" w:rsidP="009977CE">
      <w:pPr>
        <w:spacing w:line="360" w:lineRule="auto"/>
        <w:jc w:val="center"/>
        <w:rPr>
          <w:b/>
          <w:sz w:val="28"/>
          <w:szCs w:val="20"/>
          <w:lang w:val="en-US"/>
        </w:rPr>
      </w:pPr>
      <w:r>
        <w:rPr>
          <w:b/>
          <w:sz w:val="28"/>
          <w:szCs w:val="20"/>
          <w:lang w:val="en-US"/>
        </w:rPr>
        <w:t>Pseudotachylyte</w:t>
      </w:r>
      <w:r w:rsidR="009977CE" w:rsidRPr="009977CE">
        <w:rPr>
          <w:b/>
          <w:sz w:val="28"/>
          <w:szCs w:val="20"/>
          <w:lang w:val="en-US"/>
        </w:rPr>
        <w:t xml:space="preserve"> veins in accretionary complexes: </w:t>
      </w:r>
    </w:p>
    <w:p w14:paraId="1A36CB66" w14:textId="77CC5CDE" w:rsidR="009977CE" w:rsidRDefault="009977CE" w:rsidP="009977CE">
      <w:pPr>
        <w:spacing w:line="360" w:lineRule="auto"/>
        <w:jc w:val="center"/>
        <w:rPr>
          <w:b/>
          <w:sz w:val="28"/>
          <w:szCs w:val="20"/>
          <w:lang w:val="en-US"/>
        </w:rPr>
      </w:pPr>
      <w:r w:rsidRPr="009977CE">
        <w:rPr>
          <w:b/>
          <w:sz w:val="28"/>
          <w:szCs w:val="20"/>
          <w:lang w:val="en-US"/>
        </w:rPr>
        <w:t>melt or mechanical wear?</w:t>
      </w:r>
    </w:p>
    <w:p w14:paraId="22FD3F04" w14:textId="40FDA1A0" w:rsidR="006A4A87" w:rsidRPr="006A4A87" w:rsidRDefault="006A4A87" w:rsidP="006A4A87">
      <w:pPr>
        <w:jc w:val="center"/>
        <w:rPr>
          <w:b/>
          <w:sz w:val="28"/>
          <w:szCs w:val="20"/>
          <w:lang w:val="en-US"/>
        </w:rPr>
      </w:pPr>
    </w:p>
    <w:p w14:paraId="099ABF5D" w14:textId="77777777" w:rsidR="00AD2C8C" w:rsidRPr="00AD2C8C" w:rsidRDefault="00AD2C8C" w:rsidP="00AD2C8C">
      <w:pPr>
        <w:jc w:val="center"/>
        <w:rPr>
          <w:sz w:val="28"/>
          <w:szCs w:val="24"/>
          <w:lang w:val="en-US"/>
        </w:rPr>
      </w:pPr>
    </w:p>
    <w:p w14:paraId="5272C05A" w14:textId="77777777" w:rsidR="00B71CAA" w:rsidRDefault="00B71CAA">
      <w:pPr>
        <w:spacing w:line="259" w:lineRule="auto"/>
        <w:jc w:val="left"/>
        <w:rPr>
          <w:noProof/>
          <w:sz w:val="28"/>
          <w:lang w:val="en-US" w:eastAsia="fr-FR"/>
        </w:rPr>
      </w:pPr>
      <w:r>
        <w:rPr>
          <w:noProof/>
          <w:sz w:val="28"/>
          <w:lang w:val="en-US" w:eastAsia="fr-FR"/>
        </w:rPr>
        <w:br w:type="page"/>
      </w:r>
      <w:bookmarkStart w:id="0" w:name="_GoBack"/>
      <w:bookmarkEnd w:id="0"/>
    </w:p>
    <w:p w14:paraId="77D88FD4" w14:textId="77777777" w:rsidR="004A42A7" w:rsidRPr="00E93C1A" w:rsidRDefault="004A42A7" w:rsidP="004A42A7">
      <w:pPr>
        <w:jc w:val="center"/>
        <w:rPr>
          <w:lang w:val="en-US"/>
        </w:rPr>
        <w:sectPr w:rsidR="004A42A7" w:rsidRPr="00E93C1A">
          <w:pgSz w:w="11906" w:h="16838"/>
          <w:pgMar w:top="1417" w:right="1417" w:bottom="1417" w:left="1417" w:header="708" w:footer="708" w:gutter="0"/>
          <w:cols w:space="708"/>
          <w:docGrid w:linePitch="360"/>
        </w:sectPr>
      </w:pPr>
      <w:r w:rsidRPr="00E93C1A">
        <w:rPr>
          <w:noProof/>
          <w:lang w:eastAsia="fr-FR"/>
        </w:rPr>
        <w:lastRenderedPageBreak/>
        <w:drawing>
          <wp:inline distT="0" distB="0" distL="0" distR="0" wp14:anchorId="328C93EB" wp14:editId="56137942">
            <wp:extent cx="5062526" cy="7540388"/>
            <wp:effectExtent l="0" t="0" r="5080" b="3810"/>
            <wp:docPr id="1" name="Image 1" descr="C:\Users\bmorismuttoni\Desktop\Recherche\_Articles\PST\Figures\Supp1\Supplementary1_PST_Plan de trav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orismuttoni\Desktop\Recherche\_Articles\PST\Figures\Supp1\Supplementary1_PST_Plan de travail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7800" cy="7563138"/>
                    </a:xfrm>
                    <a:prstGeom prst="rect">
                      <a:avLst/>
                    </a:prstGeom>
                    <a:noFill/>
                    <a:ln>
                      <a:noFill/>
                    </a:ln>
                  </pic:spPr>
                </pic:pic>
              </a:graphicData>
            </a:graphic>
          </wp:inline>
        </w:drawing>
      </w:r>
    </w:p>
    <w:p w14:paraId="4A12BEBD" w14:textId="69238168" w:rsidR="004A42A7" w:rsidRPr="00E12683" w:rsidRDefault="002E6DC9" w:rsidP="004A42A7">
      <w:pPr>
        <w:spacing w:line="276" w:lineRule="auto"/>
        <w:rPr>
          <w:rFonts w:ascii="Arial" w:hAnsi="Arial" w:cs="Arial"/>
          <w:sz w:val="14"/>
          <w:lang w:val="en-US"/>
        </w:rPr>
      </w:pPr>
      <w:r>
        <w:rPr>
          <w:rFonts w:ascii="Arial" w:hAnsi="Arial" w:cs="Arial"/>
          <w:b/>
          <w:sz w:val="14"/>
          <w:lang w:val="en-US"/>
        </w:rPr>
        <w:t>Supplementary</w:t>
      </w:r>
      <w:r w:rsidR="004A42A7" w:rsidRPr="00E12683">
        <w:rPr>
          <w:rFonts w:ascii="Arial" w:hAnsi="Arial" w:cs="Arial"/>
          <w:b/>
          <w:sz w:val="14"/>
          <w:lang w:val="en-US"/>
        </w:rPr>
        <w:t xml:space="preserve"> Figure </w:t>
      </w:r>
      <w:r w:rsidR="004A42A7" w:rsidRPr="00E12683">
        <w:rPr>
          <w:rFonts w:ascii="Arial" w:hAnsi="Arial" w:cs="Arial"/>
          <w:b/>
          <w:sz w:val="14"/>
          <w:lang w:val="en-US"/>
        </w:rPr>
        <w:fldChar w:fldCharType="begin"/>
      </w:r>
      <w:r w:rsidR="004A42A7" w:rsidRPr="00E12683">
        <w:rPr>
          <w:rFonts w:ascii="Arial" w:hAnsi="Arial" w:cs="Arial"/>
          <w:b/>
          <w:sz w:val="14"/>
          <w:lang w:val="en-US"/>
        </w:rPr>
        <w:instrText xml:space="preserve"> SEQ Section \* ARABIC </w:instrText>
      </w:r>
      <w:r w:rsidR="004A42A7" w:rsidRPr="00E12683">
        <w:rPr>
          <w:rFonts w:ascii="Arial" w:hAnsi="Arial" w:cs="Arial"/>
          <w:b/>
          <w:sz w:val="14"/>
          <w:lang w:val="en-US"/>
        </w:rPr>
        <w:fldChar w:fldCharType="separate"/>
      </w:r>
      <w:r w:rsidR="004A42A7" w:rsidRPr="00E12683">
        <w:rPr>
          <w:rFonts w:ascii="Arial" w:hAnsi="Arial" w:cs="Arial"/>
          <w:b/>
          <w:noProof/>
          <w:sz w:val="14"/>
          <w:lang w:val="en-US"/>
        </w:rPr>
        <w:t>1</w:t>
      </w:r>
      <w:r w:rsidR="004A42A7" w:rsidRPr="00E12683">
        <w:rPr>
          <w:rFonts w:ascii="Arial" w:hAnsi="Arial" w:cs="Arial"/>
          <w:b/>
          <w:sz w:val="14"/>
          <w:lang w:val="en-US"/>
        </w:rPr>
        <w:fldChar w:fldCharType="end"/>
      </w:r>
      <w:r w:rsidR="004A42A7">
        <w:rPr>
          <w:rFonts w:ascii="Arial" w:hAnsi="Arial" w:cs="Arial"/>
          <w:b/>
          <w:sz w:val="14"/>
          <w:lang w:val="en-US"/>
        </w:rPr>
        <w:t xml:space="preserve"> </w:t>
      </w:r>
      <w:r w:rsidR="004A42A7" w:rsidRPr="007E184F">
        <w:rPr>
          <w:rFonts w:ascii="Arial" w:hAnsi="Arial" w:cs="Arial"/>
          <w:b/>
          <w:bCs/>
          <w:sz w:val="14"/>
          <w:szCs w:val="14"/>
          <w:lang w:val="en-GB"/>
        </w:rPr>
        <w:t>|</w:t>
      </w:r>
      <w:r w:rsidR="004A42A7" w:rsidRPr="00E12683">
        <w:rPr>
          <w:rFonts w:ascii="Arial" w:hAnsi="Arial" w:cs="Arial"/>
          <w:b/>
          <w:sz w:val="14"/>
          <w:lang w:val="en-US"/>
        </w:rPr>
        <w:t xml:space="preserve"> Structures and micro- to nano-structures of the Black Fault Rocks observed in fossil accretionary complexes modified from Ujiie et al., 2007, Ujiie et Kimura, 2014 and Hasegawa et al., 2019.</w:t>
      </w:r>
      <w:r w:rsidR="004A42A7">
        <w:rPr>
          <w:rFonts w:ascii="Arial" w:hAnsi="Arial" w:cs="Arial"/>
          <w:sz w:val="14"/>
          <w:lang w:val="en-US"/>
        </w:rPr>
        <w:t xml:space="preserve"> </w:t>
      </w:r>
      <w:r w:rsidR="004A42A7" w:rsidRPr="00E12683">
        <w:rPr>
          <w:rFonts w:ascii="Arial" w:hAnsi="Arial" w:cs="Arial"/>
          <w:b/>
          <w:sz w:val="14"/>
          <w:lang w:val="en-US"/>
        </w:rPr>
        <w:t>a,</w:t>
      </w:r>
      <w:r w:rsidR="004A42A7" w:rsidRPr="00E12683">
        <w:rPr>
          <w:rFonts w:ascii="Arial" w:hAnsi="Arial" w:cs="Arial"/>
          <w:sz w:val="14"/>
          <w:lang w:val="en-US"/>
        </w:rPr>
        <w:t xml:space="preserve"> Meter-thick fault zone between the Mugi mélange unit and a coherent unit in the Shim</w:t>
      </w:r>
      <w:r w:rsidR="004A42A7">
        <w:rPr>
          <w:rFonts w:ascii="Arial" w:hAnsi="Arial" w:cs="Arial"/>
          <w:sz w:val="14"/>
          <w:lang w:val="en-US"/>
        </w:rPr>
        <w:t xml:space="preserve">anto Belt </w:t>
      </w:r>
      <w:r w:rsidR="004A42A7" w:rsidRPr="00E12683">
        <w:rPr>
          <w:rFonts w:ascii="Arial" w:hAnsi="Arial" w:cs="Arial"/>
          <w:b/>
          <w:sz w:val="14"/>
          <w:lang w:val="en-US"/>
        </w:rPr>
        <w:t>b,</w:t>
      </w:r>
      <w:r w:rsidR="004A42A7" w:rsidRPr="00E12683">
        <w:rPr>
          <w:rFonts w:ascii="Arial" w:hAnsi="Arial" w:cs="Arial"/>
          <w:sz w:val="14"/>
          <w:lang w:val="en-US"/>
        </w:rPr>
        <w:t xml:space="preserve"> Close-up view of the fau</w:t>
      </w:r>
      <w:r w:rsidR="004A42A7">
        <w:rPr>
          <w:rFonts w:ascii="Arial" w:hAnsi="Arial" w:cs="Arial"/>
          <w:sz w:val="14"/>
          <w:lang w:val="en-US"/>
        </w:rPr>
        <w:t xml:space="preserve">lt zone with two fault cores </w:t>
      </w:r>
      <w:r w:rsidR="004A42A7" w:rsidRPr="00E12683">
        <w:rPr>
          <w:rFonts w:ascii="Arial" w:hAnsi="Arial" w:cs="Arial"/>
          <w:b/>
          <w:sz w:val="14"/>
          <w:lang w:val="en-US"/>
        </w:rPr>
        <w:t>c,</w:t>
      </w:r>
      <w:r w:rsidR="004A42A7" w:rsidRPr="00E12683">
        <w:rPr>
          <w:rFonts w:ascii="Arial" w:hAnsi="Arial" w:cs="Arial"/>
          <w:sz w:val="14"/>
          <w:lang w:val="en-US"/>
        </w:rPr>
        <w:t xml:space="preserve"> Fluidization structures (embayment and injection vein) and Black Fault core in the Mugi Black Fault Rock</w:t>
      </w:r>
      <w:r w:rsidR="004A42A7">
        <w:rPr>
          <w:rFonts w:ascii="Arial" w:hAnsi="Arial" w:cs="Arial"/>
          <w:sz w:val="14"/>
          <w:lang w:val="en-US"/>
        </w:rPr>
        <w:t xml:space="preserve"> </w:t>
      </w:r>
      <w:r w:rsidR="004A42A7" w:rsidRPr="00E12683">
        <w:rPr>
          <w:rFonts w:ascii="Arial" w:hAnsi="Arial" w:cs="Arial"/>
          <w:b/>
          <w:sz w:val="14"/>
          <w:lang w:val="en-US"/>
        </w:rPr>
        <w:t>d,</w:t>
      </w:r>
      <w:r w:rsidR="004A42A7" w:rsidRPr="00E12683">
        <w:rPr>
          <w:rFonts w:ascii="Arial" w:hAnsi="Arial" w:cs="Arial"/>
          <w:sz w:val="14"/>
          <w:lang w:val="en-US"/>
        </w:rPr>
        <w:t xml:space="preserve"> Flow textures inside the </w:t>
      </w:r>
      <w:r w:rsidR="004A42A7" w:rsidRPr="00E12683">
        <w:rPr>
          <w:rFonts w:ascii="Arial" w:hAnsi="Arial" w:cs="Arial"/>
          <w:sz w:val="14"/>
          <w:lang w:val="en-US"/>
        </w:rPr>
        <w:t>Nobeoka Black Fault Rock</w:t>
      </w:r>
      <w:r w:rsidR="004A42A7">
        <w:rPr>
          <w:rFonts w:ascii="Arial" w:hAnsi="Arial" w:cs="Arial"/>
          <w:sz w:val="14"/>
          <w:lang w:val="en-US"/>
        </w:rPr>
        <w:t xml:space="preserve"> </w:t>
      </w:r>
      <w:r w:rsidR="004A42A7" w:rsidRPr="00E12683">
        <w:rPr>
          <w:rFonts w:ascii="Arial" w:hAnsi="Arial" w:cs="Arial"/>
          <w:b/>
          <w:sz w:val="14"/>
          <w:lang w:val="en-US"/>
        </w:rPr>
        <w:t>e,</w:t>
      </w:r>
      <w:r w:rsidR="004A42A7" w:rsidRPr="00E12683">
        <w:rPr>
          <w:rFonts w:ascii="Arial" w:hAnsi="Arial" w:cs="Arial"/>
          <w:sz w:val="14"/>
          <w:lang w:val="en-US"/>
        </w:rPr>
        <w:t xml:space="preserve"> Back Scattered Electron image of the amorphous matrix with survivor clasts of a Shimanto Black Fault Rock</w:t>
      </w:r>
      <w:r w:rsidR="004A42A7">
        <w:rPr>
          <w:rFonts w:ascii="Arial" w:hAnsi="Arial" w:cs="Arial"/>
          <w:sz w:val="14"/>
          <w:lang w:val="en-US"/>
        </w:rPr>
        <w:t xml:space="preserve"> </w:t>
      </w:r>
      <w:r w:rsidR="004A42A7" w:rsidRPr="00E12683">
        <w:rPr>
          <w:rFonts w:ascii="Arial" w:hAnsi="Arial" w:cs="Arial"/>
          <w:b/>
          <w:sz w:val="14"/>
          <w:lang w:val="en-US"/>
        </w:rPr>
        <w:t>f,</w:t>
      </w:r>
      <w:r w:rsidR="004A42A7" w:rsidRPr="00E12683">
        <w:rPr>
          <w:rFonts w:ascii="Arial" w:hAnsi="Arial" w:cs="Arial"/>
          <w:sz w:val="14"/>
          <w:lang w:val="en-US"/>
        </w:rPr>
        <w:t xml:space="preserve"> Microlites of muscovite and vesicles in the glassy matrix from a Shimanto Black Fault Rock</w:t>
      </w:r>
      <w:r w:rsidR="004A42A7">
        <w:rPr>
          <w:rFonts w:ascii="Arial" w:hAnsi="Arial" w:cs="Arial"/>
          <w:sz w:val="14"/>
          <w:lang w:val="en-US"/>
        </w:rPr>
        <w:t xml:space="preserve"> </w:t>
      </w:r>
      <w:r w:rsidR="004A42A7" w:rsidRPr="00E12683">
        <w:rPr>
          <w:rFonts w:ascii="Arial" w:hAnsi="Arial" w:cs="Arial"/>
          <w:b/>
          <w:sz w:val="14"/>
          <w:lang w:val="en-US"/>
        </w:rPr>
        <w:t>g,</w:t>
      </w:r>
      <w:r w:rsidR="004A42A7" w:rsidRPr="00E12683">
        <w:rPr>
          <w:rFonts w:ascii="Arial" w:hAnsi="Arial" w:cs="Arial"/>
          <w:sz w:val="14"/>
          <w:lang w:val="en-US"/>
        </w:rPr>
        <w:t xml:space="preserve"> Corrosion structure on a survivor feldspar clast in the a Shimanto Black Fault Rock</w:t>
      </w:r>
      <w:r w:rsidR="004A42A7">
        <w:rPr>
          <w:rFonts w:ascii="Arial" w:hAnsi="Arial" w:cs="Arial"/>
          <w:sz w:val="14"/>
          <w:lang w:val="en-US"/>
        </w:rPr>
        <w:t xml:space="preserve"> </w:t>
      </w:r>
      <w:r w:rsidR="004A42A7" w:rsidRPr="00E12683">
        <w:rPr>
          <w:rFonts w:ascii="Arial" w:hAnsi="Arial" w:cs="Arial"/>
          <w:b/>
          <w:sz w:val="14"/>
          <w:lang w:val="en-US"/>
        </w:rPr>
        <w:t>h,</w:t>
      </w:r>
      <w:r w:rsidR="004A42A7" w:rsidRPr="00E12683">
        <w:rPr>
          <w:rFonts w:ascii="Arial" w:hAnsi="Arial" w:cs="Arial"/>
          <w:sz w:val="14"/>
          <w:lang w:val="en-US"/>
        </w:rPr>
        <w:t xml:space="preserve"> Embayment structure on a fractured quartz clast and iron sulfide crystallization in the Nobeoka Black Fault Rock.</w:t>
      </w:r>
      <w:r w:rsidR="004A42A7">
        <w:rPr>
          <w:rFonts w:ascii="Arial" w:hAnsi="Arial" w:cs="Arial"/>
          <w:sz w:val="14"/>
          <w:lang w:val="en-US"/>
        </w:rPr>
        <w:t xml:space="preserve"> Locations: </w:t>
      </w:r>
      <w:r w:rsidR="004A42A7" w:rsidRPr="00E12683">
        <w:rPr>
          <w:rFonts w:ascii="Arial" w:hAnsi="Arial" w:cs="Arial"/>
          <w:b/>
          <w:sz w:val="14"/>
          <w:lang w:val="en-US"/>
        </w:rPr>
        <w:t>a, b, c</w:t>
      </w:r>
      <w:r w:rsidR="004A42A7">
        <w:rPr>
          <w:rFonts w:ascii="Arial" w:hAnsi="Arial" w:cs="Arial"/>
          <w:sz w:val="14"/>
          <w:lang w:val="en-US"/>
        </w:rPr>
        <w:t xml:space="preserve"> Mugi mélange</w:t>
      </w:r>
      <w:r w:rsidR="004A42A7" w:rsidRPr="00E12683">
        <w:rPr>
          <w:rFonts w:ascii="Arial" w:hAnsi="Arial" w:cs="Arial"/>
          <w:sz w:val="14"/>
          <w:lang w:val="en-US"/>
        </w:rPr>
        <w:t xml:space="preserve"> </w:t>
      </w:r>
      <w:r w:rsidR="004A42A7" w:rsidRPr="00E12683">
        <w:rPr>
          <w:rFonts w:ascii="Arial" w:hAnsi="Arial" w:cs="Arial"/>
          <w:b/>
          <w:sz w:val="14"/>
          <w:lang w:val="en-US"/>
        </w:rPr>
        <w:t>d, h</w:t>
      </w:r>
      <w:r w:rsidR="004A42A7" w:rsidRPr="00E12683">
        <w:rPr>
          <w:rFonts w:ascii="Arial" w:hAnsi="Arial" w:cs="Arial"/>
          <w:sz w:val="14"/>
          <w:lang w:val="en-US"/>
        </w:rPr>
        <w:t xml:space="preserve"> Nobeoka </w:t>
      </w:r>
      <w:r w:rsidR="004A42A7">
        <w:rPr>
          <w:rFonts w:ascii="Arial" w:hAnsi="Arial" w:cs="Arial"/>
          <w:sz w:val="14"/>
          <w:lang w:val="en-US"/>
        </w:rPr>
        <w:t xml:space="preserve">Tectonic Line drilling </w:t>
      </w:r>
      <w:r w:rsidR="004A42A7" w:rsidRPr="00E12683">
        <w:rPr>
          <w:rFonts w:ascii="Arial" w:hAnsi="Arial" w:cs="Arial"/>
          <w:b/>
          <w:sz w:val="14"/>
          <w:lang w:val="en-US"/>
        </w:rPr>
        <w:t>e, f, g</w:t>
      </w:r>
      <w:r w:rsidR="004A42A7" w:rsidRPr="00E12683">
        <w:rPr>
          <w:rFonts w:ascii="Arial" w:hAnsi="Arial" w:cs="Arial"/>
          <w:sz w:val="14"/>
          <w:lang w:val="en-US"/>
        </w:rPr>
        <w:t xml:space="preserve"> Shimanto Belt   </w:t>
      </w:r>
    </w:p>
    <w:p w14:paraId="4C2C22EA" w14:textId="77777777" w:rsidR="004A42A7" w:rsidRDefault="004A42A7" w:rsidP="004A42A7">
      <w:pPr>
        <w:spacing w:line="259" w:lineRule="auto"/>
        <w:jc w:val="left"/>
        <w:rPr>
          <w:lang w:val="en-US"/>
        </w:rPr>
        <w:sectPr w:rsidR="004A42A7" w:rsidSect="00E12683">
          <w:type w:val="continuous"/>
          <w:pgSz w:w="11906" w:h="16838"/>
          <w:pgMar w:top="1417" w:right="1417" w:bottom="1417" w:left="1417" w:header="708" w:footer="708" w:gutter="0"/>
          <w:cols w:num="2" w:space="708"/>
          <w:docGrid w:linePitch="360"/>
        </w:sectPr>
      </w:pPr>
    </w:p>
    <w:p w14:paraId="54444512" w14:textId="77777777" w:rsidR="004A42A7" w:rsidRDefault="004A42A7" w:rsidP="004A42A7">
      <w:pPr>
        <w:rPr>
          <w:lang w:val="en-US"/>
        </w:rPr>
      </w:pPr>
    </w:p>
    <w:p w14:paraId="5A1AAA1D" w14:textId="77777777" w:rsidR="004A42A7" w:rsidRDefault="004A42A7" w:rsidP="004A42A7">
      <w:pPr>
        <w:rPr>
          <w:lang w:val="en-US"/>
        </w:rPr>
      </w:pPr>
    </w:p>
    <w:p w14:paraId="4BFD0DED" w14:textId="77777777" w:rsidR="004A42A7" w:rsidRDefault="004A42A7" w:rsidP="004A42A7">
      <w:pPr>
        <w:rPr>
          <w:lang w:val="en-US"/>
        </w:rPr>
      </w:pPr>
    </w:p>
    <w:p w14:paraId="460C0C72" w14:textId="77777777" w:rsidR="004A42A7" w:rsidRDefault="004A42A7" w:rsidP="004A42A7">
      <w:pPr>
        <w:rPr>
          <w:lang w:val="en-US"/>
        </w:rPr>
      </w:pPr>
    </w:p>
    <w:p w14:paraId="574658F7" w14:textId="77777777" w:rsidR="004A42A7" w:rsidRDefault="004A42A7" w:rsidP="004A42A7">
      <w:pPr>
        <w:rPr>
          <w:lang w:val="en-US"/>
        </w:rPr>
      </w:pPr>
      <w:r w:rsidRPr="00E93C1A">
        <w:rPr>
          <w:noProof/>
          <w:lang w:eastAsia="fr-FR"/>
        </w:rPr>
        <w:drawing>
          <wp:inline distT="0" distB="0" distL="0" distR="0" wp14:anchorId="441FBF7B" wp14:editId="110197BF">
            <wp:extent cx="5760720" cy="4282909"/>
            <wp:effectExtent l="0" t="0" r="0" b="3810"/>
            <wp:docPr id="8" name="Image 8" descr="C:\Users\bmorismuttoni\Desktop\Recherche\_Articles\PST\Figures\Supp1\BFR_multilayering_Plan de trav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orismuttoni\Desktop\Recherche\_Articles\PST\Figures\Supp1\BFR_multilayering_Plan de travail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282909"/>
                    </a:xfrm>
                    <a:prstGeom prst="rect">
                      <a:avLst/>
                    </a:prstGeom>
                    <a:noFill/>
                    <a:ln>
                      <a:noFill/>
                    </a:ln>
                  </pic:spPr>
                </pic:pic>
              </a:graphicData>
            </a:graphic>
          </wp:inline>
        </w:drawing>
      </w:r>
    </w:p>
    <w:p w14:paraId="40CFD69E" w14:textId="77777777" w:rsidR="004A42A7" w:rsidRDefault="004A42A7" w:rsidP="004A42A7">
      <w:pPr>
        <w:spacing w:line="276" w:lineRule="auto"/>
        <w:rPr>
          <w:rFonts w:ascii="Arial" w:hAnsi="Arial" w:cs="Arial"/>
          <w:sz w:val="14"/>
          <w:szCs w:val="14"/>
          <w:lang w:val="en-US"/>
        </w:rPr>
        <w:sectPr w:rsidR="004A42A7" w:rsidSect="00E12683">
          <w:type w:val="continuous"/>
          <w:pgSz w:w="11906" w:h="16838"/>
          <w:pgMar w:top="1417" w:right="1417" w:bottom="1417" w:left="1417" w:header="708" w:footer="708" w:gutter="0"/>
          <w:cols w:space="708"/>
          <w:docGrid w:linePitch="360"/>
        </w:sectPr>
      </w:pPr>
    </w:p>
    <w:p w14:paraId="006951E8" w14:textId="3199E435" w:rsidR="004A42A7" w:rsidRPr="00E12683" w:rsidRDefault="002E6DC9" w:rsidP="004A42A7">
      <w:pPr>
        <w:spacing w:line="276" w:lineRule="auto"/>
        <w:rPr>
          <w:rFonts w:ascii="Arial" w:hAnsi="Arial" w:cs="Arial"/>
          <w:sz w:val="14"/>
          <w:szCs w:val="14"/>
          <w:lang w:val="en-US"/>
        </w:rPr>
      </w:pPr>
      <w:r>
        <w:rPr>
          <w:rFonts w:ascii="Arial" w:hAnsi="Arial" w:cs="Arial"/>
          <w:b/>
          <w:sz w:val="14"/>
          <w:szCs w:val="14"/>
          <w:lang w:val="en-US"/>
        </w:rPr>
        <w:t>Supplementary</w:t>
      </w:r>
      <w:r w:rsidR="004A42A7">
        <w:rPr>
          <w:rFonts w:ascii="Arial" w:hAnsi="Arial" w:cs="Arial"/>
          <w:b/>
          <w:sz w:val="14"/>
          <w:szCs w:val="14"/>
          <w:lang w:val="en-US"/>
        </w:rPr>
        <w:t xml:space="preserve"> Figure 2 </w:t>
      </w:r>
      <w:r w:rsidR="004A42A7" w:rsidRPr="007E184F">
        <w:rPr>
          <w:rFonts w:ascii="Arial" w:hAnsi="Arial" w:cs="Arial"/>
          <w:b/>
          <w:bCs/>
          <w:sz w:val="14"/>
          <w:szCs w:val="14"/>
          <w:lang w:val="en-GB"/>
        </w:rPr>
        <w:t>|</w:t>
      </w:r>
      <w:r w:rsidR="004A42A7" w:rsidRPr="00E12683">
        <w:rPr>
          <w:rFonts w:ascii="Arial" w:hAnsi="Arial" w:cs="Arial"/>
          <w:b/>
          <w:sz w:val="14"/>
          <w:szCs w:val="14"/>
          <w:lang w:val="en-US"/>
        </w:rPr>
        <w:t xml:space="preserve"> Structures and microstructures of a Black Fault Rock from Kodiak Island highlighting the multi-layering (Alaska, USA).</w:t>
      </w:r>
      <w:r w:rsidR="004A42A7" w:rsidRPr="00E12683">
        <w:rPr>
          <w:rFonts w:ascii="Arial" w:hAnsi="Arial" w:cs="Arial"/>
          <w:sz w:val="14"/>
          <w:szCs w:val="14"/>
          <w:lang w:val="en-US"/>
        </w:rPr>
        <w:t xml:space="preserve"> </w:t>
      </w:r>
      <w:r w:rsidR="004A42A7" w:rsidRPr="00E12683">
        <w:rPr>
          <w:rFonts w:ascii="Arial" w:hAnsi="Arial" w:cs="Arial"/>
          <w:b/>
          <w:sz w:val="14"/>
          <w:szCs w:val="14"/>
          <w:lang w:val="en-US"/>
        </w:rPr>
        <w:t>a,</w:t>
      </w:r>
      <w:r w:rsidR="004A42A7" w:rsidRPr="00E12683">
        <w:rPr>
          <w:rFonts w:ascii="Arial" w:hAnsi="Arial" w:cs="Arial"/>
          <w:sz w:val="14"/>
          <w:szCs w:val="14"/>
          <w:lang w:val="en-US"/>
        </w:rPr>
        <w:t xml:space="preserve"> Outcrop in the Kodiak Accretionary Complex showing the aphiric fault core sharply cutting the host rock and</w:t>
      </w:r>
      <w:r w:rsidR="004A42A7">
        <w:rPr>
          <w:rFonts w:ascii="Arial" w:hAnsi="Arial" w:cs="Arial"/>
          <w:sz w:val="14"/>
          <w:szCs w:val="14"/>
          <w:lang w:val="en-US"/>
        </w:rPr>
        <w:t xml:space="preserve"> folded in a later stage </w:t>
      </w:r>
      <w:r w:rsidR="004A42A7" w:rsidRPr="00E12683">
        <w:rPr>
          <w:rFonts w:ascii="Arial" w:hAnsi="Arial" w:cs="Arial"/>
          <w:b/>
          <w:sz w:val="14"/>
          <w:szCs w:val="14"/>
          <w:lang w:val="en-US"/>
        </w:rPr>
        <w:t>b,</w:t>
      </w:r>
      <w:r w:rsidR="004A42A7" w:rsidRPr="00E12683">
        <w:rPr>
          <w:rFonts w:ascii="Arial" w:hAnsi="Arial" w:cs="Arial"/>
          <w:sz w:val="14"/>
          <w:szCs w:val="14"/>
          <w:lang w:val="en-US"/>
        </w:rPr>
        <w:t xml:space="preserve"> Internal structure of Kodiak Black Fault </w:t>
      </w:r>
      <w:r w:rsidR="004A42A7" w:rsidRPr="00E12683">
        <w:rPr>
          <w:rFonts w:ascii="Arial" w:hAnsi="Arial" w:cs="Arial"/>
          <w:sz w:val="14"/>
          <w:szCs w:val="14"/>
          <w:lang w:val="en-US"/>
        </w:rPr>
        <w:t xml:space="preserve">Rocks showing alternations </w:t>
      </w:r>
      <w:r w:rsidR="004A42A7">
        <w:rPr>
          <w:rFonts w:ascii="Arial" w:hAnsi="Arial" w:cs="Arial"/>
          <w:sz w:val="14"/>
          <w:szCs w:val="14"/>
          <w:lang w:val="en-US"/>
        </w:rPr>
        <w:t xml:space="preserve">of vitreous and granular layers </w:t>
      </w:r>
      <w:r w:rsidR="004A42A7" w:rsidRPr="00E12683">
        <w:rPr>
          <w:rFonts w:ascii="Arial" w:hAnsi="Arial" w:cs="Arial"/>
          <w:b/>
          <w:sz w:val="14"/>
          <w:szCs w:val="14"/>
          <w:lang w:val="en-US"/>
        </w:rPr>
        <w:t>c,</w:t>
      </w:r>
      <w:r w:rsidR="004A42A7" w:rsidRPr="00E12683">
        <w:rPr>
          <w:rFonts w:ascii="Arial" w:hAnsi="Arial" w:cs="Arial"/>
          <w:sz w:val="14"/>
          <w:szCs w:val="14"/>
          <w:lang w:val="en-US"/>
        </w:rPr>
        <w:t xml:space="preserve"> Cathodoluminescence image of Kodiak Black Fault Rock, highlighting the difference between the granular and the vitreous layers and showing vitreous clasts in an ultrafine-grained matrix. </w:t>
      </w:r>
    </w:p>
    <w:p w14:paraId="6377D0F9" w14:textId="77777777" w:rsidR="004A42A7" w:rsidRDefault="004A42A7" w:rsidP="004A42A7">
      <w:pPr>
        <w:spacing w:line="276" w:lineRule="auto"/>
        <w:jc w:val="left"/>
        <w:rPr>
          <w:lang w:val="en-US"/>
        </w:rPr>
        <w:sectPr w:rsidR="004A42A7" w:rsidSect="00E12683">
          <w:type w:val="continuous"/>
          <w:pgSz w:w="11906" w:h="16838"/>
          <w:pgMar w:top="1417" w:right="1417" w:bottom="1417" w:left="1417" w:header="708" w:footer="708" w:gutter="0"/>
          <w:cols w:num="2" w:space="708"/>
          <w:docGrid w:linePitch="360"/>
        </w:sectPr>
      </w:pPr>
    </w:p>
    <w:p w14:paraId="0698DA4C" w14:textId="77777777" w:rsidR="004A42A7" w:rsidRDefault="004A42A7" w:rsidP="004A42A7">
      <w:pPr>
        <w:spacing w:line="276" w:lineRule="auto"/>
        <w:jc w:val="left"/>
        <w:rPr>
          <w:lang w:val="en-US"/>
        </w:rPr>
      </w:pPr>
      <w:r>
        <w:rPr>
          <w:lang w:val="en-US"/>
        </w:rPr>
        <w:br w:type="page"/>
      </w:r>
    </w:p>
    <w:p w14:paraId="30FB3E72" w14:textId="77777777" w:rsidR="004A42A7" w:rsidRDefault="004A42A7" w:rsidP="004A42A7">
      <w:pPr>
        <w:ind w:hanging="709"/>
        <w:jc w:val="right"/>
        <w:rPr>
          <w:lang w:val="en-US"/>
        </w:rPr>
      </w:pPr>
    </w:p>
    <w:p w14:paraId="31977508" w14:textId="77777777" w:rsidR="004A42A7" w:rsidRDefault="004A42A7" w:rsidP="004A42A7">
      <w:pPr>
        <w:ind w:hanging="709"/>
        <w:jc w:val="right"/>
        <w:rPr>
          <w:lang w:val="en-US"/>
        </w:rPr>
      </w:pPr>
    </w:p>
    <w:p w14:paraId="1A7170AD" w14:textId="77777777" w:rsidR="004A42A7" w:rsidRDefault="004A42A7" w:rsidP="004A42A7">
      <w:pPr>
        <w:ind w:hanging="709"/>
        <w:jc w:val="right"/>
        <w:rPr>
          <w:lang w:val="en-US"/>
        </w:rPr>
      </w:pPr>
    </w:p>
    <w:p w14:paraId="0CFC5C3E" w14:textId="77777777" w:rsidR="004A42A7" w:rsidRDefault="004A42A7" w:rsidP="004A42A7">
      <w:pPr>
        <w:ind w:hanging="709"/>
        <w:jc w:val="right"/>
        <w:rPr>
          <w:lang w:val="en-US"/>
        </w:rPr>
      </w:pPr>
    </w:p>
    <w:p w14:paraId="486B5D43" w14:textId="77777777" w:rsidR="004A42A7" w:rsidRDefault="004A42A7" w:rsidP="004A42A7">
      <w:pPr>
        <w:ind w:hanging="709"/>
        <w:jc w:val="right"/>
        <w:rPr>
          <w:lang w:val="en-US"/>
        </w:rPr>
      </w:pPr>
    </w:p>
    <w:p w14:paraId="59E5A9A8" w14:textId="77777777" w:rsidR="004A42A7" w:rsidRDefault="004A42A7" w:rsidP="004A42A7">
      <w:pPr>
        <w:ind w:hanging="709"/>
        <w:jc w:val="right"/>
        <w:rPr>
          <w:lang w:val="en-US"/>
        </w:rPr>
      </w:pPr>
      <w:r w:rsidRPr="004137C0">
        <w:rPr>
          <w:noProof/>
          <w:lang w:eastAsia="fr-FR"/>
        </w:rPr>
        <w:drawing>
          <wp:inline distT="0" distB="0" distL="0" distR="0" wp14:anchorId="0527277F" wp14:editId="4A22F3F3">
            <wp:extent cx="5760720" cy="3439847"/>
            <wp:effectExtent l="0" t="0" r="0" b="8255"/>
            <wp:docPr id="12" name="Image 12" descr="C:\Users\bmorismuttoni\Desktop\Recherche\_Articles\PST\Figures\Supp1\Figure_NB_2020_v2_Plan de trav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morismuttoni\Desktop\Recherche\_Articles\PST\Figures\Supp1\Figure_NB_2020_v2_Plan de travail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439847"/>
                    </a:xfrm>
                    <a:prstGeom prst="rect">
                      <a:avLst/>
                    </a:prstGeom>
                    <a:noFill/>
                    <a:ln>
                      <a:noFill/>
                    </a:ln>
                  </pic:spPr>
                </pic:pic>
              </a:graphicData>
            </a:graphic>
          </wp:inline>
        </w:drawing>
      </w:r>
    </w:p>
    <w:p w14:paraId="5AAA7576" w14:textId="77777777" w:rsidR="004A42A7" w:rsidRDefault="004A42A7" w:rsidP="004A42A7">
      <w:pPr>
        <w:spacing w:line="276" w:lineRule="auto"/>
        <w:rPr>
          <w:rFonts w:ascii="Arial" w:hAnsi="Arial" w:cs="Arial"/>
          <w:sz w:val="14"/>
          <w:szCs w:val="14"/>
          <w:lang w:val="en-US"/>
        </w:rPr>
        <w:sectPr w:rsidR="004A42A7" w:rsidSect="00E12683">
          <w:type w:val="continuous"/>
          <w:pgSz w:w="11906" w:h="16838"/>
          <w:pgMar w:top="1417" w:right="1417" w:bottom="1417" w:left="1417" w:header="708" w:footer="708" w:gutter="0"/>
          <w:cols w:space="708"/>
          <w:docGrid w:linePitch="360"/>
        </w:sectPr>
      </w:pPr>
    </w:p>
    <w:p w14:paraId="58690B21" w14:textId="313EC088" w:rsidR="004A42A7" w:rsidRPr="00E12683" w:rsidRDefault="002E6DC9" w:rsidP="004A42A7">
      <w:pPr>
        <w:spacing w:line="276" w:lineRule="auto"/>
        <w:rPr>
          <w:rFonts w:ascii="Arial" w:hAnsi="Arial" w:cs="Arial"/>
          <w:noProof/>
          <w:sz w:val="14"/>
          <w:szCs w:val="14"/>
          <w:lang w:val="en-US"/>
        </w:rPr>
      </w:pPr>
      <w:r>
        <w:rPr>
          <w:rFonts w:ascii="Arial" w:hAnsi="Arial" w:cs="Arial"/>
          <w:b/>
          <w:sz w:val="14"/>
          <w:szCs w:val="14"/>
          <w:lang w:val="en-US"/>
        </w:rPr>
        <w:t>Supplementary</w:t>
      </w:r>
      <w:r w:rsidR="004A42A7" w:rsidRPr="00E12683">
        <w:rPr>
          <w:rFonts w:ascii="Arial" w:hAnsi="Arial" w:cs="Arial"/>
          <w:b/>
          <w:sz w:val="14"/>
          <w:szCs w:val="14"/>
          <w:lang w:val="en-US"/>
        </w:rPr>
        <w:t xml:space="preserve"> Figure 3</w:t>
      </w:r>
      <w:r w:rsidR="004A42A7">
        <w:rPr>
          <w:rFonts w:ascii="Arial" w:hAnsi="Arial" w:cs="Arial"/>
          <w:b/>
          <w:sz w:val="14"/>
          <w:szCs w:val="14"/>
          <w:lang w:val="en-US"/>
        </w:rPr>
        <w:t xml:space="preserve"> </w:t>
      </w:r>
      <w:r w:rsidR="004A42A7" w:rsidRPr="007E184F">
        <w:rPr>
          <w:rFonts w:ascii="Arial" w:hAnsi="Arial" w:cs="Arial"/>
          <w:b/>
          <w:bCs/>
          <w:sz w:val="14"/>
          <w:szCs w:val="14"/>
          <w:lang w:val="en-GB"/>
        </w:rPr>
        <w:t>|</w:t>
      </w:r>
      <w:r w:rsidR="004A42A7" w:rsidRPr="00E12683">
        <w:rPr>
          <w:rFonts w:ascii="Arial" w:hAnsi="Arial" w:cs="Arial"/>
          <w:b/>
          <w:sz w:val="14"/>
          <w:szCs w:val="14"/>
          <w:lang w:val="en-US"/>
        </w:rPr>
        <w:t xml:space="preserve"> Raman Spectroscopy results obtained for the Nobeoka Black Fault Rock</w:t>
      </w:r>
      <w:r w:rsidR="004A42A7" w:rsidRPr="00E12683">
        <w:rPr>
          <w:rFonts w:ascii="Arial" w:hAnsi="Arial" w:cs="Arial"/>
          <w:sz w:val="14"/>
          <w:szCs w:val="14"/>
          <w:lang w:val="en-US"/>
        </w:rPr>
        <w:t xml:space="preserve"> </w:t>
      </w:r>
      <w:r w:rsidR="004A42A7" w:rsidRPr="00E12683">
        <w:rPr>
          <w:rFonts w:ascii="Arial" w:hAnsi="Arial" w:cs="Arial"/>
          <w:b/>
          <w:sz w:val="14"/>
          <w:szCs w:val="14"/>
          <w:lang w:val="en-US"/>
        </w:rPr>
        <w:t>a,</w:t>
      </w:r>
      <w:r w:rsidR="004A42A7">
        <w:rPr>
          <w:rFonts w:ascii="Arial" w:hAnsi="Arial" w:cs="Arial"/>
          <w:sz w:val="14"/>
          <w:szCs w:val="14"/>
          <w:lang w:val="en-US"/>
        </w:rPr>
        <w:t xml:space="preserve"> </w:t>
      </w:r>
      <w:r w:rsidR="004A42A7" w:rsidRPr="00E12683">
        <w:rPr>
          <w:rFonts w:ascii="Arial" w:hAnsi="Arial" w:cs="Arial"/>
          <w:sz w:val="14"/>
          <w:szCs w:val="14"/>
          <w:lang w:val="en-US"/>
        </w:rPr>
        <w:t xml:space="preserve">Representation of the intensity ratio measured on this sample </w:t>
      </w:r>
      <w:r w:rsidR="004A42A7" w:rsidRPr="00E12683">
        <w:rPr>
          <w:rFonts w:ascii="Arial" w:hAnsi="Arial" w:cs="Arial"/>
          <w:b/>
          <w:sz w:val="14"/>
          <w:szCs w:val="14"/>
          <w:lang w:val="en-US"/>
        </w:rPr>
        <w:t>b,</w:t>
      </w:r>
      <w:r w:rsidR="004A42A7" w:rsidRPr="00E12683">
        <w:rPr>
          <w:rFonts w:ascii="Arial" w:hAnsi="Arial" w:cs="Arial"/>
          <w:sz w:val="14"/>
          <w:szCs w:val="14"/>
          <w:lang w:val="en-US"/>
        </w:rPr>
        <w:t xml:space="preserve"> Zoom in the contact of the Black Fault Rock with the host rock which shows discontinuity </w:t>
      </w:r>
      <w:r w:rsidR="004A42A7" w:rsidRPr="00E12683">
        <w:rPr>
          <w:rFonts w:ascii="Arial" w:hAnsi="Arial" w:cs="Arial"/>
          <w:sz w:val="14"/>
          <w:szCs w:val="14"/>
          <w:lang w:val="en-US"/>
        </w:rPr>
        <w:t>in the intensity ratio on the rim of the Black Fault Rock</w:t>
      </w:r>
      <w:r w:rsidR="004A42A7">
        <w:rPr>
          <w:rFonts w:ascii="Arial" w:hAnsi="Arial" w:cs="Arial"/>
          <w:sz w:val="14"/>
          <w:szCs w:val="14"/>
          <w:lang w:val="en-US"/>
        </w:rPr>
        <w:t xml:space="preserve"> </w:t>
      </w:r>
      <w:r w:rsidR="004A42A7" w:rsidRPr="00E12683">
        <w:rPr>
          <w:rFonts w:ascii="Arial" w:hAnsi="Arial" w:cs="Arial"/>
          <w:b/>
          <w:sz w:val="14"/>
          <w:szCs w:val="14"/>
          <w:lang w:val="en-US"/>
        </w:rPr>
        <w:t>c,</w:t>
      </w:r>
      <w:r w:rsidR="004A42A7" w:rsidRPr="00E12683">
        <w:rPr>
          <w:rFonts w:ascii="Arial" w:hAnsi="Arial" w:cs="Arial"/>
          <w:sz w:val="14"/>
          <w:szCs w:val="14"/>
          <w:lang w:val="en-US"/>
        </w:rPr>
        <w:t xml:space="preserve"> Cumulative cross-section showing the evolution of the intensity ratio perpendicular to the Black Fault Rock </w:t>
      </w:r>
    </w:p>
    <w:p w14:paraId="50DCD3F8" w14:textId="77777777" w:rsidR="004A42A7" w:rsidRDefault="004A42A7" w:rsidP="004A42A7">
      <w:pPr>
        <w:rPr>
          <w:noProof/>
          <w:lang w:val="en-US" w:eastAsia="fr-FR"/>
        </w:rPr>
        <w:sectPr w:rsidR="004A42A7" w:rsidSect="00E12683">
          <w:type w:val="continuous"/>
          <w:pgSz w:w="11906" w:h="16838"/>
          <w:pgMar w:top="1417" w:right="1417" w:bottom="1417" w:left="1417" w:header="708" w:footer="708" w:gutter="0"/>
          <w:cols w:num="2" w:space="708"/>
          <w:docGrid w:linePitch="360"/>
        </w:sectPr>
      </w:pPr>
    </w:p>
    <w:p w14:paraId="42BCA8E9" w14:textId="77777777" w:rsidR="004A42A7" w:rsidRDefault="004A42A7" w:rsidP="004A42A7">
      <w:pPr>
        <w:rPr>
          <w:lang w:val="en-US"/>
        </w:rPr>
      </w:pPr>
      <w:r>
        <w:rPr>
          <w:noProof/>
          <w:lang w:val="en-US" w:eastAsia="fr-FR"/>
        </w:rPr>
        <w:br w:type="page"/>
      </w:r>
    </w:p>
    <w:p w14:paraId="5AA8C7FD" w14:textId="77777777" w:rsidR="004A42A7" w:rsidRDefault="004A42A7" w:rsidP="004A42A7">
      <w:pPr>
        <w:ind w:hanging="851"/>
        <w:jc w:val="right"/>
        <w:rPr>
          <w:lang w:val="en-US"/>
        </w:rPr>
      </w:pPr>
    </w:p>
    <w:p w14:paraId="180D0A7B" w14:textId="77777777" w:rsidR="004A42A7" w:rsidRDefault="004A42A7" w:rsidP="004A42A7">
      <w:pPr>
        <w:ind w:hanging="851"/>
        <w:jc w:val="right"/>
        <w:rPr>
          <w:lang w:val="en-US"/>
        </w:rPr>
      </w:pPr>
    </w:p>
    <w:p w14:paraId="4757D4CB" w14:textId="77777777" w:rsidR="004A42A7" w:rsidRDefault="004A42A7" w:rsidP="004A42A7">
      <w:pPr>
        <w:ind w:hanging="851"/>
        <w:jc w:val="right"/>
        <w:rPr>
          <w:lang w:val="en-US"/>
        </w:rPr>
      </w:pPr>
    </w:p>
    <w:p w14:paraId="0F8B4DDC" w14:textId="77777777" w:rsidR="004A42A7" w:rsidRDefault="004A42A7" w:rsidP="004A42A7">
      <w:pPr>
        <w:ind w:hanging="851"/>
        <w:jc w:val="right"/>
        <w:rPr>
          <w:lang w:val="en-US"/>
        </w:rPr>
      </w:pPr>
    </w:p>
    <w:p w14:paraId="6E36A9CA" w14:textId="77777777" w:rsidR="004A42A7" w:rsidRDefault="004A42A7" w:rsidP="004A42A7">
      <w:pPr>
        <w:ind w:hanging="851"/>
        <w:jc w:val="right"/>
        <w:rPr>
          <w:lang w:val="en-US"/>
        </w:rPr>
      </w:pPr>
    </w:p>
    <w:p w14:paraId="421CA56A" w14:textId="77777777" w:rsidR="004A42A7" w:rsidRDefault="004A42A7" w:rsidP="004A42A7">
      <w:pPr>
        <w:ind w:hanging="851"/>
        <w:jc w:val="right"/>
        <w:rPr>
          <w:lang w:val="en-US"/>
        </w:rPr>
      </w:pPr>
      <w:r w:rsidRPr="004137C0">
        <w:rPr>
          <w:noProof/>
          <w:lang w:eastAsia="fr-FR"/>
        </w:rPr>
        <w:drawing>
          <wp:inline distT="0" distB="0" distL="0" distR="0" wp14:anchorId="39F58FB0" wp14:editId="1C9627AF">
            <wp:extent cx="5760720" cy="3293614"/>
            <wp:effectExtent l="0" t="0" r="0" b="2540"/>
            <wp:docPr id="2" name="Image 2" descr="C:\Users\bmorismuttoni\Desktop\Recherche\_Articles\PST\Figures\Supp1\Figure_KO14A_v2_Plan de trav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morismuttoni\Desktop\Recherche\_Articles\PST\Figures\Supp1\Figure_KO14A_v2_Plan de travail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293614"/>
                    </a:xfrm>
                    <a:prstGeom prst="rect">
                      <a:avLst/>
                    </a:prstGeom>
                    <a:noFill/>
                    <a:ln>
                      <a:noFill/>
                    </a:ln>
                  </pic:spPr>
                </pic:pic>
              </a:graphicData>
            </a:graphic>
          </wp:inline>
        </w:drawing>
      </w:r>
    </w:p>
    <w:p w14:paraId="6002B73C" w14:textId="77777777" w:rsidR="004A42A7" w:rsidRDefault="004A42A7" w:rsidP="004A42A7">
      <w:pPr>
        <w:spacing w:line="276" w:lineRule="auto"/>
        <w:rPr>
          <w:rFonts w:ascii="Arial" w:hAnsi="Arial" w:cs="Arial"/>
          <w:sz w:val="14"/>
          <w:szCs w:val="14"/>
          <w:lang w:val="en-US"/>
        </w:rPr>
        <w:sectPr w:rsidR="004A42A7" w:rsidSect="00E12683">
          <w:type w:val="continuous"/>
          <w:pgSz w:w="11906" w:h="16838"/>
          <w:pgMar w:top="1417" w:right="1417" w:bottom="1417" w:left="1417" w:header="708" w:footer="708" w:gutter="0"/>
          <w:cols w:space="708"/>
          <w:docGrid w:linePitch="360"/>
        </w:sectPr>
      </w:pPr>
    </w:p>
    <w:p w14:paraId="633C6FEE" w14:textId="224E78CE" w:rsidR="004A42A7" w:rsidRPr="00E12683" w:rsidRDefault="002E6DC9" w:rsidP="004A42A7">
      <w:pPr>
        <w:spacing w:line="276" w:lineRule="auto"/>
        <w:rPr>
          <w:rFonts w:ascii="Arial" w:hAnsi="Arial" w:cs="Arial"/>
          <w:sz w:val="14"/>
          <w:szCs w:val="14"/>
          <w:lang w:val="en-US"/>
        </w:rPr>
      </w:pPr>
      <w:r>
        <w:rPr>
          <w:rFonts w:ascii="Arial" w:hAnsi="Arial" w:cs="Arial"/>
          <w:b/>
          <w:sz w:val="14"/>
          <w:szCs w:val="14"/>
          <w:lang w:val="en-US"/>
        </w:rPr>
        <w:t>Supplementary</w:t>
      </w:r>
      <w:r w:rsidR="004A42A7" w:rsidRPr="00E12683">
        <w:rPr>
          <w:rFonts w:ascii="Arial" w:hAnsi="Arial" w:cs="Arial"/>
          <w:b/>
          <w:sz w:val="14"/>
          <w:szCs w:val="14"/>
          <w:lang w:val="en-US"/>
        </w:rPr>
        <w:t xml:space="preserve"> Figure 4</w:t>
      </w:r>
      <w:r w:rsidR="004A42A7">
        <w:rPr>
          <w:rFonts w:ascii="Arial" w:hAnsi="Arial" w:cs="Arial"/>
          <w:b/>
          <w:sz w:val="14"/>
          <w:szCs w:val="14"/>
          <w:lang w:val="en-US"/>
        </w:rPr>
        <w:t xml:space="preserve"> </w:t>
      </w:r>
      <w:r w:rsidR="004A42A7" w:rsidRPr="007E184F">
        <w:rPr>
          <w:rFonts w:ascii="Arial" w:hAnsi="Arial" w:cs="Arial"/>
          <w:b/>
          <w:bCs/>
          <w:sz w:val="14"/>
          <w:szCs w:val="14"/>
          <w:lang w:val="en-GB"/>
        </w:rPr>
        <w:t xml:space="preserve">| </w:t>
      </w:r>
      <w:r w:rsidR="004A42A7" w:rsidRPr="00E12683">
        <w:rPr>
          <w:rFonts w:ascii="Arial" w:hAnsi="Arial" w:cs="Arial"/>
          <w:b/>
          <w:sz w:val="14"/>
          <w:szCs w:val="14"/>
          <w:lang w:val="en-US"/>
        </w:rPr>
        <w:t>Raman spectroscopy results obtained for the Kodiak Black Fault Rock described as a pseudotachylyte vein in Rowe et al., 2005 and Meneghini et al., 2010.</w:t>
      </w:r>
      <w:r w:rsidR="004A42A7" w:rsidRPr="00E12683">
        <w:rPr>
          <w:rFonts w:ascii="Arial" w:hAnsi="Arial" w:cs="Arial"/>
          <w:sz w:val="14"/>
          <w:szCs w:val="14"/>
          <w:lang w:val="en-US"/>
        </w:rPr>
        <w:t xml:space="preserve"> </w:t>
      </w:r>
      <w:r w:rsidR="004A42A7" w:rsidRPr="00E12683">
        <w:rPr>
          <w:rFonts w:ascii="Arial" w:hAnsi="Arial" w:cs="Arial"/>
          <w:b/>
          <w:sz w:val="14"/>
          <w:szCs w:val="14"/>
          <w:lang w:val="en-US"/>
        </w:rPr>
        <w:t>a,</w:t>
      </w:r>
      <w:r w:rsidR="004A42A7" w:rsidRPr="00E12683">
        <w:rPr>
          <w:rFonts w:ascii="Arial" w:hAnsi="Arial" w:cs="Arial"/>
          <w:sz w:val="14"/>
          <w:szCs w:val="14"/>
          <w:lang w:val="en-US"/>
        </w:rPr>
        <w:t xml:space="preserve"> Representation of the intensity ratio cross-section measured through the different structures and CL image that allows differentiating the multiple layers composing the Black Fault Rock</w:t>
      </w:r>
      <w:r w:rsidR="004A42A7">
        <w:rPr>
          <w:rFonts w:ascii="Arial" w:hAnsi="Arial" w:cs="Arial"/>
          <w:sz w:val="14"/>
          <w:szCs w:val="14"/>
          <w:lang w:val="en-US"/>
        </w:rPr>
        <w:t xml:space="preserve"> </w:t>
      </w:r>
      <w:r w:rsidR="004A42A7" w:rsidRPr="00E12683">
        <w:rPr>
          <w:rFonts w:ascii="Arial" w:hAnsi="Arial" w:cs="Arial"/>
          <w:b/>
          <w:sz w:val="14"/>
          <w:szCs w:val="14"/>
          <w:lang w:val="en-US"/>
        </w:rPr>
        <w:t>b,</w:t>
      </w:r>
      <w:r w:rsidR="004A42A7" w:rsidRPr="00E12683">
        <w:rPr>
          <w:rFonts w:ascii="Arial" w:hAnsi="Arial" w:cs="Arial"/>
          <w:sz w:val="14"/>
          <w:szCs w:val="14"/>
          <w:lang w:val="en-US"/>
        </w:rPr>
        <w:t xml:space="preserve"> Cross-section </w:t>
      </w:r>
      <w:r w:rsidR="004A42A7" w:rsidRPr="00E12683">
        <w:rPr>
          <w:rFonts w:ascii="Arial" w:hAnsi="Arial" w:cs="Arial"/>
          <w:sz w:val="14"/>
          <w:szCs w:val="14"/>
          <w:lang w:val="en-US"/>
        </w:rPr>
        <w:t xml:space="preserve">showing the evolution of the intensity ratio and area ratio through the sample. The largest discontinuities in intensity coincide with the boundaries between the Black Fault Rock and host rock. Solid lines represent the mean intensity ratio and the dotted lines standard deviation of each unit. </w:t>
      </w:r>
    </w:p>
    <w:p w14:paraId="209EF653" w14:textId="77777777" w:rsidR="004A42A7" w:rsidRDefault="004A42A7" w:rsidP="004A42A7">
      <w:pPr>
        <w:spacing w:line="259" w:lineRule="auto"/>
        <w:jc w:val="left"/>
        <w:rPr>
          <w:lang w:val="en-US"/>
        </w:rPr>
        <w:sectPr w:rsidR="004A42A7" w:rsidSect="00E12683">
          <w:type w:val="continuous"/>
          <w:pgSz w:w="11906" w:h="16838"/>
          <w:pgMar w:top="1417" w:right="1417" w:bottom="1417" w:left="1417" w:header="708" w:footer="708" w:gutter="0"/>
          <w:cols w:num="2" w:space="708"/>
          <w:docGrid w:linePitch="360"/>
        </w:sectPr>
      </w:pPr>
    </w:p>
    <w:p w14:paraId="0D5C811B" w14:textId="77777777" w:rsidR="004A42A7" w:rsidRDefault="004A42A7" w:rsidP="004A42A7">
      <w:pPr>
        <w:spacing w:line="259" w:lineRule="auto"/>
        <w:jc w:val="left"/>
        <w:rPr>
          <w:lang w:val="en-US"/>
        </w:rPr>
        <w:sectPr w:rsidR="004A42A7" w:rsidSect="00E12683">
          <w:type w:val="continuous"/>
          <w:pgSz w:w="11906" w:h="16838"/>
          <w:pgMar w:top="1417" w:right="1417" w:bottom="1417" w:left="1417" w:header="708" w:footer="708" w:gutter="0"/>
          <w:cols w:space="708"/>
          <w:docGrid w:linePitch="360"/>
        </w:sectPr>
      </w:pPr>
    </w:p>
    <w:p w14:paraId="775C4C0C" w14:textId="528B473D" w:rsidR="004A42A7" w:rsidRPr="00642F24" w:rsidRDefault="004A42A7" w:rsidP="00642F24">
      <w:pPr>
        <w:spacing w:line="259" w:lineRule="auto"/>
        <w:jc w:val="left"/>
        <w:rPr>
          <w:lang w:val="en-US"/>
        </w:rPr>
        <w:sectPr w:rsidR="004A42A7" w:rsidRPr="00642F24" w:rsidSect="00DF5693">
          <w:pgSz w:w="16838" w:h="11906" w:orient="landscape"/>
          <w:pgMar w:top="1418" w:right="1418" w:bottom="1418" w:left="1418" w:header="709" w:footer="709" w:gutter="0"/>
          <w:cols w:space="708"/>
          <w:docGrid w:linePitch="360"/>
        </w:sectPr>
      </w:pPr>
      <w:r w:rsidRPr="004137C0">
        <w:rPr>
          <w:noProof/>
          <w:lang w:eastAsia="fr-FR"/>
        </w:rPr>
        <w:lastRenderedPageBreak/>
        <w:drawing>
          <wp:anchor distT="0" distB="0" distL="114300" distR="114300" simplePos="0" relativeHeight="251679744" behindDoc="0" locked="0" layoutInCell="1" allowOverlap="1" wp14:anchorId="477D28C2" wp14:editId="27917F8F">
            <wp:simplePos x="0" y="0"/>
            <wp:positionH relativeFrom="margin">
              <wp:align>right</wp:align>
            </wp:positionH>
            <wp:positionV relativeFrom="paragraph">
              <wp:posOffset>0</wp:posOffset>
            </wp:positionV>
            <wp:extent cx="8891270" cy="4905248"/>
            <wp:effectExtent l="0" t="0" r="5080" b="0"/>
            <wp:wrapSquare wrapText="bothSides"/>
            <wp:docPr id="11" name="Image 11" descr="C:\Users\bmorismuttoni\Desktop\Recherche\_Articles\PST\Figures\Supp1\Supplementary6_PST_v2_Plan de trav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orismuttoni\Desktop\Recherche\_Articles\PST\Figures\Supp1\Supplementary6_PST_v2_Plan de travail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4905248"/>
                    </a:xfrm>
                    <a:prstGeom prst="rect">
                      <a:avLst/>
                    </a:prstGeom>
                    <a:noFill/>
                    <a:ln>
                      <a:noFill/>
                    </a:ln>
                  </pic:spPr>
                </pic:pic>
              </a:graphicData>
            </a:graphic>
          </wp:anchor>
        </w:drawing>
      </w:r>
    </w:p>
    <w:p w14:paraId="2ADE5A54" w14:textId="57D2D079" w:rsidR="004A42A7" w:rsidRPr="00455DC6" w:rsidRDefault="002E6DC9" w:rsidP="004A42A7">
      <w:pPr>
        <w:spacing w:line="276" w:lineRule="auto"/>
        <w:jc w:val="left"/>
        <w:rPr>
          <w:rFonts w:ascii="Arial" w:hAnsi="Arial" w:cs="Arial"/>
          <w:b/>
          <w:noProof/>
          <w:sz w:val="14"/>
          <w:szCs w:val="14"/>
          <w:lang w:val="en-US" w:eastAsia="fr-FR"/>
        </w:rPr>
      </w:pPr>
      <w:r>
        <w:rPr>
          <w:rFonts w:ascii="Arial" w:hAnsi="Arial" w:cs="Arial"/>
          <w:b/>
          <w:sz w:val="14"/>
          <w:szCs w:val="14"/>
          <w:lang w:val="en-US"/>
        </w:rPr>
        <w:t>Supplementary</w:t>
      </w:r>
      <w:r w:rsidR="004A42A7" w:rsidRPr="00E12683">
        <w:rPr>
          <w:rFonts w:ascii="Arial" w:hAnsi="Arial" w:cs="Arial"/>
          <w:b/>
          <w:noProof/>
          <w:sz w:val="14"/>
          <w:szCs w:val="14"/>
          <w:lang w:val="en-US" w:eastAsia="fr-FR"/>
        </w:rPr>
        <w:t xml:space="preserve"> Figure 5</w:t>
      </w:r>
      <w:r w:rsidR="004A42A7">
        <w:rPr>
          <w:rFonts w:ascii="Arial" w:hAnsi="Arial" w:cs="Arial"/>
          <w:b/>
          <w:noProof/>
          <w:sz w:val="14"/>
          <w:szCs w:val="14"/>
          <w:lang w:val="en-US" w:eastAsia="fr-FR"/>
        </w:rPr>
        <w:t xml:space="preserve"> </w:t>
      </w:r>
      <w:r w:rsidR="004A42A7" w:rsidRPr="007E184F">
        <w:rPr>
          <w:rFonts w:ascii="Arial" w:hAnsi="Arial" w:cs="Arial"/>
          <w:b/>
          <w:bCs/>
          <w:sz w:val="14"/>
          <w:szCs w:val="14"/>
          <w:lang w:val="en-GB"/>
        </w:rPr>
        <w:t>|</w:t>
      </w:r>
      <w:r w:rsidR="004A42A7" w:rsidRPr="00E12683">
        <w:rPr>
          <w:rFonts w:ascii="Arial" w:hAnsi="Arial" w:cs="Arial"/>
          <w:b/>
          <w:noProof/>
          <w:sz w:val="14"/>
          <w:szCs w:val="14"/>
          <w:lang w:val="en-US" w:eastAsia="fr-FR"/>
        </w:rPr>
        <w:t xml:space="preserve"> </w:t>
      </w:r>
      <w:r w:rsidR="004A42A7">
        <w:rPr>
          <w:rFonts w:ascii="Arial" w:hAnsi="Arial" w:cs="Arial"/>
          <w:b/>
          <w:noProof/>
          <w:sz w:val="14"/>
          <w:szCs w:val="14"/>
          <w:lang w:val="en-US" w:eastAsia="fr-FR"/>
        </w:rPr>
        <w:t xml:space="preserve">Thermal and Kinetics modellings for differents conditions. a, c, e, </w:t>
      </w:r>
      <w:r w:rsidR="004A42A7" w:rsidRPr="00E12683">
        <w:rPr>
          <w:rFonts w:ascii="Arial" w:hAnsi="Arial" w:cs="Arial"/>
          <w:noProof/>
          <w:sz w:val="14"/>
          <w:szCs w:val="14"/>
          <w:lang w:val="en-US" w:eastAsia="fr-FR"/>
        </w:rPr>
        <w:t>Temperature and corresponding Raman Spectroscopy of Carbonaceous Material.</w:t>
      </w:r>
      <w:r w:rsidR="004A42A7" w:rsidRPr="00E12683">
        <w:rPr>
          <w:rFonts w:ascii="Arial" w:hAnsi="Arial" w:cs="Arial"/>
          <w:b/>
          <w:noProof/>
          <w:sz w:val="14"/>
          <w:szCs w:val="14"/>
          <w:lang w:val="en-US" w:eastAsia="fr-FR"/>
        </w:rPr>
        <w:t xml:space="preserve"> b, d, f</w:t>
      </w:r>
      <w:r w:rsidR="004A42A7">
        <w:rPr>
          <w:rFonts w:ascii="Arial" w:hAnsi="Arial" w:cs="Arial"/>
          <w:noProof/>
          <w:sz w:val="14"/>
          <w:szCs w:val="14"/>
          <w:lang w:val="en-US" w:eastAsia="fr-FR"/>
        </w:rPr>
        <w:t>,</w:t>
      </w:r>
      <w:r w:rsidR="004A42A7" w:rsidRPr="00E12683">
        <w:rPr>
          <w:rFonts w:ascii="Arial" w:hAnsi="Arial" w:cs="Arial"/>
          <w:noProof/>
          <w:sz w:val="14"/>
          <w:szCs w:val="14"/>
          <w:lang w:val="en-US" w:eastAsia="fr-FR"/>
        </w:rPr>
        <w:t xml:space="preserve"> Intensity r</w:t>
      </w:r>
      <w:r w:rsidR="004A42A7">
        <w:rPr>
          <w:rFonts w:ascii="Arial" w:hAnsi="Arial" w:cs="Arial"/>
          <w:noProof/>
          <w:sz w:val="14"/>
          <w:szCs w:val="14"/>
          <w:lang w:val="en-US" w:eastAsia="fr-FR"/>
        </w:rPr>
        <w:t xml:space="preserve">atio </w:t>
      </w:r>
      <w:r w:rsidR="004A42A7" w:rsidRPr="00E12683">
        <w:rPr>
          <w:rFonts w:ascii="Arial" w:hAnsi="Arial" w:cs="Arial"/>
          <w:noProof/>
          <w:sz w:val="14"/>
          <w:szCs w:val="14"/>
          <w:lang w:val="en-US" w:eastAsia="fr-FR"/>
        </w:rPr>
        <w:t xml:space="preserve">profiles across the molten layer and the relative host rock, for various times, according to the different stages in the Black Fault Rock evolution and the boundary conditions of the model. </w:t>
      </w:r>
      <w:r w:rsidR="004A42A7" w:rsidRPr="00E12683">
        <w:rPr>
          <w:rFonts w:ascii="Arial" w:hAnsi="Arial" w:cs="Arial"/>
          <w:b/>
          <w:noProof/>
          <w:sz w:val="14"/>
          <w:szCs w:val="14"/>
          <w:lang w:val="en-US" w:eastAsia="fr-FR"/>
        </w:rPr>
        <w:t>a, b,</w:t>
      </w:r>
      <w:r w:rsidR="004A42A7" w:rsidRPr="00E12683">
        <w:rPr>
          <w:rFonts w:ascii="Arial" w:hAnsi="Arial" w:cs="Arial"/>
          <w:noProof/>
          <w:sz w:val="14"/>
          <w:szCs w:val="14"/>
          <w:lang w:val="en-US" w:eastAsia="fr-FR"/>
        </w:rPr>
        <w:t xml:space="preserve"> Initial stage, with frictional melting until melting at 14</w:t>
      </w:r>
      <w:r w:rsidR="004A42A7">
        <w:rPr>
          <w:rFonts w:ascii="Arial" w:hAnsi="Arial" w:cs="Arial"/>
          <w:noProof/>
          <w:sz w:val="14"/>
          <w:szCs w:val="14"/>
          <w:lang w:val="en-US" w:eastAsia="fr-FR"/>
        </w:rPr>
        <w:t xml:space="preserve">00°C </w:t>
      </w:r>
      <w:r w:rsidR="004A42A7" w:rsidRPr="00E12683">
        <w:rPr>
          <w:rFonts w:ascii="Arial" w:hAnsi="Arial" w:cs="Arial"/>
          <w:b/>
          <w:noProof/>
          <w:sz w:val="14"/>
          <w:szCs w:val="14"/>
          <w:lang w:val="en-US" w:eastAsia="fr-FR"/>
        </w:rPr>
        <w:t>c, d,</w:t>
      </w:r>
      <w:r w:rsidR="004A42A7" w:rsidRPr="00E12683">
        <w:rPr>
          <w:rFonts w:ascii="Arial" w:hAnsi="Arial" w:cs="Arial"/>
          <w:noProof/>
          <w:sz w:val="14"/>
          <w:szCs w:val="14"/>
          <w:lang w:val="en-US" w:eastAsia="fr-FR"/>
        </w:rPr>
        <w:t xml:space="preserve"> Following stage, with diffusional cooling of a 1400°C molten layer, without heat production</w:t>
      </w:r>
      <w:r w:rsidR="004A42A7">
        <w:rPr>
          <w:rFonts w:ascii="Arial" w:hAnsi="Arial" w:cs="Arial"/>
          <w:noProof/>
          <w:sz w:val="14"/>
          <w:szCs w:val="14"/>
          <w:lang w:val="en-US" w:eastAsia="fr-FR"/>
        </w:rPr>
        <w:t xml:space="preserve"> </w:t>
      </w:r>
      <w:r w:rsidR="004A42A7" w:rsidRPr="00E12683">
        <w:rPr>
          <w:rFonts w:ascii="Arial" w:hAnsi="Arial" w:cs="Arial"/>
          <w:b/>
          <w:noProof/>
          <w:sz w:val="14"/>
          <w:szCs w:val="14"/>
          <w:lang w:val="en-US" w:eastAsia="fr-FR"/>
        </w:rPr>
        <w:t>e, f,</w:t>
      </w:r>
      <w:r w:rsidR="004A42A7" w:rsidRPr="00E12683">
        <w:rPr>
          <w:rFonts w:ascii="Arial" w:hAnsi="Arial" w:cs="Arial"/>
          <w:noProof/>
          <w:sz w:val="14"/>
          <w:szCs w:val="14"/>
          <w:lang w:val="en-US" w:eastAsia="fr-FR"/>
        </w:rPr>
        <w:t xml:space="preserve"> </w:t>
      </w:r>
      <w:r w:rsidR="004A42A7">
        <w:rPr>
          <w:rFonts w:ascii="Arial" w:hAnsi="Arial" w:cs="Arial"/>
          <w:noProof/>
          <w:sz w:val="14"/>
          <w:szCs w:val="14"/>
          <w:lang w:val="en-US" w:eastAsia="fr-FR"/>
        </w:rPr>
        <w:t xml:space="preserve">same as c and d </w:t>
      </w:r>
      <w:r w:rsidR="004A42A7" w:rsidRPr="00E12683">
        <w:rPr>
          <w:rFonts w:ascii="Arial" w:hAnsi="Arial" w:cs="Arial"/>
          <w:noProof/>
          <w:sz w:val="14"/>
          <w:szCs w:val="14"/>
          <w:lang w:val="en-US" w:eastAsia="fr-FR"/>
        </w:rPr>
        <w:t xml:space="preserve">with heat production viscous shear. </w:t>
      </w:r>
      <w:r w:rsidR="004A42A7">
        <w:rPr>
          <w:rFonts w:ascii="Arial" w:hAnsi="Arial" w:cs="Arial"/>
          <w:noProof/>
          <w:sz w:val="14"/>
          <w:szCs w:val="14"/>
          <w:lang w:val="en-US" w:eastAsia="fr-FR"/>
        </w:rPr>
        <w:t xml:space="preserve">In </w:t>
      </w:r>
      <w:r w:rsidR="004A42A7" w:rsidRPr="00024A76">
        <w:rPr>
          <w:rFonts w:ascii="Arial" w:hAnsi="Arial" w:cs="Arial"/>
          <w:b/>
          <w:noProof/>
          <w:sz w:val="14"/>
          <w:szCs w:val="14"/>
          <w:lang w:val="en-US" w:eastAsia="fr-FR"/>
        </w:rPr>
        <w:t>b, d, f,</w:t>
      </w:r>
      <w:r w:rsidR="004A42A7" w:rsidRPr="00E12683">
        <w:rPr>
          <w:rFonts w:ascii="Arial" w:hAnsi="Arial" w:cs="Arial"/>
          <w:noProof/>
          <w:sz w:val="14"/>
          <w:szCs w:val="14"/>
          <w:lang w:val="en-US" w:eastAsia="fr-FR"/>
        </w:rPr>
        <w:t xml:space="preserve"> for any time t and position x, the intensity ratio is calculated based on our kinetics model of organic matter maturation and the thermal history T(t).</w:t>
      </w:r>
    </w:p>
    <w:p w14:paraId="2F3C06A2" w14:textId="77777777" w:rsidR="004A42A7" w:rsidRDefault="004A42A7" w:rsidP="004A42A7">
      <w:pPr>
        <w:spacing w:line="276" w:lineRule="auto"/>
        <w:jc w:val="left"/>
        <w:rPr>
          <w:rFonts w:ascii="Arial" w:hAnsi="Arial" w:cs="Arial"/>
          <w:noProof/>
          <w:sz w:val="14"/>
          <w:szCs w:val="14"/>
          <w:lang w:val="en-US" w:eastAsia="fr-FR"/>
        </w:rPr>
        <w:sectPr w:rsidR="004A42A7" w:rsidSect="00455DC6">
          <w:type w:val="continuous"/>
          <w:pgSz w:w="16838" w:h="11906" w:orient="landscape"/>
          <w:pgMar w:top="1418" w:right="1418" w:bottom="1418" w:left="1418" w:header="709" w:footer="709" w:gutter="0"/>
          <w:cols w:space="708"/>
          <w:docGrid w:linePitch="360"/>
        </w:sectPr>
      </w:pPr>
    </w:p>
    <w:p w14:paraId="2CD73E95" w14:textId="77777777" w:rsidR="004A42A7" w:rsidRDefault="004A42A7" w:rsidP="004A42A7">
      <w:pPr>
        <w:spacing w:line="276" w:lineRule="auto"/>
        <w:jc w:val="left"/>
        <w:rPr>
          <w:rFonts w:ascii="Arial" w:hAnsi="Arial" w:cs="Arial"/>
          <w:b/>
          <w:noProof/>
          <w:sz w:val="14"/>
          <w:szCs w:val="14"/>
          <w:lang w:val="en-US" w:eastAsia="fr-FR"/>
        </w:rPr>
      </w:pPr>
      <w:r w:rsidRPr="00E12683">
        <w:rPr>
          <w:rFonts w:ascii="Arial" w:hAnsi="Arial" w:cs="Arial"/>
          <w:noProof/>
          <w:sz w:val="14"/>
          <w:szCs w:val="14"/>
          <w:lang w:val="en-US" w:eastAsia="fr-FR"/>
        </w:rPr>
        <w:lastRenderedPageBreak/>
        <w:t xml:space="preserve">  </w:t>
      </w:r>
    </w:p>
    <w:p w14:paraId="5888A9C7" w14:textId="77777777" w:rsidR="004A42A7" w:rsidRDefault="004A42A7" w:rsidP="004A42A7">
      <w:pPr>
        <w:spacing w:line="276" w:lineRule="auto"/>
        <w:rPr>
          <w:rFonts w:ascii="Arial" w:hAnsi="Arial" w:cs="Arial"/>
          <w:b/>
          <w:noProof/>
          <w:sz w:val="14"/>
          <w:szCs w:val="14"/>
          <w:lang w:val="en-US" w:eastAsia="fr-FR"/>
        </w:rPr>
      </w:pPr>
    </w:p>
    <w:p w14:paraId="0DE6145B" w14:textId="77777777" w:rsidR="004A42A7" w:rsidRDefault="004A42A7" w:rsidP="004A42A7">
      <w:pPr>
        <w:spacing w:line="276" w:lineRule="auto"/>
        <w:rPr>
          <w:rFonts w:ascii="Arial" w:hAnsi="Arial" w:cs="Arial"/>
          <w:b/>
          <w:noProof/>
          <w:sz w:val="14"/>
          <w:szCs w:val="14"/>
          <w:lang w:val="en-US" w:eastAsia="fr-FR"/>
        </w:rPr>
      </w:pPr>
    </w:p>
    <w:p w14:paraId="4EA7B176" w14:textId="77777777" w:rsidR="004A42A7" w:rsidRDefault="004A42A7" w:rsidP="004A42A7">
      <w:pPr>
        <w:spacing w:line="276" w:lineRule="auto"/>
        <w:rPr>
          <w:rFonts w:ascii="Arial" w:hAnsi="Arial" w:cs="Arial"/>
          <w:b/>
          <w:noProof/>
          <w:sz w:val="14"/>
          <w:szCs w:val="14"/>
          <w:lang w:val="en-US" w:eastAsia="fr-FR"/>
        </w:rPr>
      </w:pPr>
    </w:p>
    <w:p w14:paraId="124FE3DF" w14:textId="77777777" w:rsidR="004A42A7" w:rsidRDefault="004A42A7" w:rsidP="004A42A7">
      <w:pPr>
        <w:spacing w:line="276" w:lineRule="auto"/>
        <w:rPr>
          <w:rFonts w:ascii="Arial" w:hAnsi="Arial" w:cs="Arial"/>
          <w:b/>
          <w:noProof/>
          <w:sz w:val="14"/>
          <w:szCs w:val="14"/>
          <w:lang w:val="en-US" w:eastAsia="fr-FR"/>
        </w:rPr>
      </w:pPr>
    </w:p>
    <w:p w14:paraId="1DE599FC" w14:textId="77777777" w:rsidR="004A42A7" w:rsidRDefault="004A42A7" w:rsidP="004A42A7">
      <w:pPr>
        <w:spacing w:line="276" w:lineRule="auto"/>
        <w:rPr>
          <w:rFonts w:ascii="Arial" w:hAnsi="Arial" w:cs="Arial"/>
          <w:b/>
          <w:noProof/>
          <w:sz w:val="14"/>
          <w:szCs w:val="14"/>
          <w:lang w:val="en-US" w:eastAsia="fr-FR"/>
        </w:rPr>
      </w:pPr>
    </w:p>
    <w:p w14:paraId="0C512653" w14:textId="77777777" w:rsidR="004A42A7" w:rsidRDefault="004A42A7" w:rsidP="004A42A7">
      <w:pPr>
        <w:spacing w:line="276" w:lineRule="auto"/>
        <w:rPr>
          <w:rFonts w:ascii="Arial" w:hAnsi="Arial" w:cs="Arial"/>
          <w:b/>
          <w:noProof/>
          <w:sz w:val="14"/>
          <w:szCs w:val="14"/>
          <w:lang w:val="en-US" w:eastAsia="fr-FR"/>
        </w:rPr>
      </w:pPr>
    </w:p>
    <w:p w14:paraId="20380676" w14:textId="77777777" w:rsidR="004A42A7" w:rsidRDefault="004A42A7" w:rsidP="004A42A7">
      <w:pPr>
        <w:spacing w:line="276" w:lineRule="auto"/>
        <w:rPr>
          <w:rFonts w:ascii="Arial" w:hAnsi="Arial" w:cs="Arial"/>
          <w:b/>
          <w:noProof/>
          <w:sz w:val="14"/>
          <w:szCs w:val="14"/>
          <w:lang w:val="en-US" w:eastAsia="fr-FR"/>
        </w:rPr>
      </w:pPr>
    </w:p>
    <w:p w14:paraId="205C9B36" w14:textId="77777777" w:rsidR="004A42A7" w:rsidRDefault="004A42A7" w:rsidP="004A42A7">
      <w:pPr>
        <w:spacing w:line="276" w:lineRule="auto"/>
        <w:rPr>
          <w:rFonts w:ascii="Arial" w:hAnsi="Arial" w:cs="Arial"/>
          <w:b/>
          <w:noProof/>
          <w:sz w:val="14"/>
          <w:szCs w:val="14"/>
          <w:lang w:val="en-US" w:eastAsia="fr-FR"/>
        </w:rPr>
      </w:pPr>
    </w:p>
    <w:p w14:paraId="1BBB1EE4" w14:textId="77777777" w:rsidR="004A42A7" w:rsidRDefault="004A42A7" w:rsidP="004A42A7">
      <w:pPr>
        <w:spacing w:line="276" w:lineRule="auto"/>
        <w:rPr>
          <w:rFonts w:ascii="Arial" w:hAnsi="Arial" w:cs="Arial"/>
          <w:b/>
          <w:noProof/>
          <w:sz w:val="14"/>
          <w:szCs w:val="14"/>
          <w:lang w:val="en-US" w:eastAsia="fr-FR"/>
        </w:rPr>
      </w:pPr>
    </w:p>
    <w:p w14:paraId="749CD41C" w14:textId="77777777" w:rsidR="004A42A7" w:rsidRDefault="004A42A7" w:rsidP="004A42A7">
      <w:pPr>
        <w:spacing w:line="276" w:lineRule="auto"/>
        <w:rPr>
          <w:rFonts w:ascii="Arial" w:hAnsi="Arial" w:cs="Arial"/>
          <w:b/>
          <w:noProof/>
          <w:sz w:val="14"/>
          <w:szCs w:val="14"/>
          <w:lang w:val="en-US" w:eastAsia="fr-FR"/>
        </w:rPr>
      </w:pPr>
    </w:p>
    <w:p w14:paraId="02138B20" w14:textId="0C8E1983" w:rsidR="004A42A7" w:rsidRDefault="004A42A7" w:rsidP="004A42A7">
      <w:pPr>
        <w:spacing w:line="276" w:lineRule="auto"/>
        <w:rPr>
          <w:rFonts w:ascii="Arial" w:hAnsi="Arial" w:cs="Arial"/>
          <w:b/>
          <w:noProof/>
          <w:sz w:val="14"/>
          <w:szCs w:val="14"/>
          <w:lang w:val="en-US" w:eastAsia="fr-FR"/>
        </w:rPr>
      </w:pPr>
    </w:p>
    <w:p w14:paraId="42CCFBC7" w14:textId="77777777" w:rsidR="004A42A7" w:rsidRDefault="004A42A7" w:rsidP="004A42A7">
      <w:pPr>
        <w:spacing w:line="276" w:lineRule="auto"/>
        <w:rPr>
          <w:rFonts w:ascii="Arial" w:hAnsi="Arial" w:cs="Arial"/>
          <w:b/>
          <w:noProof/>
          <w:sz w:val="14"/>
          <w:szCs w:val="14"/>
          <w:lang w:val="en-US" w:eastAsia="fr-FR"/>
        </w:rPr>
      </w:pPr>
    </w:p>
    <w:p w14:paraId="4CE3E121" w14:textId="3FF6765A" w:rsidR="004A42A7" w:rsidRPr="00614A91" w:rsidRDefault="002E6DC9" w:rsidP="004A42A7">
      <w:pPr>
        <w:spacing w:line="276" w:lineRule="auto"/>
        <w:rPr>
          <w:rFonts w:ascii="Arial" w:hAnsi="Arial" w:cs="Arial"/>
          <w:b/>
          <w:noProof/>
          <w:sz w:val="14"/>
          <w:szCs w:val="14"/>
          <w:lang w:val="en-US" w:eastAsia="fr-FR"/>
        </w:rPr>
      </w:pPr>
      <w:r>
        <w:rPr>
          <w:rFonts w:ascii="Arial" w:hAnsi="Arial" w:cs="Arial"/>
          <w:b/>
          <w:noProof/>
          <w:sz w:val="14"/>
          <w:szCs w:val="14"/>
          <w:lang w:val="en-US" w:eastAsia="fr-FR"/>
        </w:rPr>
        <w:t>Supplementary</w:t>
      </w:r>
      <w:r w:rsidR="004A42A7" w:rsidRPr="00614A91">
        <w:rPr>
          <w:rFonts w:ascii="Arial" w:hAnsi="Arial" w:cs="Arial"/>
          <w:b/>
          <w:noProof/>
          <w:sz w:val="14"/>
          <w:szCs w:val="14"/>
          <w:lang w:val="en-US" w:eastAsia="fr-FR"/>
        </w:rPr>
        <w:t xml:space="preserve"> Table 1 </w:t>
      </w:r>
      <w:r w:rsidR="004A42A7" w:rsidRPr="007E184F">
        <w:rPr>
          <w:rFonts w:ascii="Arial" w:hAnsi="Arial" w:cs="Arial"/>
          <w:b/>
          <w:bCs/>
          <w:sz w:val="14"/>
          <w:szCs w:val="14"/>
          <w:lang w:val="en-GB"/>
        </w:rPr>
        <w:t>|</w:t>
      </w:r>
      <w:r w:rsidR="004A42A7" w:rsidRPr="00614A91">
        <w:rPr>
          <w:rFonts w:ascii="Arial" w:hAnsi="Arial" w:cs="Arial"/>
          <w:b/>
          <w:noProof/>
          <w:sz w:val="14"/>
          <w:szCs w:val="14"/>
          <w:lang w:val="en-US" w:eastAsia="fr-FR"/>
        </w:rPr>
        <w:t xml:space="preserve"> Raman Spectroscopy parameters from maturation experiments on the sample HN78 from Hyuga coherent unit in Shimanto (Japan). </w:t>
      </w:r>
    </w:p>
    <w:p w14:paraId="5D4085AE" w14:textId="77777777" w:rsidR="004A42A7" w:rsidRDefault="004A42A7" w:rsidP="004A42A7">
      <w:pPr>
        <w:rPr>
          <w:noProof/>
          <w:lang w:val="en-US" w:eastAsia="fr-FR"/>
        </w:rPr>
      </w:pPr>
      <w:r w:rsidRPr="0066599D">
        <w:rPr>
          <w:noProof/>
          <w:lang w:eastAsia="fr-FR"/>
        </w:rPr>
        <w:drawing>
          <wp:inline distT="0" distB="0" distL="0" distR="0" wp14:anchorId="13D745B4" wp14:editId="4499B912">
            <wp:extent cx="5760720" cy="2225675"/>
            <wp:effectExtent l="0" t="0" r="0" b="317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225675"/>
                    </a:xfrm>
                    <a:prstGeom prst="rect">
                      <a:avLst/>
                    </a:prstGeom>
                    <a:noFill/>
                    <a:ln>
                      <a:noFill/>
                    </a:ln>
                  </pic:spPr>
                </pic:pic>
              </a:graphicData>
            </a:graphic>
          </wp:inline>
        </w:drawing>
      </w:r>
    </w:p>
    <w:p w14:paraId="0F55441F" w14:textId="77777777" w:rsidR="004A42A7" w:rsidRDefault="004A42A7" w:rsidP="004A42A7">
      <w:pPr>
        <w:spacing w:line="259" w:lineRule="auto"/>
        <w:jc w:val="left"/>
        <w:rPr>
          <w:noProof/>
          <w:lang w:val="en-US" w:eastAsia="fr-FR"/>
        </w:rPr>
      </w:pPr>
      <w:r>
        <w:rPr>
          <w:noProof/>
          <w:lang w:val="en-US" w:eastAsia="fr-FR"/>
        </w:rPr>
        <w:br w:type="page"/>
      </w:r>
    </w:p>
    <w:p w14:paraId="55231FEB" w14:textId="77777777" w:rsidR="004A42A7" w:rsidRDefault="004A42A7" w:rsidP="004A42A7">
      <w:pPr>
        <w:rPr>
          <w:rFonts w:ascii="Arial" w:hAnsi="Arial" w:cs="Arial"/>
          <w:b/>
          <w:noProof/>
          <w:sz w:val="14"/>
          <w:szCs w:val="14"/>
          <w:lang w:val="en-US" w:eastAsia="fr-FR"/>
        </w:rPr>
      </w:pPr>
    </w:p>
    <w:p w14:paraId="3F8C5F3A" w14:textId="77777777" w:rsidR="004A42A7" w:rsidRDefault="004A42A7" w:rsidP="004A42A7">
      <w:pPr>
        <w:rPr>
          <w:rFonts w:ascii="Arial" w:hAnsi="Arial" w:cs="Arial"/>
          <w:b/>
          <w:noProof/>
          <w:sz w:val="14"/>
          <w:szCs w:val="14"/>
          <w:lang w:val="en-US" w:eastAsia="fr-FR"/>
        </w:rPr>
      </w:pPr>
    </w:p>
    <w:p w14:paraId="072DFA48" w14:textId="77777777" w:rsidR="004A42A7" w:rsidRDefault="004A42A7" w:rsidP="004A42A7">
      <w:pPr>
        <w:rPr>
          <w:rFonts w:ascii="Arial" w:hAnsi="Arial" w:cs="Arial"/>
          <w:b/>
          <w:noProof/>
          <w:sz w:val="14"/>
          <w:szCs w:val="14"/>
          <w:lang w:val="en-US" w:eastAsia="fr-FR"/>
        </w:rPr>
      </w:pPr>
    </w:p>
    <w:p w14:paraId="09E75734" w14:textId="77777777" w:rsidR="004A42A7" w:rsidRDefault="004A42A7" w:rsidP="004A42A7">
      <w:pPr>
        <w:rPr>
          <w:rFonts w:ascii="Arial" w:hAnsi="Arial" w:cs="Arial"/>
          <w:b/>
          <w:noProof/>
          <w:sz w:val="14"/>
          <w:szCs w:val="14"/>
          <w:lang w:val="en-US" w:eastAsia="fr-FR"/>
        </w:rPr>
      </w:pPr>
    </w:p>
    <w:p w14:paraId="0B091E77" w14:textId="77777777" w:rsidR="004A42A7" w:rsidRDefault="004A42A7" w:rsidP="004A42A7">
      <w:pPr>
        <w:rPr>
          <w:rFonts w:ascii="Arial" w:hAnsi="Arial" w:cs="Arial"/>
          <w:b/>
          <w:noProof/>
          <w:sz w:val="14"/>
          <w:szCs w:val="14"/>
          <w:lang w:val="en-US" w:eastAsia="fr-FR"/>
        </w:rPr>
      </w:pPr>
    </w:p>
    <w:p w14:paraId="77E27406" w14:textId="77777777" w:rsidR="004A42A7" w:rsidRDefault="004A42A7" w:rsidP="004A42A7">
      <w:pPr>
        <w:rPr>
          <w:rFonts w:ascii="Arial" w:hAnsi="Arial" w:cs="Arial"/>
          <w:b/>
          <w:noProof/>
          <w:sz w:val="14"/>
          <w:szCs w:val="14"/>
          <w:lang w:val="en-US" w:eastAsia="fr-FR"/>
        </w:rPr>
      </w:pPr>
    </w:p>
    <w:p w14:paraId="59EB784C" w14:textId="5EC0C1C5" w:rsidR="004A42A7" w:rsidRDefault="004A42A7" w:rsidP="004A42A7">
      <w:pPr>
        <w:rPr>
          <w:rFonts w:ascii="Arial" w:hAnsi="Arial" w:cs="Arial"/>
          <w:b/>
          <w:noProof/>
          <w:sz w:val="14"/>
          <w:szCs w:val="14"/>
          <w:lang w:val="en-US" w:eastAsia="fr-FR"/>
        </w:rPr>
      </w:pPr>
    </w:p>
    <w:p w14:paraId="3972EB67" w14:textId="77777777" w:rsidR="004A42A7" w:rsidRDefault="004A42A7" w:rsidP="004A42A7">
      <w:pPr>
        <w:rPr>
          <w:rFonts w:ascii="Arial" w:hAnsi="Arial" w:cs="Arial"/>
          <w:b/>
          <w:noProof/>
          <w:sz w:val="14"/>
          <w:szCs w:val="14"/>
          <w:lang w:val="en-US" w:eastAsia="fr-FR"/>
        </w:rPr>
      </w:pPr>
    </w:p>
    <w:p w14:paraId="08BDA88F" w14:textId="77777777" w:rsidR="004A42A7" w:rsidRDefault="004A42A7" w:rsidP="004A42A7">
      <w:pPr>
        <w:rPr>
          <w:rFonts w:ascii="Arial" w:hAnsi="Arial" w:cs="Arial"/>
          <w:b/>
          <w:noProof/>
          <w:sz w:val="14"/>
          <w:szCs w:val="14"/>
          <w:lang w:val="en-US" w:eastAsia="fr-FR"/>
        </w:rPr>
      </w:pPr>
    </w:p>
    <w:p w14:paraId="6EF83D21" w14:textId="77167B7A" w:rsidR="004A42A7" w:rsidRPr="00614A91" w:rsidRDefault="002E6DC9" w:rsidP="004A42A7">
      <w:pPr>
        <w:rPr>
          <w:rFonts w:ascii="Arial" w:hAnsi="Arial" w:cs="Arial"/>
          <w:b/>
          <w:noProof/>
          <w:sz w:val="14"/>
          <w:szCs w:val="14"/>
          <w:lang w:val="en-US" w:eastAsia="fr-FR"/>
        </w:rPr>
      </w:pPr>
      <w:r>
        <w:rPr>
          <w:rFonts w:ascii="Arial" w:hAnsi="Arial" w:cs="Arial"/>
          <w:b/>
          <w:noProof/>
          <w:sz w:val="14"/>
          <w:szCs w:val="14"/>
          <w:lang w:val="en-US" w:eastAsia="fr-FR"/>
        </w:rPr>
        <w:t>Supplementary</w:t>
      </w:r>
      <w:r w:rsidR="004A42A7" w:rsidRPr="00614A91">
        <w:rPr>
          <w:rFonts w:ascii="Arial" w:hAnsi="Arial" w:cs="Arial"/>
          <w:b/>
          <w:noProof/>
          <w:sz w:val="14"/>
          <w:szCs w:val="14"/>
          <w:lang w:val="en-US" w:eastAsia="fr-FR"/>
        </w:rPr>
        <w:t xml:space="preserve"> Table 2 </w:t>
      </w:r>
      <w:r w:rsidR="004A42A7" w:rsidRPr="007E184F">
        <w:rPr>
          <w:rFonts w:ascii="Arial" w:hAnsi="Arial" w:cs="Arial"/>
          <w:b/>
          <w:bCs/>
          <w:sz w:val="14"/>
          <w:szCs w:val="14"/>
          <w:lang w:val="en-GB"/>
        </w:rPr>
        <w:t>|</w:t>
      </w:r>
      <w:r w:rsidR="004A42A7" w:rsidRPr="00614A91">
        <w:rPr>
          <w:rFonts w:ascii="Arial" w:hAnsi="Arial" w:cs="Arial"/>
          <w:b/>
          <w:noProof/>
          <w:sz w:val="14"/>
          <w:szCs w:val="14"/>
          <w:lang w:val="en-US" w:eastAsia="fr-FR"/>
        </w:rPr>
        <w:t xml:space="preserve"> Statistics on the intensity ratio obtained from the three Black Fault Rocks (BFR) analyzed in this study compared with their respective host-rock, used as a local reference (HR) and underformed references outside of the fault zone. </w:t>
      </w:r>
    </w:p>
    <w:tbl>
      <w:tblPr>
        <w:tblW w:w="7980" w:type="dxa"/>
        <w:jc w:val="center"/>
        <w:tblCellMar>
          <w:left w:w="70" w:type="dxa"/>
          <w:right w:w="70" w:type="dxa"/>
        </w:tblCellMar>
        <w:tblLook w:val="04A0" w:firstRow="1" w:lastRow="0" w:firstColumn="1" w:lastColumn="0" w:noHBand="0" w:noVBand="1"/>
      </w:tblPr>
      <w:tblGrid>
        <w:gridCol w:w="1200"/>
        <w:gridCol w:w="780"/>
        <w:gridCol w:w="1200"/>
        <w:gridCol w:w="1200"/>
        <w:gridCol w:w="1200"/>
        <w:gridCol w:w="1200"/>
        <w:gridCol w:w="1200"/>
      </w:tblGrid>
      <w:tr w:rsidR="004A42A7" w:rsidRPr="007E63FC" w14:paraId="2BFDF22A" w14:textId="77777777" w:rsidTr="00613FDE">
        <w:trPr>
          <w:trHeight w:val="315"/>
          <w:jc w:val="center"/>
        </w:trPr>
        <w:tc>
          <w:tcPr>
            <w:tcW w:w="1200" w:type="dxa"/>
            <w:tcBorders>
              <w:top w:val="single" w:sz="12" w:space="0" w:color="auto"/>
              <w:left w:val="nil"/>
              <w:bottom w:val="single" w:sz="8" w:space="0" w:color="auto"/>
              <w:right w:val="nil"/>
            </w:tcBorders>
            <w:shd w:val="clear" w:color="000000" w:fill="FFFFFF"/>
            <w:noWrap/>
            <w:vAlign w:val="center"/>
            <w:hideMark/>
          </w:tcPr>
          <w:p w14:paraId="444E0A42" w14:textId="77777777" w:rsidR="004A42A7" w:rsidRPr="007E184F" w:rsidRDefault="004A42A7" w:rsidP="00613FDE">
            <w:pPr>
              <w:spacing w:after="0" w:line="240" w:lineRule="auto"/>
              <w:jc w:val="center"/>
              <w:rPr>
                <w:rFonts w:eastAsia="Times New Roman" w:cs="Times New Roman"/>
                <w:color w:val="000000"/>
                <w:sz w:val="22"/>
                <w:lang w:val="en-GB" w:eastAsia="fr-FR"/>
              </w:rPr>
            </w:pPr>
            <w:r w:rsidRPr="007E184F">
              <w:rPr>
                <w:rFonts w:eastAsia="Times New Roman" w:cs="Times New Roman"/>
                <w:color w:val="000000"/>
                <w:sz w:val="22"/>
                <w:lang w:val="en-GB" w:eastAsia="fr-FR"/>
              </w:rPr>
              <w:t> </w:t>
            </w:r>
          </w:p>
        </w:tc>
        <w:tc>
          <w:tcPr>
            <w:tcW w:w="780" w:type="dxa"/>
            <w:tcBorders>
              <w:top w:val="single" w:sz="12" w:space="0" w:color="auto"/>
              <w:left w:val="nil"/>
              <w:bottom w:val="single" w:sz="8" w:space="0" w:color="auto"/>
              <w:right w:val="nil"/>
            </w:tcBorders>
            <w:shd w:val="clear" w:color="000000" w:fill="FFFFFF"/>
            <w:noWrap/>
            <w:vAlign w:val="center"/>
            <w:hideMark/>
          </w:tcPr>
          <w:p w14:paraId="00EC55C8" w14:textId="77777777" w:rsidR="004A42A7" w:rsidRPr="007E184F" w:rsidRDefault="004A42A7" w:rsidP="00613FDE">
            <w:pPr>
              <w:spacing w:after="0" w:line="240" w:lineRule="auto"/>
              <w:jc w:val="center"/>
              <w:rPr>
                <w:rFonts w:eastAsia="Times New Roman" w:cs="Times New Roman"/>
                <w:color w:val="000000"/>
                <w:sz w:val="22"/>
                <w:lang w:val="en-GB" w:eastAsia="fr-FR"/>
              </w:rPr>
            </w:pPr>
            <w:r w:rsidRPr="007E184F">
              <w:rPr>
                <w:rFonts w:eastAsia="Times New Roman" w:cs="Times New Roman"/>
                <w:color w:val="000000"/>
                <w:sz w:val="22"/>
                <w:lang w:val="en-GB" w:eastAsia="fr-FR"/>
              </w:rPr>
              <w:t> </w:t>
            </w:r>
          </w:p>
        </w:tc>
        <w:tc>
          <w:tcPr>
            <w:tcW w:w="1200" w:type="dxa"/>
            <w:tcBorders>
              <w:top w:val="single" w:sz="12" w:space="0" w:color="auto"/>
              <w:left w:val="nil"/>
              <w:bottom w:val="single" w:sz="8" w:space="0" w:color="auto"/>
              <w:right w:val="nil"/>
            </w:tcBorders>
            <w:shd w:val="clear" w:color="000000" w:fill="FFFFFF"/>
            <w:noWrap/>
            <w:vAlign w:val="center"/>
            <w:hideMark/>
          </w:tcPr>
          <w:p w14:paraId="05A377EE" w14:textId="77777777" w:rsidR="004A42A7" w:rsidRPr="007E63FC" w:rsidRDefault="004A42A7" w:rsidP="00613FDE">
            <w:pPr>
              <w:spacing w:after="0" w:line="240" w:lineRule="auto"/>
              <w:jc w:val="center"/>
              <w:rPr>
                <w:rFonts w:eastAsia="Times New Roman" w:cs="Times New Roman"/>
                <w:i/>
                <w:iCs/>
                <w:color w:val="000000"/>
                <w:sz w:val="22"/>
                <w:lang w:eastAsia="fr-FR"/>
              </w:rPr>
            </w:pPr>
            <w:r w:rsidRPr="007E63FC">
              <w:rPr>
                <w:rFonts w:eastAsia="Times New Roman" w:cs="Times New Roman"/>
                <w:i/>
                <w:iCs/>
                <w:color w:val="000000"/>
                <w:sz w:val="22"/>
                <w:lang w:eastAsia="fr-FR"/>
              </w:rPr>
              <w:t>Minimum</w:t>
            </w:r>
          </w:p>
        </w:tc>
        <w:tc>
          <w:tcPr>
            <w:tcW w:w="1200" w:type="dxa"/>
            <w:tcBorders>
              <w:top w:val="single" w:sz="12" w:space="0" w:color="auto"/>
              <w:left w:val="nil"/>
              <w:bottom w:val="single" w:sz="8" w:space="0" w:color="auto"/>
              <w:right w:val="nil"/>
            </w:tcBorders>
            <w:shd w:val="clear" w:color="000000" w:fill="FFFFFF"/>
            <w:noWrap/>
            <w:vAlign w:val="center"/>
            <w:hideMark/>
          </w:tcPr>
          <w:p w14:paraId="6B3CA79F" w14:textId="77777777" w:rsidR="004A42A7" w:rsidRPr="007E63FC" w:rsidRDefault="004A42A7" w:rsidP="00613FDE">
            <w:pPr>
              <w:spacing w:after="0" w:line="240" w:lineRule="auto"/>
              <w:jc w:val="center"/>
              <w:rPr>
                <w:rFonts w:eastAsia="Times New Roman" w:cs="Times New Roman"/>
                <w:i/>
                <w:iCs/>
                <w:color w:val="000000"/>
                <w:sz w:val="22"/>
                <w:lang w:eastAsia="fr-FR"/>
              </w:rPr>
            </w:pPr>
            <w:r w:rsidRPr="007E63FC">
              <w:rPr>
                <w:rFonts w:eastAsia="Times New Roman" w:cs="Times New Roman"/>
                <w:i/>
                <w:iCs/>
                <w:color w:val="000000"/>
                <w:sz w:val="22"/>
                <w:lang w:eastAsia="fr-FR"/>
              </w:rPr>
              <w:t>Maximum</w:t>
            </w:r>
          </w:p>
        </w:tc>
        <w:tc>
          <w:tcPr>
            <w:tcW w:w="1200" w:type="dxa"/>
            <w:tcBorders>
              <w:top w:val="single" w:sz="12" w:space="0" w:color="auto"/>
              <w:left w:val="nil"/>
              <w:bottom w:val="single" w:sz="8" w:space="0" w:color="auto"/>
              <w:right w:val="nil"/>
            </w:tcBorders>
            <w:shd w:val="clear" w:color="000000" w:fill="FFFFFF"/>
            <w:noWrap/>
            <w:vAlign w:val="center"/>
            <w:hideMark/>
          </w:tcPr>
          <w:p w14:paraId="10F77303" w14:textId="77777777" w:rsidR="004A42A7" w:rsidRPr="007E63FC" w:rsidRDefault="004A42A7" w:rsidP="00613FDE">
            <w:pPr>
              <w:spacing w:after="0" w:line="240" w:lineRule="auto"/>
              <w:jc w:val="center"/>
              <w:rPr>
                <w:rFonts w:eastAsia="Times New Roman" w:cs="Times New Roman"/>
                <w:i/>
                <w:iCs/>
                <w:color w:val="000000"/>
                <w:sz w:val="22"/>
                <w:lang w:eastAsia="fr-FR"/>
              </w:rPr>
            </w:pPr>
            <w:r w:rsidRPr="007E63FC">
              <w:rPr>
                <w:rFonts w:eastAsia="Times New Roman" w:cs="Times New Roman"/>
                <w:i/>
                <w:iCs/>
                <w:color w:val="000000"/>
                <w:sz w:val="22"/>
                <w:lang w:eastAsia="fr-FR"/>
              </w:rPr>
              <w:t>Median</w:t>
            </w:r>
          </w:p>
        </w:tc>
        <w:tc>
          <w:tcPr>
            <w:tcW w:w="1200" w:type="dxa"/>
            <w:tcBorders>
              <w:top w:val="single" w:sz="12" w:space="0" w:color="auto"/>
              <w:left w:val="nil"/>
              <w:bottom w:val="single" w:sz="8" w:space="0" w:color="auto"/>
              <w:right w:val="nil"/>
            </w:tcBorders>
            <w:shd w:val="clear" w:color="000000" w:fill="FFFFFF"/>
            <w:noWrap/>
            <w:vAlign w:val="center"/>
            <w:hideMark/>
          </w:tcPr>
          <w:p w14:paraId="0003F211" w14:textId="77777777" w:rsidR="004A42A7" w:rsidRPr="007E63FC" w:rsidRDefault="004A42A7" w:rsidP="00613FDE">
            <w:pPr>
              <w:spacing w:after="0" w:line="240" w:lineRule="auto"/>
              <w:jc w:val="center"/>
              <w:rPr>
                <w:rFonts w:eastAsia="Times New Roman" w:cs="Times New Roman"/>
                <w:i/>
                <w:iCs/>
                <w:color w:val="000000"/>
                <w:sz w:val="22"/>
                <w:lang w:eastAsia="fr-FR"/>
              </w:rPr>
            </w:pPr>
            <w:r w:rsidRPr="007E63FC">
              <w:rPr>
                <w:rFonts w:eastAsia="Times New Roman" w:cs="Times New Roman"/>
                <w:i/>
                <w:iCs/>
                <w:color w:val="000000"/>
                <w:sz w:val="22"/>
                <w:lang w:eastAsia="fr-FR"/>
              </w:rPr>
              <w:t xml:space="preserve">Mean </w:t>
            </w:r>
          </w:p>
        </w:tc>
        <w:tc>
          <w:tcPr>
            <w:tcW w:w="1200" w:type="dxa"/>
            <w:tcBorders>
              <w:top w:val="single" w:sz="12" w:space="0" w:color="auto"/>
              <w:left w:val="nil"/>
              <w:bottom w:val="single" w:sz="8" w:space="0" w:color="auto"/>
              <w:right w:val="nil"/>
            </w:tcBorders>
            <w:shd w:val="clear" w:color="000000" w:fill="FFFFFF"/>
            <w:noWrap/>
            <w:vAlign w:val="center"/>
            <w:hideMark/>
          </w:tcPr>
          <w:p w14:paraId="326A1D97" w14:textId="77777777" w:rsidR="004A42A7" w:rsidRPr="007E63FC" w:rsidRDefault="004A42A7" w:rsidP="00613FDE">
            <w:pPr>
              <w:spacing w:after="0" w:line="240" w:lineRule="auto"/>
              <w:jc w:val="center"/>
              <w:rPr>
                <w:rFonts w:eastAsia="Times New Roman" w:cs="Times New Roman"/>
                <w:i/>
                <w:iCs/>
                <w:color w:val="000000"/>
                <w:sz w:val="22"/>
                <w:lang w:eastAsia="fr-FR"/>
              </w:rPr>
            </w:pPr>
            <w:r w:rsidRPr="007E63FC">
              <w:rPr>
                <w:rFonts w:eastAsia="Times New Roman" w:cs="Times New Roman"/>
                <w:i/>
                <w:iCs/>
                <w:color w:val="000000"/>
                <w:sz w:val="22"/>
                <w:lang w:eastAsia="fr-FR"/>
              </w:rPr>
              <w:t>SD</w:t>
            </w:r>
          </w:p>
        </w:tc>
      </w:tr>
      <w:tr w:rsidR="004A42A7" w:rsidRPr="007E63FC" w14:paraId="35C689BE" w14:textId="77777777" w:rsidTr="00613FDE">
        <w:trPr>
          <w:trHeight w:val="360"/>
          <w:jc w:val="center"/>
        </w:trPr>
        <w:tc>
          <w:tcPr>
            <w:tcW w:w="1200" w:type="dxa"/>
            <w:vMerge w:val="restart"/>
            <w:tcBorders>
              <w:top w:val="nil"/>
              <w:left w:val="nil"/>
              <w:bottom w:val="single" w:sz="4" w:space="0" w:color="000000"/>
              <w:right w:val="nil"/>
            </w:tcBorders>
            <w:shd w:val="clear" w:color="000000" w:fill="FFFFFF"/>
            <w:noWrap/>
            <w:vAlign w:val="center"/>
            <w:hideMark/>
          </w:tcPr>
          <w:p w14:paraId="4840016C"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Nobeoka</w:t>
            </w:r>
          </w:p>
        </w:tc>
        <w:tc>
          <w:tcPr>
            <w:tcW w:w="780" w:type="dxa"/>
            <w:tcBorders>
              <w:top w:val="nil"/>
              <w:left w:val="nil"/>
              <w:bottom w:val="nil"/>
              <w:right w:val="nil"/>
            </w:tcBorders>
            <w:shd w:val="clear" w:color="000000" w:fill="FFFFFF"/>
            <w:noWrap/>
            <w:vAlign w:val="center"/>
            <w:hideMark/>
          </w:tcPr>
          <w:p w14:paraId="5A836B5B"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BFR</w:t>
            </w:r>
          </w:p>
        </w:tc>
        <w:tc>
          <w:tcPr>
            <w:tcW w:w="1200" w:type="dxa"/>
            <w:tcBorders>
              <w:top w:val="nil"/>
              <w:left w:val="nil"/>
              <w:bottom w:val="nil"/>
              <w:right w:val="nil"/>
            </w:tcBorders>
            <w:shd w:val="clear" w:color="000000" w:fill="FFFFFF"/>
            <w:noWrap/>
            <w:vAlign w:val="bottom"/>
            <w:hideMark/>
          </w:tcPr>
          <w:p w14:paraId="7EBA5F6A"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0,556</w:t>
            </w:r>
          </w:p>
        </w:tc>
        <w:tc>
          <w:tcPr>
            <w:tcW w:w="1200" w:type="dxa"/>
            <w:tcBorders>
              <w:top w:val="nil"/>
              <w:left w:val="nil"/>
              <w:bottom w:val="nil"/>
              <w:right w:val="nil"/>
            </w:tcBorders>
            <w:shd w:val="clear" w:color="000000" w:fill="FFFFFF"/>
            <w:noWrap/>
            <w:vAlign w:val="bottom"/>
            <w:hideMark/>
          </w:tcPr>
          <w:p w14:paraId="4EEB7226"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0,924</w:t>
            </w:r>
          </w:p>
        </w:tc>
        <w:tc>
          <w:tcPr>
            <w:tcW w:w="1200" w:type="dxa"/>
            <w:tcBorders>
              <w:top w:val="nil"/>
              <w:left w:val="nil"/>
              <w:bottom w:val="nil"/>
              <w:right w:val="nil"/>
            </w:tcBorders>
            <w:shd w:val="clear" w:color="000000" w:fill="FFFFFF"/>
            <w:noWrap/>
            <w:vAlign w:val="bottom"/>
            <w:hideMark/>
          </w:tcPr>
          <w:p w14:paraId="3986F366"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0,682</w:t>
            </w:r>
          </w:p>
        </w:tc>
        <w:tc>
          <w:tcPr>
            <w:tcW w:w="1200" w:type="dxa"/>
            <w:tcBorders>
              <w:top w:val="nil"/>
              <w:left w:val="nil"/>
              <w:bottom w:val="nil"/>
              <w:right w:val="nil"/>
            </w:tcBorders>
            <w:shd w:val="clear" w:color="000000" w:fill="FFFFFF"/>
            <w:noWrap/>
            <w:vAlign w:val="bottom"/>
            <w:hideMark/>
          </w:tcPr>
          <w:p w14:paraId="0934507F"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0,682</w:t>
            </w:r>
          </w:p>
        </w:tc>
        <w:tc>
          <w:tcPr>
            <w:tcW w:w="1200" w:type="dxa"/>
            <w:tcBorders>
              <w:top w:val="nil"/>
              <w:left w:val="nil"/>
              <w:bottom w:val="nil"/>
              <w:right w:val="nil"/>
            </w:tcBorders>
            <w:shd w:val="clear" w:color="000000" w:fill="FFFFFF"/>
            <w:noWrap/>
            <w:vAlign w:val="bottom"/>
            <w:hideMark/>
          </w:tcPr>
          <w:p w14:paraId="3700D3B5"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0,063</w:t>
            </w:r>
          </w:p>
        </w:tc>
      </w:tr>
      <w:tr w:rsidR="004A42A7" w:rsidRPr="007E63FC" w14:paraId="0DA04726" w14:textId="77777777" w:rsidTr="00613FDE">
        <w:trPr>
          <w:trHeight w:val="360"/>
          <w:jc w:val="center"/>
        </w:trPr>
        <w:tc>
          <w:tcPr>
            <w:tcW w:w="1200" w:type="dxa"/>
            <w:vMerge/>
            <w:tcBorders>
              <w:top w:val="nil"/>
              <w:left w:val="nil"/>
              <w:bottom w:val="single" w:sz="4" w:space="0" w:color="000000"/>
              <w:right w:val="nil"/>
            </w:tcBorders>
            <w:vAlign w:val="center"/>
            <w:hideMark/>
          </w:tcPr>
          <w:p w14:paraId="1C9F0056" w14:textId="77777777" w:rsidR="004A42A7" w:rsidRPr="007E63FC" w:rsidRDefault="004A42A7" w:rsidP="00613FDE">
            <w:pPr>
              <w:spacing w:after="0" w:line="240" w:lineRule="auto"/>
              <w:jc w:val="left"/>
              <w:rPr>
                <w:rFonts w:eastAsia="Times New Roman" w:cs="Times New Roman"/>
                <w:color w:val="000000"/>
                <w:sz w:val="22"/>
                <w:lang w:eastAsia="fr-FR"/>
              </w:rPr>
            </w:pPr>
          </w:p>
        </w:tc>
        <w:tc>
          <w:tcPr>
            <w:tcW w:w="780" w:type="dxa"/>
            <w:tcBorders>
              <w:top w:val="nil"/>
              <w:left w:val="nil"/>
              <w:bottom w:val="nil"/>
              <w:right w:val="nil"/>
            </w:tcBorders>
            <w:shd w:val="clear" w:color="000000" w:fill="FFFFFF"/>
            <w:noWrap/>
            <w:vAlign w:val="center"/>
            <w:hideMark/>
          </w:tcPr>
          <w:p w14:paraId="1ADCB391"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HR</w:t>
            </w:r>
          </w:p>
        </w:tc>
        <w:tc>
          <w:tcPr>
            <w:tcW w:w="1200" w:type="dxa"/>
            <w:tcBorders>
              <w:top w:val="nil"/>
              <w:left w:val="nil"/>
              <w:bottom w:val="nil"/>
              <w:right w:val="nil"/>
            </w:tcBorders>
            <w:shd w:val="clear" w:color="000000" w:fill="FFFFFF"/>
            <w:noWrap/>
            <w:vAlign w:val="bottom"/>
            <w:hideMark/>
          </w:tcPr>
          <w:p w14:paraId="1FE190BA"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0,452</w:t>
            </w:r>
          </w:p>
        </w:tc>
        <w:tc>
          <w:tcPr>
            <w:tcW w:w="1200" w:type="dxa"/>
            <w:tcBorders>
              <w:top w:val="nil"/>
              <w:left w:val="nil"/>
              <w:bottom w:val="nil"/>
              <w:right w:val="nil"/>
            </w:tcBorders>
            <w:shd w:val="clear" w:color="000000" w:fill="FFFFFF"/>
            <w:noWrap/>
            <w:vAlign w:val="bottom"/>
            <w:hideMark/>
          </w:tcPr>
          <w:p w14:paraId="2B79FB40"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0,835</w:t>
            </w:r>
          </w:p>
        </w:tc>
        <w:tc>
          <w:tcPr>
            <w:tcW w:w="1200" w:type="dxa"/>
            <w:tcBorders>
              <w:top w:val="nil"/>
              <w:left w:val="nil"/>
              <w:bottom w:val="nil"/>
              <w:right w:val="nil"/>
            </w:tcBorders>
            <w:shd w:val="clear" w:color="000000" w:fill="FFFFFF"/>
            <w:noWrap/>
            <w:vAlign w:val="bottom"/>
            <w:hideMark/>
          </w:tcPr>
          <w:p w14:paraId="01A88B43"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0,500</w:t>
            </w:r>
          </w:p>
        </w:tc>
        <w:tc>
          <w:tcPr>
            <w:tcW w:w="1200" w:type="dxa"/>
            <w:tcBorders>
              <w:top w:val="nil"/>
              <w:left w:val="nil"/>
              <w:bottom w:val="nil"/>
              <w:right w:val="nil"/>
            </w:tcBorders>
            <w:shd w:val="clear" w:color="000000" w:fill="FFFFFF"/>
            <w:noWrap/>
            <w:vAlign w:val="bottom"/>
            <w:hideMark/>
          </w:tcPr>
          <w:p w14:paraId="39F347FB"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0,516</w:t>
            </w:r>
          </w:p>
        </w:tc>
        <w:tc>
          <w:tcPr>
            <w:tcW w:w="1200" w:type="dxa"/>
            <w:tcBorders>
              <w:top w:val="nil"/>
              <w:left w:val="nil"/>
              <w:bottom w:val="nil"/>
              <w:right w:val="nil"/>
            </w:tcBorders>
            <w:shd w:val="clear" w:color="000000" w:fill="FFFFFF"/>
            <w:noWrap/>
            <w:vAlign w:val="bottom"/>
            <w:hideMark/>
          </w:tcPr>
          <w:p w14:paraId="451D3C54"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0,058</w:t>
            </w:r>
          </w:p>
        </w:tc>
      </w:tr>
      <w:tr w:rsidR="004A42A7" w:rsidRPr="007E63FC" w14:paraId="67A1D001" w14:textId="77777777" w:rsidTr="00613FDE">
        <w:trPr>
          <w:trHeight w:val="360"/>
          <w:jc w:val="center"/>
        </w:trPr>
        <w:tc>
          <w:tcPr>
            <w:tcW w:w="1200" w:type="dxa"/>
            <w:vMerge/>
            <w:tcBorders>
              <w:top w:val="nil"/>
              <w:left w:val="nil"/>
              <w:bottom w:val="single" w:sz="4" w:space="0" w:color="000000"/>
              <w:right w:val="nil"/>
            </w:tcBorders>
            <w:vAlign w:val="center"/>
            <w:hideMark/>
          </w:tcPr>
          <w:p w14:paraId="58D62E1B" w14:textId="77777777" w:rsidR="004A42A7" w:rsidRPr="007E63FC" w:rsidRDefault="004A42A7" w:rsidP="00613FDE">
            <w:pPr>
              <w:spacing w:after="0" w:line="240" w:lineRule="auto"/>
              <w:jc w:val="left"/>
              <w:rPr>
                <w:rFonts w:eastAsia="Times New Roman" w:cs="Times New Roman"/>
                <w:color w:val="000000"/>
                <w:sz w:val="22"/>
                <w:lang w:eastAsia="fr-FR"/>
              </w:rPr>
            </w:pPr>
          </w:p>
        </w:tc>
        <w:tc>
          <w:tcPr>
            <w:tcW w:w="780" w:type="dxa"/>
            <w:tcBorders>
              <w:top w:val="nil"/>
              <w:left w:val="nil"/>
              <w:bottom w:val="single" w:sz="4" w:space="0" w:color="auto"/>
              <w:right w:val="nil"/>
            </w:tcBorders>
            <w:shd w:val="clear" w:color="000000" w:fill="FFFFFF"/>
            <w:noWrap/>
            <w:vAlign w:val="center"/>
            <w:hideMark/>
          </w:tcPr>
          <w:p w14:paraId="2BB3AF95"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Ref.</w:t>
            </w:r>
          </w:p>
        </w:tc>
        <w:tc>
          <w:tcPr>
            <w:tcW w:w="1200" w:type="dxa"/>
            <w:tcBorders>
              <w:top w:val="nil"/>
              <w:left w:val="nil"/>
              <w:bottom w:val="single" w:sz="4" w:space="0" w:color="auto"/>
              <w:right w:val="nil"/>
            </w:tcBorders>
            <w:shd w:val="clear" w:color="000000" w:fill="FFFFFF"/>
            <w:noWrap/>
            <w:vAlign w:val="bottom"/>
            <w:hideMark/>
          </w:tcPr>
          <w:p w14:paraId="27639E94"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0,440</w:t>
            </w:r>
          </w:p>
        </w:tc>
        <w:tc>
          <w:tcPr>
            <w:tcW w:w="1200" w:type="dxa"/>
            <w:tcBorders>
              <w:top w:val="nil"/>
              <w:left w:val="nil"/>
              <w:bottom w:val="single" w:sz="4" w:space="0" w:color="auto"/>
              <w:right w:val="nil"/>
            </w:tcBorders>
            <w:shd w:val="clear" w:color="000000" w:fill="FFFFFF"/>
            <w:noWrap/>
            <w:vAlign w:val="bottom"/>
            <w:hideMark/>
          </w:tcPr>
          <w:p w14:paraId="33C75721"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0,472</w:t>
            </w:r>
          </w:p>
        </w:tc>
        <w:tc>
          <w:tcPr>
            <w:tcW w:w="1200" w:type="dxa"/>
            <w:tcBorders>
              <w:top w:val="nil"/>
              <w:left w:val="nil"/>
              <w:bottom w:val="single" w:sz="4" w:space="0" w:color="auto"/>
              <w:right w:val="nil"/>
            </w:tcBorders>
            <w:shd w:val="clear" w:color="000000" w:fill="FFFFFF"/>
            <w:noWrap/>
            <w:vAlign w:val="bottom"/>
            <w:hideMark/>
          </w:tcPr>
          <w:p w14:paraId="01664BC8"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0,455</w:t>
            </w:r>
          </w:p>
        </w:tc>
        <w:tc>
          <w:tcPr>
            <w:tcW w:w="1200" w:type="dxa"/>
            <w:tcBorders>
              <w:top w:val="nil"/>
              <w:left w:val="nil"/>
              <w:bottom w:val="single" w:sz="4" w:space="0" w:color="auto"/>
              <w:right w:val="nil"/>
            </w:tcBorders>
            <w:shd w:val="clear" w:color="000000" w:fill="FFFFFF"/>
            <w:noWrap/>
            <w:vAlign w:val="bottom"/>
            <w:hideMark/>
          </w:tcPr>
          <w:p w14:paraId="4C75F360"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0,454</w:t>
            </w:r>
          </w:p>
        </w:tc>
        <w:tc>
          <w:tcPr>
            <w:tcW w:w="1200" w:type="dxa"/>
            <w:tcBorders>
              <w:top w:val="nil"/>
              <w:left w:val="nil"/>
              <w:bottom w:val="single" w:sz="4" w:space="0" w:color="auto"/>
              <w:right w:val="nil"/>
            </w:tcBorders>
            <w:shd w:val="clear" w:color="000000" w:fill="FFFFFF"/>
            <w:noWrap/>
            <w:vAlign w:val="bottom"/>
            <w:hideMark/>
          </w:tcPr>
          <w:p w14:paraId="64067ACC"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0,010</w:t>
            </w:r>
          </w:p>
        </w:tc>
      </w:tr>
      <w:tr w:rsidR="004A42A7" w:rsidRPr="007E63FC" w14:paraId="78F79786" w14:textId="77777777" w:rsidTr="00613FDE">
        <w:trPr>
          <w:trHeight w:val="360"/>
          <w:jc w:val="center"/>
        </w:trPr>
        <w:tc>
          <w:tcPr>
            <w:tcW w:w="1200" w:type="dxa"/>
            <w:vMerge w:val="restart"/>
            <w:tcBorders>
              <w:top w:val="nil"/>
              <w:left w:val="nil"/>
              <w:bottom w:val="single" w:sz="4" w:space="0" w:color="000000"/>
              <w:right w:val="nil"/>
            </w:tcBorders>
            <w:shd w:val="clear" w:color="000000" w:fill="FFFFFF"/>
            <w:noWrap/>
            <w:vAlign w:val="center"/>
            <w:hideMark/>
          </w:tcPr>
          <w:p w14:paraId="45B5A5C8"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Okitsu</w:t>
            </w:r>
          </w:p>
        </w:tc>
        <w:tc>
          <w:tcPr>
            <w:tcW w:w="780" w:type="dxa"/>
            <w:tcBorders>
              <w:top w:val="nil"/>
              <w:left w:val="nil"/>
              <w:bottom w:val="nil"/>
              <w:right w:val="nil"/>
            </w:tcBorders>
            <w:shd w:val="clear" w:color="000000" w:fill="FFFFFF"/>
            <w:noWrap/>
            <w:vAlign w:val="center"/>
            <w:hideMark/>
          </w:tcPr>
          <w:p w14:paraId="64A5C751"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BFR</w:t>
            </w:r>
          </w:p>
        </w:tc>
        <w:tc>
          <w:tcPr>
            <w:tcW w:w="1200" w:type="dxa"/>
            <w:tcBorders>
              <w:top w:val="nil"/>
              <w:left w:val="nil"/>
              <w:bottom w:val="nil"/>
              <w:right w:val="nil"/>
            </w:tcBorders>
            <w:shd w:val="clear" w:color="000000" w:fill="FFFFFF"/>
            <w:noWrap/>
            <w:vAlign w:val="bottom"/>
            <w:hideMark/>
          </w:tcPr>
          <w:p w14:paraId="46DC4A36"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0,483</w:t>
            </w:r>
          </w:p>
        </w:tc>
        <w:tc>
          <w:tcPr>
            <w:tcW w:w="1200" w:type="dxa"/>
            <w:tcBorders>
              <w:top w:val="nil"/>
              <w:left w:val="nil"/>
              <w:bottom w:val="nil"/>
              <w:right w:val="nil"/>
            </w:tcBorders>
            <w:shd w:val="clear" w:color="000000" w:fill="FFFFFF"/>
            <w:noWrap/>
            <w:vAlign w:val="bottom"/>
            <w:hideMark/>
          </w:tcPr>
          <w:p w14:paraId="0C17E704"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0,720</w:t>
            </w:r>
          </w:p>
        </w:tc>
        <w:tc>
          <w:tcPr>
            <w:tcW w:w="1200" w:type="dxa"/>
            <w:tcBorders>
              <w:top w:val="nil"/>
              <w:left w:val="nil"/>
              <w:bottom w:val="nil"/>
              <w:right w:val="nil"/>
            </w:tcBorders>
            <w:shd w:val="clear" w:color="000000" w:fill="FFFFFF"/>
            <w:noWrap/>
            <w:vAlign w:val="bottom"/>
            <w:hideMark/>
          </w:tcPr>
          <w:p w14:paraId="0C063F6D"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0,600</w:t>
            </w:r>
          </w:p>
        </w:tc>
        <w:tc>
          <w:tcPr>
            <w:tcW w:w="1200" w:type="dxa"/>
            <w:tcBorders>
              <w:top w:val="nil"/>
              <w:left w:val="nil"/>
              <w:bottom w:val="nil"/>
              <w:right w:val="nil"/>
            </w:tcBorders>
            <w:shd w:val="clear" w:color="000000" w:fill="FFFFFF"/>
            <w:noWrap/>
            <w:vAlign w:val="bottom"/>
            <w:hideMark/>
          </w:tcPr>
          <w:p w14:paraId="66BBEA33"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0,598</w:t>
            </w:r>
          </w:p>
        </w:tc>
        <w:tc>
          <w:tcPr>
            <w:tcW w:w="1200" w:type="dxa"/>
            <w:tcBorders>
              <w:top w:val="nil"/>
              <w:left w:val="nil"/>
              <w:bottom w:val="nil"/>
              <w:right w:val="nil"/>
            </w:tcBorders>
            <w:shd w:val="clear" w:color="000000" w:fill="FFFFFF"/>
            <w:noWrap/>
            <w:vAlign w:val="bottom"/>
            <w:hideMark/>
          </w:tcPr>
          <w:p w14:paraId="521489CE"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0,052</w:t>
            </w:r>
          </w:p>
        </w:tc>
      </w:tr>
      <w:tr w:rsidR="004A42A7" w:rsidRPr="007E63FC" w14:paraId="482636A1" w14:textId="77777777" w:rsidTr="00613FDE">
        <w:trPr>
          <w:trHeight w:val="360"/>
          <w:jc w:val="center"/>
        </w:trPr>
        <w:tc>
          <w:tcPr>
            <w:tcW w:w="1200" w:type="dxa"/>
            <w:vMerge/>
            <w:tcBorders>
              <w:top w:val="nil"/>
              <w:left w:val="nil"/>
              <w:bottom w:val="single" w:sz="4" w:space="0" w:color="000000"/>
              <w:right w:val="nil"/>
            </w:tcBorders>
            <w:vAlign w:val="center"/>
            <w:hideMark/>
          </w:tcPr>
          <w:p w14:paraId="4D7CDAE7" w14:textId="77777777" w:rsidR="004A42A7" w:rsidRPr="007E63FC" w:rsidRDefault="004A42A7" w:rsidP="00613FDE">
            <w:pPr>
              <w:spacing w:after="0" w:line="240" w:lineRule="auto"/>
              <w:jc w:val="left"/>
              <w:rPr>
                <w:rFonts w:eastAsia="Times New Roman" w:cs="Times New Roman"/>
                <w:color w:val="000000"/>
                <w:sz w:val="22"/>
                <w:lang w:eastAsia="fr-FR"/>
              </w:rPr>
            </w:pPr>
          </w:p>
        </w:tc>
        <w:tc>
          <w:tcPr>
            <w:tcW w:w="780" w:type="dxa"/>
            <w:tcBorders>
              <w:top w:val="nil"/>
              <w:left w:val="nil"/>
              <w:bottom w:val="nil"/>
              <w:right w:val="nil"/>
            </w:tcBorders>
            <w:shd w:val="clear" w:color="000000" w:fill="FFFFFF"/>
            <w:noWrap/>
            <w:vAlign w:val="center"/>
            <w:hideMark/>
          </w:tcPr>
          <w:p w14:paraId="49E6A70F"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HR</w:t>
            </w:r>
          </w:p>
        </w:tc>
        <w:tc>
          <w:tcPr>
            <w:tcW w:w="1200" w:type="dxa"/>
            <w:tcBorders>
              <w:top w:val="nil"/>
              <w:left w:val="nil"/>
              <w:bottom w:val="nil"/>
              <w:right w:val="nil"/>
            </w:tcBorders>
            <w:shd w:val="clear" w:color="000000" w:fill="FFFFFF"/>
            <w:noWrap/>
            <w:vAlign w:val="bottom"/>
            <w:hideMark/>
          </w:tcPr>
          <w:p w14:paraId="30A3CDCE"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0,454</w:t>
            </w:r>
          </w:p>
        </w:tc>
        <w:tc>
          <w:tcPr>
            <w:tcW w:w="1200" w:type="dxa"/>
            <w:tcBorders>
              <w:top w:val="nil"/>
              <w:left w:val="nil"/>
              <w:bottom w:val="nil"/>
              <w:right w:val="nil"/>
            </w:tcBorders>
            <w:shd w:val="clear" w:color="000000" w:fill="FFFFFF"/>
            <w:noWrap/>
            <w:vAlign w:val="bottom"/>
            <w:hideMark/>
          </w:tcPr>
          <w:p w14:paraId="171B2C22"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0,656</w:t>
            </w:r>
          </w:p>
        </w:tc>
        <w:tc>
          <w:tcPr>
            <w:tcW w:w="1200" w:type="dxa"/>
            <w:tcBorders>
              <w:top w:val="nil"/>
              <w:left w:val="nil"/>
              <w:bottom w:val="nil"/>
              <w:right w:val="nil"/>
            </w:tcBorders>
            <w:shd w:val="clear" w:color="000000" w:fill="FFFFFF"/>
            <w:noWrap/>
            <w:vAlign w:val="bottom"/>
            <w:hideMark/>
          </w:tcPr>
          <w:p w14:paraId="0878D518"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0,500</w:t>
            </w:r>
          </w:p>
        </w:tc>
        <w:tc>
          <w:tcPr>
            <w:tcW w:w="1200" w:type="dxa"/>
            <w:tcBorders>
              <w:top w:val="nil"/>
              <w:left w:val="nil"/>
              <w:bottom w:val="nil"/>
              <w:right w:val="nil"/>
            </w:tcBorders>
            <w:shd w:val="clear" w:color="000000" w:fill="FFFFFF"/>
            <w:noWrap/>
            <w:vAlign w:val="bottom"/>
            <w:hideMark/>
          </w:tcPr>
          <w:p w14:paraId="1E93AACD"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0,511</w:t>
            </w:r>
          </w:p>
        </w:tc>
        <w:tc>
          <w:tcPr>
            <w:tcW w:w="1200" w:type="dxa"/>
            <w:tcBorders>
              <w:top w:val="nil"/>
              <w:left w:val="nil"/>
              <w:bottom w:val="nil"/>
              <w:right w:val="nil"/>
            </w:tcBorders>
            <w:shd w:val="clear" w:color="000000" w:fill="FFFFFF"/>
            <w:noWrap/>
            <w:vAlign w:val="bottom"/>
            <w:hideMark/>
          </w:tcPr>
          <w:p w14:paraId="220C2CFA"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0,040</w:t>
            </w:r>
          </w:p>
        </w:tc>
      </w:tr>
      <w:tr w:rsidR="004A42A7" w:rsidRPr="007E63FC" w14:paraId="10DF8D8A" w14:textId="77777777" w:rsidTr="00613FDE">
        <w:trPr>
          <w:trHeight w:val="360"/>
          <w:jc w:val="center"/>
        </w:trPr>
        <w:tc>
          <w:tcPr>
            <w:tcW w:w="1200" w:type="dxa"/>
            <w:vMerge/>
            <w:tcBorders>
              <w:top w:val="nil"/>
              <w:left w:val="nil"/>
              <w:bottom w:val="single" w:sz="4" w:space="0" w:color="000000"/>
              <w:right w:val="nil"/>
            </w:tcBorders>
            <w:vAlign w:val="center"/>
            <w:hideMark/>
          </w:tcPr>
          <w:p w14:paraId="7D0AA716" w14:textId="77777777" w:rsidR="004A42A7" w:rsidRPr="007E63FC" w:rsidRDefault="004A42A7" w:rsidP="00613FDE">
            <w:pPr>
              <w:spacing w:after="0" w:line="240" w:lineRule="auto"/>
              <w:jc w:val="left"/>
              <w:rPr>
                <w:rFonts w:eastAsia="Times New Roman" w:cs="Times New Roman"/>
                <w:color w:val="000000"/>
                <w:sz w:val="22"/>
                <w:lang w:eastAsia="fr-FR"/>
              </w:rPr>
            </w:pPr>
          </w:p>
        </w:tc>
        <w:tc>
          <w:tcPr>
            <w:tcW w:w="780" w:type="dxa"/>
            <w:tcBorders>
              <w:top w:val="nil"/>
              <w:left w:val="nil"/>
              <w:bottom w:val="single" w:sz="4" w:space="0" w:color="auto"/>
              <w:right w:val="nil"/>
            </w:tcBorders>
            <w:shd w:val="clear" w:color="000000" w:fill="FFFFFF"/>
            <w:noWrap/>
            <w:vAlign w:val="center"/>
            <w:hideMark/>
          </w:tcPr>
          <w:p w14:paraId="1CB8E6B6"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Ref.</w:t>
            </w:r>
          </w:p>
        </w:tc>
        <w:tc>
          <w:tcPr>
            <w:tcW w:w="1200" w:type="dxa"/>
            <w:tcBorders>
              <w:top w:val="nil"/>
              <w:left w:val="nil"/>
              <w:bottom w:val="single" w:sz="4" w:space="0" w:color="auto"/>
              <w:right w:val="nil"/>
            </w:tcBorders>
            <w:shd w:val="clear" w:color="000000" w:fill="FFFFFF"/>
            <w:noWrap/>
            <w:vAlign w:val="bottom"/>
            <w:hideMark/>
          </w:tcPr>
          <w:p w14:paraId="7C77A75C"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0,459</w:t>
            </w:r>
          </w:p>
        </w:tc>
        <w:tc>
          <w:tcPr>
            <w:tcW w:w="1200" w:type="dxa"/>
            <w:tcBorders>
              <w:top w:val="nil"/>
              <w:left w:val="nil"/>
              <w:bottom w:val="single" w:sz="4" w:space="0" w:color="auto"/>
              <w:right w:val="nil"/>
            </w:tcBorders>
            <w:shd w:val="clear" w:color="000000" w:fill="FFFFFF"/>
            <w:noWrap/>
            <w:vAlign w:val="bottom"/>
            <w:hideMark/>
          </w:tcPr>
          <w:p w14:paraId="155C6D0F"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0,474</w:t>
            </w:r>
          </w:p>
        </w:tc>
        <w:tc>
          <w:tcPr>
            <w:tcW w:w="1200" w:type="dxa"/>
            <w:tcBorders>
              <w:top w:val="nil"/>
              <w:left w:val="nil"/>
              <w:bottom w:val="single" w:sz="4" w:space="0" w:color="auto"/>
              <w:right w:val="nil"/>
            </w:tcBorders>
            <w:shd w:val="clear" w:color="000000" w:fill="FFFFFF"/>
            <w:noWrap/>
            <w:vAlign w:val="bottom"/>
            <w:hideMark/>
          </w:tcPr>
          <w:p w14:paraId="15D09D03"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0,467</w:t>
            </w:r>
          </w:p>
        </w:tc>
        <w:tc>
          <w:tcPr>
            <w:tcW w:w="1200" w:type="dxa"/>
            <w:tcBorders>
              <w:top w:val="nil"/>
              <w:left w:val="nil"/>
              <w:bottom w:val="single" w:sz="4" w:space="0" w:color="auto"/>
              <w:right w:val="nil"/>
            </w:tcBorders>
            <w:shd w:val="clear" w:color="000000" w:fill="FFFFFF"/>
            <w:noWrap/>
            <w:vAlign w:val="bottom"/>
            <w:hideMark/>
          </w:tcPr>
          <w:p w14:paraId="7F243748"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0,468</w:t>
            </w:r>
          </w:p>
        </w:tc>
        <w:tc>
          <w:tcPr>
            <w:tcW w:w="1200" w:type="dxa"/>
            <w:tcBorders>
              <w:top w:val="nil"/>
              <w:left w:val="nil"/>
              <w:bottom w:val="single" w:sz="4" w:space="0" w:color="auto"/>
              <w:right w:val="nil"/>
            </w:tcBorders>
            <w:shd w:val="clear" w:color="000000" w:fill="FFFFFF"/>
            <w:noWrap/>
            <w:vAlign w:val="bottom"/>
            <w:hideMark/>
          </w:tcPr>
          <w:p w14:paraId="2B69B207"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0,004</w:t>
            </w:r>
          </w:p>
        </w:tc>
      </w:tr>
      <w:tr w:rsidR="004A42A7" w:rsidRPr="007E63FC" w14:paraId="6DBE090D" w14:textId="77777777" w:rsidTr="00613FDE">
        <w:trPr>
          <w:trHeight w:val="360"/>
          <w:jc w:val="center"/>
        </w:trPr>
        <w:tc>
          <w:tcPr>
            <w:tcW w:w="1200" w:type="dxa"/>
            <w:vMerge w:val="restart"/>
            <w:tcBorders>
              <w:top w:val="nil"/>
              <w:left w:val="nil"/>
              <w:bottom w:val="single" w:sz="4" w:space="0" w:color="000000"/>
              <w:right w:val="nil"/>
            </w:tcBorders>
            <w:shd w:val="clear" w:color="000000" w:fill="FFFFFF"/>
            <w:noWrap/>
            <w:vAlign w:val="center"/>
            <w:hideMark/>
          </w:tcPr>
          <w:p w14:paraId="6B45962F"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Kodiak</w:t>
            </w:r>
          </w:p>
        </w:tc>
        <w:tc>
          <w:tcPr>
            <w:tcW w:w="780" w:type="dxa"/>
            <w:tcBorders>
              <w:top w:val="nil"/>
              <w:left w:val="nil"/>
              <w:bottom w:val="nil"/>
              <w:right w:val="nil"/>
            </w:tcBorders>
            <w:shd w:val="clear" w:color="000000" w:fill="FFFFFF"/>
            <w:noWrap/>
            <w:vAlign w:val="center"/>
            <w:hideMark/>
          </w:tcPr>
          <w:p w14:paraId="679F8BF9"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BFR</w:t>
            </w:r>
          </w:p>
        </w:tc>
        <w:tc>
          <w:tcPr>
            <w:tcW w:w="1200" w:type="dxa"/>
            <w:tcBorders>
              <w:top w:val="nil"/>
              <w:left w:val="nil"/>
              <w:bottom w:val="nil"/>
              <w:right w:val="nil"/>
            </w:tcBorders>
            <w:shd w:val="clear" w:color="000000" w:fill="FFFFFF"/>
            <w:noWrap/>
            <w:vAlign w:val="bottom"/>
            <w:hideMark/>
          </w:tcPr>
          <w:p w14:paraId="6EC9B5E2"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0,478</w:t>
            </w:r>
          </w:p>
        </w:tc>
        <w:tc>
          <w:tcPr>
            <w:tcW w:w="1200" w:type="dxa"/>
            <w:tcBorders>
              <w:top w:val="nil"/>
              <w:left w:val="nil"/>
              <w:bottom w:val="nil"/>
              <w:right w:val="nil"/>
            </w:tcBorders>
            <w:shd w:val="clear" w:color="000000" w:fill="FFFFFF"/>
            <w:noWrap/>
            <w:vAlign w:val="bottom"/>
            <w:hideMark/>
          </w:tcPr>
          <w:p w14:paraId="4B53848E"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0,549</w:t>
            </w:r>
          </w:p>
        </w:tc>
        <w:tc>
          <w:tcPr>
            <w:tcW w:w="1200" w:type="dxa"/>
            <w:tcBorders>
              <w:top w:val="nil"/>
              <w:left w:val="nil"/>
              <w:bottom w:val="nil"/>
              <w:right w:val="nil"/>
            </w:tcBorders>
            <w:shd w:val="clear" w:color="000000" w:fill="FFFFFF"/>
            <w:noWrap/>
            <w:vAlign w:val="bottom"/>
            <w:hideMark/>
          </w:tcPr>
          <w:p w14:paraId="5E111353"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0,506</w:t>
            </w:r>
          </w:p>
        </w:tc>
        <w:tc>
          <w:tcPr>
            <w:tcW w:w="1200" w:type="dxa"/>
            <w:tcBorders>
              <w:top w:val="nil"/>
              <w:left w:val="nil"/>
              <w:bottom w:val="nil"/>
              <w:right w:val="nil"/>
            </w:tcBorders>
            <w:shd w:val="clear" w:color="000000" w:fill="FFFFFF"/>
            <w:noWrap/>
            <w:vAlign w:val="bottom"/>
            <w:hideMark/>
          </w:tcPr>
          <w:p w14:paraId="501F4BE4"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0,506</w:t>
            </w:r>
          </w:p>
        </w:tc>
        <w:tc>
          <w:tcPr>
            <w:tcW w:w="1200" w:type="dxa"/>
            <w:tcBorders>
              <w:top w:val="nil"/>
              <w:left w:val="nil"/>
              <w:bottom w:val="nil"/>
              <w:right w:val="nil"/>
            </w:tcBorders>
            <w:shd w:val="clear" w:color="000000" w:fill="FFFFFF"/>
            <w:noWrap/>
            <w:vAlign w:val="bottom"/>
            <w:hideMark/>
          </w:tcPr>
          <w:p w14:paraId="5BAF4384"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0,01</w:t>
            </w:r>
            <w:r>
              <w:rPr>
                <w:rFonts w:eastAsia="Times New Roman" w:cs="Times New Roman"/>
                <w:color w:val="000000"/>
                <w:sz w:val="22"/>
                <w:lang w:eastAsia="fr-FR"/>
              </w:rPr>
              <w:t>7</w:t>
            </w:r>
          </w:p>
        </w:tc>
      </w:tr>
      <w:tr w:rsidR="004A42A7" w:rsidRPr="007E63FC" w14:paraId="71D8EE3E" w14:textId="77777777" w:rsidTr="00613FDE">
        <w:trPr>
          <w:trHeight w:val="360"/>
          <w:jc w:val="center"/>
        </w:trPr>
        <w:tc>
          <w:tcPr>
            <w:tcW w:w="1200" w:type="dxa"/>
            <w:vMerge/>
            <w:tcBorders>
              <w:top w:val="nil"/>
              <w:left w:val="nil"/>
              <w:bottom w:val="single" w:sz="12" w:space="0" w:color="auto"/>
              <w:right w:val="nil"/>
            </w:tcBorders>
            <w:vAlign w:val="center"/>
            <w:hideMark/>
          </w:tcPr>
          <w:p w14:paraId="2E6E195B" w14:textId="77777777" w:rsidR="004A42A7" w:rsidRPr="007E63FC" w:rsidRDefault="004A42A7" w:rsidP="00613FDE">
            <w:pPr>
              <w:spacing w:after="0" w:line="240" w:lineRule="auto"/>
              <w:jc w:val="left"/>
              <w:rPr>
                <w:rFonts w:eastAsia="Times New Roman" w:cs="Times New Roman"/>
                <w:color w:val="000000"/>
                <w:sz w:val="22"/>
                <w:lang w:eastAsia="fr-FR"/>
              </w:rPr>
            </w:pPr>
          </w:p>
        </w:tc>
        <w:tc>
          <w:tcPr>
            <w:tcW w:w="780" w:type="dxa"/>
            <w:tcBorders>
              <w:top w:val="nil"/>
              <w:left w:val="nil"/>
              <w:bottom w:val="single" w:sz="12" w:space="0" w:color="auto"/>
              <w:right w:val="nil"/>
            </w:tcBorders>
            <w:shd w:val="clear" w:color="000000" w:fill="FFFFFF"/>
            <w:noWrap/>
            <w:vAlign w:val="center"/>
            <w:hideMark/>
          </w:tcPr>
          <w:p w14:paraId="50CF859C" w14:textId="77777777" w:rsidR="004A42A7" w:rsidRPr="007E63FC" w:rsidRDefault="004A42A7" w:rsidP="00613FDE">
            <w:pPr>
              <w:spacing w:after="0" w:line="240" w:lineRule="auto"/>
              <w:jc w:val="center"/>
              <w:rPr>
                <w:rFonts w:eastAsia="Times New Roman" w:cs="Times New Roman"/>
                <w:color w:val="000000"/>
                <w:sz w:val="22"/>
                <w:lang w:eastAsia="fr-FR"/>
              </w:rPr>
            </w:pPr>
            <w:r w:rsidRPr="007E63FC">
              <w:rPr>
                <w:rFonts w:eastAsia="Times New Roman" w:cs="Times New Roman"/>
                <w:color w:val="000000"/>
                <w:sz w:val="22"/>
                <w:lang w:eastAsia="fr-FR"/>
              </w:rPr>
              <w:t>HR</w:t>
            </w:r>
          </w:p>
        </w:tc>
        <w:tc>
          <w:tcPr>
            <w:tcW w:w="1200" w:type="dxa"/>
            <w:tcBorders>
              <w:top w:val="nil"/>
              <w:left w:val="nil"/>
              <w:bottom w:val="single" w:sz="12" w:space="0" w:color="auto"/>
              <w:right w:val="nil"/>
            </w:tcBorders>
            <w:shd w:val="clear" w:color="000000" w:fill="FFFFFF"/>
            <w:noWrap/>
            <w:vAlign w:val="bottom"/>
            <w:hideMark/>
          </w:tcPr>
          <w:p w14:paraId="44458B70"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0,424</w:t>
            </w:r>
          </w:p>
        </w:tc>
        <w:tc>
          <w:tcPr>
            <w:tcW w:w="1200" w:type="dxa"/>
            <w:tcBorders>
              <w:top w:val="nil"/>
              <w:left w:val="nil"/>
              <w:bottom w:val="single" w:sz="12" w:space="0" w:color="auto"/>
              <w:right w:val="nil"/>
            </w:tcBorders>
            <w:shd w:val="clear" w:color="000000" w:fill="FFFFFF"/>
            <w:noWrap/>
            <w:vAlign w:val="bottom"/>
            <w:hideMark/>
          </w:tcPr>
          <w:p w14:paraId="3B031264"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0,526</w:t>
            </w:r>
          </w:p>
        </w:tc>
        <w:tc>
          <w:tcPr>
            <w:tcW w:w="1200" w:type="dxa"/>
            <w:tcBorders>
              <w:top w:val="nil"/>
              <w:left w:val="nil"/>
              <w:bottom w:val="single" w:sz="12" w:space="0" w:color="auto"/>
              <w:right w:val="nil"/>
            </w:tcBorders>
            <w:shd w:val="clear" w:color="000000" w:fill="FFFFFF"/>
            <w:noWrap/>
            <w:vAlign w:val="bottom"/>
            <w:hideMark/>
          </w:tcPr>
          <w:p w14:paraId="7FE563D6"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0,460</w:t>
            </w:r>
          </w:p>
        </w:tc>
        <w:tc>
          <w:tcPr>
            <w:tcW w:w="1200" w:type="dxa"/>
            <w:tcBorders>
              <w:top w:val="nil"/>
              <w:left w:val="nil"/>
              <w:bottom w:val="single" w:sz="12" w:space="0" w:color="auto"/>
              <w:right w:val="nil"/>
            </w:tcBorders>
            <w:shd w:val="clear" w:color="000000" w:fill="FFFFFF"/>
            <w:noWrap/>
            <w:vAlign w:val="bottom"/>
            <w:hideMark/>
          </w:tcPr>
          <w:p w14:paraId="1E33FCF5" w14:textId="77777777" w:rsidR="004A42A7" w:rsidRPr="007E63FC" w:rsidRDefault="004A42A7" w:rsidP="00613FDE">
            <w:pPr>
              <w:spacing w:after="0" w:line="240" w:lineRule="auto"/>
              <w:jc w:val="right"/>
              <w:rPr>
                <w:rFonts w:eastAsia="Times New Roman" w:cs="Times New Roman"/>
                <w:color w:val="000000"/>
                <w:sz w:val="22"/>
                <w:lang w:eastAsia="fr-FR"/>
              </w:rPr>
            </w:pPr>
            <w:r w:rsidRPr="007E63FC">
              <w:rPr>
                <w:rFonts w:eastAsia="Times New Roman" w:cs="Times New Roman"/>
                <w:color w:val="000000"/>
                <w:sz w:val="22"/>
                <w:lang w:eastAsia="fr-FR"/>
              </w:rPr>
              <w:t>0,462</w:t>
            </w:r>
          </w:p>
        </w:tc>
        <w:tc>
          <w:tcPr>
            <w:tcW w:w="1200" w:type="dxa"/>
            <w:tcBorders>
              <w:top w:val="nil"/>
              <w:left w:val="nil"/>
              <w:bottom w:val="single" w:sz="12" w:space="0" w:color="auto"/>
              <w:right w:val="nil"/>
            </w:tcBorders>
            <w:shd w:val="clear" w:color="000000" w:fill="FFFFFF"/>
            <w:noWrap/>
            <w:vAlign w:val="bottom"/>
            <w:hideMark/>
          </w:tcPr>
          <w:p w14:paraId="4B7C125A" w14:textId="77777777" w:rsidR="004A42A7" w:rsidRPr="007E63FC" w:rsidRDefault="004A42A7" w:rsidP="00613FDE">
            <w:pPr>
              <w:spacing w:after="0" w:line="240" w:lineRule="auto"/>
              <w:jc w:val="right"/>
              <w:rPr>
                <w:rFonts w:eastAsia="Times New Roman" w:cs="Times New Roman"/>
                <w:color w:val="000000"/>
                <w:sz w:val="22"/>
                <w:lang w:eastAsia="fr-FR"/>
              </w:rPr>
            </w:pPr>
            <w:r>
              <w:rPr>
                <w:rFonts w:eastAsia="Times New Roman" w:cs="Times New Roman"/>
                <w:color w:val="000000"/>
                <w:sz w:val="22"/>
                <w:lang w:eastAsia="fr-FR"/>
              </w:rPr>
              <w:t>0,009</w:t>
            </w:r>
          </w:p>
        </w:tc>
      </w:tr>
    </w:tbl>
    <w:p w14:paraId="2A38C1C7" w14:textId="77777777" w:rsidR="004A42A7" w:rsidRDefault="004A42A7" w:rsidP="004A42A7">
      <w:pPr>
        <w:spacing w:line="259" w:lineRule="auto"/>
        <w:jc w:val="left"/>
        <w:rPr>
          <w:noProof/>
          <w:lang w:val="en-US" w:eastAsia="fr-FR"/>
        </w:rPr>
        <w:sectPr w:rsidR="004A42A7" w:rsidSect="00DF5693">
          <w:pgSz w:w="11906" w:h="16838"/>
          <w:pgMar w:top="1417" w:right="1417" w:bottom="1417" w:left="1417" w:header="708" w:footer="708" w:gutter="0"/>
          <w:cols w:space="708"/>
          <w:docGrid w:linePitch="360"/>
        </w:sectPr>
      </w:pPr>
    </w:p>
    <w:p w14:paraId="5E6EAF81" w14:textId="77777777" w:rsidR="004A42A7" w:rsidRDefault="004A42A7" w:rsidP="004A42A7">
      <w:pPr>
        <w:rPr>
          <w:lang w:val="en-US"/>
        </w:rPr>
      </w:pPr>
    </w:p>
    <w:p w14:paraId="574FDB40" w14:textId="77777777" w:rsidR="004A42A7" w:rsidRDefault="004A42A7" w:rsidP="004A42A7">
      <w:pPr>
        <w:rPr>
          <w:lang w:val="en-US"/>
        </w:rPr>
      </w:pPr>
    </w:p>
    <w:p w14:paraId="2D9B1BF7" w14:textId="340D6B13" w:rsidR="004A42A7" w:rsidRPr="00614A91" w:rsidRDefault="004A42A7" w:rsidP="004A42A7">
      <w:pPr>
        <w:rPr>
          <w:rFonts w:ascii="Arial" w:hAnsi="Arial" w:cs="Arial"/>
          <w:b/>
          <w:sz w:val="14"/>
          <w:szCs w:val="14"/>
          <w:lang w:val="en-US"/>
        </w:rPr>
      </w:pPr>
      <w:r w:rsidRPr="00E93C1A">
        <w:rPr>
          <w:noProof/>
          <w:lang w:eastAsia="fr-FR"/>
        </w:rPr>
        <w:drawing>
          <wp:anchor distT="0" distB="0" distL="114300" distR="114300" simplePos="0" relativeHeight="251678720" behindDoc="0" locked="0" layoutInCell="1" allowOverlap="1" wp14:anchorId="585DC799" wp14:editId="20BF0D2E">
            <wp:simplePos x="0" y="0"/>
            <wp:positionH relativeFrom="margin">
              <wp:posOffset>-1270</wp:posOffset>
            </wp:positionH>
            <wp:positionV relativeFrom="paragraph">
              <wp:posOffset>354221</wp:posOffset>
            </wp:positionV>
            <wp:extent cx="8892540" cy="3592195"/>
            <wp:effectExtent l="0" t="0" r="3810" b="825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2540" cy="3592195"/>
                    </a:xfrm>
                    <a:prstGeom prst="rect">
                      <a:avLst/>
                    </a:prstGeom>
                    <a:noFill/>
                    <a:ln>
                      <a:noFill/>
                    </a:ln>
                  </pic:spPr>
                </pic:pic>
              </a:graphicData>
            </a:graphic>
          </wp:anchor>
        </w:drawing>
      </w:r>
      <w:r w:rsidR="002E6DC9">
        <w:rPr>
          <w:rFonts w:ascii="Arial" w:hAnsi="Arial" w:cs="Arial"/>
          <w:b/>
          <w:sz w:val="14"/>
          <w:szCs w:val="14"/>
          <w:lang w:val="en-US"/>
        </w:rPr>
        <w:t>Supplementary</w:t>
      </w:r>
      <w:r w:rsidRPr="00614A91">
        <w:rPr>
          <w:rFonts w:ascii="Arial" w:hAnsi="Arial" w:cs="Arial"/>
          <w:b/>
          <w:sz w:val="14"/>
          <w:szCs w:val="14"/>
          <w:lang w:val="en-US"/>
        </w:rPr>
        <w:t xml:space="preserve"> Table 3 </w:t>
      </w:r>
      <w:r w:rsidRPr="007E184F">
        <w:rPr>
          <w:rFonts w:ascii="Arial" w:hAnsi="Arial" w:cs="Arial"/>
          <w:b/>
          <w:bCs/>
          <w:sz w:val="14"/>
          <w:szCs w:val="14"/>
          <w:lang w:val="en-GB"/>
        </w:rPr>
        <w:t>|</w:t>
      </w:r>
      <w:r w:rsidRPr="00614A91">
        <w:rPr>
          <w:rFonts w:ascii="Arial" w:hAnsi="Arial" w:cs="Arial"/>
          <w:b/>
          <w:sz w:val="14"/>
          <w:szCs w:val="14"/>
          <w:lang w:val="en-US"/>
        </w:rPr>
        <w:t xml:space="preserve"> Location information, textures and micro-textures observations of the three Black Fault Rocks analyzed in this study.</w:t>
      </w:r>
    </w:p>
    <w:p w14:paraId="6D6F1891" w14:textId="77777777" w:rsidR="004A42A7" w:rsidRDefault="004A42A7">
      <w:pPr>
        <w:spacing w:line="259" w:lineRule="auto"/>
        <w:jc w:val="left"/>
        <w:rPr>
          <w:lang w:val="en-US"/>
        </w:rPr>
      </w:pPr>
    </w:p>
    <w:p w14:paraId="20CEFBFB" w14:textId="77777777" w:rsidR="004A42A7" w:rsidRDefault="004A42A7">
      <w:pPr>
        <w:spacing w:line="259" w:lineRule="auto"/>
        <w:jc w:val="left"/>
        <w:rPr>
          <w:lang w:val="en-US"/>
        </w:rPr>
      </w:pPr>
    </w:p>
    <w:p w14:paraId="540C2E52" w14:textId="77777777" w:rsidR="004A42A7" w:rsidRDefault="004A42A7">
      <w:pPr>
        <w:spacing w:line="259" w:lineRule="auto"/>
        <w:jc w:val="left"/>
        <w:rPr>
          <w:lang w:val="en-US"/>
        </w:rPr>
        <w:sectPr w:rsidR="004A42A7" w:rsidSect="004A42A7">
          <w:pgSz w:w="16838" w:h="11906" w:orient="landscape"/>
          <w:pgMar w:top="1417" w:right="1417" w:bottom="1417" w:left="1417" w:header="708" w:footer="708" w:gutter="0"/>
          <w:lnNumType w:countBy="1" w:restart="continuous"/>
          <w:cols w:space="708"/>
          <w:docGrid w:linePitch="360"/>
        </w:sectPr>
      </w:pPr>
    </w:p>
    <w:p w14:paraId="2E4ADEE5" w14:textId="56EA2DE6" w:rsidR="00A31CC2" w:rsidRDefault="00151F14" w:rsidP="00C52594">
      <w:pPr>
        <w:rPr>
          <w:lang w:val="en-US"/>
        </w:rPr>
      </w:pPr>
      <w:r>
        <w:rPr>
          <w:lang w:val="en-US"/>
        </w:rPr>
        <w:lastRenderedPageBreak/>
        <w:t>Supplementary Note</w:t>
      </w:r>
      <w:r w:rsidR="00B63041">
        <w:rPr>
          <w:lang w:val="en-US"/>
        </w:rPr>
        <w:t xml:space="preserve"> 1 </w:t>
      </w:r>
    </w:p>
    <w:p w14:paraId="0E016D50" w14:textId="7ED0ADC8" w:rsidR="00404BA8" w:rsidRPr="00D31130" w:rsidRDefault="00404BA8" w:rsidP="00C52594">
      <w:pPr>
        <w:rPr>
          <w:b/>
          <w:szCs w:val="24"/>
          <w:lang w:val="en-US"/>
        </w:rPr>
      </w:pPr>
      <w:r w:rsidRPr="00D31130">
        <w:rPr>
          <w:b/>
          <w:szCs w:val="24"/>
          <w:lang w:val="en-US"/>
        </w:rPr>
        <w:t>Assumptions of the thermal model</w:t>
      </w:r>
    </w:p>
    <w:p w14:paraId="2069F3C5" w14:textId="547453FE" w:rsidR="005311AC" w:rsidRDefault="005311AC" w:rsidP="00C52594">
      <w:pPr>
        <w:rPr>
          <w:lang w:val="en-US"/>
        </w:rPr>
      </w:pPr>
      <w:r>
        <w:rPr>
          <w:lang w:val="en-US"/>
        </w:rPr>
        <w:t>The largest uncertainties in the thermal model lies in the heat production related to mechanical work, which constitutes a large frac</w:t>
      </w:r>
      <w:r w:rsidR="00CC27F5">
        <w:rPr>
          <w:lang w:val="en-US"/>
        </w:rPr>
        <w:t>tion of the total faulting work</w:t>
      </w:r>
      <w:r>
        <w:rPr>
          <w:lang w:val="en-US"/>
        </w:rPr>
        <w:fldChar w:fldCharType="begin"/>
      </w:r>
      <w:r w:rsidR="00BD095E">
        <w:rPr>
          <w:lang w:val="en-US"/>
        </w:rPr>
        <w:instrText xml:space="preserve"> ADDIN ZOTERO_ITEM CSL_CITATION {"citationID":"JB1q6qGu","properties":{"formattedCitation":"\\super 1\\nosupersub{}","plainCitation":"1","noteIndex":0},"citationItems":[{"id":402,"uris":["http://zotero.org/users/5712877/items/B8SSYN44"],"uri":["http://zotero.org/users/5712877/items/B8SSYN44"],"itemData":{"id":402,"type":"book","title":"The Mechanics of Earthquakes and Faulting","publisher":"Cambridge University Press","number-of-pages":"439","edition":"1st edition","URL":"doi:10.1017/CBO9780511818516","author":[{"family":"Scholz","given":"Christopher"}],"issued":{"date-parts":[["1990"]]}}}],"schema":"https://github.com/citation-style-language/schema/raw/master/csl-citation.json"} </w:instrText>
      </w:r>
      <w:r>
        <w:rPr>
          <w:lang w:val="en-US"/>
        </w:rPr>
        <w:fldChar w:fldCharType="separate"/>
      </w:r>
      <w:r w:rsidR="00BD095E" w:rsidRPr="00BD095E">
        <w:rPr>
          <w:rFonts w:cs="Times New Roman"/>
          <w:szCs w:val="24"/>
          <w:vertAlign w:val="superscript"/>
          <w:lang w:val="en-US"/>
        </w:rPr>
        <w:t>1</w:t>
      </w:r>
      <w:r>
        <w:rPr>
          <w:lang w:val="en-US"/>
        </w:rPr>
        <w:fldChar w:fldCharType="end"/>
      </w:r>
      <w:r>
        <w:rPr>
          <w:lang w:val="en-US"/>
        </w:rPr>
        <w:t>.</w:t>
      </w:r>
    </w:p>
    <w:p w14:paraId="2A1277CE" w14:textId="72FD18C6" w:rsidR="005311AC" w:rsidRDefault="005311AC" w:rsidP="00C52594">
      <w:pPr>
        <w:rPr>
          <w:lang w:val="en-US"/>
        </w:rPr>
      </w:pPr>
      <w:r>
        <w:rPr>
          <w:lang w:val="en-US"/>
        </w:rPr>
        <w:t xml:space="preserve">Heat production might in some cases be so large as to melt the slipping fault and form pseudotachylytes, as </w:t>
      </w:r>
      <w:r w:rsidR="00D52D36">
        <w:rPr>
          <w:lang w:val="en-US"/>
        </w:rPr>
        <w:t>summarized in Di</w:t>
      </w:r>
      <w:r w:rsidR="00EE7461">
        <w:rPr>
          <w:lang w:val="en-US"/>
        </w:rPr>
        <w:t xml:space="preserve"> </w:t>
      </w:r>
      <w:r w:rsidR="00D52D36">
        <w:rPr>
          <w:lang w:val="en-US"/>
        </w:rPr>
        <w:t>Toro et al. (2009)</w:t>
      </w:r>
      <w:r w:rsidR="003F1EC7">
        <w:rPr>
          <w:lang w:val="en-US"/>
        </w:rPr>
        <w:fldChar w:fldCharType="begin"/>
      </w:r>
      <w:r w:rsidR="00BD095E">
        <w:rPr>
          <w:lang w:val="en-US"/>
        </w:rPr>
        <w:instrText xml:space="preserve"> ADDIN ZOTERO_ITEM CSL_CITATION {"citationID":"mU77csDR","properties":{"formattedCitation":"\\super 2\\nosupersub{}","plainCitation":"2","noteIndex":0},"citationItems":[{"id":418,"uris":["http://zotero.org/users/5712877/items/A78JHKYJ"],"uri":["http://zotero.org/users/5712877/items/A78JHKYJ"],"itemData":{"id":418,"type":"chapter","title":"Pseudotachylytes and Earthquake Source Mechanics","container-title":"Fault-Zone Properties and Earthquake Rupture Dynamics","publisher":"Fukuyama, E.","page":"88-133","author":[{"family":"Di Toro","given":"G."},{"family":"Pennacchioni","given":"Giorgio"}],"issued":{"date-parts":[["2009"]]}}}],"schema":"https://github.com/citation-style-language/schema/raw/master/csl-citation.json"} </w:instrText>
      </w:r>
      <w:r w:rsidR="003F1EC7">
        <w:rPr>
          <w:lang w:val="en-US"/>
        </w:rPr>
        <w:fldChar w:fldCharType="separate"/>
      </w:r>
      <w:r w:rsidR="00BD095E" w:rsidRPr="00BD095E">
        <w:rPr>
          <w:rFonts w:cs="Times New Roman"/>
          <w:szCs w:val="24"/>
          <w:vertAlign w:val="superscript"/>
          <w:lang w:val="en-US"/>
        </w:rPr>
        <w:t>2</w:t>
      </w:r>
      <w:r w:rsidR="003F1EC7">
        <w:rPr>
          <w:lang w:val="en-US"/>
        </w:rPr>
        <w:fldChar w:fldCharType="end"/>
      </w:r>
      <w:r w:rsidR="00D52D36">
        <w:rPr>
          <w:lang w:val="en-US"/>
        </w:rPr>
        <w:t xml:space="preserve">. </w:t>
      </w:r>
      <w:r>
        <w:rPr>
          <w:lang w:val="en-US"/>
        </w:rPr>
        <w:t xml:space="preserve">The result of melting (as well as other processes accompanying slip) is to lubricate the fault zone and to reduce </w:t>
      </w:r>
      <w:r w:rsidR="008D0AAC">
        <w:rPr>
          <w:lang w:val="en-US"/>
        </w:rPr>
        <w:t xml:space="preserve">sharply </w:t>
      </w:r>
      <w:r w:rsidR="00D52D36">
        <w:rPr>
          <w:lang w:val="en-US"/>
        </w:rPr>
        <w:t xml:space="preserve">the </w:t>
      </w:r>
      <w:r>
        <w:rPr>
          <w:lang w:val="en-US"/>
        </w:rPr>
        <w:t>shear stress on the fault plane</w:t>
      </w:r>
      <w:r w:rsidR="003C3F55">
        <w:rPr>
          <w:lang w:val="en-US"/>
        </w:rPr>
        <w:fldChar w:fldCharType="begin"/>
      </w:r>
      <w:r w:rsidR="00BD095E">
        <w:rPr>
          <w:lang w:val="en-US"/>
        </w:rPr>
        <w:instrText xml:space="preserve"> ADDIN ZOTERO_ITEM CSL_CITATION {"citationID":"etu2UYFi","properties":{"formattedCitation":"\\super 3,4\\nosupersub{}","plainCitation":"3,4","noteIndex":0},"citationItems":[{"id":420,"uris":["http://zotero.org/users/5712877/items/BBUHAZWG"],"uri":["http://zotero.org/users/5712877/items/BBUHAZWG"],"itemData":{"id":420,"type":"article-journal","title":"Friction falls towards zero in quartz rock as slip velocity approaches seismic rates","container-title":"Nature","page":"436-439","volume":"427","issue":"6973","source":"Crossref","DOI":"10.1038/nature02249","ISSN":"0028-0836, 1476-4687","language":"en","author":[{"family":"Di Toro","given":"Giulio"},{"family":"Goldsby","given":"David L."},{"family":"Tullis","given":"Terry E."}],"issued":{"date-parts":[["2004",1]]}}},{"id":417,"uris":["http://zotero.org/users/5712877/items/ZRKJHNAK"],"uri":["http://zotero.org/users/5712877/items/ZRKJHNAK"],"itemData":{"id":417,"type":"article-journal","title":"Fault lubrication during earthquakes","container-title":"Nature","page":"494-498","volume":"471","issue":"7339","source":"Crossref","DOI":"10.1038/nature09838","ISSN":"0028-0836, 1476-4687","language":"en","author":[{"family":"Di Toro","given":"G."},{"family":"Han","given":"R."},{"family":"Hirose","given":"T."},{"family":"De Paola","given":"N."},{"family":"Nielsen","given":"S."},{"family":"Mizoguchi","given":"K."},{"family":"Ferri","given":"F."},{"family":"Cocco","given":"M."},{"family":"Shimamoto","given":"T."}],"issued":{"date-parts":[["2011",3]]}}}],"schema":"https://github.com/citation-style-language/schema/raw/master/csl-citation.json"} </w:instrText>
      </w:r>
      <w:r w:rsidR="003C3F55">
        <w:rPr>
          <w:lang w:val="en-US"/>
        </w:rPr>
        <w:fldChar w:fldCharType="separate"/>
      </w:r>
      <w:r w:rsidR="00BD095E" w:rsidRPr="00BD095E">
        <w:rPr>
          <w:rFonts w:cs="Times New Roman"/>
          <w:szCs w:val="24"/>
          <w:vertAlign w:val="superscript"/>
          <w:lang w:val="en-US"/>
        </w:rPr>
        <w:t>3,4</w:t>
      </w:r>
      <w:r w:rsidR="003C3F55">
        <w:rPr>
          <w:lang w:val="en-US"/>
        </w:rPr>
        <w:fldChar w:fldCharType="end"/>
      </w:r>
      <w:r w:rsidR="00D52D36">
        <w:rPr>
          <w:lang w:val="en-US"/>
        </w:rPr>
        <w:t xml:space="preserve">. </w:t>
      </w:r>
      <w:r>
        <w:rPr>
          <w:lang w:val="en-US"/>
        </w:rPr>
        <w:t>After melting,</w:t>
      </w:r>
      <w:r w:rsidR="00110730">
        <w:rPr>
          <w:lang w:val="en-US"/>
        </w:rPr>
        <w:t xml:space="preserve"> </w:t>
      </w:r>
      <w:r w:rsidR="00890154">
        <w:rPr>
          <w:lang w:val="en-US"/>
        </w:rPr>
        <w:t xml:space="preserve">heat production </w:t>
      </w:r>
      <w:r>
        <w:rPr>
          <w:lang w:val="en-US"/>
        </w:rPr>
        <w:t xml:space="preserve">still persists and </w:t>
      </w:r>
      <w:r w:rsidR="008A266C">
        <w:rPr>
          <w:lang w:val="en-US"/>
        </w:rPr>
        <w:t>is the result of viscous shear-heating</w:t>
      </w:r>
      <w:r>
        <w:rPr>
          <w:lang w:val="en-US"/>
        </w:rPr>
        <w:t xml:space="preserve"> concomitant with slip</w:t>
      </w:r>
      <w:r w:rsidR="00890154">
        <w:rPr>
          <w:lang w:val="en-US"/>
        </w:rPr>
        <w:t>.</w:t>
      </w:r>
    </w:p>
    <w:p w14:paraId="6796C957" w14:textId="6A8BA5A5" w:rsidR="005311AC" w:rsidRDefault="004D2D37" w:rsidP="00C52594">
      <w:pPr>
        <w:rPr>
          <w:lang w:val="en-US"/>
        </w:rPr>
      </w:pPr>
      <w:r>
        <w:rPr>
          <w:lang w:val="en-US"/>
        </w:rPr>
        <w:t xml:space="preserve">Our model aims at assessing the effect of frictional melting on the carbonization of fault rocks. A quantitative modelling would require the precise knowledge of the heat production in space and time, incorporating the effect of frictional slip, melting </w:t>
      </w:r>
      <w:r w:rsidR="00404BA8">
        <w:rPr>
          <w:lang w:val="en-US"/>
        </w:rPr>
        <w:t xml:space="preserve">(and associated </w:t>
      </w:r>
      <w:r>
        <w:rPr>
          <w:lang w:val="en-US"/>
        </w:rPr>
        <w:t>shear stress decrease</w:t>
      </w:r>
      <w:r w:rsidR="00404BA8">
        <w:rPr>
          <w:lang w:val="en-US"/>
        </w:rPr>
        <w:t>) and</w:t>
      </w:r>
      <w:r>
        <w:rPr>
          <w:lang w:val="en-US"/>
        </w:rPr>
        <w:t xml:space="preserve"> viscous shear. These processes and their coupling are not quantitatively constrained. Consequently, our model is based on a simplified scenario of melting, aiming at orders of magnitudes rather than accurate estimates of the variables at stake. We have decomposed the fault zone evolution into two stages: 1) The slip and heat production until the onset of melting in the fault core and 2) the slip and heat production </w:t>
      </w:r>
      <w:r w:rsidR="00A64823">
        <w:rPr>
          <w:lang w:val="en-US"/>
        </w:rPr>
        <w:t>after melting, when a layer of melt with a thickness equal to the thickness of the Black Fault Rock, is sheared between two solid blocks of rock.</w:t>
      </w:r>
      <w:r>
        <w:rPr>
          <w:lang w:val="en-US"/>
        </w:rPr>
        <w:t xml:space="preserve"> </w:t>
      </w:r>
      <w:r w:rsidR="00A64823">
        <w:rPr>
          <w:lang w:val="en-US"/>
        </w:rPr>
        <w:t>In this second stage, we consider independently the effects of heat diffusion from a molten layer and the viscous heat production, as the molten layer is being sheared.</w:t>
      </w:r>
      <w:r>
        <w:rPr>
          <w:lang w:val="en-US"/>
        </w:rPr>
        <w:t xml:space="preserve">  </w:t>
      </w:r>
    </w:p>
    <w:p w14:paraId="20832649" w14:textId="60D2471A" w:rsidR="000211F7" w:rsidRPr="000A2426" w:rsidRDefault="000211F7" w:rsidP="000A2426">
      <w:pPr>
        <w:pStyle w:val="Paragraphedeliste"/>
        <w:numPr>
          <w:ilvl w:val="1"/>
          <w:numId w:val="9"/>
        </w:numPr>
        <w:rPr>
          <w:lang w:val="en-US"/>
        </w:rPr>
      </w:pPr>
      <w:r w:rsidRPr="000A2426">
        <w:rPr>
          <w:lang w:val="en-US"/>
        </w:rPr>
        <w:t>Evolution of the system until melting</w:t>
      </w:r>
    </w:p>
    <w:p w14:paraId="20F7076A" w14:textId="103B3127" w:rsidR="00661762" w:rsidRDefault="00A64823" w:rsidP="00C52594">
      <w:pPr>
        <w:rPr>
          <w:lang w:val="en-US"/>
        </w:rPr>
      </w:pPr>
      <w:r>
        <w:rPr>
          <w:lang w:val="en-US"/>
        </w:rPr>
        <w:t>We consider here</w:t>
      </w:r>
      <w:r w:rsidR="00661762">
        <w:rPr>
          <w:lang w:val="en-US"/>
        </w:rPr>
        <w:t xml:space="preserve"> the effects of the frictional </w:t>
      </w:r>
      <w:r>
        <w:rPr>
          <w:lang w:val="en-US"/>
        </w:rPr>
        <w:t xml:space="preserve">heat production </w:t>
      </w:r>
      <w:r w:rsidR="00661762">
        <w:rPr>
          <w:lang w:val="en-US"/>
        </w:rPr>
        <w:t>that occur</w:t>
      </w:r>
      <w:r w:rsidR="008A266C">
        <w:rPr>
          <w:lang w:val="en-US"/>
        </w:rPr>
        <w:t>s</w:t>
      </w:r>
      <w:r w:rsidR="00661762">
        <w:rPr>
          <w:lang w:val="en-US"/>
        </w:rPr>
        <w:t xml:space="preserve"> until </w:t>
      </w:r>
      <w:r>
        <w:rPr>
          <w:lang w:val="en-US"/>
        </w:rPr>
        <w:t>melting</w:t>
      </w:r>
      <w:r w:rsidR="00661762">
        <w:rPr>
          <w:lang w:val="en-US"/>
        </w:rPr>
        <w:t xml:space="preserve">. </w:t>
      </w:r>
      <w:r w:rsidR="00FB172E">
        <w:rPr>
          <w:lang w:val="en-US"/>
        </w:rPr>
        <w:t xml:space="preserve">The heat production is restricted to the layer that eventually melts (i.e. with the same thickness as the </w:t>
      </w:r>
      <w:r w:rsidR="00FB172E">
        <w:rPr>
          <w:lang w:val="en-US"/>
        </w:rPr>
        <w:lastRenderedPageBreak/>
        <w:t>Black Fault Rock)</w:t>
      </w:r>
      <w:r w:rsidR="00661762">
        <w:rPr>
          <w:lang w:val="en-US"/>
        </w:rPr>
        <w:t xml:space="preserve">. The amount of </w:t>
      </w:r>
      <w:r w:rsidR="007572E5">
        <w:rPr>
          <w:lang w:val="en-US"/>
        </w:rPr>
        <w:t xml:space="preserve">volumetric </w:t>
      </w:r>
      <w:r w:rsidR="00661762">
        <w:rPr>
          <w:lang w:val="en-US"/>
        </w:rPr>
        <w:t xml:space="preserve">energy generated by the </w:t>
      </w:r>
      <w:r>
        <w:rPr>
          <w:lang w:val="en-US"/>
        </w:rPr>
        <w:t xml:space="preserve">frictional </w:t>
      </w:r>
      <w:r w:rsidR="00FB172E">
        <w:rPr>
          <w:lang w:val="en-US"/>
        </w:rPr>
        <w:t>slip is</w:t>
      </w:r>
      <w:r w:rsidR="00661762">
        <w:rPr>
          <w:lang w:val="en-US"/>
        </w:rPr>
        <w:t xml:space="preserve"> estimated as: </w:t>
      </w:r>
    </w:p>
    <w:p w14:paraId="3FE431EB" w14:textId="1606EBAF" w:rsidR="00661762" w:rsidRPr="00661762" w:rsidRDefault="00450B58" w:rsidP="00C52594">
      <w:pPr>
        <w:rPr>
          <w:rFonts w:eastAsiaTheme="minorEastAsia"/>
          <w:lang w:val="en-US"/>
        </w:rPr>
      </w:pPr>
      <m:oMathPara>
        <m:oMath>
          <m:eqArr>
            <m:eqArrPr>
              <m:maxDist m:val="1"/>
              <m:ctrlPr>
                <w:rPr>
                  <w:rFonts w:ascii="Cambria Math" w:hAnsi="Cambria Math"/>
                  <w:i/>
                  <w:lang w:val="en-US"/>
                </w:rPr>
              </m:ctrlPr>
            </m:eqArrPr>
            <m:e>
              <m:acc>
                <m:accPr>
                  <m:chr m:val="̇"/>
                  <m:ctrlPr>
                    <w:rPr>
                      <w:rFonts w:ascii="Cambria Math" w:hAnsi="Cambria Math"/>
                      <w:i/>
                      <w:lang w:val="en-US"/>
                    </w:rPr>
                  </m:ctrlPr>
                </m:accPr>
                <m:e>
                  <m:r>
                    <w:rPr>
                      <w:rFonts w:ascii="Cambria Math" w:hAnsi="Cambria Math"/>
                      <w:lang w:val="en-US"/>
                    </w:rPr>
                    <m:t>E</m:t>
                  </m:r>
                </m:e>
              </m:acc>
              <m:r>
                <w:rPr>
                  <w:rFonts w:ascii="Cambria Math" w:hAnsi="Cambria Math"/>
                  <w:lang w:val="en-US"/>
                </w:rPr>
                <m:t>= τ .</m:t>
              </m:r>
              <m:acc>
                <m:accPr>
                  <m:chr m:val="̇"/>
                  <m:ctrlPr>
                    <w:rPr>
                      <w:rFonts w:ascii="Cambria Math" w:eastAsiaTheme="minorEastAsia" w:hAnsi="Cambria Math"/>
                      <w:i/>
                      <w:lang w:val="en-US"/>
                    </w:rPr>
                  </m:ctrlPr>
                </m:accPr>
                <m:e>
                  <m:r>
                    <w:rPr>
                      <w:rFonts w:ascii="Cambria Math" w:eastAsiaTheme="minorEastAsia" w:hAnsi="Cambria Math"/>
                      <w:lang w:val="en-US"/>
                    </w:rPr>
                    <m:t>ε</m:t>
                  </m:r>
                </m:e>
              </m:acc>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1</m:t>
                  </m:r>
                </m:e>
              </m:d>
            </m:e>
          </m:eqArr>
        </m:oMath>
      </m:oMathPara>
    </w:p>
    <w:p w14:paraId="0C037D4A" w14:textId="012D67CB" w:rsidR="000211F7" w:rsidRDefault="00FD06E0" w:rsidP="00C52594">
      <w:pPr>
        <w:rPr>
          <w:rFonts w:eastAsiaTheme="minorEastAsia"/>
          <w:lang w:val="en-US"/>
        </w:rPr>
      </w:pPr>
      <w:r>
        <w:rPr>
          <w:rFonts w:eastAsiaTheme="minorEastAsia"/>
          <w:lang w:val="en-US"/>
        </w:rPr>
        <w:t>Where</w:t>
      </w:r>
      <w:r w:rsidR="00661762">
        <w:rPr>
          <w:rFonts w:eastAsiaTheme="minorEastAsia"/>
          <w:lang w:val="en-US"/>
        </w:rPr>
        <w:t xml:space="preserve">, </w:t>
      </w:r>
      <m:oMath>
        <m:r>
          <w:rPr>
            <w:rFonts w:ascii="Cambria Math" w:hAnsi="Cambria Math"/>
            <w:lang w:val="en-US"/>
          </w:rPr>
          <m:t>τ</m:t>
        </m:r>
      </m:oMath>
      <w:r w:rsidR="00661762">
        <w:rPr>
          <w:rFonts w:eastAsiaTheme="minorEastAsia"/>
          <w:lang w:val="en-US"/>
        </w:rPr>
        <w:t xml:space="preserve"> </w:t>
      </w:r>
      <w:r>
        <w:rPr>
          <w:rFonts w:eastAsiaTheme="minorEastAsia"/>
          <w:lang w:val="en-US"/>
        </w:rPr>
        <w:t xml:space="preserve">is </w:t>
      </w:r>
      <w:r w:rsidR="00661762">
        <w:rPr>
          <w:rFonts w:eastAsiaTheme="minorEastAsia"/>
          <w:lang w:val="en-US"/>
        </w:rPr>
        <w:t>the shear</w:t>
      </w:r>
      <w:r w:rsidR="00554C20">
        <w:rPr>
          <w:rFonts w:eastAsiaTheme="minorEastAsia"/>
          <w:lang w:val="en-US"/>
        </w:rPr>
        <w:t xml:space="preserve"> </w:t>
      </w:r>
      <w:r w:rsidR="00661762">
        <w:rPr>
          <w:rFonts w:eastAsiaTheme="minorEastAsia"/>
          <w:lang w:val="en-US"/>
        </w:rPr>
        <w:t>and</w:t>
      </w:r>
      <w:r>
        <w:rPr>
          <w:rFonts w:eastAsiaTheme="minorEastAsia"/>
          <w:lang w:val="en-US"/>
        </w:rPr>
        <w:t xml:space="preserve"> </w:t>
      </w:r>
      <m:oMath>
        <m:acc>
          <m:accPr>
            <m:chr m:val="̇"/>
            <m:ctrlPr>
              <w:rPr>
                <w:rFonts w:ascii="Cambria Math" w:eastAsiaTheme="minorEastAsia" w:hAnsi="Cambria Math"/>
                <w:i/>
                <w:lang w:val="en-US"/>
              </w:rPr>
            </m:ctrlPr>
          </m:accPr>
          <m:e>
            <m:r>
              <w:rPr>
                <w:rFonts w:ascii="Cambria Math" w:eastAsiaTheme="minorEastAsia" w:hAnsi="Cambria Math"/>
                <w:lang w:val="en-US"/>
              </w:rPr>
              <m:t>ε</m:t>
            </m:r>
          </m:e>
        </m:acc>
      </m:oMath>
      <w:r w:rsidR="00554C20">
        <w:rPr>
          <w:rFonts w:eastAsiaTheme="minorEastAsia"/>
          <w:lang w:val="en-US"/>
        </w:rPr>
        <w:t xml:space="preserve"> </w:t>
      </w:r>
      <w:r w:rsidR="00661762">
        <w:rPr>
          <w:rFonts w:eastAsiaTheme="minorEastAsia"/>
          <w:lang w:val="en-US"/>
        </w:rPr>
        <w:t>the slip rate di</w:t>
      </w:r>
      <w:r w:rsidR="008A266C">
        <w:rPr>
          <w:rFonts w:eastAsiaTheme="minorEastAsia"/>
          <w:lang w:val="en-US"/>
        </w:rPr>
        <w:t>vided by the size of the sheared</w:t>
      </w:r>
      <w:r w:rsidR="00661762">
        <w:rPr>
          <w:rFonts w:eastAsiaTheme="minorEastAsia"/>
          <w:lang w:val="en-US"/>
        </w:rPr>
        <w:t xml:space="preserve"> layer. </w:t>
      </w:r>
      <w:r w:rsidR="00A854E6">
        <w:rPr>
          <w:rFonts w:eastAsiaTheme="minorEastAsia"/>
          <w:lang w:val="en-US"/>
        </w:rPr>
        <w:t>The shear stress is estimated from few MPa</w:t>
      </w:r>
      <w:r w:rsidR="00EF2199">
        <w:rPr>
          <w:rFonts w:eastAsiaTheme="minorEastAsia"/>
          <w:lang w:val="en-US"/>
        </w:rPr>
        <w:fldChar w:fldCharType="begin"/>
      </w:r>
      <w:r w:rsidR="00BD095E">
        <w:rPr>
          <w:rFonts w:eastAsiaTheme="minorEastAsia"/>
          <w:lang w:val="en-US"/>
        </w:rPr>
        <w:instrText xml:space="preserve"> ADDIN ZOTERO_ITEM CSL_CITATION {"citationID":"ekvpTWvC","properties":{"formattedCitation":"\\super 5,6\\nosupersub{}","plainCitation":"5,6","noteIndex":0},"citationItems":[{"id":467,"uris":["http://zotero.org/users/5712877/items/QRHAK2KP"],"uri":["http://zotero.org/users/5712877/items/QRHAK2KP"],"itemData":{"id":467,"type":"article-journal","title":"Stress State in the Largest Displacement Area of the 2011 Tohoku-Oki Earthquake","container-title":"Science","page":"687-690","volume":"339","issue":"6120","source":"Crossref","DOI":"10.1126/science.1229379","ISSN":"0036-8075, 1095-9203","language":"en","author":[{"family":"Lin","given":"W."},{"family":"Conin","given":"M."},{"family":"Moore","given":"J. C."},{"family":"Chester","given":"F. M."},{"family":"Nakamura","given":"Y."},{"family":"Mori","given":"J. J."},{"family":"Anderson","given":"L."},{"family":"Brodsky","given":"E. E."},{"family":"Eguchi","given":"N."},{"literal":"Expedition 343 Scientists"},{"family":"Cook","given":"B."},{"family":"Jeppson","given":"T."},{"family":"Wolfson-Schwehr","given":"M."},{"family":"Sanada","given":"Y."},{"family":"Saito","given":"S."},{"family":"Kido","given":"Y."},{"family":"Hirose","given":"T."},{"family":"Behrmann","given":"J. H."},{"family":"Ikari","given":"M."},{"family":"Ujiie","given":"K."},{"family":"Rowe","given":"C."},{"family":"Kirkpatrick","given":"J."},{"family":"Bose","given":"S."},{"family":"Regalla","given":"C."},{"family":"Remitti","given":"F."},{"family":"Toy","given":"V."},{"family":"Fulton","given":"P."},{"family":"Mishima","given":"T."},{"family":"Yang","given":"T."},{"family":"Sun","given":"T."},{"family":"Ishikawa","given":"T."},{"family":"Sample","given":"J."},{"family":"Takai","given":"K."},{"family":"Kameda","given":"J."},{"family":"Toczko","given":"S."},{"family":"Maeda","given":"L."},{"family":"Kodaira","given":"S."},{"family":"Hino","given":"R."},{"family":"Saffer","given":"D."}],"issued":{"date-parts":[["2013",2,8]]}}},{"id":470,"uris":["http://zotero.org/users/5712877/items/3TQYF9DK"],"uri":["http://zotero.org/users/5712877/items/3TQYF9DK"],"itemData":{"id":470,"type":"article-journal","title":"Stress before and after the 2011 great Tohoku-oki earthquake and induced earthquakes in inland areas of eastern Japan: STRESS CHANGE BY 2011 TOHOKU EARTHQUAKE","container-title":"Geophysical Research Letters","volume":"39","issue":"3","source":"Crossref","URL":"http://doi.wiley.com/10.1029/2011GL049729","DOI":"10.1029/2011GL049729","ISSN":"00948276","title-short":"Stress before and after the 2011 great Tohoku-oki earthquake and induced earthquakes in inland areas of eastern Japan","language":"en","author":[{"family":"Yoshida","given":"Keisuke"},{"family":"Hasegawa","given":"Akira"},{"family":"Okada","given":"Tomomi"},{"family":"Iinuma","given":"Takeshi"},{"family":"Ito","given":"Yoshihiro"},{"family":"Asano","given":"Youichi"}],"issued":{"date-parts":[["2012",2]]},"accessed":{"date-parts":[["2021",1,19]]}}}],"schema":"https://github.com/citation-style-language/schema/raw/master/csl-citation.json"} </w:instrText>
      </w:r>
      <w:r w:rsidR="00EF2199">
        <w:rPr>
          <w:rFonts w:eastAsiaTheme="minorEastAsia"/>
          <w:lang w:val="en-US"/>
        </w:rPr>
        <w:fldChar w:fldCharType="separate"/>
      </w:r>
      <w:r w:rsidR="00BD095E" w:rsidRPr="00BD095E">
        <w:rPr>
          <w:rFonts w:cs="Times New Roman"/>
          <w:szCs w:val="24"/>
          <w:vertAlign w:val="superscript"/>
          <w:lang w:val="en-US"/>
        </w:rPr>
        <w:t>5,6</w:t>
      </w:r>
      <w:r w:rsidR="00EF2199">
        <w:rPr>
          <w:rFonts w:eastAsiaTheme="minorEastAsia"/>
          <w:lang w:val="en-US"/>
        </w:rPr>
        <w:fldChar w:fldCharType="end"/>
      </w:r>
      <w:r w:rsidR="00A854E6">
        <w:rPr>
          <w:rFonts w:eastAsiaTheme="minorEastAsia"/>
          <w:lang w:val="en-US"/>
        </w:rPr>
        <w:t xml:space="preserve"> to a maximum of 10MPa</w:t>
      </w:r>
      <w:r w:rsidR="00EF2199">
        <w:rPr>
          <w:rFonts w:eastAsiaTheme="minorEastAsia"/>
          <w:lang w:val="en-US"/>
        </w:rPr>
        <w:fldChar w:fldCharType="begin"/>
      </w:r>
      <w:r w:rsidR="00BD095E">
        <w:rPr>
          <w:rFonts w:eastAsiaTheme="minorEastAsia"/>
          <w:lang w:val="en-US"/>
        </w:rPr>
        <w:instrText xml:space="preserve"> ADDIN ZOTERO_ITEM CSL_CITATION {"citationID":"rQd4MxVw","properties":{"formattedCitation":"\\super 7,8\\nosupersub{}","plainCitation":"7,8","noteIndex":0},"citationItems":[{"id":468,"uris":["http://zotero.org/users/5712877/items/E3FSL5Q7"],"uri":["http://zotero.org/users/5712877/items/E3FSL5Q7"],"itemData":{"id":468,"type":"article-journal","title":"Coseismic and postseismic stress rotations due to great subduction zone earthquakes: STRESS ROTATIONS IN SUBDUCTION ZONES","container-title":"Geophysical Research Letters","volume":"39","issue":"21","source":"Crossref","URL":"http://doi.wiley.com/10.1029/2012GL053438","DOI":"10.1029/2012GL053438","ISSN":"00948276","title-short":"Coseismic and postseismic stress rotations due to great subduction zone earthquakes","language":"en","author":[{"family":"Hardebeck","given":"Jeanne L."}],"issued":{"date-parts":[["2012",11]]},"accessed":{"date-parts":[["2021",1,19]]}}},{"id":469,"uris":["http://zotero.org/users/5712877/items/VKUH7W25"],"uri":["http://zotero.org/users/5712877/items/VKUH7W25"],"itemData":{"id":469,"type":"article-journal","title":"Change in stress field after the 2011 great Tohoku-Oki earthquake","container-title":"Earth and Planetary Science Letters","page":"231-243","volume":"355-356","source":"Crossref","abstract":"Temporal change in the stress ﬁeld after the 2011 great Tohoku-Oki earthquake was observed by using stress tensor inversions of earthquakes near the source region. In the upper plate (hanging wall) before the Tohoku-Oki earthquake, the maximum compressive stress (s1) axis was oriented in the direction of plate convergence, speciﬁcally, in the direction of an estimated large near-trench slip area. The stress ﬁeld in the upper plate was completely transformed after the earthquake, with the minimum compressive stress (s3) axis being oriented in the direction of the large near-trench slip area, even near the trench axis. In the near-coast area within the Paciﬁc plate (i.e., in the footwall), the s1 axis was oriented in the direction of plate convergence prior to the earthquake, as within the upper plate; however, the orientations of the principal stress axes in this area showed no change after the earthquake. After the earthquake, the s3 axis was oriented in the plate-convergence direction in areas within the Paciﬁc plate below the central to near-trench portions of the mainshock rupture area. These observations provide evidence for large near-trench slip at very shallow depths during the mainshock rupture. Moreover, the trend of the s1 axis in the upper plate before the Tohoku-Oki earthquake (i.e., in the direction of an estimated large near-trench slip area) strongly suggests that strain accumulation is possible even in the near-trench area at very shallow depths. The observed temporal change in the stress ﬁeld of the upper plate associated with the Tohoku-Oki earthquake indicates differential stress magnitudes as small as 5–15 MPa.","DOI":"10.1016/j.epsl.2012.08.042","ISSN":"0012821X","language":"en","author":[{"family":"Hasegawa","given":"Akira"},{"family":"Yoshida","given":"Keisuke"},{"family":"Asano","given":"Youichi"},{"family":"Okada","given":"Tomomi"},{"family":"Iinuma","given":"Takeshi"},{"family":"Ito","given":"Yoshihiro"}],"issued":{"date-parts":[["2012",11]]}}}],"schema":"https://github.com/citation-style-language/schema/raw/master/csl-citation.json"} </w:instrText>
      </w:r>
      <w:r w:rsidR="00EF2199">
        <w:rPr>
          <w:rFonts w:eastAsiaTheme="minorEastAsia"/>
          <w:lang w:val="en-US"/>
        </w:rPr>
        <w:fldChar w:fldCharType="separate"/>
      </w:r>
      <w:r w:rsidR="00BD095E" w:rsidRPr="00BD095E">
        <w:rPr>
          <w:rFonts w:cs="Times New Roman"/>
          <w:szCs w:val="24"/>
          <w:vertAlign w:val="superscript"/>
          <w:lang w:val="en-US"/>
        </w:rPr>
        <w:t>7,8</w:t>
      </w:r>
      <w:r w:rsidR="00EF2199">
        <w:rPr>
          <w:rFonts w:eastAsiaTheme="minorEastAsia"/>
          <w:lang w:val="en-US"/>
        </w:rPr>
        <w:fldChar w:fldCharType="end"/>
      </w:r>
      <w:r w:rsidR="00A854E6">
        <w:rPr>
          <w:rFonts w:eastAsiaTheme="minorEastAsia"/>
          <w:lang w:val="en-US"/>
        </w:rPr>
        <w:t>. Considering this value, f</w:t>
      </w:r>
      <w:r w:rsidR="00661762">
        <w:rPr>
          <w:rFonts w:eastAsiaTheme="minorEastAsia"/>
          <w:lang w:val="en-US"/>
        </w:rPr>
        <w:t>or a 1 mm thick layer sheared with a slip rate at 10 m/s (see in the next section)</w:t>
      </w:r>
      <w:r w:rsidR="00F84EEC">
        <w:rPr>
          <w:rFonts w:eastAsiaTheme="minorEastAsia"/>
          <w:lang w:val="en-US"/>
        </w:rPr>
        <w:t xml:space="preserve"> the volumetric energy generated is 1.0e10</w:t>
      </w:r>
      <w:r w:rsidR="00F84EEC" w:rsidRPr="00F84EEC">
        <w:rPr>
          <w:rFonts w:eastAsiaTheme="minorEastAsia"/>
          <w:vertAlign w:val="superscript"/>
          <w:lang w:val="en-US"/>
        </w:rPr>
        <w:t>11</w:t>
      </w:r>
      <w:r w:rsidR="003A7D4B">
        <w:rPr>
          <w:rFonts w:eastAsiaTheme="minorEastAsia"/>
          <w:vertAlign w:val="superscript"/>
          <w:lang w:val="en-US"/>
        </w:rPr>
        <w:t xml:space="preserve"> </w:t>
      </w:r>
      <w:r w:rsidR="003A7D4B">
        <w:rPr>
          <w:rFonts w:eastAsiaTheme="minorEastAsia"/>
          <w:lang w:val="en-US"/>
        </w:rPr>
        <w:t>J/m</w:t>
      </w:r>
      <w:r w:rsidR="003A7D4B" w:rsidRPr="003A7D4B">
        <w:rPr>
          <w:rFonts w:eastAsiaTheme="minorEastAsia"/>
          <w:vertAlign w:val="superscript"/>
          <w:lang w:val="en-US"/>
        </w:rPr>
        <w:t>3</w:t>
      </w:r>
      <w:r w:rsidR="003A7D4B">
        <w:rPr>
          <w:rFonts w:eastAsiaTheme="minorEastAsia"/>
          <w:lang w:val="en-US"/>
        </w:rPr>
        <w:t>/s</w:t>
      </w:r>
      <w:r w:rsidR="00F84EEC">
        <w:rPr>
          <w:rFonts w:eastAsiaTheme="minorEastAsia"/>
          <w:lang w:val="en-US"/>
        </w:rPr>
        <w:t>.</w:t>
      </w:r>
    </w:p>
    <w:p w14:paraId="305BD7FE" w14:textId="56C2237B" w:rsidR="00F84EEC" w:rsidRPr="00F84EEC" w:rsidRDefault="00F84EEC" w:rsidP="00C52594">
      <w:pPr>
        <w:rPr>
          <w:rFonts w:eastAsiaTheme="minorEastAsia"/>
          <w:lang w:val="en-US"/>
        </w:rPr>
      </w:pPr>
      <w:r>
        <w:rPr>
          <w:rFonts w:eastAsiaTheme="minorEastAsia"/>
          <w:lang w:val="en-US"/>
        </w:rPr>
        <w:t xml:space="preserve">Results have been presented in the </w:t>
      </w:r>
      <w:r w:rsidR="002E6DC9">
        <w:rPr>
          <w:rFonts w:eastAsiaTheme="minorEastAsia"/>
          <w:lang w:val="en-US"/>
        </w:rPr>
        <w:t>Supplementary</w:t>
      </w:r>
      <w:r w:rsidR="00392E86">
        <w:rPr>
          <w:rFonts w:eastAsiaTheme="minorEastAsia"/>
          <w:lang w:val="en-US"/>
        </w:rPr>
        <w:t xml:space="preserve"> Figure 5</w:t>
      </w:r>
      <w:r>
        <w:rPr>
          <w:rFonts w:eastAsiaTheme="minorEastAsia"/>
          <w:lang w:val="en-US"/>
        </w:rPr>
        <w:t xml:space="preserve">a and </w:t>
      </w:r>
      <w:r w:rsidR="00392E86">
        <w:rPr>
          <w:rFonts w:eastAsiaTheme="minorEastAsia"/>
          <w:lang w:val="en-US"/>
        </w:rPr>
        <w:t>5</w:t>
      </w:r>
      <w:r>
        <w:rPr>
          <w:rFonts w:eastAsiaTheme="minorEastAsia"/>
          <w:lang w:val="en-US"/>
        </w:rPr>
        <w:t>b. The melting point, estimated around 1100°C thanks to the literature</w:t>
      </w:r>
      <w:r>
        <w:rPr>
          <w:rFonts w:eastAsiaTheme="minorEastAsia"/>
          <w:lang w:val="en-US"/>
        </w:rPr>
        <w:fldChar w:fldCharType="begin"/>
      </w:r>
      <w:r w:rsidR="00BD095E">
        <w:rPr>
          <w:rFonts w:eastAsiaTheme="minorEastAsia"/>
          <w:lang w:val="en-US"/>
        </w:rPr>
        <w:instrText xml:space="preserve"> ADDIN ZOTERO_ITEM CSL_CITATION {"citationID":"OmODMaSz","properties":{"formattedCitation":"\\super 9,10\\nosupersub{}","plainCitation":"9,10","noteIndex":0},"citationItems":[{"id":315,"uris":["http://zotero.org/users/5712877/items/QRAJHXDG"],"uri":["http://zotero.org/users/5712877/items/QRAJHXDG"],"itemData":{"id":315,"type":"article-journal","title":"Pseudotachylytes in an ancient accretionary complex and implications for melt lubrication during subduction zone earthquakes","container-title":"Journal of Structural Geology","page":"599-613","volume":"29","issue":"4","source":"Crossref","abstract":"Pseudotachylyte-bearing fault zones, found in the Shimanto accretionary complex, southwest Japan, developed during subduction or underplating at seismogenic depths. The pseudotachylytes occur in narrow dark veins less than a few millimeters thick that are sharply bounded by foliated cataclasites that originated from a me´lange. The microstructures of pseudotachylytes are represented by a fragment-laden, glasssupported texture resulting from the rapid cooling of the frictional melt. Transmission electron microscopy reveals the presence of glass in which euhedral microcrystals of mullite are locally developed. The compositions of the pseudotachylyte matrix and the characteristics of the unmelted grains and microlites in the matrix suggest that frictional melting occurred in an illite-rich slip zone with a minimum melting temperature of 1100 \u0014C. The viscosities of the frictional melt were calculated from the pseudotachylyte matrix composition as well as from the volume fraction and aspect ratio of the unmelted grains. The viscosities at 1100 \u0014C range from 85 to 290 Pa s, and the corresponding shear resistance along a 1-mm-thick melt layer at a slip rate of 1 m/s was 0.1e0.3 MPa. The formation of a melt layer in an illite-rich slip zone can possibly induce large stress drops, increase the slip rate and enhance rupture propagation, which together could affect the earthquake magnitude in a subduction zone. Ó 2006 Elsevier Ltd. All rights reserved.","DOI":"10.1016/j.jsg.2006.10.012","ISSN":"01918141","language":"en","author":[{"family":"Ujiie","given":"Kohtaro"},{"family":"Yamaguchi","given":"Haruka"},{"family":"Sakaguchi","given":"Arito"},{"family":"Toh","given":"Shoichi"}],"issued":{"date-parts":[["2007",4]]}}},{"id":110,"uris":["http://zotero.org/users/5712877/items/AP8BGCZ3"],"uri":["http://zotero.org/users/5712877/items/AP8BGCZ3"],"itemData":{"id":110,"type":"article-journal","title":"Co-seismic frictional melting along an out-of-sequence thrust in the Shimanto accretionary complex. Implications on the tsunamigenic potential of splay faults in modern subduction zones","container-title":"Earth and Planetary Science Letters","page":"330-343","volume":"245","issue":"1-2","source":"Crossref","abstract":"Out-of-sequence thrusts (OST) play an important role in the thickening of accretionary prisms, formation of forearc basins, and tsunami generation in subduction zones. By detailed investigations of geological and paleogeothermal structures, an ancient seismogenic OST is identified in the Shimanto accretionary complex, southwest Japan. This OST consists of a mappable en echelon fault system developed at a late stage of the accretionary process. The estimated accumulated displacement of 2.5–8.5km and formation depth of 2.5–5.5 km, based on a thermal analysis, indicates much higher fault activities sense of slip with a sinistral slip, and the large displacement was distributed among multiple small faults each with a small offset. Most of the faults in the en echelon fault system recorded repeated brittle failure, and one fault preserves pseudotachylyte, a fault rock indicative of seismic faulting. This is the first report of pseudotachylyte along an OST in an accretionary prism. Repeated fracturing in the same narrow shear zones (each only a few millimeters thick) suggests the OSTs perform as major shear localized zone in the accretionary prism. Shallow estimated formation depth and consequent low normal stress also support the hypothesis by a weak coupling along this fault zone. These findings are in accord with a thrust activity in the shallow portion of the accretionary prism being associated with rupture propagation from the deep seismogenic region. This OST showed high activity and repeated faulting in the shallow portion of the accretionary prism, comparable to that of the submarine tsunamigenic OST in the present Nankai trough.","DOI":"10.1016/j.epsl.2006.02.039","ISSN":"0012821X","language":"en","author":[{"family":"Mukoyoshi","given":"H"},{"family":"Sakaguchi","given":"A"},{"family":"Otsuki","given":"K"},{"family":"Hirono","given":"T"},{"family":"Soh","given":"W"}],"issued":{"date-parts":[["2006",5,15]]}}}],"schema":"https://github.com/citation-style-language/schema/raw/master/csl-citation.json"} </w:instrText>
      </w:r>
      <w:r>
        <w:rPr>
          <w:rFonts w:eastAsiaTheme="minorEastAsia"/>
          <w:lang w:val="en-US"/>
        </w:rPr>
        <w:fldChar w:fldCharType="separate"/>
      </w:r>
      <w:r w:rsidR="00BD095E" w:rsidRPr="00BD095E">
        <w:rPr>
          <w:rFonts w:cs="Times New Roman"/>
          <w:szCs w:val="24"/>
          <w:vertAlign w:val="superscript"/>
          <w:lang w:val="en-US"/>
        </w:rPr>
        <w:t>9,10</w:t>
      </w:r>
      <w:r>
        <w:rPr>
          <w:rFonts w:eastAsiaTheme="minorEastAsia"/>
          <w:lang w:val="en-US"/>
        </w:rPr>
        <w:fldChar w:fldCharType="end"/>
      </w:r>
      <w:r>
        <w:rPr>
          <w:rFonts w:eastAsiaTheme="minorEastAsia"/>
          <w:lang w:val="en-US"/>
        </w:rPr>
        <w:t xml:space="preserve"> is reached very quickly after only 3.0e10</w:t>
      </w:r>
      <w:r w:rsidRPr="00F84EEC">
        <w:rPr>
          <w:rFonts w:eastAsiaTheme="minorEastAsia"/>
          <w:vertAlign w:val="superscript"/>
          <w:lang w:val="en-US"/>
        </w:rPr>
        <w:t>-2</w:t>
      </w:r>
      <w:r w:rsidR="00EF2199">
        <w:rPr>
          <w:rFonts w:eastAsiaTheme="minorEastAsia"/>
          <w:vertAlign w:val="superscript"/>
          <w:lang w:val="en-US"/>
        </w:rPr>
        <w:t xml:space="preserve"> </w:t>
      </w:r>
      <w:r w:rsidR="000211F7">
        <w:rPr>
          <w:rFonts w:eastAsiaTheme="minorEastAsia"/>
          <w:lang w:val="en-US"/>
        </w:rPr>
        <w:t>s</w:t>
      </w:r>
      <w:r w:rsidR="00EF2199">
        <w:rPr>
          <w:rFonts w:eastAsiaTheme="minorEastAsia"/>
          <w:lang w:val="en-US"/>
        </w:rPr>
        <w:t xml:space="preserve"> and the maximize melting temperature used in this study (</w:t>
      </w:r>
      <w:r w:rsidR="008062D9">
        <w:rPr>
          <w:rFonts w:eastAsiaTheme="minorEastAsia"/>
          <w:lang w:val="en-US"/>
        </w:rPr>
        <w:t>i.e.</w:t>
      </w:r>
      <w:r w:rsidR="00EF2199">
        <w:rPr>
          <w:rFonts w:eastAsiaTheme="minorEastAsia"/>
          <w:lang w:val="en-US"/>
        </w:rPr>
        <w:t xml:space="preserve"> 1400°C) is reached after 3.8.10</w:t>
      </w:r>
      <w:r w:rsidR="00EF2199" w:rsidRPr="00EF2199">
        <w:rPr>
          <w:rFonts w:eastAsiaTheme="minorEastAsia"/>
          <w:vertAlign w:val="superscript"/>
          <w:lang w:val="en-US"/>
        </w:rPr>
        <w:t>-2</w:t>
      </w:r>
      <w:r w:rsidR="00EF2199">
        <w:rPr>
          <w:rFonts w:eastAsiaTheme="minorEastAsia"/>
          <w:lang w:val="en-US"/>
        </w:rPr>
        <w:t xml:space="preserve"> s</w:t>
      </w:r>
      <w:r>
        <w:rPr>
          <w:rFonts w:eastAsiaTheme="minorEastAsia"/>
          <w:lang w:val="en-US"/>
        </w:rPr>
        <w:t xml:space="preserve">. </w:t>
      </w:r>
      <w:r w:rsidR="000211F7">
        <w:rPr>
          <w:rFonts w:eastAsiaTheme="minorEastAsia"/>
          <w:lang w:val="en-US"/>
        </w:rPr>
        <w:t>T</w:t>
      </w:r>
      <w:r>
        <w:rPr>
          <w:rFonts w:eastAsiaTheme="minorEastAsia"/>
          <w:lang w:val="en-US"/>
        </w:rPr>
        <w:t xml:space="preserve">he critical distance, that consists in the distance of displacement before </w:t>
      </w:r>
      <w:r w:rsidR="000211F7">
        <w:rPr>
          <w:rFonts w:eastAsiaTheme="minorEastAsia"/>
          <w:lang w:val="en-US"/>
        </w:rPr>
        <w:t xml:space="preserve">melting and </w:t>
      </w:r>
      <w:r>
        <w:rPr>
          <w:rFonts w:eastAsiaTheme="minorEastAsia"/>
          <w:lang w:val="en-US"/>
        </w:rPr>
        <w:t>slip weakening is about 30 cm and is totally comparable with the calculated critical distance for natural earthquake</w:t>
      </w:r>
      <w:r>
        <w:rPr>
          <w:rFonts w:eastAsiaTheme="minorEastAsia"/>
          <w:lang w:val="en-US"/>
        </w:rPr>
        <w:fldChar w:fldCharType="begin"/>
      </w:r>
      <w:r w:rsidR="00BD095E">
        <w:rPr>
          <w:rFonts w:eastAsiaTheme="minorEastAsia"/>
          <w:lang w:val="en-US"/>
        </w:rPr>
        <w:instrText xml:space="preserve"> ADDIN ZOTERO_ITEM CSL_CITATION {"citationID":"gMUkSCHu","properties":{"formattedCitation":"\\super 11\\nosupersub{}","plainCitation":"11","noteIndex":0},"citationItems":[{"id":455,"uris":["http://zotero.org/users/5712877/items/LDR7E6VJ"],"uri":["http://zotero.org/users/5712877/items/LDR7E6VJ"],"itemData":{"id":455,"type":"article-journal","title":"Determination of constitutive relations of fault slip based on seismic wave analysis","container-title":"Journal of Geophysical Research: Solid Earth","page":"27379-27391","volume":"102","issue":"B12","source":"Crossref","abstract":"Constitutivelawsdefinetheboundaryconditionsonfaultplaneandgovernmany aspectsof earthquakfeailure. Althoughseveracl onstitutivleawshavebeenformulatedbasedon laboratorryockexperimenatsndappliedtotheoreticasltudieisn variousfields,noactuarlelation duringa naturael arthquakheasbeendetermined.The 1995Kobeearthquakiessuitablefor detailedkinematicanalysisa,ndthisenablesthefirstevaluationof constitutivreelationsfora naturael arthquake.In thisstudyw, edeterminespatiotemporsallipdistributioonnanassumed faultplaneof the1995Kobeearthquakbeywaveforminversionandthensolveelastodynamic equationussinga finitedifferencemethodtodetermintehestressdistributioanndconstitutive relationsonthefaultplane. An inversionmethodbasedonBayestheoremisemployedtoobtaina spatiotemporsallipdistributiona,ndenablesustoensuretheobjectiveuniquenesosf thesolution withnumeroupsarameterasndsmoothincgonstraints.Thisslipdistributioinsthenusedaspartof theboundaryconditionin thefinitedifferencecalculation. Thetimehistoriesof slipandshear stressobtainedthenprovidea constitutivreelationateachpointonthefaultplane. Theyshow slipweakeninrgelationsalmoset verywheroenthefaultplane,whileslipratedependencisynot clear. Theslipweakeninbgehaviohr asa cleardepthdependencinydicatingthattheslip weakeningrate(dr./du)issmallerin theshallowcrusthanthatin thedeepcrust. Thismaybe associatewdiththepaucityof shallowseismicityobservedin thesourceregionof thisearthquakaes reportedfor manymaturefaultsystems.","DOI":"10.1029/97JB02675","ISSN":"01480227","language":"en","author":[{"family":"Ide","given":"Satoshi"},{"family":"Takeo","given":"Minoru"}],"issued":{"date-parts":[["1997",12,10]]}}}],"schema":"https://github.com/citation-style-language/schema/raw/master/csl-citation.json"} </w:instrText>
      </w:r>
      <w:r>
        <w:rPr>
          <w:rFonts w:eastAsiaTheme="minorEastAsia"/>
          <w:lang w:val="en-US"/>
        </w:rPr>
        <w:fldChar w:fldCharType="separate"/>
      </w:r>
      <w:r w:rsidR="00BD095E" w:rsidRPr="00BD095E">
        <w:rPr>
          <w:rFonts w:cs="Times New Roman"/>
          <w:szCs w:val="24"/>
          <w:vertAlign w:val="superscript"/>
          <w:lang w:val="en-US"/>
        </w:rPr>
        <w:t>11</w:t>
      </w:r>
      <w:r>
        <w:rPr>
          <w:rFonts w:eastAsiaTheme="minorEastAsia"/>
          <w:lang w:val="en-US"/>
        </w:rPr>
        <w:fldChar w:fldCharType="end"/>
      </w:r>
      <w:r>
        <w:rPr>
          <w:rFonts w:eastAsiaTheme="minorEastAsia"/>
          <w:lang w:val="en-US"/>
        </w:rPr>
        <w:t xml:space="preserve">. </w:t>
      </w:r>
      <w:r w:rsidR="000211F7">
        <w:rPr>
          <w:rFonts w:eastAsiaTheme="minorEastAsia"/>
          <w:lang w:val="en-US"/>
        </w:rPr>
        <w:t xml:space="preserve">As a consequence of the very rapid temperature increase, the effect on carbonaceous material is </w:t>
      </w:r>
      <w:r w:rsidR="00E53BBC">
        <w:rPr>
          <w:rFonts w:eastAsiaTheme="minorEastAsia"/>
          <w:lang w:val="en-US"/>
        </w:rPr>
        <w:t>not significant</w:t>
      </w:r>
      <w:r w:rsidR="000211F7">
        <w:rPr>
          <w:rFonts w:eastAsiaTheme="minorEastAsia"/>
          <w:lang w:val="en-US"/>
        </w:rPr>
        <w:t>.</w:t>
      </w:r>
    </w:p>
    <w:p w14:paraId="6CC35695" w14:textId="6B00B2D4" w:rsidR="000211F7" w:rsidRDefault="000211F7" w:rsidP="000A2426">
      <w:pPr>
        <w:pStyle w:val="Paragraphedeliste"/>
        <w:numPr>
          <w:ilvl w:val="1"/>
          <w:numId w:val="9"/>
        </w:numPr>
        <w:rPr>
          <w:lang w:val="en-US"/>
        </w:rPr>
      </w:pPr>
      <w:r w:rsidRPr="00C35D01">
        <w:rPr>
          <w:lang w:val="en-US"/>
        </w:rPr>
        <w:t>Evolution of the system after melting</w:t>
      </w:r>
    </w:p>
    <w:p w14:paraId="14D9688D" w14:textId="49317ADF" w:rsidR="005D2401" w:rsidRPr="005D2401" w:rsidRDefault="005D2401" w:rsidP="005D2401">
      <w:pPr>
        <w:ind w:left="720"/>
        <w:rPr>
          <w:lang w:val="en-US"/>
        </w:rPr>
      </w:pPr>
      <w:r>
        <w:rPr>
          <w:lang w:val="en-US"/>
        </w:rPr>
        <w:t xml:space="preserve">2.1 </w:t>
      </w:r>
      <w:r w:rsidR="00404BA8">
        <w:rPr>
          <w:lang w:val="en-US"/>
        </w:rPr>
        <w:t>Without viscous shear heating</w:t>
      </w:r>
    </w:p>
    <w:p w14:paraId="6BF4C4F7" w14:textId="6F632943" w:rsidR="007051CE" w:rsidRDefault="007051CE" w:rsidP="00C52594">
      <w:pPr>
        <w:rPr>
          <w:lang w:val="en-US"/>
        </w:rPr>
      </w:pPr>
      <w:r>
        <w:rPr>
          <w:lang w:val="en-US"/>
        </w:rPr>
        <w:t>After reaching the melting point thanks to the frictional melting, the next step is to c</w:t>
      </w:r>
      <w:r w:rsidR="00382D2F">
        <w:rPr>
          <w:lang w:val="en-US"/>
        </w:rPr>
        <w:t>onsider the heat diffusion of a</w:t>
      </w:r>
      <w:r>
        <w:rPr>
          <w:lang w:val="en-US"/>
        </w:rPr>
        <w:t xml:space="preserve"> 1400°C molt</w:t>
      </w:r>
      <w:r w:rsidR="00392E86">
        <w:rPr>
          <w:lang w:val="en-US"/>
        </w:rPr>
        <w:t xml:space="preserve">en layer. </w:t>
      </w:r>
      <w:r w:rsidR="002E6DC9">
        <w:rPr>
          <w:lang w:val="en-US"/>
        </w:rPr>
        <w:t>Supplementary</w:t>
      </w:r>
      <w:r w:rsidR="00392E86">
        <w:rPr>
          <w:lang w:val="en-US"/>
        </w:rPr>
        <w:t xml:space="preserve"> Figure 5b and 5</w:t>
      </w:r>
      <w:r>
        <w:rPr>
          <w:lang w:val="en-US"/>
        </w:rPr>
        <w:t>e presents the results obtained for the heat diffusion only</w:t>
      </w:r>
      <w:r w:rsidR="00404BA8">
        <w:rPr>
          <w:lang w:val="en-US"/>
        </w:rPr>
        <w:t>:</w:t>
      </w:r>
      <w:r>
        <w:rPr>
          <w:lang w:val="en-US"/>
        </w:rPr>
        <w:t xml:space="preserve"> </w:t>
      </w:r>
      <w:r w:rsidR="00404BA8">
        <w:rPr>
          <w:lang w:val="en-US"/>
        </w:rPr>
        <w:t>the</w:t>
      </w:r>
      <w:r>
        <w:rPr>
          <w:lang w:val="en-US"/>
        </w:rPr>
        <w:t xml:space="preserve"> temperature drop</w:t>
      </w:r>
      <w:r w:rsidR="00404BA8">
        <w:rPr>
          <w:lang w:val="en-US"/>
        </w:rPr>
        <w:t>s</w:t>
      </w:r>
      <w:r>
        <w:rPr>
          <w:lang w:val="en-US"/>
        </w:rPr>
        <w:t xml:space="preserve"> down very quickly and as a consequence </w:t>
      </w:r>
      <w:r w:rsidR="00404BA8">
        <w:rPr>
          <w:lang w:val="en-US"/>
        </w:rPr>
        <w:t xml:space="preserve">there is hardly any </w:t>
      </w:r>
      <w:r>
        <w:rPr>
          <w:lang w:val="en-US"/>
        </w:rPr>
        <w:t xml:space="preserve">evolution of the intensity ratio </w:t>
      </w:r>
      <w:r w:rsidR="00382D2F">
        <w:rPr>
          <w:lang w:val="en-US"/>
        </w:rPr>
        <w:t xml:space="preserve">(0.56 in the core) </w:t>
      </w:r>
      <w:r>
        <w:rPr>
          <w:lang w:val="en-US"/>
        </w:rPr>
        <w:t>inside the molten layer</w:t>
      </w:r>
      <w:r w:rsidR="00382D2F">
        <w:rPr>
          <w:lang w:val="en-US"/>
        </w:rPr>
        <w:t xml:space="preserve">, </w:t>
      </w:r>
      <w:r w:rsidR="00E53BBC">
        <w:rPr>
          <w:lang w:val="en-US"/>
        </w:rPr>
        <w:t xml:space="preserve">much lower </w:t>
      </w:r>
      <w:r w:rsidR="00382D2F">
        <w:rPr>
          <w:lang w:val="en-US"/>
        </w:rPr>
        <w:t>from the values measured for the nat</w:t>
      </w:r>
      <w:r w:rsidR="004214BE">
        <w:rPr>
          <w:lang w:val="en-US"/>
        </w:rPr>
        <w:t>ural Black Fault Rocks (0.7 in median</w:t>
      </w:r>
      <w:r w:rsidR="00382D2F">
        <w:rPr>
          <w:lang w:val="en-US"/>
        </w:rPr>
        <w:t xml:space="preserve">). </w:t>
      </w:r>
    </w:p>
    <w:p w14:paraId="1B9607DC" w14:textId="59FDB3DD" w:rsidR="005D2401" w:rsidRDefault="00151F14" w:rsidP="00C52594">
      <w:pPr>
        <w:rPr>
          <w:lang w:val="en-US"/>
        </w:rPr>
      </w:pPr>
      <w:r>
        <w:rPr>
          <w:lang w:val="en-US"/>
        </w:rPr>
        <w:tab/>
      </w:r>
      <w:r w:rsidR="005D2401">
        <w:rPr>
          <w:lang w:val="en-US"/>
        </w:rPr>
        <w:t xml:space="preserve">2.2 </w:t>
      </w:r>
      <w:r w:rsidR="00404BA8">
        <w:rPr>
          <w:lang w:val="en-US"/>
        </w:rPr>
        <w:t xml:space="preserve">With viscous shear heating, </w:t>
      </w:r>
      <w:r w:rsidR="00404BA8">
        <w:rPr>
          <w:rFonts w:eastAsiaTheme="minorEastAsia"/>
          <w:lang w:val="en-US"/>
        </w:rPr>
        <w:t>considering displacement at</w:t>
      </w:r>
      <w:r w:rsidR="005D2401">
        <w:rPr>
          <w:rFonts w:eastAsiaTheme="minorEastAsia"/>
          <w:lang w:val="en-US"/>
        </w:rPr>
        <w:t xml:space="preserve"> 1m/s</w:t>
      </w:r>
    </w:p>
    <w:p w14:paraId="4E79FA06" w14:textId="4090908F" w:rsidR="00C52594" w:rsidRDefault="008A266C" w:rsidP="00C52594">
      <w:pPr>
        <w:rPr>
          <w:lang w:val="en-US"/>
        </w:rPr>
      </w:pPr>
      <w:r>
        <w:rPr>
          <w:lang w:val="en-US"/>
        </w:rPr>
        <w:lastRenderedPageBreak/>
        <w:t>N</w:t>
      </w:r>
      <w:r w:rsidR="00541D6B">
        <w:rPr>
          <w:lang w:val="en-US"/>
        </w:rPr>
        <w:t xml:space="preserve">ext step </w:t>
      </w:r>
      <w:r>
        <w:rPr>
          <w:lang w:val="en-US"/>
        </w:rPr>
        <w:t>consisted</w:t>
      </w:r>
      <w:r w:rsidR="00541D6B">
        <w:rPr>
          <w:lang w:val="en-US"/>
        </w:rPr>
        <w:t xml:space="preserve"> to model the </w:t>
      </w:r>
      <w:r w:rsidR="000211F7">
        <w:rPr>
          <w:lang w:val="en-US"/>
        </w:rPr>
        <w:t>temperature field</w:t>
      </w:r>
      <w:r w:rsidR="00541D6B">
        <w:rPr>
          <w:lang w:val="en-US"/>
        </w:rPr>
        <w:t xml:space="preserve"> </w:t>
      </w:r>
      <w:r w:rsidR="000211F7">
        <w:rPr>
          <w:lang w:val="en-US"/>
        </w:rPr>
        <w:t xml:space="preserve">when </w:t>
      </w:r>
      <w:r w:rsidR="00541D6B">
        <w:rPr>
          <w:lang w:val="en-US"/>
        </w:rPr>
        <w:t xml:space="preserve">a </w:t>
      </w:r>
      <w:r w:rsidR="000211F7">
        <w:rPr>
          <w:lang w:val="en-US"/>
        </w:rPr>
        <w:t xml:space="preserve">molten </w:t>
      </w:r>
      <w:r w:rsidR="00541D6B">
        <w:rPr>
          <w:lang w:val="en-US"/>
        </w:rPr>
        <w:t xml:space="preserve">layer of </w:t>
      </w:r>
      <w:r w:rsidR="000211F7">
        <w:rPr>
          <w:lang w:val="en-US"/>
        </w:rPr>
        <w:t xml:space="preserve">the same thickness </w:t>
      </w:r>
      <w:r w:rsidR="00C35D01">
        <w:rPr>
          <w:lang w:val="en-US"/>
        </w:rPr>
        <w:t>(</w:t>
      </w:r>
      <w:r w:rsidR="00BC1B92">
        <w:rPr>
          <w:lang w:val="en-US"/>
        </w:rPr>
        <w:t>h</w:t>
      </w:r>
      <w:r w:rsidR="00C35D01">
        <w:rPr>
          <w:lang w:val="en-US"/>
        </w:rPr>
        <w:t>)</w:t>
      </w:r>
      <w:r w:rsidR="00BC1B92">
        <w:rPr>
          <w:lang w:val="en-US"/>
        </w:rPr>
        <w:t xml:space="preserve"> </w:t>
      </w:r>
      <w:r w:rsidR="000211F7">
        <w:rPr>
          <w:lang w:val="en-US"/>
        </w:rPr>
        <w:t xml:space="preserve">as the Black Fault Rocks (i.e. </w:t>
      </w:r>
      <w:r w:rsidR="00541D6B">
        <w:rPr>
          <w:lang w:val="en-US"/>
        </w:rPr>
        <w:t>1mm</w:t>
      </w:r>
      <w:r w:rsidR="000211F7">
        <w:rPr>
          <w:lang w:val="en-US"/>
        </w:rPr>
        <w:t xml:space="preserve"> in the model) is being sheared</w:t>
      </w:r>
      <w:r w:rsidR="00541D6B">
        <w:rPr>
          <w:lang w:val="en-US"/>
        </w:rPr>
        <w:t xml:space="preserve">. </w:t>
      </w:r>
      <w:r w:rsidR="000211F7">
        <w:rPr>
          <w:lang w:val="en-US"/>
        </w:rPr>
        <w:t>We assume that the field of velocity in the molten layer is given by</w:t>
      </w:r>
      <w:r w:rsidR="00541D6B">
        <w:rPr>
          <w:lang w:val="en-US"/>
        </w:rPr>
        <w:t xml:space="preserve"> the Couette Flow equation</w:t>
      </w:r>
      <w:r w:rsidR="003F1EC7">
        <w:rPr>
          <w:lang w:val="en-US"/>
        </w:rPr>
        <w:fldChar w:fldCharType="begin"/>
      </w:r>
      <w:r w:rsidR="00BD095E">
        <w:rPr>
          <w:lang w:val="en-US"/>
        </w:rPr>
        <w:instrText xml:space="preserve"> ADDIN ZOTERO_ITEM CSL_CITATION {"citationID":"fmYjYIro","properties":{"formattedCitation":"\\super 12\\nosupersub{}","plainCitation":"12","noteIndex":0},"citationItems":[{"id":422,"uris":["http://zotero.org/users/5712877/items/RM4H33EX"],"uri":["http://zotero.org/users/5712877/items/RM4H33EX"],"itemData":{"id":422,"type":"book","title":"Geodynamics","publisher":"Cambridge","edition":"2nd edition","author":[{"family":"Turcotte","given":"Donald. L."},{"family":"Schubert","given":"Gerald"}],"issued":{"date-parts":[["1982"]]}}}],"schema":"https://github.com/citation-style-language/schema/raw/master/csl-citation.json"} </w:instrText>
      </w:r>
      <w:r w:rsidR="003F1EC7">
        <w:rPr>
          <w:lang w:val="en-US"/>
        </w:rPr>
        <w:fldChar w:fldCharType="separate"/>
      </w:r>
      <w:r w:rsidR="00BD095E" w:rsidRPr="00BD095E">
        <w:rPr>
          <w:rFonts w:cs="Times New Roman"/>
          <w:szCs w:val="24"/>
          <w:vertAlign w:val="superscript"/>
          <w:lang w:val="en-US"/>
        </w:rPr>
        <w:t>12</w:t>
      </w:r>
      <w:r w:rsidR="003F1EC7">
        <w:rPr>
          <w:lang w:val="en-US"/>
        </w:rPr>
        <w:fldChar w:fldCharType="end"/>
      </w:r>
      <w:r w:rsidR="000211F7">
        <w:rPr>
          <w:lang w:val="en-US"/>
        </w:rPr>
        <w:t xml:space="preserve"> and that the melt viscosity is uniform and constant in time.</w:t>
      </w:r>
      <w:r w:rsidR="00541D6B">
        <w:rPr>
          <w:lang w:val="en-US"/>
        </w:rPr>
        <w:t xml:space="preserve"> </w:t>
      </w:r>
    </w:p>
    <w:p w14:paraId="38798E59" w14:textId="77777777" w:rsidR="00C52594" w:rsidRDefault="00C52594" w:rsidP="00C52594">
      <w:pPr>
        <w:rPr>
          <w:lang w:val="en-US"/>
        </w:rPr>
      </w:pPr>
      <w:r>
        <w:rPr>
          <w:noProof/>
          <w:lang w:eastAsia="fr-FR"/>
        </w:rPr>
        <w:drawing>
          <wp:anchor distT="0" distB="0" distL="114300" distR="114300" simplePos="0" relativeHeight="251659264" behindDoc="0" locked="0" layoutInCell="1" allowOverlap="1" wp14:anchorId="24187E76" wp14:editId="02C963E8">
            <wp:simplePos x="0" y="0"/>
            <wp:positionH relativeFrom="margin">
              <wp:posOffset>1177290</wp:posOffset>
            </wp:positionH>
            <wp:positionV relativeFrom="paragraph">
              <wp:posOffset>53975</wp:posOffset>
            </wp:positionV>
            <wp:extent cx="3793490" cy="24193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93490" cy="2419350"/>
                    </a:xfrm>
                    <a:prstGeom prst="rect">
                      <a:avLst/>
                    </a:prstGeom>
                  </pic:spPr>
                </pic:pic>
              </a:graphicData>
            </a:graphic>
            <wp14:sizeRelH relativeFrom="margin">
              <wp14:pctWidth>0</wp14:pctWidth>
            </wp14:sizeRelH>
            <wp14:sizeRelV relativeFrom="margin">
              <wp14:pctHeight>0</wp14:pctHeight>
            </wp14:sizeRelV>
          </wp:anchor>
        </w:drawing>
      </w:r>
    </w:p>
    <w:p w14:paraId="2A56C1D4" w14:textId="77777777" w:rsidR="00C52594" w:rsidRDefault="00C52594" w:rsidP="00C52594">
      <w:pPr>
        <w:rPr>
          <w:lang w:val="en-US"/>
        </w:rPr>
      </w:pPr>
    </w:p>
    <w:p w14:paraId="5D569F28" w14:textId="77777777" w:rsidR="00C52594" w:rsidRDefault="00C52594" w:rsidP="00C52594">
      <w:pPr>
        <w:rPr>
          <w:lang w:val="en-US"/>
        </w:rPr>
      </w:pPr>
    </w:p>
    <w:p w14:paraId="5F24A3C3" w14:textId="572371F9" w:rsidR="006D41E5" w:rsidRDefault="006D41E5" w:rsidP="00C52594">
      <w:pPr>
        <w:rPr>
          <w:lang w:val="en-US"/>
        </w:rPr>
      </w:pPr>
    </w:p>
    <w:p w14:paraId="4BA5EB85" w14:textId="01BA47C8" w:rsidR="00E53BBC" w:rsidRDefault="00E53BBC" w:rsidP="00C52594">
      <w:pPr>
        <w:rPr>
          <w:lang w:val="en-US"/>
        </w:rPr>
      </w:pPr>
    </w:p>
    <w:p w14:paraId="39881A02" w14:textId="1A373D10" w:rsidR="00E53BBC" w:rsidRDefault="00E53BBC" w:rsidP="00C52594">
      <w:pPr>
        <w:rPr>
          <w:lang w:val="en-US"/>
        </w:rPr>
      </w:pPr>
    </w:p>
    <w:p w14:paraId="07BA7D25" w14:textId="05D846E3" w:rsidR="00E53BBC" w:rsidRDefault="00E53BBC" w:rsidP="00C52594">
      <w:pPr>
        <w:rPr>
          <w:lang w:val="en-US"/>
        </w:rPr>
      </w:pPr>
      <w:r>
        <w:rPr>
          <w:noProof/>
          <w:lang w:eastAsia="fr-FR"/>
        </w:rPr>
        <mc:AlternateContent>
          <mc:Choice Requires="wps">
            <w:drawing>
              <wp:anchor distT="0" distB="0" distL="114300" distR="114300" simplePos="0" relativeHeight="251676672" behindDoc="0" locked="0" layoutInCell="1" allowOverlap="1" wp14:anchorId="6AB352CE" wp14:editId="02BB65C9">
                <wp:simplePos x="0" y="0"/>
                <wp:positionH relativeFrom="column">
                  <wp:posOffset>2299335</wp:posOffset>
                </wp:positionH>
                <wp:positionV relativeFrom="paragraph">
                  <wp:posOffset>122555</wp:posOffset>
                </wp:positionV>
                <wp:extent cx="1712595" cy="190500"/>
                <wp:effectExtent l="0" t="0" r="1905"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1712595" cy="190500"/>
                        </a:xfrm>
                        <a:prstGeom prst="rect">
                          <a:avLst/>
                        </a:prstGeom>
                        <a:solidFill>
                          <a:prstClr val="white"/>
                        </a:solidFill>
                        <a:ln>
                          <a:noFill/>
                        </a:ln>
                      </wps:spPr>
                      <wps:txbx>
                        <w:txbxContent>
                          <w:p w14:paraId="511E605E" w14:textId="77777777" w:rsidR="003B44DA" w:rsidRPr="0075104F" w:rsidRDefault="003B44DA" w:rsidP="006D41E5">
                            <w:pPr>
                              <w:pStyle w:val="Lgende"/>
                              <w:rPr>
                                <w:noProof/>
                              </w:rPr>
                            </w:pPr>
                            <w:r>
                              <w:t>From Turcotte and Schubert, 1982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352CE" id="_x0000_t202" coordsize="21600,21600" o:spt="202" path="m,l,21600r21600,l21600,xe">
                <v:stroke joinstyle="miter"/>
                <v:path gradientshapeok="t" o:connecttype="rect"/>
              </v:shapetype>
              <v:shape id="Zone de texte 13" o:spid="_x0000_s1026" type="#_x0000_t202" style="position:absolute;left:0;text-align:left;margin-left:181.05pt;margin-top:9.65pt;width:134.8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" stroked="f">
                <v:textbox inset="0,0,0,0">
                  <w:txbxContent>
                    <w:p w14:paraId="511E605E" w14:textId="77777777" w:rsidR="003B44DA" w:rsidRPr="0075104F" w:rsidRDefault="003B44DA" w:rsidP="006D41E5">
                      <w:pPr>
                        <w:pStyle w:val="Lgende"/>
                        <w:rPr>
                          <w:noProof/>
                        </w:rPr>
                      </w:pPr>
                      <w:r>
                        <w:t>From Turcotte and Schubert, 1982</w:t>
                      </w:r>
                    </w:p>
                  </w:txbxContent>
                </v:textbox>
                <w10:wrap type="square"/>
              </v:shape>
            </w:pict>
          </mc:Fallback>
        </mc:AlternateContent>
      </w:r>
    </w:p>
    <w:p w14:paraId="1BAB4EB4" w14:textId="6CC975D6" w:rsidR="00C52594" w:rsidRDefault="000211F7" w:rsidP="00C52594">
      <w:pPr>
        <w:rPr>
          <w:lang w:val="en-US"/>
        </w:rPr>
      </w:pPr>
      <w:r>
        <w:rPr>
          <w:lang w:val="en-US"/>
        </w:rPr>
        <w:t>T</w:t>
      </w:r>
      <w:r w:rsidR="00C52594">
        <w:rPr>
          <w:lang w:val="en-US"/>
        </w:rPr>
        <w:t xml:space="preserve">he shear stress </w:t>
      </w:r>
      <w:r>
        <w:rPr>
          <w:lang w:val="en-US"/>
        </w:rPr>
        <w:t>within the molten layer writes as</w:t>
      </w:r>
      <w:r w:rsidR="00C52594">
        <w:rPr>
          <w:lang w:val="en-US"/>
        </w:rPr>
        <w:t xml:space="preserve">: </w:t>
      </w:r>
    </w:p>
    <w:p w14:paraId="15F70139" w14:textId="352E49D1" w:rsidR="00C52594" w:rsidRPr="00226A99" w:rsidRDefault="00450B58" w:rsidP="00C52594">
      <w:pPr>
        <w:rPr>
          <w:rFonts w:eastAsiaTheme="minorEastAsia"/>
          <w:lang w:val="en-US"/>
        </w:rPr>
      </w:pPr>
      <m:oMathPara>
        <m:oMath>
          <m:eqArr>
            <m:eqArrPr>
              <m:maxDist m:val="1"/>
              <m:ctrlPr>
                <w:rPr>
                  <w:rFonts w:ascii="Cambria Math" w:hAnsi="Cambria Math"/>
                  <w:i/>
                  <w:lang w:val="en-US"/>
                </w:rPr>
              </m:ctrlPr>
            </m:eqArrPr>
            <m:e>
              <m:r>
                <w:rPr>
                  <w:rFonts w:ascii="Cambria Math" w:hAnsi="Cambria Math"/>
                  <w:lang w:val="en-US"/>
                </w:rPr>
                <m:t>τ =μ</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x</m:t>
                      </m:r>
                    </m:sub>
                  </m:sSub>
                </m:num>
                <m:den>
                  <m:r>
                    <w:rPr>
                      <w:rFonts w:ascii="Cambria Math" w:hAnsi="Cambria Math"/>
                      <w:lang w:val="en-US"/>
                    </w:rPr>
                    <m:t>dy</m:t>
                  </m:r>
                </m:den>
              </m:f>
              <m:r>
                <w:rPr>
                  <w:rFonts w:ascii="Cambria Math" w:hAnsi="Cambria Math"/>
                  <w:lang w:val="en-US"/>
                </w:rPr>
                <m:t xml:space="preserve"> #</m:t>
              </m:r>
              <m:d>
                <m:dPr>
                  <m:ctrlPr>
                    <w:rPr>
                      <w:rFonts w:ascii="Cambria Math" w:hAnsi="Cambria Math"/>
                      <w:i/>
                      <w:lang w:val="en-US"/>
                    </w:rPr>
                  </m:ctrlPr>
                </m:dPr>
                <m:e>
                  <m:r>
                    <w:rPr>
                      <w:rFonts w:ascii="Cambria Math" w:hAnsi="Cambria Math"/>
                      <w:lang w:val="en-US"/>
                    </w:rPr>
                    <m:t>2.1</m:t>
                  </m:r>
                </m:e>
              </m:d>
            </m:e>
          </m:eqArr>
        </m:oMath>
      </m:oMathPara>
    </w:p>
    <w:p w14:paraId="3FF6932A" w14:textId="4A00FE5E" w:rsidR="00C52594" w:rsidRDefault="00BC1B92" w:rsidP="00C52594">
      <w:pPr>
        <w:rPr>
          <w:lang w:val="en-US"/>
        </w:rPr>
      </w:pPr>
      <w:r>
        <w:rPr>
          <w:rFonts w:eastAsiaTheme="minorEastAsia"/>
          <w:lang w:val="en-US"/>
        </w:rPr>
        <w:t xml:space="preserve">Where </w:t>
      </w:r>
      <w:r>
        <w:rPr>
          <w:rFonts w:eastAsiaTheme="minorEastAsia" w:cstheme="minorHAnsi"/>
          <w:lang w:val="en-US"/>
        </w:rPr>
        <w:t>µ</w:t>
      </w:r>
      <w:r>
        <w:rPr>
          <w:rFonts w:eastAsiaTheme="minorEastAsia"/>
          <w:lang w:val="en-US"/>
        </w:rPr>
        <w:t xml:space="preserve"> is the viscosity and </w:t>
      </w: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x</m:t>
            </m:r>
          </m:sub>
        </m:sSub>
      </m:oMath>
      <w:r>
        <w:rPr>
          <w:rFonts w:eastAsiaTheme="minorEastAsia"/>
          <w:lang w:val="en-US"/>
        </w:rPr>
        <w:t xml:space="preserve"> the velocity in the x direction. </w:t>
      </w:r>
      <w:r w:rsidR="00EE3550">
        <w:rPr>
          <w:lang w:val="en-US"/>
        </w:rPr>
        <w:t>Based on the Couette F</w:t>
      </w:r>
      <w:r w:rsidR="00C52594">
        <w:rPr>
          <w:lang w:val="en-US"/>
        </w:rPr>
        <w:t xml:space="preserve">low equation, </w:t>
      </w:r>
      <w:r>
        <w:rPr>
          <w:lang w:val="en-US"/>
        </w:rPr>
        <w:t>for constant viscosity, the heat production (Eq. 3) yields:</w:t>
      </w:r>
      <w:r w:rsidR="00C52594">
        <w:rPr>
          <w:lang w:val="en-US"/>
        </w:rPr>
        <w:t xml:space="preserve"> </w:t>
      </w:r>
    </w:p>
    <w:p w14:paraId="71789995" w14:textId="34823BB3" w:rsidR="00C52594" w:rsidRPr="00226A99" w:rsidRDefault="00450B58" w:rsidP="00C52594">
      <w:pPr>
        <w:rPr>
          <w:rFonts w:eastAsiaTheme="minorEastAsia"/>
          <w:lang w:val="en-US"/>
        </w:rPr>
      </w:pPr>
      <m:oMathPara>
        <m:oMath>
          <m:eqArr>
            <m:eqArrPr>
              <m:maxDist m:val="1"/>
              <m:ctrlPr>
                <w:rPr>
                  <w:rFonts w:ascii="Cambria Math" w:hAnsi="Cambria Math"/>
                  <w:i/>
                  <w:lang w:val="en-US"/>
                </w:rPr>
              </m:ctrlPr>
            </m:eqArrPr>
            <m:e>
              <m:acc>
                <m:accPr>
                  <m:chr m:val="̇"/>
                  <m:ctrlPr>
                    <w:rPr>
                      <w:rFonts w:ascii="Cambria Math" w:hAnsi="Cambria Math"/>
                      <w:i/>
                      <w:lang w:val="en-US"/>
                    </w:rPr>
                  </m:ctrlPr>
                </m:accPr>
                <m:e>
                  <m:r>
                    <w:rPr>
                      <w:rFonts w:ascii="Cambria Math" w:hAnsi="Cambria Math"/>
                      <w:lang w:val="en-US"/>
                    </w:rPr>
                    <m:t>E</m:t>
                  </m:r>
                </m:e>
              </m:acc>
              <m:r>
                <w:rPr>
                  <w:rFonts w:ascii="Cambria Math" w:hAnsi="Cambria Math"/>
                  <w:lang w:val="en-US"/>
                </w:rPr>
                <m:t>= τ .</m:t>
              </m:r>
              <m:acc>
                <m:accPr>
                  <m:chr m:val="̇"/>
                  <m:ctrlPr>
                    <w:rPr>
                      <w:rFonts w:ascii="Cambria Math" w:eastAsiaTheme="minorEastAsia" w:hAnsi="Cambria Math"/>
                      <w:i/>
                      <w:lang w:val="en-US"/>
                    </w:rPr>
                  </m:ctrlPr>
                </m:accPr>
                <m:e>
                  <m:r>
                    <w:rPr>
                      <w:rFonts w:ascii="Cambria Math" w:eastAsiaTheme="minorEastAsia" w:hAnsi="Cambria Math"/>
                      <w:lang w:val="en-US"/>
                    </w:rPr>
                    <m:t>ε</m:t>
                  </m:r>
                </m:e>
              </m:acc>
              <m:r>
                <w:rPr>
                  <w:rFonts w:ascii="Cambria Math" w:hAnsi="Cambria Math"/>
                  <w:lang w:val="en-US"/>
                </w:rPr>
                <m:t xml:space="preserve"> = τ</m:t>
              </m:r>
              <m:f>
                <m:fPr>
                  <m:ctrlPr>
                    <w:rPr>
                      <w:rFonts w:ascii="Cambria Math" w:hAnsi="Cambria Math"/>
                      <w:i/>
                      <w:lang w:val="en-US"/>
                    </w:rPr>
                  </m:ctrlPr>
                </m:fPr>
                <m:num>
                  <m:r>
                    <w:rPr>
                      <w:rFonts w:ascii="Cambria Math" w:hAnsi="Cambria Math"/>
                      <w:lang w:val="en-US"/>
                    </w:rPr>
                    <m:t>d</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x</m:t>
                          </m:r>
                        </m:sub>
                      </m:sSub>
                    </m:e>
                  </m:d>
                </m:num>
                <m:den>
                  <m:r>
                    <w:rPr>
                      <w:rFonts w:ascii="Cambria Math" w:hAnsi="Cambria Math"/>
                      <w:lang w:val="en-US"/>
                    </w:rPr>
                    <m:t>dy</m:t>
                  </m:r>
                </m:den>
              </m:f>
              <m:r>
                <w:rPr>
                  <w:rFonts w:ascii="Cambria Math" w:hAnsi="Cambria Math"/>
                  <w:lang w:val="en-US"/>
                </w:rPr>
                <m:t xml:space="preserve">=μ </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u</m:t>
                          </m:r>
                        </m:num>
                        <m:den>
                          <m:r>
                            <w:rPr>
                              <w:rFonts w:ascii="Cambria Math" w:hAnsi="Cambria Math"/>
                              <w:lang w:val="en-US"/>
                            </w:rPr>
                            <m:t>h</m:t>
                          </m:r>
                        </m:den>
                      </m:f>
                    </m:e>
                  </m:d>
                </m:e>
                <m:sup>
                  <m:r>
                    <w:rPr>
                      <w:rFonts w:ascii="Cambria Math" w:hAnsi="Cambria Math"/>
                      <w:lang w:val="en-US"/>
                    </w:rPr>
                    <m:t>2</m:t>
                  </m:r>
                </m:sup>
              </m:sSup>
              <m:r>
                <w:rPr>
                  <w:rFonts w:ascii="Cambria Math" w:hAnsi="Cambria Math"/>
                  <w:lang w:val="en-US"/>
                </w:rPr>
                <m:t>#</m:t>
              </m:r>
              <m:d>
                <m:dPr>
                  <m:ctrlPr>
                    <w:rPr>
                      <w:rFonts w:ascii="Cambria Math" w:hAnsi="Cambria Math"/>
                      <w:i/>
                      <w:lang w:val="en-US"/>
                    </w:rPr>
                  </m:ctrlPr>
                </m:dPr>
                <m:e>
                  <m:r>
                    <w:rPr>
                      <w:rFonts w:ascii="Cambria Math" w:hAnsi="Cambria Math"/>
                      <w:lang w:val="en-US"/>
                    </w:rPr>
                    <m:t>2.2</m:t>
                  </m:r>
                </m:e>
              </m:d>
            </m:e>
          </m:eqArr>
        </m:oMath>
      </m:oMathPara>
    </w:p>
    <w:p w14:paraId="7C88E91E" w14:textId="6CDA1811" w:rsidR="00D97CA4" w:rsidRDefault="00BC1B92" w:rsidP="00C52594">
      <w:pPr>
        <w:rPr>
          <w:rFonts w:eastAsiaTheme="minorEastAsia"/>
          <w:lang w:val="en-US"/>
        </w:rPr>
      </w:pPr>
      <w:r>
        <w:rPr>
          <w:rFonts w:eastAsiaTheme="minorEastAsia"/>
          <w:lang w:val="en-US"/>
        </w:rPr>
        <w:t>V</w:t>
      </w:r>
      <w:r w:rsidR="008D442A">
        <w:rPr>
          <w:rFonts w:eastAsiaTheme="minorEastAsia"/>
          <w:lang w:val="en-US"/>
        </w:rPr>
        <w:t xml:space="preserve">iscosity </w:t>
      </w:r>
      <w:r>
        <w:rPr>
          <w:rFonts w:eastAsiaTheme="minorEastAsia"/>
          <w:lang w:val="en-US"/>
        </w:rPr>
        <w:t>of melt for rocks similar to the Black Fault Rocks range</w:t>
      </w:r>
      <w:r w:rsidR="008D442A">
        <w:rPr>
          <w:rFonts w:eastAsiaTheme="minorEastAsia"/>
          <w:lang w:val="en-US"/>
        </w:rPr>
        <w:t xml:space="preserve"> between </w:t>
      </w:r>
      <w:r w:rsidR="00C52594">
        <w:rPr>
          <w:rFonts w:eastAsiaTheme="minorEastAsia"/>
          <w:lang w:val="en-US"/>
        </w:rPr>
        <w:t>10</w:t>
      </w:r>
      <w:r w:rsidR="00C52594" w:rsidRPr="00FE79EE">
        <w:rPr>
          <w:rFonts w:eastAsiaTheme="minorEastAsia"/>
          <w:vertAlign w:val="superscript"/>
          <w:lang w:val="en-US"/>
        </w:rPr>
        <w:t>0</w:t>
      </w:r>
      <w:r w:rsidR="00C52594">
        <w:rPr>
          <w:rFonts w:eastAsiaTheme="minorEastAsia"/>
          <w:lang w:val="en-US"/>
        </w:rPr>
        <w:t xml:space="preserve"> and 10</w:t>
      </w:r>
      <w:r w:rsidR="00C52594" w:rsidRPr="00FE79EE">
        <w:rPr>
          <w:rFonts w:eastAsiaTheme="minorEastAsia"/>
          <w:vertAlign w:val="superscript"/>
          <w:lang w:val="en-US"/>
        </w:rPr>
        <w:t>2</w:t>
      </w:r>
      <w:r w:rsidR="00D5601A">
        <w:rPr>
          <w:rFonts w:eastAsiaTheme="minorEastAsia"/>
          <w:lang w:val="en-US"/>
        </w:rPr>
        <w:t xml:space="preserve"> Pa.s</w:t>
      </w:r>
      <w:r w:rsidR="00C35D01">
        <w:rPr>
          <w:rFonts w:eastAsiaTheme="minorEastAsia"/>
          <w:lang w:val="en-US"/>
        </w:rPr>
        <w:fldChar w:fldCharType="begin"/>
      </w:r>
      <w:r w:rsidR="00BD095E">
        <w:rPr>
          <w:rFonts w:eastAsiaTheme="minorEastAsia"/>
          <w:lang w:val="en-US"/>
        </w:rPr>
        <w:instrText xml:space="preserve"> ADDIN ZOTERO_ITEM CSL_CITATION {"citationID":"latpm84U","properties":{"formattedCitation":"\\super 9\\nosupersub{}","plainCitation":"9","noteIndex":0},"citationItems":[{"id":315,"uris":["http://zotero.org/users/5712877/items/QRAJHXDG"],"uri":["http://zotero.org/users/5712877/items/QRAJHXDG"],"itemData":{"id":315,"type":"article-journal","title":"Pseudotachylytes in an ancient accretionary complex and implications for melt lubrication during subduction zone earthquakes","container-title":"Journal of Structural Geology","page":"599-613","volume":"29","issue":"4","source":"Crossref","abstract":"Pseudotachylyte-bearing fault zones, found in the Shimanto accretionary complex, southwest Japan, developed during subduction or underplating at seismogenic depths. The pseudotachylytes occur in narrow dark veins less than a few millimeters thick that are sharply bounded by foliated cataclasites that originated from a me´lange. The microstructures of pseudotachylytes are represented by a fragment-laden, glasssupported texture resulting from the rapid cooling of the frictional melt. Transmission electron microscopy reveals the presence of glass in which euhedral microcrystals of mullite are locally developed. The compositions of the pseudotachylyte matrix and the characteristics of the unmelted grains and microlites in the matrix suggest that frictional melting occurred in an illite-rich slip zone with a minimum melting temperature of 1100 \u0014C. The viscosities of the frictional melt were calculated from the pseudotachylyte matrix composition as well as from the volume fraction and aspect ratio of the unmelted grains. The viscosities at 1100 \u0014C range from 85 to 290 Pa s, and the corresponding shear resistance along a 1-mm-thick melt layer at a slip rate of 1 m/s was 0.1e0.3 MPa. The formation of a melt layer in an illite-rich slip zone can possibly induce large stress drops, increase the slip rate and enhance rupture propagation, which together could affect the earthquake magnitude in a subduction zone. Ó 2006 Elsevier Ltd. All rights reserved.","DOI":"10.1016/j.jsg.2006.10.012","ISSN":"01918141","language":"en","author":[{"family":"Ujiie","given":"Kohtaro"},{"family":"Yamaguchi","given":"Haruka"},{"family":"Sakaguchi","given":"Arito"},{"family":"Toh","given":"Shoichi"}],"issued":{"date-parts":[["2007",4]]}}}],"schema":"https://github.com/citation-style-language/schema/raw/master/csl-citation.json"} </w:instrText>
      </w:r>
      <w:r w:rsidR="00C35D01">
        <w:rPr>
          <w:rFonts w:eastAsiaTheme="minorEastAsia"/>
          <w:lang w:val="en-US"/>
        </w:rPr>
        <w:fldChar w:fldCharType="separate"/>
      </w:r>
      <w:r w:rsidR="00BD095E" w:rsidRPr="00BD095E">
        <w:rPr>
          <w:rFonts w:cs="Times New Roman"/>
          <w:szCs w:val="24"/>
          <w:vertAlign w:val="superscript"/>
          <w:lang w:val="en-US"/>
        </w:rPr>
        <w:t>9</w:t>
      </w:r>
      <w:r w:rsidR="00C35D01">
        <w:rPr>
          <w:rFonts w:eastAsiaTheme="minorEastAsia"/>
          <w:lang w:val="en-US"/>
        </w:rPr>
        <w:fldChar w:fldCharType="end"/>
      </w:r>
      <w:r w:rsidR="00D5601A">
        <w:rPr>
          <w:rFonts w:eastAsiaTheme="minorEastAsia"/>
          <w:lang w:val="en-US"/>
        </w:rPr>
        <w:t xml:space="preserve">. </w:t>
      </w:r>
      <w:r w:rsidR="008D442A">
        <w:rPr>
          <w:rFonts w:eastAsiaTheme="minorEastAsia"/>
          <w:lang w:val="en-US"/>
        </w:rPr>
        <w:t xml:space="preserve"> </w:t>
      </w:r>
      <w:r w:rsidR="00C52594">
        <w:rPr>
          <w:rFonts w:eastAsiaTheme="minorEastAsia"/>
          <w:lang w:val="en-US"/>
        </w:rPr>
        <w:t>The main factor</w:t>
      </w:r>
      <w:r>
        <w:rPr>
          <w:rFonts w:eastAsiaTheme="minorEastAsia"/>
          <w:lang w:val="en-US"/>
        </w:rPr>
        <w:t xml:space="preserve"> that</w:t>
      </w:r>
      <w:r w:rsidR="00C52594">
        <w:rPr>
          <w:rFonts w:eastAsiaTheme="minorEastAsia"/>
          <w:lang w:val="en-US"/>
        </w:rPr>
        <w:t xml:space="preserve"> </w:t>
      </w:r>
      <w:r w:rsidR="008D442A">
        <w:rPr>
          <w:rFonts w:eastAsiaTheme="minorEastAsia"/>
          <w:lang w:val="en-US"/>
        </w:rPr>
        <w:t>controls</w:t>
      </w:r>
      <w:r w:rsidR="00C52594">
        <w:rPr>
          <w:rFonts w:eastAsiaTheme="minorEastAsia"/>
          <w:lang w:val="en-US"/>
        </w:rPr>
        <w:t xml:space="preserve"> th</w:t>
      </w:r>
      <w:r>
        <w:rPr>
          <w:rFonts w:eastAsiaTheme="minorEastAsia"/>
          <w:lang w:val="en-US"/>
        </w:rPr>
        <w:t>e</w:t>
      </w:r>
      <w:r w:rsidR="00C52594">
        <w:rPr>
          <w:rFonts w:eastAsiaTheme="minorEastAsia"/>
          <w:lang w:val="en-US"/>
        </w:rPr>
        <w:t xml:space="preserve"> amount of </w:t>
      </w:r>
      <w:r>
        <w:rPr>
          <w:rFonts w:eastAsiaTheme="minorEastAsia"/>
          <w:lang w:val="en-US"/>
        </w:rPr>
        <w:t xml:space="preserve">heat production </w:t>
      </w:r>
      <w:r w:rsidR="00C52594">
        <w:rPr>
          <w:rFonts w:eastAsiaTheme="minorEastAsia"/>
          <w:lang w:val="en-US"/>
        </w:rPr>
        <w:t>is the slip velocity</w:t>
      </w:r>
      <w:r w:rsidR="008D442A">
        <w:rPr>
          <w:rFonts w:eastAsiaTheme="minorEastAsia"/>
          <w:lang w:val="en-US"/>
        </w:rPr>
        <w:t xml:space="preserve">. </w:t>
      </w:r>
      <w:r>
        <w:rPr>
          <w:rFonts w:eastAsiaTheme="minorEastAsia"/>
          <w:lang w:val="en-US"/>
        </w:rPr>
        <w:t>Estimates</w:t>
      </w:r>
      <w:r w:rsidR="00C52594">
        <w:rPr>
          <w:rFonts w:eastAsiaTheme="minorEastAsia"/>
          <w:lang w:val="en-US"/>
        </w:rPr>
        <w:t xml:space="preserve"> </w:t>
      </w:r>
      <w:r>
        <w:rPr>
          <w:rFonts w:eastAsiaTheme="minorEastAsia"/>
          <w:lang w:val="en-US"/>
        </w:rPr>
        <w:t>for important earthquake</w:t>
      </w:r>
      <w:r>
        <w:rPr>
          <w:rFonts w:eastAsiaTheme="minorEastAsia"/>
          <w:lang w:val="en-US"/>
        </w:rPr>
        <w:fldChar w:fldCharType="begin"/>
      </w:r>
      <w:r w:rsidR="00BD095E">
        <w:rPr>
          <w:rFonts w:eastAsiaTheme="minorEastAsia"/>
          <w:lang w:val="en-US"/>
        </w:rPr>
        <w:instrText xml:space="preserve"> ADDIN ZOTERO_ITEM CSL_CITATION {"citationID":"YxbTxnLs","properties":{"formattedCitation":"\\super 1,3,4\\nosupersub{}","plainCitation":"1,3,4","noteIndex":0},"citationItems":[{"id":402,"uris":["http://zotero.org/users/5712877/items/B8SSYN44"],"uri":["http://zotero.org/users/5712877/items/B8SSYN44"],"itemData":{"id":402,"type":"book","title":"The Mechanics of Earthquakes and Faulting","publisher":"Cambridge University Press","number-of-pages":"439","edition":"1st edition","URL":"doi:10.1017/CBO9780511818516","author":[{"family":"Scholz","given":"Christopher"}],"issued":{"date-parts":[["1990"]]}}},{"id":420,"uris":["http://zotero.org/users/5712877/items/BBUHAZWG"],"uri":["http://zotero.org/users/5712877/items/BBUHAZWG"],"itemData":{"id":420,"type":"article-journal","title":"Friction falls towards zero in quartz rock as slip velocity approaches seismic rates","container-title":"Nature","page":"436-439","volume":"427","issue":"6973","source":"Crossref","DOI":"10.1038/nature02249","ISSN":"0028-0836, 1476-4687","language":"en","author":[{"family":"Di Toro","given":"Giulio"},{"family":"Goldsby","given":"David L."},{"family":"Tullis","given":"Terry E."}],"issued":{"date-parts":[["2004",1]]}}},{"id":417,"uris":["http://zotero.org/users/5712877/items/ZRKJHNAK"],"uri":["http://zotero.org/users/5712877/items/ZRKJHNAK"],"itemData":{"id":417,"type":"article-journal","title":"Fault lubrication during earthquakes","container-title":"Nature","page":"494-498","volume":"471","issue":"7339","source":"Crossref","DOI":"10.1038/nature09838","ISSN":"0028-0836, 1476-4687","language":"en","author":[{"family":"Di Toro","given":"G."},{"family":"Han","given":"R."},{"family":"Hirose","given":"T."},{"family":"De Paola","given":"N."},{"family":"Nielsen","given":"S."},{"family":"Mizoguchi","given":"K."},{"family":"Ferri","given":"F."},{"family":"Cocco","given":"M."},{"family":"Shimamoto","given":"T."}],"issued":{"date-parts":[["2011",3]]}}}],"schema":"https://github.com/citation-style-language/schema/raw/master/csl-citation.json"} </w:instrText>
      </w:r>
      <w:r>
        <w:rPr>
          <w:rFonts w:eastAsiaTheme="minorEastAsia"/>
          <w:lang w:val="en-US"/>
        </w:rPr>
        <w:fldChar w:fldCharType="separate"/>
      </w:r>
      <w:r w:rsidR="00BD095E" w:rsidRPr="00BD095E">
        <w:rPr>
          <w:rFonts w:cs="Times New Roman"/>
          <w:szCs w:val="24"/>
          <w:vertAlign w:val="superscript"/>
          <w:lang w:val="en-US"/>
        </w:rPr>
        <w:t>1,3,4</w:t>
      </w:r>
      <w:r>
        <w:rPr>
          <w:rFonts w:eastAsiaTheme="minorEastAsia"/>
          <w:lang w:val="en-US"/>
        </w:rPr>
        <w:fldChar w:fldCharType="end"/>
      </w:r>
      <w:r w:rsidR="00C35D01">
        <w:rPr>
          <w:rFonts w:eastAsiaTheme="minorEastAsia"/>
          <w:lang w:val="en-US"/>
        </w:rPr>
        <w:t xml:space="preserve"> </w:t>
      </w:r>
      <w:r w:rsidR="0071028B">
        <w:rPr>
          <w:rFonts w:eastAsiaTheme="minorEastAsia"/>
          <w:lang w:val="en-US"/>
        </w:rPr>
        <w:t>(M&gt;5</w:t>
      </w:r>
      <w:r w:rsidR="004C4797">
        <w:rPr>
          <w:rFonts w:eastAsiaTheme="minorEastAsia"/>
          <w:lang w:val="en-US"/>
        </w:rPr>
        <w:t xml:space="preserve">) </w:t>
      </w:r>
      <w:r w:rsidR="00C52594">
        <w:rPr>
          <w:rFonts w:eastAsiaTheme="minorEastAsia"/>
          <w:lang w:val="en-US"/>
        </w:rPr>
        <w:t>gave slip rate between 1 and 3 m/s</w:t>
      </w:r>
      <w:r w:rsidR="003F1EC7">
        <w:rPr>
          <w:rFonts w:eastAsiaTheme="minorEastAsia"/>
          <w:lang w:val="en-US"/>
        </w:rPr>
        <w:t xml:space="preserve">. </w:t>
      </w:r>
      <w:r w:rsidR="0011120A">
        <w:rPr>
          <w:rFonts w:eastAsiaTheme="minorEastAsia"/>
          <w:lang w:val="en-US"/>
        </w:rPr>
        <w:t>For example</w:t>
      </w:r>
      <w:r>
        <w:rPr>
          <w:rFonts w:eastAsiaTheme="minorEastAsia"/>
          <w:lang w:val="en-US"/>
        </w:rPr>
        <w:t>,</w:t>
      </w:r>
      <w:r w:rsidR="0011120A">
        <w:rPr>
          <w:rFonts w:eastAsiaTheme="minorEastAsia"/>
          <w:lang w:val="en-US"/>
        </w:rPr>
        <w:t xml:space="preserve"> </w:t>
      </w:r>
      <w:r>
        <w:rPr>
          <w:rFonts w:eastAsiaTheme="minorEastAsia"/>
          <w:lang w:val="en-US"/>
        </w:rPr>
        <w:t xml:space="preserve">during </w:t>
      </w:r>
      <w:r w:rsidR="0011120A">
        <w:rPr>
          <w:rFonts w:eastAsiaTheme="minorEastAsia"/>
          <w:lang w:val="en-US"/>
        </w:rPr>
        <w:t xml:space="preserve">the </w:t>
      </w:r>
      <w:r>
        <w:rPr>
          <w:rFonts w:eastAsiaTheme="minorEastAsia"/>
          <w:lang w:val="en-US"/>
        </w:rPr>
        <w:t>mega-</w:t>
      </w:r>
      <w:r w:rsidR="0011120A">
        <w:rPr>
          <w:rFonts w:eastAsiaTheme="minorEastAsia"/>
          <w:lang w:val="en-US"/>
        </w:rPr>
        <w:t>earthquake of Tohoku Oki</w:t>
      </w:r>
      <w:r w:rsidR="00331DA9">
        <w:rPr>
          <w:rFonts w:eastAsiaTheme="minorEastAsia"/>
          <w:lang w:val="en-US"/>
        </w:rPr>
        <w:t>, the maximum estimated slip rate was about 2.5 m/s</w:t>
      </w:r>
      <w:r w:rsidR="009E09CB">
        <w:rPr>
          <w:rFonts w:eastAsiaTheme="minorEastAsia"/>
          <w:lang w:val="en-US"/>
        </w:rPr>
        <w:fldChar w:fldCharType="begin"/>
      </w:r>
      <w:r w:rsidR="00BD095E">
        <w:rPr>
          <w:rFonts w:eastAsiaTheme="minorEastAsia"/>
          <w:lang w:val="en-US"/>
        </w:rPr>
        <w:instrText xml:space="preserve"> ADDIN ZOTERO_ITEM CSL_CITATION {"citationID":"SZKs2dC2","properties":{"formattedCitation":"\\super 13\\nosupersub{}","plainCitation":"13","noteIndex":0},"citationItems":[{"id":430,"uris":["http://zotero.org/users/5712877/items/Y68MANAU"],"uri":["http://zotero.org/users/5712877/items/Y68MANAU"],"itemData":{"id":430,"type":"article-journal","title":"Sources of shaking and flooding during the Tohoku-Oki earthquake: A mixture of rupture styles","container-title":"Earth and Planetary Science Letters","page":"91-100","volume":"333-334","source":"Crossref","abstract":"Modeling strong ground motions from great subduction zone earthquakes is one of the great challenges of computational seismology. To separate the rupture characteristics from complexities caused by 3D sub-surface geology requires an extraordinary data set such as provided by the recent Mw9.0 TohokuOki earthquake. Here we combine deterministic inversion and dynamically guided forward simulation methods to model over one thousand high-rate GPS and strong motion observations from 0 to 0.25 Hz across the entire Honshu Island. Our results display distinct styles of rupture with a deeper generic interplate event ( $ Mw8.5) transitioning to a shallow tsunamigenic earthquake ($ Mw9.0) at about 25 km depth in a process driven by a strong dynamic weakening mechanism, possibly thermal pressurization. This source model predicts many important features of the broad set of seismic, geodetic and seaﬂoor observations providing a major advance in our understanding of such great natural hazards.","DOI":"10.1016/j.epsl.2012.04.006","ISSN":"0012821X","title-short":"Sources of shaking and flooding during the Tohoku-Oki earthquake","language":"en","author":[{"family":"Wei","given":"Shengji"},{"family":"Graves","given":"Robert"},{"family":"Helmberger","given":"Don"},{"family":"Avouac","given":"Jean-Philippe"},{"family":"Jiang","given":"Junle"}],"issued":{"date-parts":[["2012",6]]}}}],"schema":"https://github.com/citation-style-language/schema/raw/master/csl-citation.json"} </w:instrText>
      </w:r>
      <w:r w:rsidR="009E09CB">
        <w:rPr>
          <w:rFonts w:eastAsiaTheme="minorEastAsia"/>
          <w:lang w:val="en-US"/>
        </w:rPr>
        <w:fldChar w:fldCharType="separate"/>
      </w:r>
      <w:r w:rsidR="00BD095E" w:rsidRPr="00BD095E">
        <w:rPr>
          <w:rFonts w:cs="Times New Roman"/>
          <w:szCs w:val="24"/>
          <w:vertAlign w:val="superscript"/>
          <w:lang w:val="en-US"/>
        </w:rPr>
        <w:t>13</w:t>
      </w:r>
      <w:r w:rsidR="009E09CB">
        <w:rPr>
          <w:rFonts w:eastAsiaTheme="minorEastAsia"/>
          <w:lang w:val="en-US"/>
        </w:rPr>
        <w:fldChar w:fldCharType="end"/>
      </w:r>
      <w:r w:rsidR="00331DA9">
        <w:rPr>
          <w:rFonts w:eastAsiaTheme="minorEastAsia"/>
          <w:lang w:val="en-US"/>
        </w:rPr>
        <w:t>.</w:t>
      </w:r>
      <w:r w:rsidR="0011120A">
        <w:rPr>
          <w:rFonts w:eastAsiaTheme="minorEastAsia"/>
          <w:lang w:val="en-US"/>
        </w:rPr>
        <w:t xml:space="preserve"> </w:t>
      </w:r>
      <w:r w:rsidR="007572D1">
        <w:rPr>
          <w:rFonts w:eastAsiaTheme="minorEastAsia"/>
          <w:lang w:val="en-US"/>
        </w:rPr>
        <w:t>T</w:t>
      </w:r>
      <w:r w:rsidR="00C52594">
        <w:rPr>
          <w:rFonts w:eastAsiaTheme="minorEastAsia"/>
          <w:lang w:val="en-US"/>
        </w:rPr>
        <w:t>here is a correlation between the slip rate and the size of the fault</w:t>
      </w:r>
      <w:r w:rsidR="007572D1">
        <w:rPr>
          <w:rFonts w:eastAsiaTheme="minorEastAsia"/>
          <w:lang w:val="en-US"/>
        </w:rPr>
        <w:fldChar w:fldCharType="begin"/>
      </w:r>
      <w:r w:rsidR="00BD095E">
        <w:rPr>
          <w:rFonts w:eastAsiaTheme="minorEastAsia"/>
          <w:lang w:val="en-US"/>
        </w:rPr>
        <w:instrText xml:space="preserve"> ADDIN ZOTERO_ITEM CSL_CITATION {"citationID":"EQa8jVYL","properties":{"formattedCitation":"\\super 14\\nosupersub{}","plainCitation":"14","noteIndex":0},"citationItems":[{"id":440,"uris":["http://zotero.org/users/5712877/items/49USIB5K"],"uri":["http://zotero.org/users/5712877/items/49USIB5K"],"itemData":{"id":440,"type":"chapter","title":"Microscopic and macroscopic physics of earthquakes","container-title":"Geophysical Monograph Series","publisher":"American Geophysical Union","publisher-place":"Washington, D. C.","page":"147-163","volume":"120","source":"Crossref","event-place":"Washington, D. C.","URL":"http://www.agu.org/books/gm/v120/GM120p0147/GM120p0147.shtml","ISBN":"978-0-87590-978-3","note":"DOI: 10.1029/GM120p0147","language":"en","editor":[{"family":"Rundle","given":"John B."},{"family":"Turcotte","given":"Donald L."},{"family":"Klein","given":"William"}],"author":[{"family":"Kanamori","given":"Hiroo"},{"family":"Heaton","given":"Thomas H."}],"issued":{"date-parts":[["2000"]]},"accessed":{"date-parts":[["2020",10,6]]}}}],"schema":"https://github.com/citation-style-language/schema/raw/master/csl-citation.json"} </w:instrText>
      </w:r>
      <w:r w:rsidR="007572D1">
        <w:rPr>
          <w:rFonts w:eastAsiaTheme="minorEastAsia"/>
          <w:lang w:val="en-US"/>
        </w:rPr>
        <w:fldChar w:fldCharType="separate"/>
      </w:r>
      <w:r w:rsidR="00BD095E" w:rsidRPr="00BD095E">
        <w:rPr>
          <w:rFonts w:cs="Times New Roman"/>
          <w:szCs w:val="24"/>
          <w:vertAlign w:val="superscript"/>
          <w:lang w:val="en-US"/>
        </w:rPr>
        <w:t>14</w:t>
      </w:r>
      <w:r w:rsidR="007572D1">
        <w:rPr>
          <w:rFonts w:eastAsiaTheme="minorEastAsia"/>
          <w:lang w:val="en-US"/>
        </w:rPr>
        <w:fldChar w:fldCharType="end"/>
      </w:r>
      <w:r w:rsidR="00C52594">
        <w:rPr>
          <w:rFonts w:eastAsiaTheme="minorEastAsia"/>
          <w:lang w:val="en-US"/>
        </w:rPr>
        <w:t>. Fault zone</w:t>
      </w:r>
      <w:r w:rsidR="00D97CA4">
        <w:rPr>
          <w:rFonts w:eastAsiaTheme="minorEastAsia"/>
          <w:lang w:val="en-US"/>
        </w:rPr>
        <w:t>s</w:t>
      </w:r>
      <w:r w:rsidR="00C52594">
        <w:rPr>
          <w:rFonts w:eastAsiaTheme="minorEastAsia"/>
          <w:lang w:val="en-US"/>
        </w:rPr>
        <w:t xml:space="preserve"> where </w:t>
      </w:r>
      <w:r w:rsidR="008C4EAF">
        <w:rPr>
          <w:rFonts w:eastAsiaTheme="minorEastAsia"/>
          <w:lang w:val="en-US"/>
        </w:rPr>
        <w:t xml:space="preserve">Black Fault </w:t>
      </w:r>
      <w:r w:rsidR="008C4EAF">
        <w:rPr>
          <w:rFonts w:eastAsiaTheme="minorEastAsia"/>
          <w:lang w:val="en-US"/>
        </w:rPr>
        <w:lastRenderedPageBreak/>
        <w:t>Rocks</w:t>
      </w:r>
      <w:r w:rsidR="00C52594">
        <w:rPr>
          <w:rFonts w:eastAsiaTheme="minorEastAsia"/>
          <w:lang w:val="en-US"/>
        </w:rPr>
        <w:t xml:space="preserve"> are described in the accretionary prism</w:t>
      </w:r>
      <w:r w:rsidR="008D442A">
        <w:rPr>
          <w:rFonts w:eastAsiaTheme="minorEastAsia"/>
          <w:lang w:val="en-US"/>
        </w:rPr>
        <w:t>s</w:t>
      </w:r>
      <w:r w:rsidR="00C52594">
        <w:rPr>
          <w:rFonts w:eastAsiaTheme="minorEastAsia"/>
          <w:lang w:val="en-US"/>
        </w:rPr>
        <w:t xml:space="preserve"> are</w:t>
      </w:r>
      <w:r w:rsidR="00D97CA4" w:rsidRPr="00D97CA4">
        <w:rPr>
          <w:rFonts w:eastAsiaTheme="minorEastAsia"/>
          <w:lang w:val="en-US"/>
        </w:rPr>
        <w:t xml:space="preserve"> </w:t>
      </w:r>
      <w:r w:rsidR="00D97CA4">
        <w:rPr>
          <w:rFonts w:eastAsiaTheme="minorEastAsia"/>
          <w:lang w:val="en-US"/>
        </w:rPr>
        <w:t xml:space="preserve">structures internal to tectonic units, without major gap </w:t>
      </w:r>
      <w:r w:rsidR="00E53BBC">
        <w:rPr>
          <w:rFonts w:eastAsiaTheme="minorEastAsia"/>
          <w:lang w:val="en-US"/>
        </w:rPr>
        <w:t xml:space="preserve">either </w:t>
      </w:r>
      <w:r w:rsidR="00D97CA4">
        <w:rPr>
          <w:rFonts w:eastAsiaTheme="minorEastAsia"/>
          <w:lang w:val="en-US"/>
        </w:rPr>
        <w:t xml:space="preserve">in </w:t>
      </w:r>
      <w:r w:rsidR="00E53BBC">
        <w:rPr>
          <w:rFonts w:eastAsiaTheme="minorEastAsia"/>
          <w:lang w:val="en-US"/>
        </w:rPr>
        <w:t xml:space="preserve">the stratigraphic </w:t>
      </w:r>
      <w:r w:rsidR="00D97CA4">
        <w:rPr>
          <w:rFonts w:eastAsiaTheme="minorEastAsia"/>
          <w:lang w:val="en-US"/>
        </w:rPr>
        <w:t>age</w:t>
      </w:r>
      <w:r w:rsidR="00E53BBC">
        <w:rPr>
          <w:rFonts w:eastAsiaTheme="minorEastAsia"/>
          <w:lang w:val="en-US"/>
        </w:rPr>
        <w:t>s</w:t>
      </w:r>
      <w:r w:rsidR="00D97CA4">
        <w:rPr>
          <w:rFonts w:eastAsiaTheme="minorEastAsia"/>
          <w:lang w:val="en-US"/>
        </w:rPr>
        <w:t xml:space="preserve"> </w:t>
      </w:r>
      <w:r w:rsidR="00E53BBC">
        <w:rPr>
          <w:rFonts w:eastAsiaTheme="minorEastAsia"/>
          <w:lang w:val="en-US"/>
        </w:rPr>
        <w:t xml:space="preserve">or in </w:t>
      </w:r>
      <w:r w:rsidR="00D97CA4">
        <w:rPr>
          <w:rFonts w:eastAsiaTheme="minorEastAsia"/>
          <w:lang w:val="en-US"/>
        </w:rPr>
        <w:t>paleotemperature</w:t>
      </w:r>
      <w:r w:rsidR="00E53BBC">
        <w:rPr>
          <w:rFonts w:eastAsiaTheme="minorEastAsia"/>
          <w:lang w:val="en-US"/>
        </w:rPr>
        <w:t>s</w:t>
      </w:r>
      <w:r w:rsidR="00D97CA4">
        <w:rPr>
          <w:rFonts w:eastAsiaTheme="minorEastAsia"/>
          <w:lang w:val="en-US"/>
        </w:rPr>
        <w:t>.</w:t>
      </w:r>
      <w:r w:rsidR="001859CB">
        <w:rPr>
          <w:rFonts w:eastAsiaTheme="minorEastAsia"/>
          <w:lang w:val="en-US"/>
        </w:rPr>
        <w:t xml:space="preserve"> For the Nobeoka Black Fault Rock, the sample comes from a second-order slip plane below the main slip plane of the Nobeoka Tectonic Line.</w:t>
      </w:r>
      <w:r w:rsidR="00D97CA4">
        <w:rPr>
          <w:rFonts w:eastAsiaTheme="minorEastAsia"/>
          <w:lang w:val="en-US"/>
        </w:rPr>
        <w:t xml:space="preserve"> As a consequence, these faults are second-order structures, with much lower slip rate than earthquakes on major, plate-boundary faults, such as 2011 Tohoku-Oki earthquakes.</w:t>
      </w:r>
    </w:p>
    <w:p w14:paraId="747F3A7D" w14:textId="781DC941" w:rsidR="007572D1" w:rsidRDefault="00C52594" w:rsidP="00C52594">
      <w:pPr>
        <w:rPr>
          <w:rFonts w:eastAsiaTheme="minorEastAsia"/>
          <w:lang w:val="en-US"/>
        </w:rPr>
      </w:pPr>
      <w:r>
        <w:rPr>
          <w:rFonts w:eastAsiaTheme="minorEastAsia"/>
          <w:lang w:val="en-US"/>
        </w:rPr>
        <w:t>In add</w:t>
      </w:r>
      <w:r w:rsidR="008D442A">
        <w:rPr>
          <w:rFonts w:eastAsiaTheme="minorEastAsia"/>
          <w:lang w:val="en-US"/>
        </w:rPr>
        <w:t>ition, melt is occurring from 0.</w:t>
      </w:r>
      <w:r>
        <w:rPr>
          <w:rFonts w:eastAsiaTheme="minorEastAsia"/>
          <w:lang w:val="en-US"/>
        </w:rPr>
        <w:t>1m/s based on natural example</w:t>
      </w:r>
      <w:r w:rsidR="003F1EC7">
        <w:rPr>
          <w:rFonts w:eastAsiaTheme="minorEastAsia"/>
          <w:lang w:val="en-US"/>
        </w:rPr>
        <w:fldChar w:fldCharType="begin"/>
      </w:r>
      <w:r w:rsidR="00BD095E">
        <w:rPr>
          <w:rFonts w:eastAsiaTheme="minorEastAsia"/>
          <w:lang w:val="en-US"/>
        </w:rPr>
        <w:instrText xml:space="preserve"> ADDIN ZOTERO_ITEM CSL_CITATION {"citationID":"GJXj2oiA","properties":{"formattedCitation":"\\super 15\\nosupersub{}","plainCitation":"15","noteIndex":0},"citationItems":[{"id":263,"uris":["http://zotero.org/users/5712877/items/ECBHGW5D"],"uri":["http://zotero.org/users/5712877/items/ECBHGW5D"],"itemData":{"id":263,"type":"article-journal","title":"Generation of Pseudotachylyte by Ancient Seismic Faulting","container-title":"Geophysical Journal International","page":"775-794","volume":"43","issue":"3","source":"Crossref","DOI":"10.1111/j.1365-246X.1975.tb06195.x","ISSN":"0956-540X, 1365-246X","language":"en","author":[{"family":"Sibson","given":"Richard H."}],"issued":{"date-parts":[["1975",12]]}}}],"schema":"https://github.com/citation-style-language/schema/raw/master/csl-citation.json"} </w:instrText>
      </w:r>
      <w:r w:rsidR="003F1EC7">
        <w:rPr>
          <w:rFonts w:eastAsiaTheme="minorEastAsia"/>
          <w:lang w:val="en-US"/>
        </w:rPr>
        <w:fldChar w:fldCharType="separate"/>
      </w:r>
      <w:r w:rsidR="00BD095E" w:rsidRPr="00BD095E">
        <w:rPr>
          <w:rFonts w:cs="Times New Roman"/>
          <w:szCs w:val="24"/>
          <w:vertAlign w:val="superscript"/>
          <w:lang w:val="en-US"/>
        </w:rPr>
        <w:t>15</w:t>
      </w:r>
      <w:r w:rsidR="003F1EC7">
        <w:rPr>
          <w:rFonts w:eastAsiaTheme="minorEastAsia"/>
          <w:lang w:val="en-US"/>
        </w:rPr>
        <w:fldChar w:fldCharType="end"/>
      </w:r>
      <w:r w:rsidR="003F1EC7">
        <w:rPr>
          <w:rFonts w:eastAsiaTheme="minorEastAsia"/>
          <w:lang w:val="en-US"/>
        </w:rPr>
        <w:t xml:space="preserve"> </w:t>
      </w:r>
      <w:r w:rsidR="00B94C92">
        <w:rPr>
          <w:rFonts w:eastAsiaTheme="minorEastAsia"/>
          <w:lang w:val="en-US"/>
        </w:rPr>
        <w:t>and from 0.</w:t>
      </w:r>
      <w:r>
        <w:rPr>
          <w:rFonts w:eastAsiaTheme="minorEastAsia"/>
          <w:lang w:val="en-US"/>
        </w:rPr>
        <w:t>4m/s on experimental example</w:t>
      </w:r>
      <w:r w:rsidR="00B94C92">
        <w:rPr>
          <w:rFonts w:eastAsiaTheme="minorEastAsia"/>
          <w:lang w:val="en-US"/>
        </w:rPr>
        <w:t>s</w:t>
      </w:r>
      <w:r w:rsidR="003F1EC7">
        <w:rPr>
          <w:rFonts w:eastAsiaTheme="minorEastAsia"/>
          <w:lang w:val="en-US"/>
        </w:rPr>
        <w:fldChar w:fldCharType="begin"/>
      </w:r>
      <w:r w:rsidR="00BD095E">
        <w:rPr>
          <w:rFonts w:eastAsiaTheme="minorEastAsia"/>
          <w:lang w:val="en-US"/>
        </w:rPr>
        <w:instrText xml:space="preserve"> ADDIN ZOTERO_ITEM CSL_CITATION {"citationID":"j2nPqIbI","properties":{"formattedCitation":"\\super 16\\nosupersub{}","plainCitation":"16","noteIndex":0},"citationItems":[{"id":424,"uris":["http://zotero.org/users/5712877/items/E5E3CXBP"],"uri":["http://zotero.org/users/5712877/items/E5E3CXBP"],"itemData":{"id":424,"type":"article-journal","title":"High-velocity frictional properties of gabbro","container-title":"Geophysical Research Letters","page":"699-702","volume":"24","issue":"6","source":"Crossref","abstract":"High-velocity friction experim~ts have been performed on a pair of hollow-cylindrical specimens of gabbro initially at room temperature, at slip rates fr6rn 7.5 mm/s to l.8 mis, with total circumferential displacements of 125 to 174 m, and a-t normal stresses to 5 tv1Pa, using a rotary-shear high-speed friction testing machine. Steady-state friction increases slightly with increasing slip rate at slip rates to about J00 mm/s (velocity strengthening) and it decreases markedly . with increasing slip rate at higher velocities (velocity weakening). Steady-state friction in the velocity weakening regime is lower for the non-melting case than the frictional melting case, due perhaps to severe thermal fracturing. A very large peak friction is always recognized upon the initiation of visible frictional melting, presumably owing to the welding of fault surfaces upon the solidification of melt patches. Frictional properties thus change dramatically with increasing displacement at high velocities, and such a non-linear effect must be incorporated into the analysis of earthquake initiation processes.","DOI":"10.1029/97GL00503","ISSN":"00948276","language":"en","author":[{"family":"Tsutsumi","given":"Akito"},{"family":"Shimamoto","given":"Toshihiko"}],"issued":{"date-parts":[["1997",3,15]]}}}],"schema":"https://github.com/citation-style-language/schema/raw/master/csl-citation.json"} </w:instrText>
      </w:r>
      <w:r w:rsidR="003F1EC7">
        <w:rPr>
          <w:rFonts w:eastAsiaTheme="minorEastAsia"/>
          <w:lang w:val="en-US"/>
        </w:rPr>
        <w:fldChar w:fldCharType="separate"/>
      </w:r>
      <w:r w:rsidR="00BD095E" w:rsidRPr="00BD095E">
        <w:rPr>
          <w:rFonts w:cs="Times New Roman"/>
          <w:szCs w:val="24"/>
          <w:vertAlign w:val="superscript"/>
          <w:lang w:val="en-US"/>
        </w:rPr>
        <w:t>16</w:t>
      </w:r>
      <w:r w:rsidR="003F1EC7">
        <w:rPr>
          <w:rFonts w:eastAsiaTheme="minorEastAsia"/>
          <w:lang w:val="en-US"/>
        </w:rPr>
        <w:fldChar w:fldCharType="end"/>
      </w:r>
      <w:r>
        <w:rPr>
          <w:rFonts w:eastAsiaTheme="minorEastAsia"/>
          <w:lang w:val="en-US"/>
        </w:rPr>
        <w:t xml:space="preserve">. According to these results, and in order to be consistent with studies </w:t>
      </w:r>
      <w:r w:rsidR="007572D1">
        <w:rPr>
          <w:rFonts w:eastAsiaTheme="minorEastAsia"/>
          <w:lang w:val="en-US"/>
        </w:rPr>
        <w:t>focused on Black Fault Rocks</w:t>
      </w:r>
      <w:r w:rsidR="00D97CA4">
        <w:rPr>
          <w:rFonts w:eastAsiaTheme="minorEastAsia"/>
          <w:lang w:val="en-US"/>
        </w:rPr>
        <w:t xml:space="preserve"> in accretionary complexes</w:t>
      </w:r>
      <w:r w:rsidR="008D442A">
        <w:rPr>
          <w:rFonts w:eastAsiaTheme="minorEastAsia"/>
          <w:lang w:val="en-US"/>
        </w:rPr>
        <w:t>,</w:t>
      </w:r>
      <w:r>
        <w:rPr>
          <w:rFonts w:eastAsiaTheme="minorEastAsia"/>
          <w:lang w:val="en-US"/>
        </w:rPr>
        <w:t xml:space="preserve"> we consider </w:t>
      </w:r>
      <w:r w:rsidR="00D97CA4">
        <w:rPr>
          <w:rFonts w:eastAsiaTheme="minorEastAsia"/>
          <w:lang w:val="en-US"/>
        </w:rPr>
        <w:t>here</w:t>
      </w:r>
      <w:r>
        <w:rPr>
          <w:rFonts w:eastAsiaTheme="minorEastAsia"/>
          <w:lang w:val="en-US"/>
        </w:rPr>
        <w:t xml:space="preserve"> slip rate </w:t>
      </w:r>
      <w:r w:rsidR="00D97CA4">
        <w:rPr>
          <w:rFonts w:eastAsiaTheme="minorEastAsia"/>
          <w:lang w:val="en-US"/>
        </w:rPr>
        <w:t>range</w:t>
      </w:r>
      <w:r>
        <w:rPr>
          <w:rFonts w:eastAsiaTheme="minorEastAsia"/>
          <w:lang w:val="en-US"/>
        </w:rPr>
        <w:t xml:space="preserve"> from 0.1m/s to 1m/s.</w:t>
      </w:r>
    </w:p>
    <w:p w14:paraId="3144A454" w14:textId="5FD15027" w:rsidR="0011120A" w:rsidRDefault="0011120A" w:rsidP="00C52594">
      <w:pPr>
        <w:rPr>
          <w:rFonts w:eastAsiaTheme="minorEastAsia"/>
          <w:lang w:val="en-US"/>
        </w:rPr>
      </w:pPr>
      <w:r>
        <w:rPr>
          <w:rFonts w:eastAsiaTheme="minorEastAsia"/>
          <w:lang w:val="en-US"/>
        </w:rPr>
        <w:t xml:space="preserve">Another way to obtain the </w:t>
      </w:r>
      <w:r w:rsidR="00E0653A">
        <w:rPr>
          <w:rFonts w:eastAsiaTheme="minorEastAsia"/>
          <w:lang w:val="en-US"/>
        </w:rPr>
        <w:t xml:space="preserve">average </w:t>
      </w:r>
      <w:r>
        <w:rPr>
          <w:rFonts w:eastAsiaTheme="minorEastAsia"/>
          <w:lang w:val="en-US"/>
        </w:rPr>
        <w:t xml:space="preserve">slip rate is to use the modelling function </w:t>
      </w:r>
      <w:r w:rsidR="00B94C92">
        <w:rPr>
          <w:rFonts w:eastAsiaTheme="minorEastAsia"/>
          <w:lang w:val="en-US"/>
        </w:rPr>
        <w:t xml:space="preserve">proposed by </w:t>
      </w:r>
      <w:r>
        <w:rPr>
          <w:rFonts w:eastAsiaTheme="minorEastAsia"/>
          <w:lang w:val="en-US"/>
        </w:rPr>
        <w:t>Madariaga and Olsen</w:t>
      </w:r>
      <w:r w:rsidR="003C2678">
        <w:rPr>
          <w:rFonts w:eastAsiaTheme="minorEastAsia"/>
          <w:lang w:val="en-US"/>
        </w:rPr>
        <w:fldChar w:fldCharType="begin"/>
      </w:r>
      <w:r w:rsidR="00BD095E">
        <w:rPr>
          <w:rFonts w:eastAsiaTheme="minorEastAsia"/>
          <w:lang w:val="en-US"/>
        </w:rPr>
        <w:instrText xml:space="preserve"> ADDIN ZOTERO_ITEM CSL_CITATION {"citationID":"h9IyTVRT","properties":{"formattedCitation":"\\super 17\\nosupersub{}","plainCitation":"17","noteIndex":0},"citationItems":[{"id":428,"uris":["http://zotero.org/users/5712877/items/YZP7LWBH"],"uri":["http://zotero.org/users/5712877/items/YZP7LWBH"],"itemData":{"id":428,"type":"book","title":"Earthquake dynamics, International handbook of earthquake and engineering seismology","publisher":"Elsevier","volume":"81A","number-of-pages":"1-20","author":[{"family":"Madariaga","given":"R."},{"family":"Olsen","given":"K.B."}],"issued":{"date-parts":[["2012"]]}}}],"schema":"https://github.com/citation-style-language/schema/raw/master/csl-citation.json"} </w:instrText>
      </w:r>
      <w:r w:rsidR="003C2678">
        <w:rPr>
          <w:rFonts w:eastAsiaTheme="minorEastAsia"/>
          <w:lang w:val="en-US"/>
        </w:rPr>
        <w:fldChar w:fldCharType="separate"/>
      </w:r>
      <w:r w:rsidR="00BD095E" w:rsidRPr="00BD095E">
        <w:rPr>
          <w:rFonts w:cs="Times New Roman"/>
          <w:szCs w:val="24"/>
          <w:vertAlign w:val="superscript"/>
          <w:lang w:val="en-US"/>
        </w:rPr>
        <w:t>17</w:t>
      </w:r>
      <w:r w:rsidR="003C2678">
        <w:rPr>
          <w:rFonts w:eastAsiaTheme="minorEastAsia"/>
          <w:lang w:val="en-US"/>
        </w:rPr>
        <w:fldChar w:fldCharType="end"/>
      </w:r>
      <w:r w:rsidR="003C2678" w:rsidRPr="003C2678">
        <w:rPr>
          <w:rFonts w:eastAsiaTheme="minorEastAsia"/>
          <w:lang w:val="en-US"/>
        </w:rPr>
        <w:t>.</w:t>
      </w:r>
      <w:r>
        <w:rPr>
          <w:rFonts w:eastAsiaTheme="minorEastAsia"/>
          <w:lang w:val="en-US"/>
        </w:rPr>
        <w:t xml:space="preserve"> </w:t>
      </w:r>
    </w:p>
    <w:p w14:paraId="31610076" w14:textId="49B2E71F" w:rsidR="0011120A" w:rsidRPr="0011120A" w:rsidRDefault="00450B58" w:rsidP="00C52594">
      <w:pPr>
        <w:rPr>
          <w:rFonts w:eastAsiaTheme="minorEastAsia"/>
          <w:lang w:val="en-US"/>
        </w:rPr>
      </w:pPr>
      <m:oMathPara>
        <m:oMath>
          <m:eqArr>
            <m:eqArrPr>
              <m:maxDist m:val="1"/>
              <m:ctrlPr>
                <w:rPr>
                  <w:rFonts w:ascii="Cambria Math" w:eastAsiaTheme="minorEastAsia" w:hAnsi="Cambria Math"/>
                  <w:i/>
                  <w:lang w:val="en-US"/>
                </w:rPr>
              </m:ctrlPr>
            </m:eqArrPr>
            <m:e>
              <m:r>
                <w:rPr>
                  <w:rFonts w:ascii="Cambria Math" w:eastAsiaTheme="minorEastAsia" w:hAnsi="Cambria Math"/>
                  <w:lang w:val="en-US"/>
                </w:rPr>
                <m:t xml:space="preserve">Slip rate=u= </m:t>
              </m:r>
              <m:f>
                <m:fPr>
                  <m:ctrlPr>
                    <w:rPr>
                      <w:rFonts w:ascii="Cambria Math" w:eastAsiaTheme="minorEastAsia" w:hAnsi="Cambria Math"/>
                      <w:i/>
                      <w:lang w:val="en-US"/>
                    </w:rPr>
                  </m:ctrlPr>
                </m:fPr>
                <m:num>
                  <m:r>
                    <w:rPr>
                      <w:rFonts w:ascii="Cambria Math" w:eastAsiaTheme="minorEastAsia" w:hAnsi="Cambria Math"/>
                      <w:lang w:val="en-US"/>
                    </w:rPr>
                    <m:t>∆σ</m:t>
                  </m:r>
                </m:num>
                <m:den>
                  <m:r>
                    <w:rPr>
                      <w:rFonts w:ascii="Cambria Math" w:eastAsiaTheme="minorEastAsia" w:hAnsi="Cambria Math"/>
                      <w:lang w:val="en-US"/>
                    </w:rPr>
                    <m:t>G</m:t>
                  </m:r>
                </m:den>
              </m:f>
              <m:r>
                <w:rPr>
                  <w:rFonts w:ascii="Cambria Math" w:eastAsiaTheme="minorEastAsia" w:hAnsi="Cambria Math"/>
                  <w:lang w:val="en-US"/>
                </w:rPr>
                <m:t xml:space="preserve"> β #(3)</m:t>
              </m:r>
            </m:e>
          </m:eqArr>
        </m:oMath>
      </m:oMathPara>
    </w:p>
    <w:p w14:paraId="715B6F74" w14:textId="585ED0A3" w:rsidR="00C52594" w:rsidRDefault="0011120A" w:rsidP="00C52594">
      <w:pPr>
        <w:rPr>
          <w:rFonts w:eastAsiaTheme="minorEastAsia"/>
          <w:lang w:val="en-US"/>
        </w:rPr>
      </w:pPr>
      <w:r>
        <w:rPr>
          <w:rFonts w:eastAsiaTheme="minorEastAsia"/>
          <w:lang w:val="en-US"/>
        </w:rPr>
        <w:t>The stress drop (</w:t>
      </w:r>
      <m:oMath>
        <m:r>
          <w:rPr>
            <w:rFonts w:ascii="Cambria Math" w:eastAsiaTheme="minorEastAsia" w:hAnsi="Cambria Math"/>
            <w:lang w:val="en-US"/>
          </w:rPr>
          <m:t>∆σ)</m:t>
        </m:r>
      </m:oMath>
      <w:r>
        <w:rPr>
          <w:rFonts w:eastAsiaTheme="minorEastAsia"/>
          <w:lang w:val="en-US"/>
        </w:rPr>
        <w:t xml:space="preserve">, the modulus of rigidity (G) and the </w:t>
      </w:r>
      <w:r w:rsidR="00331DA9">
        <w:rPr>
          <w:rFonts w:eastAsiaTheme="minorEastAsia"/>
          <w:lang w:val="en-US"/>
        </w:rPr>
        <w:t>shear wave speed (</w:t>
      </w:r>
      <w:r w:rsidR="00331DA9">
        <w:rPr>
          <w:rFonts w:eastAsiaTheme="minorEastAsia" w:cs="Times New Roman"/>
          <w:lang w:val="en-US"/>
        </w:rPr>
        <w:t>β</w:t>
      </w:r>
      <w:r w:rsidR="00331DA9">
        <w:rPr>
          <w:rFonts w:eastAsiaTheme="minorEastAsia"/>
          <w:lang w:val="en-US"/>
        </w:rPr>
        <w:t>) are estimated at 1 to 10MPa, 3.0.10</w:t>
      </w:r>
      <w:r w:rsidR="00331DA9" w:rsidRPr="00331DA9">
        <w:rPr>
          <w:rFonts w:eastAsiaTheme="minorEastAsia"/>
          <w:vertAlign w:val="superscript"/>
          <w:lang w:val="en-US"/>
        </w:rPr>
        <w:t>4</w:t>
      </w:r>
      <w:r w:rsidR="00331DA9">
        <w:rPr>
          <w:rFonts w:eastAsiaTheme="minorEastAsia"/>
          <w:lang w:val="en-US"/>
        </w:rPr>
        <w:t>MPa and 3500 m/s</w:t>
      </w:r>
      <w:r w:rsidR="003C2678">
        <w:rPr>
          <w:rFonts w:eastAsiaTheme="minorEastAsia"/>
          <w:lang w:val="en-US"/>
        </w:rPr>
        <w:fldChar w:fldCharType="begin"/>
      </w:r>
      <w:r w:rsidR="00BD095E">
        <w:rPr>
          <w:rFonts w:eastAsiaTheme="minorEastAsia"/>
          <w:lang w:val="en-US"/>
        </w:rPr>
        <w:instrText xml:space="preserve"> ADDIN ZOTERO_ITEM CSL_CITATION {"citationID":"gbjbnIwU","properties":{"formattedCitation":"\\super 18\\nosupersub{}","plainCitation":"18","noteIndex":0},"citationItems":[{"id":426,"uris":["http://zotero.org/users/5712877/items/8F6WW9V9"],"uri":["http://zotero.org/users/5712877/items/8F6WW9V9"],"itemData":{"id":426,"type":"article-journal","title":"The physics of earthquakes","container-title":"Reports on Progress in Physics","page":"1429-1496","volume":"67","issue":"8","source":"Crossref","abstract":"Earthquakes occur as a result of global plate motion. However, this simple picture is far from complete. Some plate boundaries glide past each other smoothly, while others are punctuated by catastrophic failures. Some earthquakes stop after only a few hundred metres while others continue rupturing for a thousand kilometres. Earthquakes are sometimes triggered by other large earthquakes thousands of kilometres away. We address these questions by dissecting the observable phenomena and separating out the quantiﬁable features for comparison across events. We begin with a discussion of stress in the crust followed by an overview of earthquake phenomenology, focusing on the parameters that are readily measured by current seismic techniques. We brieﬂy discuss how these parameters are related to the amplitude and frequencies of the elastic waves measured by seismometers as well as direct geodetic measurements of the Earth’s deformation. We then review the major processes thought to be active during the rupture and discuss their relation to the observable parameters. We then take a longer range view by discussing how earthquakes interact as a complex system. Finally, we combine subjects to approach the key issue of earthquake initiation. This concluding discussion will require using the processes introduced in the study of rupture as well as some novel mechanisms. As our observational database improves, our computational ability accelerates and our laboratories become more reﬁned, the next few decades promise to bring more insights on earthquakes and perhaps some answers.","DOI":"10.1088/0034-4885/67/8/R03","ISSN":"0034-4885, 1361-6633","language":"en","author":[{"family":"Kanamori","given":"Hiroo"},{"family":"Brodsky","given":"Emily E"}],"issued":{"date-parts":[["2004",8,1]]}}}],"schema":"https://github.com/citation-style-language/schema/raw/master/csl-citation.json"} </w:instrText>
      </w:r>
      <w:r w:rsidR="003C2678">
        <w:rPr>
          <w:rFonts w:eastAsiaTheme="minorEastAsia"/>
          <w:lang w:val="en-US"/>
        </w:rPr>
        <w:fldChar w:fldCharType="separate"/>
      </w:r>
      <w:r w:rsidR="00BD095E" w:rsidRPr="00BD095E">
        <w:rPr>
          <w:rFonts w:cs="Times New Roman"/>
          <w:szCs w:val="24"/>
          <w:vertAlign w:val="superscript"/>
          <w:lang w:val="en-US"/>
        </w:rPr>
        <w:t>18</w:t>
      </w:r>
      <w:r w:rsidR="003C2678">
        <w:rPr>
          <w:rFonts w:eastAsiaTheme="minorEastAsia"/>
          <w:lang w:val="en-US"/>
        </w:rPr>
        <w:fldChar w:fldCharType="end"/>
      </w:r>
      <w:r w:rsidR="00331DA9">
        <w:rPr>
          <w:rFonts w:eastAsiaTheme="minorEastAsia"/>
          <w:lang w:val="en-US"/>
        </w:rPr>
        <w:t xml:space="preserve">, respectively. </w:t>
      </w:r>
      <w:r w:rsidR="007572D1">
        <w:rPr>
          <w:rFonts w:eastAsiaTheme="minorEastAsia"/>
          <w:lang w:val="en-US"/>
        </w:rPr>
        <w:t>V</w:t>
      </w:r>
      <w:r w:rsidR="003C2678">
        <w:rPr>
          <w:rFonts w:eastAsiaTheme="minorEastAsia"/>
          <w:lang w:val="en-US"/>
        </w:rPr>
        <w:t xml:space="preserve">alues </w:t>
      </w:r>
      <w:r w:rsidR="007572D1">
        <w:rPr>
          <w:rFonts w:eastAsiaTheme="minorEastAsia"/>
          <w:lang w:val="en-US"/>
        </w:rPr>
        <w:t xml:space="preserve">obtained </w:t>
      </w:r>
      <w:r w:rsidR="003C2678">
        <w:rPr>
          <w:rFonts w:eastAsiaTheme="minorEastAsia"/>
          <w:lang w:val="en-US"/>
        </w:rPr>
        <w:t xml:space="preserve">for </w:t>
      </w:r>
      <w:r w:rsidR="00A322EA">
        <w:rPr>
          <w:rFonts w:eastAsiaTheme="minorEastAsia"/>
          <w:lang w:val="en-US"/>
        </w:rPr>
        <w:t xml:space="preserve">the </w:t>
      </w:r>
      <w:r w:rsidR="00E40894">
        <w:rPr>
          <w:rFonts w:eastAsiaTheme="minorEastAsia"/>
          <w:lang w:val="en-US"/>
        </w:rPr>
        <w:t>equation</w:t>
      </w:r>
      <w:r w:rsidR="008E4D1B">
        <w:rPr>
          <w:rFonts w:eastAsiaTheme="minorEastAsia"/>
          <w:lang w:val="en-US"/>
        </w:rPr>
        <w:t xml:space="preserve"> (3</w:t>
      </w:r>
      <w:r w:rsidR="00A322EA">
        <w:rPr>
          <w:rFonts w:eastAsiaTheme="minorEastAsia"/>
          <w:lang w:val="en-US"/>
        </w:rPr>
        <w:t>)</w:t>
      </w:r>
      <w:r w:rsidR="003C2678">
        <w:rPr>
          <w:rFonts w:eastAsiaTheme="minorEastAsia"/>
          <w:lang w:val="en-US"/>
        </w:rPr>
        <w:t xml:space="preserve"> are the same as previous</w:t>
      </w:r>
      <w:r w:rsidR="007572D1">
        <w:rPr>
          <w:rFonts w:eastAsiaTheme="minorEastAsia"/>
          <w:lang w:val="en-US"/>
        </w:rPr>
        <w:t>ly</w:t>
      </w:r>
      <w:r w:rsidR="003C2678">
        <w:rPr>
          <w:rFonts w:eastAsiaTheme="minorEastAsia"/>
          <w:lang w:val="en-US"/>
        </w:rPr>
        <w:t xml:space="preserve"> found in the literature</w:t>
      </w:r>
      <w:r w:rsidR="00B86A1C">
        <w:rPr>
          <w:rFonts w:eastAsiaTheme="minorEastAsia"/>
          <w:lang w:val="en-US"/>
        </w:rPr>
        <w:t xml:space="preserve">, </w:t>
      </w:r>
      <w:r w:rsidR="007572D1">
        <w:rPr>
          <w:rFonts w:eastAsiaTheme="minorEastAsia"/>
          <w:lang w:val="en-US"/>
        </w:rPr>
        <w:t xml:space="preserve">as </w:t>
      </w:r>
      <w:r w:rsidR="00B86A1C">
        <w:rPr>
          <w:rFonts w:eastAsiaTheme="minorEastAsia"/>
          <w:lang w:val="en-US"/>
        </w:rPr>
        <w:t xml:space="preserve">the slip rate calculated </w:t>
      </w:r>
      <w:r w:rsidR="007572D1">
        <w:rPr>
          <w:rFonts w:eastAsiaTheme="minorEastAsia"/>
          <w:lang w:val="en-US"/>
        </w:rPr>
        <w:t xml:space="preserve">ranges </w:t>
      </w:r>
      <w:r w:rsidR="00B86A1C">
        <w:rPr>
          <w:rFonts w:eastAsiaTheme="minorEastAsia"/>
          <w:lang w:val="en-US"/>
        </w:rPr>
        <w:t xml:space="preserve">between 0.2 and 1.2m/s. </w:t>
      </w:r>
      <w:r w:rsidR="00C52594">
        <w:rPr>
          <w:rFonts w:eastAsiaTheme="minorEastAsia"/>
          <w:lang w:val="en-US"/>
        </w:rPr>
        <w:t>In order to consider the maximum</w:t>
      </w:r>
      <w:r w:rsidR="007572D1">
        <w:rPr>
          <w:rFonts w:eastAsiaTheme="minorEastAsia"/>
          <w:lang w:val="en-US"/>
        </w:rPr>
        <w:t xml:space="preserve"> heat production, we consider an upper bound on </w:t>
      </w:r>
      <w:r w:rsidR="00E40894">
        <w:rPr>
          <w:rFonts w:eastAsiaTheme="minorEastAsia"/>
          <w:lang w:val="en-US"/>
        </w:rPr>
        <w:t xml:space="preserve">slip rate </w:t>
      </w:r>
      <w:r w:rsidR="007572D1">
        <w:rPr>
          <w:rFonts w:eastAsiaTheme="minorEastAsia"/>
          <w:lang w:val="en-US"/>
        </w:rPr>
        <w:t>as</w:t>
      </w:r>
      <w:r w:rsidR="00E40894">
        <w:rPr>
          <w:rFonts w:eastAsiaTheme="minorEastAsia"/>
          <w:lang w:val="en-US"/>
        </w:rPr>
        <w:t xml:space="preserve"> 1m/</w:t>
      </w:r>
      <w:r w:rsidR="00C52594">
        <w:rPr>
          <w:rFonts w:eastAsiaTheme="minorEastAsia"/>
          <w:lang w:val="en-US"/>
        </w:rPr>
        <w:t xml:space="preserve">s. The last parameter is the </w:t>
      </w:r>
      <w:r w:rsidR="00A568CE">
        <w:rPr>
          <w:rFonts w:eastAsiaTheme="minorEastAsia"/>
          <w:lang w:val="en-US"/>
        </w:rPr>
        <w:t xml:space="preserve">thickness </w:t>
      </w:r>
      <w:r w:rsidR="00C52594">
        <w:rPr>
          <w:rFonts w:eastAsiaTheme="minorEastAsia"/>
          <w:lang w:val="en-US"/>
        </w:rPr>
        <w:t xml:space="preserve">of the </w:t>
      </w:r>
      <w:r w:rsidR="008C4EAF">
        <w:rPr>
          <w:rFonts w:eastAsiaTheme="minorEastAsia"/>
          <w:lang w:val="en-US"/>
        </w:rPr>
        <w:t>molten layer</w:t>
      </w:r>
      <w:r w:rsidR="00626356">
        <w:rPr>
          <w:rFonts w:eastAsiaTheme="minorEastAsia"/>
          <w:lang w:val="en-US"/>
        </w:rPr>
        <w:t>,</w:t>
      </w:r>
      <w:r w:rsidR="00C52594">
        <w:rPr>
          <w:rFonts w:eastAsiaTheme="minorEastAsia"/>
          <w:lang w:val="en-US"/>
        </w:rPr>
        <w:t xml:space="preserve"> which </w:t>
      </w:r>
      <w:r w:rsidR="00D97CA4">
        <w:rPr>
          <w:rFonts w:eastAsiaTheme="minorEastAsia"/>
          <w:lang w:val="en-US"/>
        </w:rPr>
        <w:t>is of the order of</w:t>
      </w:r>
      <w:r w:rsidR="00C52594">
        <w:rPr>
          <w:rFonts w:eastAsiaTheme="minorEastAsia"/>
          <w:lang w:val="en-US"/>
        </w:rPr>
        <w:t xml:space="preserve"> 1mm </w:t>
      </w:r>
      <w:r w:rsidR="00D97CA4">
        <w:rPr>
          <w:rFonts w:eastAsiaTheme="minorEastAsia"/>
          <w:lang w:val="en-US"/>
        </w:rPr>
        <w:t>on the Black Fault Rocks studied</w:t>
      </w:r>
      <w:r w:rsidR="00C52594">
        <w:rPr>
          <w:rFonts w:eastAsiaTheme="minorEastAsia"/>
          <w:lang w:val="en-US"/>
        </w:rPr>
        <w:t xml:space="preserve">. Based on these parameters we can estimate the </w:t>
      </w:r>
      <w:r w:rsidR="002B2743">
        <w:rPr>
          <w:rFonts w:eastAsiaTheme="minorEastAsia"/>
          <w:lang w:val="en-US"/>
        </w:rPr>
        <w:t xml:space="preserve">maximum </w:t>
      </w:r>
      <w:r w:rsidR="00C52594">
        <w:rPr>
          <w:rFonts w:eastAsiaTheme="minorEastAsia"/>
          <w:lang w:val="en-US"/>
        </w:rPr>
        <w:t>shear heating energy around 1.0e10</w:t>
      </w:r>
      <w:r w:rsidR="00C52594" w:rsidRPr="00FE79EE">
        <w:rPr>
          <w:rFonts w:eastAsiaTheme="minorEastAsia"/>
          <w:vertAlign w:val="superscript"/>
          <w:lang w:val="en-US"/>
        </w:rPr>
        <w:t>8</w:t>
      </w:r>
      <w:r w:rsidR="00C52594">
        <w:rPr>
          <w:rFonts w:eastAsiaTheme="minorEastAsia"/>
          <w:vertAlign w:val="superscript"/>
          <w:lang w:val="en-US"/>
        </w:rPr>
        <w:t xml:space="preserve"> </w:t>
      </w:r>
      <w:r w:rsidR="00C52594">
        <w:rPr>
          <w:rFonts w:eastAsiaTheme="minorEastAsia"/>
          <w:lang w:val="en-US"/>
        </w:rPr>
        <w:t>J/m</w:t>
      </w:r>
      <w:r w:rsidR="00C52594" w:rsidRPr="00FE79EE">
        <w:rPr>
          <w:rFonts w:eastAsiaTheme="minorEastAsia"/>
          <w:vertAlign w:val="superscript"/>
          <w:lang w:val="en-US"/>
        </w:rPr>
        <w:t>3</w:t>
      </w:r>
      <w:r w:rsidR="00C52594">
        <w:rPr>
          <w:rFonts w:eastAsiaTheme="minorEastAsia"/>
          <w:lang w:val="en-US"/>
        </w:rPr>
        <w:t xml:space="preserve">/s. </w:t>
      </w:r>
    </w:p>
    <w:p w14:paraId="35E5DF13" w14:textId="5F0AC1B5" w:rsidR="00504F59" w:rsidRDefault="0037305C" w:rsidP="00C52594">
      <w:pPr>
        <w:rPr>
          <w:rFonts w:eastAsiaTheme="minorEastAsia"/>
          <w:lang w:val="en-US"/>
        </w:rPr>
      </w:pPr>
      <w:r>
        <w:rPr>
          <w:rFonts w:eastAsiaTheme="minorEastAsia"/>
          <w:lang w:val="en-US"/>
        </w:rPr>
        <w:t>The last parameter to specify is the duration</w:t>
      </w:r>
      <w:r w:rsidR="006510BA">
        <w:rPr>
          <w:rFonts w:eastAsiaTheme="minorEastAsia"/>
          <w:lang w:val="en-US"/>
        </w:rPr>
        <w:t xml:space="preserve"> of </w:t>
      </w:r>
      <w:r>
        <w:rPr>
          <w:rFonts w:eastAsiaTheme="minorEastAsia"/>
          <w:lang w:val="en-US"/>
        </w:rPr>
        <w:t xml:space="preserve">viscous </w:t>
      </w:r>
      <w:r w:rsidR="006510BA">
        <w:rPr>
          <w:rFonts w:eastAsiaTheme="minorEastAsia"/>
          <w:lang w:val="en-US"/>
        </w:rPr>
        <w:t xml:space="preserve">shear-heating </w:t>
      </w:r>
      <w:r>
        <w:rPr>
          <w:rFonts w:eastAsiaTheme="minorEastAsia"/>
          <w:lang w:val="en-US"/>
        </w:rPr>
        <w:t>of the molten layer</w:t>
      </w:r>
      <w:r w:rsidR="006510BA">
        <w:rPr>
          <w:rFonts w:eastAsiaTheme="minorEastAsia"/>
          <w:lang w:val="en-US"/>
        </w:rPr>
        <w:t xml:space="preserve">. </w:t>
      </w:r>
      <w:r>
        <w:rPr>
          <w:rFonts w:eastAsiaTheme="minorEastAsia"/>
          <w:lang w:val="en-US"/>
        </w:rPr>
        <w:t>Considering an upper bound on slip rate as 1m/s, as explained above, then shear heating duration can be estimated from the total displacement during the earthquake</w:t>
      </w:r>
      <w:r w:rsidR="00504F59">
        <w:rPr>
          <w:rFonts w:eastAsiaTheme="minorEastAsia"/>
          <w:lang w:val="en-US"/>
        </w:rPr>
        <w:t xml:space="preserve">. </w:t>
      </w:r>
      <w:r w:rsidR="008F16AB">
        <w:rPr>
          <w:rFonts w:eastAsiaTheme="minorEastAsia"/>
          <w:lang w:val="en-US"/>
        </w:rPr>
        <w:t xml:space="preserve">For </w:t>
      </w:r>
      <w:r w:rsidR="008F16AB">
        <w:rPr>
          <w:rFonts w:eastAsiaTheme="minorEastAsia"/>
          <w:lang w:val="en-US"/>
        </w:rPr>
        <w:lastRenderedPageBreak/>
        <w:t xml:space="preserve">pseudotachylytes bearing faults, the total </w:t>
      </w:r>
      <w:r w:rsidR="00A568CE">
        <w:rPr>
          <w:rFonts w:eastAsiaTheme="minorEastAsia"/>
          <w:lang w:val="en-US"/>
        </w:rPr>
        <w:t xml:space="preserve">displacement </w:t>
      </w:r>
      <w:r w:rsidR="008F16AB">
        <w:rPr>
          <w:rFonts w:eastAsiaTheme="minorEastAsia"/>
          <w:lang w:val="en-US"/>
        </w:rPr>
        <w:t>of slip is estimated from 0.1 to 4 meters for earthquakes from M</w:t>
      </w:r>
      <w:r w:rsidR="008F16AB" w:rsidRPr="00B4391F">
        <w:rPr>
          <w:rFonts w:eastAsiaTheme="minorEastAsia"/>
          <w:vertAlign w:val="subscript"/>
          <w:lang w:val="en-US"/>
        </w:rPr>
        <w:t>5</w:t>
      </w:r>
      <w:r w:rsidR="008F16AB">
        <w:rPr>
          <w:rFonts w:eastAsiaTheme="minorEastAsia"/>
          <w:lang w:val="en-US"/>
        </w:rPr>
        <w:t xml:space="preserve"> to M</w:t>
      </w:r>
      <w:r w:rsidR="008F16AB" w:rsidRPr="00B4391F">
        <w:rPr>
          <w:rFonts w:eastAsiaTheme="minorEastAsia"/>
          <w:vertAlign w:val="subscript"/>
          <w:lang w:val="en-US"/>
        </w:rPr>
        <w:t>8</w:t>
      </w:r>
      <w:r w:rsidR="008F16AB">
        <w:rPr>
          <w:rFonts w:eastAsiaTheme="minorEastAsia"/>
          <w:vertAlign w:val="subscript"/>
          <w:lang w:val="en-US"/>
        </w:rPr>
        <w:fldChar w:fldCharType="begin"/>
      </w:r>
      <w:r w:rsidR="00BD095E">
        <w:rPr>
          <w:rFonts w:eastAsiaTheme="minorEastAsia"/>
          <w:vertAlign w:val="subscript"/>
          <w:lang w:val="en-US"/>
        </w:rPr>
        <w:instrText xml:space="preserve"> ADDIN ZOTERO_ITEM CSL_CITATION {"citationID":"9rQx8LdL","properties":{"formattedCitation":"\\super 19\\nosupersub{}","plainCitation":"19","noteIndex":0},"citationItems":[{"id":433,"uris":["http://zotero.org/users/5712877/items/7M9UFSN2"],"uri":["http://zotero.org/users/5712877/items/7M9UFSN2"],"itemData":{"id":433,"type":"article-journal","title":"Earthquake faulting as a structural process","container-title":"Journal of Structural Geology","page":"1-14","volume":"11","issue":"1-2","source":"Crossref","abstract":"Structural geology is concerned with the history of movement in the Earth's crust and the processes by which displacements occur. In the upper one third to one half of deforming continental crust, displacement is accommodated largely by seismic slip increments on existing faults. It follows that earthquakes and related processes are an integral part of structural geology. Traditionally, structural geologists have been preoccupied with the complexity of the finite deformation within fault zones and with the stress states prevailing at the initiation of faults in intact crust. Future structural work should be directed more towards understanding the dynamic character of fault reactivation during incrementalslip, and related effects. Questions of interest include rheological and geometrical controls on the initiation, perturbation and termination of ruptures; directivity effects associated with rupture propagation; the recognition of structures resulting from repeated stress cycling within seismogeniccrust; and identificationof structural features diagnosticof shear stress levelsduringfaulting. Structures arising from the inter-relationships between slip episodes and induced fluid flow are of special importance, because these dynamic fault processes appear influentialin the development of much fault-hosted mineralization.","DOI":"10.1016/0191-8141(89)90032-1","ISSN":"01918141","language":"en","author":[{"family":"Sibson","given":"Richard H"}],"issued":{"date-parts":[["1989",1]]}},"locator":"89"}],"schema":"https://github.com/citation-style-language/schema/raw/master/csl-citation.json"} </w:instrText>
      </w:r>
      <w:r w:rsidR="008F16AB">
        <w:rPr>
          <w:rFonts w:eastAsiaTheme="minorEastAsia"/>
          <w:vertAlign w:val="subscript"/>
          <w:lang w:val="en-US"/>
        </w:rPr>
        <w:fldChar w:fldCharType="separate"/>
      </w:r>
      <w:r w:rsidR="00BD095E" w:rsidRPr="00BD095E">
        <w:rPr>
          <w:rFonts w:cs="Times New Roman"/>
          <w:szCs w:val="24"/>
          <w:vertAlign w:val="superscript"/>
          <w:lang w:val="en-US"/>
        </w:rPr>
        <w:t>19</w:t>
      </w:r>
      <w:r w:rsidR="008F16AB">
        <w:rPr>
          <w:rFonts w:eastAsiaTheme="minorEastAsia"/>
          <w:vertAlign w:val="subscript"/>
          <w:lang w:val="en-US"/>
        </w:rPr>
        <w:fldChar w:fldCharType="end"/>
      </w:r>
      <w:r w:rsidR="008F16AB">
        <w:rPr>
          <w:rFonts w:eastAsiaTheme="minorEastAsia"/>
          <w:lang w:val="en-US"/>
        </w:rPr>
        <w:t>. According to Hasegawa</w:t>
      </w:r>
      <w:r w:rsidR="008F16AB">
        <w:rPr>
          <w:rFonts w:eastAsiaTheme="minorEastAsia"/>
          <w:lang w:val="en-US"/>
        </w:rPr>
        <w:fldChar w:fldCharType="begin"/>
      </w:r>
      <w:r w:rsidR="00BD095E">
        <w:rPr>
          <w:rFonts w:eastAsiaTheme="minorEastAsia"/>
          <w:lang w:val="en-US"/>
        </w:rPr>
        <w:instrText xml:space="preserve"> ADDIN ZOTERO_ITEM CSL_CITATION {"citationID":"XcZY0lNU","properties":{"formattedCitation":"\\super 20\\nosupersub{}","plainCitation":"20","noteIndex":0},"citationItems":[{"id":340,"uris":["http://zotero.org/users/5712877/items/F25W5NN5"],"uri":["http://zotero.org/users/5712877/items/F25W5NN5"],"itemData":{"id":340,"type":"article-journal","title":"Postseismic fluid discharge chemically recorded in altered pseudotachylyte discovered from an ancient megasplay fault: an example from the Nobeoka Thrust in the Shimanto accretionary complex, SW Japan","container-title":"Progress in Earth and Planetary Science","volume":"6","issue":"1","source":"Crossref","abstract":"Megasplay fault branching from plate boundaries of subduction zones is thought to be important sources of earthquakes and tsunamis. In this study, we performed structural and geochemical analyses on a fossilized megasplay fault (the Nobeoka Thrust of the Shimanto accretionary complex) to understand fluid-rock interaction and how the splay fault plays a role in fluid flow in the seismogenic zone. As a result of structural observations, we report that the principal slip zone (PSZ) of the Nobeoka Thrust is composed of foliated cataclasite originating from a sandstone-shale mélange and includes a thin (~ 1.5 mm thick) pseudotachylyte layer. Major and trace element composition analysis and EPMA element mapping revealed that the pseudotachylyte is enriched in Li and Cs within the PSZ, as well as in the slip zone of a minor fault in the footwall. Li and Cs enrichment in pseudotachylyte is interpreted as a result of fluid-rock interaction in the postseismic stage, because such an anomaly only results from a large fluid/rock ratio (R &gt; 512–24 at 250–350 °C) under the influence of Li- and Cs-enriched fluids. The amount of fluid that reacted with the pseudotachylyte is estimated to be 1.78 × 100 to 7.61 × 103 m3.","URL":"https://progearthplanetsci.springeropen.com/articles/10.1186/s40645-019-0281-2","DOI":"10.1186/s40645-019-0281-2","ISSN":"2197-4284","title-short":"Postseismic fluid discharge chemically recorded in altered pseudotachylyte discovered from an ancient megasplay fault","language":"en","author":[{"family":"Hasegawa","given":"Ryota"},{"family":"Yamaguchi","given":"Asuka"},{"family":"Fukuchi","given":"Rina"},{"family":"Hamada","given":"Yohei"},{"family":"Ogawa","given":"Nobuhiro"},{"family":"Kitamura","given":"Yujin"},{"family":"Kimura","given":"Gaku"},{"family":"Ashi","given":"Juichiro"},{"family":"Ishikawa","given":"Tsuyoshi"}],"issued":{"date-parts":[["2019",12]]},"accessed":{"date-parts":[["2020",9,22]]}}}],"schema":"https://github.com/citation-style-language/schema/raw/master/csl-citation.json"} </w:instrText>
      </w:r>
      <w:r w:rsidR="008F16AB">
        <w:rPr>
          <w:rFonts w:eastAsiaTheme="minorEastAsia"/>
          <w:lang w:val="en-US"/>
        </w:rPr>
        <w:fldChar w:fldCharType="separate"/>
      </w:r>
      <w:r w:rsidR="00BD095E" w:rsidRPr="00BD095E">
        <w:rPr>
          <w:rFonts w:cs="Times New Roman"/>
          <w:szCs w:val="24"/>
          <w:vertAlign w:val="superscript"/>
          <w:lang w:val="en-US"/>
        </w:rPr>
        <w:t>20</w:t>
      </w:r>
      <w:r w:rsidR="008F16AB">
        <w:rPr>
          <w:rFonts w:eastAsiaTheme="minorEastAsia"/>
          <w:lang w:val="en-US"/>
        </w:rPr>
        <w:fldChar w:fldCharType="end"/>
      </w:r>
      <w:r w:rsidR="008F16AB">
        <w:rPr>
          <w:rFonts w:eastAsiaTheme="minorEastAsia"/>
          <w:lang w:val="en-US"/>
        </w:rPr>
        <w:t>, and based on the thickness of the fault core similar to the one measured on the Gole Larghe fault in Italy, we can estimated the total displacement from 0.2 to 1.2 meters for a single tectonic event</w:t>
      </w:r>
      <w:r w:rsidR="008F16AB">
        <w:rPr>
          <w:rFonts w:eastAsiaTheme="minorEastAsia"/>
          <w:lang w:val="en-US"/>
        </w:rPr>
        <w:fldChar w:fldCharType="begin"/>
      </w:r>
      <w:r w:rsidR="00BD095E">
        <w:rPr>
          <w:rFonts w:eastAsiaTheme="minorEastAsia"/>
          <w:lang w:val="en-US"/>
        </w:rPr>
        <w:instrText xml:space="preserve"> ADDIN ZOTERO_ITEM CSL_CITATION {"citationID":"BbWKEiby","properties":{"formattedCitation":"\\super 21\\nosupersub{}","plainCitation":"21","noteIndex":0},"citationItems":[{"id":437,"uris":["http://zotero.org/users/5712877/items/VTJAEK78"],"uri":["http://zotero.org/users/5712877/items/VTJAEK78"],"itemData":{"id":437,"type":"article-journal","title":"Fault plane processes and mesoscopic structure of a strong-type seismogenic fault in tonalites (Adamello batholith, Southern Alps)","container-title":"Tectonophysics","page":"55-80","volume":"402","issue":"1-4","source":"Crossref","abstract":"The Gole Larghe Fault is an exhumed paleoseismic fault crosscutting the Adamello tonalites (Italian Southern Alps). Ambient conditions of faulting were 9–11 km in depth and 250–300 8C. In the study area the fault accommodates ~ 1100 m of dextral strike-slip over a fault thickness of 550 m. Displacement is partitioned into three hierarchically different sets of discrete subparallel cataclastic horizons (faults1–2–3). Fault displacement is in the range of few centimeters (faults3) to a maximum of a few tens of meters in major faults1. Faults1–2 nucleated on pre-existing joints, whereas faults3 are newly generated fractures produced during slip along faults1–2. Each fault within the Gole Larghe Fault records the same evolution with development of indurated cataclasites precursory to pseudotachylyte production. Pseudotachylytes are usually generated at the host rock/ cataclasite boundary and within cataclasites the mean clast size decreases getting closer to pseudotachylyte fault veins. Pseudotachylytes and cataclasites have a similar chemical composition which is enriched in Loss On Ignition, K, Rb, Ba, U and Fe3+ compared to host rock.","DOI":"10.1016/j.tecto.2004.12.036","ISSN":"00401951","language":"en","author":[{"family":"Di Toro","given":"Giulio"},{"family":"Pennacchioni","given":"Giorgio"}],"issued":{"date-parts":[["2005",6]]}}}],"schema":"https://github.com/citation-style-language/schema/raw/master/csl-citation.json"} </w:instrText>
      </w:r>
      <w:r w:rsidR="008F16AB">
        <w:rPr>
          <w:rFonts w:eastAsiaTheme="minorEastAsia"/>
          <w:lang w:val="en-US"/>
        </w:rPr>
        <w:fldChar w:fldCharType="separate"/>
      </w:r>
      <w:r w:rsidR="00BD095E" w:rsidRPr="00BD095E">
        <w:rPr>
          <w:rFonts w:cs="Times New Roman"/>
          <w:szCs w:val="24"/>
          <w:vertAlign w:val="superscript"/>
          <w:lang w:val="en-US"/>
        </w:rPr>
        <w:t>21</w:t>
      </w:r>
      <w:r w:rsidR="008F16AB">
        <w:rPr>
          <w:rFonts w:eastAsiaTheme="minorEastAsia"/>
          <w:lang w:val="en-US"/>
        </w:rPr>
        <w:fldChar w:fldCharType="end"/>
      </w:r>
      <w:r w:rsidR="008F16AB">
        <w:rPr>
          <w:rFonts w:eastAsiaTheme="minorEastAsia"/>
          <w:lang w:val="en-US"/>
        </w:rPr>
        <w:t>. Some earthquakes can generate bigger slip displacement, like 8.3 meter</w:t>
      </w:r>
      <w:r w:rsidR="00A568CE">
        <w:rPr>
          <w:rFonts w:eastAsiaTheme="minorEastAsia"/>
          <w:lang w:val="en-US"/>
        </w:rPr>
        <w:t>s</w:t>
      </w:r>
      <w:r w:rsidR="008F16AB">
        <w:rPr>
          <w:rFonts w:eastAsiaTheme="minorEastAsia"/>
          <w:lang w:val="en-US"/>
        </w:rPr>
        <w:t xml:space="preserve"> for the Chi-Chi earthquake</w:t>
      </w:r>
      <w:r w:rsidR="008F16AB">
        <w:rPr>
          <w:rFonts w:eastAsiaTheme="minorEastAsia"/>
          <w:lang w:val="en-US"/>
        </w:rPr>
        <w:fldChar w:fldCharType="begin"/>
      </w:r>
      <w:r w:rsidR="00BD095E">
        <w:rPr>
          <w:rFonts w:eastAsiaTheme="minorEastAsia"/>
          <w:lang w:val="en-US"/>
        </w:rPr>
        <w:instrText xml:space="preserve"> ADDIN ZOTERO_ITEM CSL_CITATION {"citationID":"oPOJ6tSB","properties":{"formattedCitation":"\\super 22\\nosupersub{}","plainCitation":"22","noteIndex":0},"citationItems":[{"id":435,"uris":["http://zotero.org/users/5712877/items/F84QAK3I"],"uri":["http://zotero.org/users/5712877/items/F84QAK3I"],"itemData":{"id":435,"type":"article-journal","title":"Slip zone and energetics of a large earthquake from the Taiwan Chelungpu-fault Drilling Project","container-title":"Nature","page":"473-476","volume":"444","issue":"7118","source":"Crossref","DOI":"10.1038/nature05253","ISSN":"0028-0836, 1476-4687","language":"en","author":[{"family":"Ma","given":"Kuo-Fong"},{"family":"Tanaka","given":"Hidemi"},{"family":"Song","given":"Sheng-Rong"},{"family":"Wang","given":"Chien-Ying"},{"family":"Hung","given":"Jih-Hao"},{"family":"Tsai","given":"Yi-Ben"},{"family":"Mori","given":"Jim"},{"family":"Song","given":"Yen-Fang"},{"family":"Yeh","given":"Eh-Chao"},{"family":"Soh","given":"Wonn"},{"family":"Sone","given":"Hiroki"},{"family":"Kuo","given":"Li-Wei"},{"family":"Wu","given":"Hung-Yu"}],"issued":{"date-parts":[["2006",11]]}}}],"schema":"https://github.com/citation-style-language/schema/raw/master/csl-citation.json"} </w:instrText>
      </w:r>
      <w:r w:rsidR="008F16AB">
        <w:rPr>
          <w:rFonts w:eastAsiaTheme="minorEastAsia"/>
          <w:lang w:val="en-US"/>
        </w:rPr>
        <w:fldChar w:fldCharType="separate"/>
      </w:r>
      <w:r w:rsidR="00BD095E" w:rsidRPr="00BD095E">
        <w:rPr>
          <w:rFonts w:cs="Times New Roman"/>
          <w:szCs w:val="24"/>
          <w:vertAlign w:val="superscript"/>
          <w:lang w:val="en-US"/>
        </w:rPr>
        <w:t>22</w:t>
      </w:r>
      <w:r w:rsidR="008F16AB">
        <w:rPr>
          <w:rFonts w:eastAsiaTheme="minorEastAsia"/>
          <w:lang w:val="en-US"/>
        </w:rPr>
        <w:fldChar w:fldCharType="end"/>
      </w:r>
      <w:r w:rsidR="008F16AB">
        <w:rPr>
          <w:rFonts w:eastAsiaTheme="minorEastAsia"/>
          <w:lang w:val="en-US"/>
        </w:rPr>
        <w:t xml:space="preserve"> or in extreme case</w:t>
      </w:r>
      <w:r w:rsidR="00A568CE">
        <w:rPr>
          <w:rFonts w:eastAsiaTheme="minorEastAsia"/>
          <w:lang w:val="en-US"/>
        </w:rPr>
        <w:t xml:space="preserve">, displacements as large as </w:t>
      </w:r>
      <w:r w:rsidR="008F16AB">
        <w:rPr>
          <w:rFonts w:eastAsiaTheme="minorEastAsia"/>
          <w:lang w:val="en-US"/>
        </w:rPr>
        <w:t>50 meters for the M</w:t>
      </w:r>
      <w:r w:rsidR="008F16AB" w:rsidRPr="0063675D">
        <w:rPr>
          <w:rFonts w:eastAsiaTheme="minorEastAsia"/>
          <w:vertAlign w:val="subscript"/>
          <w:lang w:val="en-US"/>
        </w:rPr>
        <w:t>9</w:t>
      </w:r>
      <w:r w:rsidR="008F16AB">
        <w:rPr>
          <w:rFonts w:eastAsiaTheme="minorEastAsia"/>
          <w:lang w:val="en-US"/>
        </w:rPr>
        <w:t xml:space="preserve"> Tohuko Oki earthquake in 2011</w:t>
      </w:r>
      <w:r w:rsidR="008F16AB">
        <w:rPr>
          <w:rFonts w:eastAsiaTheme="minorEastAsia"/>
          <w:lang w:val="en-US"/>
        </w:rPr>
        <w:fldChar w:fldCharType="begin"/>
      </w:r>
      <w:r w:rsidR="00BD095E">
        <w:rPr>
          <w:rFonts w:eastAsiaTheme="minorEastAsia"/>
          <w:lang w:val="en-US"/>
        </w:rPr>
        <w:instrText xml:space="preserve"> ADDIN ZOTERO_ITEM CSL_CITATION {"citationID":"FnnzSYlg","properties":{"formattedCitation":"\\super 13\\nosupersub{}","plainCitation":"13","noteIndex":0},"citationItems":[{"id":430,"uris":["http://zotero.org/users/5712877/items/Y68MANAU"],"uri":["http://zotero.org/users/5712877/items/Y68MANAU"],"itemData":{"id":430,"type":"article-journal","title":"Sources of shaking and flooding during the Tohoku-Oki earthquake: A mixture of rupture styles","container-title":"Earth and Planetary Science Letters","page":"91-100","volume":"333-334","source":"Crossref","abstract":"Modeling strong ground motions from great subduction zone earthquakes is one of the great challenges of computational seismology. To separate the rupture characteristics from complexities caused by 3D sub-surface geology requires an extraordinary data set such as provided by the recent Mw9.0 TohokuOki earthquake. Here we combine deterministic inversion and dynamically guided forward simulation methods to model over one thousand high-rate GPS and strong motion observations from 0 to 0.25 Hz across the entire Honshu Island. Our results display distinct styles of rupture with a deeper generic interplate event ( $ Mw8.5) transitioning to a shallow tsunamigenic earthquake ($ Mw9.0) at about 25 km depth in a process driven by a strong dynamic weakening mechanism, possibly thermal pressurization. This source model predicts many important features of the broad set of seismic, geodetic and seaﬂoor observations providing a major advance in our understanding of such great natural hazards.","DOI":"10.1016/j.epsl.2012.04.006","ISSN":"0012821X","title-short":"Sources of shaking and flooding during the Tohoku-Oki earthquake","language":"en","author":[{"family":"Wei","given":"Shengji"},{"family":"Graves","given":"Robert"},{"family":"Helmberger","given":"Don"},{"family":"Avouac","given":"Jean-Philippe"},{"family":"Jiang","given":"Junle"}],"issued":{"date-parts":[["2012",6]]}}}],"schema":"https://github.com/citation-style-language/schema/raw/master/csl-citation.json"} </w:instrText>
      </w:r>
      <w:r w:rsidR="008F16AB">
        <w:rPr>
          <w:rFonts w:eastAsiaTheme="minorEastAsia"/>
          <w:lang w:val="en-US"/>
        </w:rPr>
        <w:fldChar w:fldCharType="separate"/>
      </w:r>
      <w:r w:rsidR="00BD095E" w:rsidRPr="00BD095E">
        <w:rPr>
          <w:rFonts w:cs="Times New Roman"/>
          <w:szCs w:val="24"/>
          <w:vertAlign w:val="superscript"/>
          <w:lang w:val="en-US"/>
        </w:rPr>
        <w:t>13</w:t>
      </w:r>
      <w:r w:rsidR="008F16AB">
        <w:rPr>
          <w:rFonts w:eastAsiaTheme="minorEastAsia"/>
          <w:lang w:val="en-US"/>
        </w:rPr>
        <w:fldChar w:fldCharType="end"/>
      </w:r>
      <w:r w:rsidR="008F16AB">
        <w:rPr>
          <w:rFonts w:eastAsiaTheme="minorEastAsia"/>
          <w:lang w:val="en-US"/>
        </w:rPr>
        <w:t xml:space="preserve">. However, </w:t>
      </w:r>
      <w:r w:rsidR="00BF6FE1">
        <w:rPr>
          <w:rFonts w:eastAsiaTheme="minorEastAsia"/>
          <w:lang w:val="en-US"/>
        </w:rPr>
        <w:t xml:space="preserve">as discussed above, these earthquakes occurred on major tectonic faults, at the scale of tectonic plates, which do not compare to the much smaller faults hosting the Black Fault Rocks considered here. We consider therefore that ~ 5 meters for a single event is a more appropriate </w:t>
      </w:r>
      <w:r>
        <w:rPr>
          <w:rFonts w:eastAsiaTheme="minorEastAsia"/>
          <w:lang w:val="en-US"/>
        </w:rPr>
        <w:t xml:space="preserve">upper bound </w:t>
      </w:r>
      <w:r w:rsidR="002657C8">
        <w:rPr>
          <w:rFonts w:eastAsiaTheme="minorEastAsia"/>
          <w:lang w:val="en-US"/>
        </w:rPr>
        <w:t>for the Black Fault Rocks</w:t>
      </w:r>
      <w:r w:rsidR="008F16AB">
        <w:rPr>
          <w:rFonts w:eastAsiaTheme="minorEastAsia"/>
          <w:lang w:val="en-US"/>
        </w:rPr>
        <w:fldChar w:fldCharType="begin"/>
      </w:r>
      <w:r w:rsidR="00BD095E">
        <w:rPr>
          <w:rFonts w:eastAsiaTheme="minorEastAsia"/>
          <w:lang w:val="en-US"/>
        </w:rPr>
        <w:instrText xml:space="preserve"> ADDIN ZOTERO_ITEM CSL_CITATION {"citationID":"yycKMOyZ","properties":{"formattedCitation":"\\super 9,20,23\\nosupersub{}","plainCitation":"9,20,23","noteIndex":0},"citationItems":[{"id":315,"uris":["http://zotero.org/users/5712877/items/QRAJHXDG"],"uri":["http://zotero.org/users/5712877/items/QRAJHXDG"],"itemData":{"id":315,"type":"article-journal","title":"Pseudotachylytes in an ancient accretionary complex and implications for melt lubrication during subduction zone earthquakes","container-title":"Journal of Structural Geology","page":"599-613","volume":"29","issue":"4","source":"Crossref","abstract":"Pseudotachylyte-bearing fault zones, found in the Shimanto accretionary complex, southwest Japan, developed during subduction or underplating at seismogenic depths. The pseudotachylytes occur in narrow dark veins less than a few millimeters thick that are sharply bounded by foliated cataclasites that originated from a me´lange. The microstructures of pseudotachylytes are represented by a fragment-laden, glasssupported texture resulting from the rapid cooling of the frictional melt. Transmission electron microscopy reveals the presence of glass in which euhedral microcrystals of mullite are locally developed. The compositions of the pseudotachylyte matrix and the characteristics of the unmelted grains and microlites in the matrix suggest that frictional melting occurred in an illite-rich slip zone with a minimum melting temperature of 1100 \u0014C. The viscosities of the frictional melt were calculated from the pseudotachylyte matrix composition as well as from the volume fraction and aspect ratio of the unmelted grains. The viscosities at 1100 \u0014C range from 85 to 290 Pa s, and the corresponding shear resistance along a 1-mm-thick melt layer at a slip rate of 1 m/s was 0.1e0.3 MPa. The formation of a melt layer in an illite-rich slip zone can possibly induce large stress drops, increase the slip rate and enhance rupture propagation, which together could affect the earthquake magnitude in a subduction zone. Ó 2006 Elsevier Ltd. All rights reserved.","DOI":"10.1016/j.jsg.2006.10.012","ISSN":"01918141","language":"en","author":[{"family":"Ujiie","given":"Kohtaro"},{"family":"Yamaguchi","given":"Haruka"},{"family":"Sakaguchi","given":"Arito"},{"family":"Toh","given":"Shoichi"}],"issued":{"date-parts":[["2007",4]]}}},{"id":340,"uris":["http://zotero.org/users/5712877/items/F25W5NN5"],"uri":["http://zotero.org/users/5712877/items/F25W5NN5"],"itemData":{"id":340,"type":"article-journal","title":"Postseismic fluid discharge chemically recorded in altered pseudotachylyte discovered from an ancient megasplay fault: an example from the Nobeoka Thrust in the Shimanto accretionary complex, SW Japan","container-title":"Progress in Earth and Planetary Science","volume":"6","issue":"1","source":"Crossref","abstract":"Megasplay fault branching from plate boundaries of subduction zones is thought to be important sources of earthquakes and tsunamis. In this study, we performed structural and geochemical analyses on a fossilized megasplay fault (the Nobeoka Thrust of the Shimanto accretionary complex) to understand fluid-rock interaction and how the splay fault plays a role in fluid flow in the seismogenic zone. As a result of structural observations, we report that the principal slip zone (PSZ) of the Nobeoka Thrust is composed of foliated cataclasite originating from a sandstone-shale mélange and includes a thin (~ 1.5 mm thick) pseudotachylyte layer. Major and trace element composition analysis and EPMA element mapping revealed that the pseudotachylyte is enriched in Li and Cs within the PSZ, as well as in the slip zone of a minor fault in the footwall. Li and Cs enrichment in pseudotachylyte is interpreted as a result of fluid-rock interaction in the postseismic stage, because such an anomaly only results from a large fluid/rock ratio (R &gt; 512–24 at 250–350 °C) under the influence of Li- and Cs-enriched fluids. The amount of fluid that reacted with the pseudotachylyte is estimated to be 1.78 × 100 to 7.61 × 103 m3.","URL":"https://progearthplanetsci.springeropen.com/articles/10.1186/s40645-019-0281-2","DOI":"10.1186/s40645-019-0281-2","ISSN":"2197-4284","title-short":"Postseismic fluid discharge chemically recorded in altered pseudotachylyte discovered from an ancient megasplay fault","language":"en","author":[{"family":"Hasegawa","given":"Ryota"},{"family":"Yamaguchi","given":"Asuka"},{"family":"Fukuchi","given":"Rina"},{"family":"Hamada","given":"Yohei"},{"family":"Ogawa","given":"Nobuhiro"},{"family":"Kitamura","given":"Yujin"},{"family":"Kimura","given":"Gaku"},{"family":"Ashi","given":"Juichiro"},{"family":"Ishikawa","given":"Tsuyoshi"}],"issued":{"date-parts":[["2019",12]]},"accessed":{"date-parts":[["2020",9,22]]}}},{"id":317,"uris":["http://zotero.org/users/5712877/items/XU58MY3A"],"uri":["http://zotero.org/users/5712877/items/XU58MY3A"],"itemData":{"id":317,"type":"article-journal","title":"Earthquake faulting in subduction zones: insights from fault rocks in accretionary prisms","container-title":"Progress in Earth and Planetary Science","page":"7","volume":"1","issue":"1","source":"Crossref","abstract":"Subduction earthquakes on plate-boundary megathrusts accommodate most of the global seismic moment release, frequently resulting in devastating damage by ground shaking and tsunamis. As many earthquakes occur in deep-sea regions, the dynamics of earthquake faulting in subduction zones is poorly understood. However, the Integrated Ocean Drilling Program (IODP) Nankai Trough Seismogenic Zone Experiment (NanTroSEIZE) and fault rock studies in accretionary prisms exhumed from source depths of subduction earthquakes have greatly improved our understanding of earthquake faulting in subduction zones. Here, we review key advances that have been made over the last decade in the studies of fault rocks and in laboratory experiments using fault zone materials, with a particular focus on the Nankai Trough subduction zone and its on-land analog, the Shimanto accretionary complex in Japan. New insights into earthquake faulting in subduction zones are summarized in terms of the following: (1) the occurrence of seismic slip along velocity-strengthening materials both at shallow and deep depths; (2) dynamic weakening of faults by melt lubrication and fluidization, and possible factors controlling coseismic deformation mechanisms; (3) fluid-rock interactions and mineralogical and geochemical changes during earthquakes; and (4) geological and experimental aspects of slow earthquakes.","DOI":"10.1186/2197-4284-1-7","ISSN":"2197-4284","title-short":"Earthquake faulting in subduction zones","language":"en","author":[{"family":"Ujiie","given":"Kohtaro"},{"family":"Kimura","given":"Gaku"}],"issued":{"date-parts":[["2014"]]}}}],"schema":"https://github.com/citation-style-language/schema/raw/master/csl-citation.json"} </w:instrText>
      </w:r>
      <w:r w:rsidR="008F16AB">
        <w:rPr>
          <w:rFonts w:eastAsiaTheme="minorEastAsia"/>
          <w:lang w:val="en-US"/>
        </w:rPr>
        <w:fldChar w:fldCharType="separate"/>
      </w:r>
      <w:r w:rsidR="00BD095E" w:rsidRPr="00BD095E">
        <w:rPr>
          <w:rFonts w:cs="Times New Roman"/>
          <w:szCs w:val="24"/>
          <w:vertAlign w:val="superscript"/>
          <w:lang w:val="en-US"/>
        </w:rPr>
        <w:t>9,20,23</w:t>
      </w:r>
      <w:r w:rsidR="008F16AB">
        <w:rPr>
          <w:rFonts w:eastAsiaTheme="minorEastAsia"/>
          <w:lang w:val="en-US"/>
        </w:rPr>
        <w:fldChar w:fldCharType="end"/>
      </w:r>
      <w:r w:rsidR="00BF6FE1">
        <w:rPr>
          <w:rFonts w:eastAsiaTheme="minorEastAsia"/>
          <w:lang w:val="en-US"/>
        </w:rPr>
        <w:t>.</w:t>
      </w:r>
      <w:r w:rsidR="00E40894">
        <w:rPr>
          <w:rFonts w:eastAsiaTheme="minorEastAsia"/>
          <w:lang w:val="en-US"/>
        </w:rPr>
        <w:t xml:space="preserve"> </w:t>
      </w:r>
      <w:r w:rsidR="00BF6FE1">
        <w:rPr>
          <w:rFonts w:eastAsiaTheme="minorEastAsia"/>
          <w:lang w:val="en-US"/>
        </w:rPr>
        <w:t>Consequently, for</w:t>
      </w:r>
      <w:r w:rsidR="008F16AB">
        <w:rPr>
          <w:rFonts w:eastAsiaTheme="minorEastAsia"/>
          <w:lang w:val="en-US"/>
        </w:rPr>
        <w:t xml:space="preserve"> a maximum fault displacement of 5</w:t>
      </w:r>
      <w:r w:rsidR="00504F59">
        <w:rPr>
          <w:rFonts w:eastAsiaTheme="minorEastAsia"/>
          <w:lang w:val="en-US"/>
        </w:rPr>
        <w:t xml:space="preserve"> meter</w:t>
      </w:r>
      <w:r w:rsidR="008A266C">
        <w:rPr>
          <w:rFonts w:eastAsiaTheme="minorEastAsia"/>
          <w:lang w:val="en-US"/>
        </w:rPr>
        <w:t>s</w:t>
      </w:r>
      <w:r w:rsidR="00504F59">
        <w:rPr>
          <w:rFonts w:eastAsiaTheme="minorEastAsia"/>
          <w:lang w:val="en-US"/>
        </w:rPr>
        <w:t xml:space="preserve"> with a slip rate at 1m/</w:t>
      </w:r>
      <w:r w:rsidR="008F16AB">
        <w:rPr>
          <w:rFonts w:eastAsiaTheme="minorEastAsia"/>
          <w:lang w:val="en-US"/>
        </w:rPr>
        <w:t>s we obtain a slip duration of 5</w:t>
      </w:r>
      <w:r w:rsidR="003F21D8">
        <w:rPr>
          <w:rFonts w:eastAsiaTheme="minorEastAsia"/>
          <w:lang w:val="en-US"/>
        </w:rPr>
        <w:t xml:space="preserve"> second.</w:t>
      </w:r>
      <w:r w:rsidR="00817A56">
        <w:rPr>
          <w:rFonts w:eastAsiaTheme="minorEastAsia"/>
          <w:lang w:val="en-US"/>
        </w:rPr>
        <w:t xml:space="preserve"> We also consider that the viscous shear is effective during 5 second and drop to 0 after this duration.</w:t>
      </w:r>
      <w:r w:rsidR="00392E86">
        <w:rPr>
          <w:rFonts w:eastAsiaTheme="minorEastAsia"/>
          <w:lang w:val="en-US"/>
        </w:rPr>
        <w:t xml:space="preserve"> </w:t>
      </w:r>
      <w:r w:rsidR="002E6DC9">
        <w:rPr>
          <w:rFonts w:eastAsiaTheme="minorEastAsia"/>
          <w:lang w:val="en-US"/>
        </w:rPr>
        <w:t>Supplementary</w:t>
      </w:r>
      <w:r w:rsidR="00392E86">
        <w:rPr>
          <w:rFonts w:eastAsiaTheme="minorEastAsia"/>
          <w:lang w:val="en-US"/>
        </w:rPr>
        <w:t xml:space="preserve"> Figure 5</w:t>
      </w:r>
      <w:r w:rsidR="002567E0">
        <w:rPr>
          <w:rFonts w:eastAsiaTheme="minorEastAsia"/>
          <w:lang w:val="en-US"/>
        </w:rPr>
        <w:t xml:space="preserve">e and </w:t>
      </w:r>
      <w:r w:rsidR="00392E86">
        <w:rPr>
          <w:rFonts w:eastAsiaTheme="minorEastAsia"/>
          <w:lang w:val="en-US"/>
        </w:rPr>
        <w:t>5</w:t>
      </w:r>
      <w:r w:rsidR="002567E0">
        <w:rPr>
          <w:rFonts w:eastAsiaTheme="minorEastAsia"/>
          <w:lang w:val="en-US"/>
        </w:rPr>
        <w:t>f</w:t>
      </w:r>
      <w:r w:rsidR="00504F59">
        <w:rPr>
          <w:rFonts w:eastAsiaTheme="minorEastAsia"/>
          <w:lang w:val="en-US"/>
        </w:rPr>
        <w:t xml:space="preserve"> report</w:t>
      </w:r>
      <w:r w:rsidR="003A7D4B">
        <w:rPr>
          <w:rFonts w:eastAsiaTheme="minorEastAsia"/>
          <w:lang w:val="en-US"/>
        </w:rPr>
        <w:t>s</w:t>
      </w:r>
      <w:r w:rsidR="00504F59">
        <w:rPr>
          <w:rFonts w:eastAsiaTheme="minorEastAsia"/>
          <w:lang w:val="en-US"/>
        </w:rPr>
        <w:t xml:space="preserve"> the result</w:t>
      </w:r>
      <w:r>
        <w:rPr>
          <w:rFonts w:eastAsiaTheme="minorEastAsia"/>
          <w:lang w:val="en-US"/>
        </w:rPr>
        <w:t>s</w:t>
      </w:r>
      <w:r w:rsidR="00504F59">
        <w:rPr>
          <w:rFonts w:eastAsiaTheme="minorEastAsia"/>
          <w:lang w:val="en-US"/>
        </w:rPr>
        <w:t xml:space="preserve"> obtain</w:t>
      </w:r>
      <w:r>
        <w:rPr>
          <w:rFonts w:eastAsiaTheme="minorEastAsia"/>
          <w:lang w:val="en-US"/>
        </w:rPr>
        <w:t>ed</w:t>
      </w:r>
      <w:r w:rsidR="00504F59">
        <w:rPr>
          <w:rFonts w:eastAsiaTheme="minorEastAsia"/>
          <w:lang w:val="en-US"/>
        </w:rPr>
        <w:t xml:space="preserve"> for the </w:t>
      </w:r>
      <w:r w:rsidR="006510BA">
        <w:rPr>
          <w:rFonts w:eastAsiaTheme="minorEastAsia"/>
          <w:lang w:val="en-US"/>
        </w:rPr>
        <w:t xml:space="preserve">modelling considering the viscous shear heating with a slip rate at 1m/s. However, </w:t>
      </w:r>
      <w:r w:rsidR="00504F59">
        <w:rPr>
          <w:rFonts w:eastAsiaTheme="minorEastAsia"/>
          <w:lang w:val="en-US"/>
        </w:rPr>
        <w:t xml:space="preserve">no </w:t>
      </w:r>
      <w:r>
        <w:rPr>
          <w:rFonts w:eastAsiaTheme="minorEastAsia"/>
          <w:lang w:val="en-US"/>
        </w:rPr>
        <w:t xml:space="preserve">significant difference can </w:t>
      </w:r>
      <w:r w:rsidR="00504F59">
        <w:rPr>
          <w:rFonts w:eastAsiaTheme="minorEastAsia"/>
          <w:lang w:val="en-US"/>
        </w:rPr>
        <w:t xml:space="preserve">be observed </w:t>
      </w:r>
      <w:r>
        <w:rPr>
          <w:rFonts w:eastAsiaTheme="minorEastAsia"/>
          <w:lang w:val="en-US"/>
        </w:rPr>
        <w:t xml:space="preserve">in </w:t>
      </w:r>
      <w:r w:rsidR="00504F59">
        <w:rPr>
          <w:rFonts w:eastAsiaTheme="minorEastAsia"/>
          <w:lang w:val="en-US"/>
        </w:rPr>
        <w:t xml:space="preserve">comparison with the </w:t>
      </w:r>
      <w:r>
        <w:rPr>
          <w:rFonts w:eastAsiaTheme="minorEastAsia"/>
          <w:lang w:val="en-US"/>
        </w:rPr>
        <w:t>model without viscous shear heating (2.2.1)</w:t>
      </w:r>
      <w:r w:rsidR="006510BA">
        <w:rPr>
          <w:rFonts w:eastAsiaTheme="minorEastAsia"/>
          <w:lang w:val="en-US"/>
        </w:rPr>
        <w:t xml:space="preserve">. </w:t>
      </w:r>
    </w:p>
    <w:p w14:paraId="38FED77B" w14:textId="00073501" w:rsidR="005D2401" w:rsidRDefault="00151F14" w:rsidP="00C52594">
      <w:pPr>
        <w:rPr>
          <w:rFonts w:eastAsiaTheme="minorEastAsia"/>
          <w:lang w:val="en-US"/>
        </w:rPr>
      </w:pPr>
      <w:r>
        <w:rPr>
          <w:rFonts w:eastAsiaTheme="minorEastAsia"/>
          <w:lang w:val="en-US"/>
        </w:rPr>
        <w:tab/>
      </w:r>
      <w:r w:rsidR="005D2401">
        <w:rPr>
          <w:rFonts w:eastAsiaTheme="minorEastAsia"/>
          <w:lang w:val="en-US"/>
        </w:rPr>
        <w:t xml:space="preserve">2.3 </w:t>
      </w:r>
      <w:r w:rsidR="00374813">
        <w:rPr>
          <w:rFonts w:eastAsiaTheme="minorEastAsia"/>
          <w:lang w:val="en-US"/>
        </w:rPr>
        <w:t>Budget of energy: cooling down vs. shear heating</w:t>
      </w:r>
      <w:r w:rsidR="005D2401">
        <w:rPr>
          <w:rFonts w:eastAsiaTheme="minorEastAsia"/>
          <w:lang w:val="en-US"/>
        </w:rPr>
        <w:t xml:space="preserve"> </w:t>
      </w:r>
    </w:p>
    <w:p w14:paraId="22860556" w14:textId="77C1290D" w:rsidR="004F79AD" w:rsidRDefault="00EA4CC1" w:rsidP="00C52594">
      <w:pPr>
        <w:rPr>
          <w:rFonts w:eastAsiaTheme="minorEastAsia"/>
          <w:lang w:val="en-US"/>
        </w:rPr>
      </w:pPr>
      <w:r>
        <w:rPr>
          <w:rFonts w:eastAsiaTheme="minorEastAsia"/>
          <w:lang w:val="en-US"/>
        </w:rPr>
        <w:t>The case study (2.2.1), where no viscous shear heating occurs, leads to variation in intensity ratio that are negligible, with respect to measurements in natural Black Fault Rocks (</w:t>
      </w:r>
      <w:r w:rsidR="002E6DC9">
        <w:rPr>
          <w:rFonts w:eastAsiaTheme="minorEastAsia"/>
          <w:lang w:val="en-US"/>
        </w:rPr>
        <w:t>Supplementary</w:t>
      </w:r>
      <w:r w:rsidR="00392E86">
        <w:rPr>
          <w:rFonts w:eastAsiaTheme="minorEastAsia"/>
          <w:lang w:val="en-US"/>
        </w:rPr>
        <w:t xml:space="preserve"> Figure</w:t>
      </w:r>
      <w:r>
        <w:rPr>
          <w:rFonts w:eastAsiaTheme="minorEastAsia"/>
          <w:lang w:val="en-US"/>
        </w:rPr>
        <w:t xml:space="preserve"> </w:t>
      </w:r>
      <w:r w:rsidR="00392E86">
        <w:rPr>
          <w:rFonts w:eastAsiaTheme="minorEastAsia"/>
          <w:lang w:val="en-US"/>
        </w:rPr>
        <w:t>5</w:t>
      </w:r>
      <w:r>
        <w:rPr>
          <w:rFonts w:eastAsiaTheme="minorEastAsia"/>
          <w:lang w:val="en-US"/>
        </w:rPr>
        <w:t xml:space="preserve">c and </w:t>
      </w:r>
      <w:r w:rsidR="00392E86">
        <w:rPr>
          <w:rFonts w:eastAsiaTheme="minorEastAsia"/>
          <w:lang w:val="en-US"/>
        </w:rPr>
        <w:t>5</w:t>
      </w:r>
      <w:r>
        <w:rPr>
          <w:rFonts w:eastAsiaTheme="minorEastAsia"/>
          <w:lang w:val="en-US"/>
        </w:rPr>
        <w:t xml:space="preserve">d). Considering viscous shear heating for 5s at 1m/s (case 2.2.2) does not result in significant difference, because the production of heat is not sufficient. One can therefore wonder what conditions of slip might induce enough shear heating as to influence the intensity ratio of the carbonaceous matter. </w:t>
      </w:r>
    </w:p>
    <w:p w14:paraId="362C6DA8" w14:textId="685A21D8" w:rsidR="00817A56" w:rsidRPr="00016B95" w:rsidRDefault="004F79AD" w:rsidP="00C52594">
      <w:pPr>
        <w:rPr>
          <w:rFonts w:eastAsiaTheme="minorEastAsia"/>
          <w:lang w:val="en-US"/>
        </w:rPr>
      </w:pPr>
      <w:r>
        <w:rPr>
          <w:rFonts w:eastAsiaTheme="minorEastAsia"/>
          <w:lang w:val="en-US"/>
        </w:rPr>
        <w:t xml:space="preserve">A first approach to this issue can simply consider the budget of heat associated with the cooling of the molten layer </w:t>
      </w:r>
      <w:r w:rsidR="00374813">
        <w:rPr>
          <w:rFonts w:eastAsiaTheme="minorEastAsia"/>
          <w:lang w:val="en-US"/>
        </w:rPr>
        <w:t>of 1mm of thickness, initially at T</w:t>
      </w:r>
      <w:r w:rsidR="00374813" w:rsidRPr="002B4935">
        <w:rPr>
          <w:rFonts w:eastAsiaTheme="minorEastAsia"/>
          <w:vertAlign w:val="subscript"/>
          <w:lang w:val="en-US"/>
        </w:rPr>
        <w:t>melt</w:t>
      </w:r>
      <w:r w:rsidR="00374813">
        <w:rPr>
          <w:rFonts w:eastAsiaTheme="minorEastAsia"/>
          <w:lang w:val="en-US"/>
        </w:rPr>
        <w:t xml:space="preserve"> and cooling down to the </w:t>
      </w:r>
      <w:r w:rsidR="00A568CE">
        <w:rPr>
          <w:rFonts w:eastAsiaTheme="minorEastAsia"/>
          <w:lang w:val="en-US"/>
        </w:rPr>
        <w:t>host-</w:t>
      </w:r>
      <w:r w:rsidR="00374813">
        <w:rPr>
          <w:rFonts w:eastAsiaTheme="minorEastAsia"/>
          <w:lang w:val="en-US"/>
        </w:rPr>
        <w:t>rock temperature T</w:t>
      </w:r>
      <w:r w:rsidR="00374813" w:rsidRPr="002B4935">
        <w:rPr>
          <w:rFonts w:eastAsiaTheme="minorEastAsia"/>
          <w:vertAlign w:val="subscript"/>
          <w:lang w:val="en-US"/>
        </w:rPr>
        <w:t>host</w:t>
      </w:r>
      <w:r w:rsidR="00374813">
        <w:rPr>
          <w:rFonts w:eastAsiaTheme="minorEastAsia"/>
          <w:lang w:val="en-US"/>
        </w:rPr>
        <w:t>:</w:t>
      </w:r>
      <w:r w:rsidR="00016B95">
        <w:rPr>
          <w:rFonts w:eastAsiaTheme="minorEastAsia"/>
          <w:lang w:val="en-US"/>
        </w:rPr>
        <w:t xml:space="preserve"> </w:t>
      </w:r>
    </w:p>
    <w:p w14:paraId="2C3A0DC4" w14:textId="461E616F" w:rsidR="00D01B3D" w:rsidRPr="00D01B3D" w:rsidRDefault="00450B58" w:rsidP="00C52594">
      <w:pPr>
        <w:rPr>
          <w:rFonts w:eastAsiaTheme="minorEastAsia"/>
          <w:lang w:val="en-US"/>
        </w:rPr>
      </w:pPr>
      <m:oMathPara>
        <m:oMath>
          <m:eqArr>
            <m:eqArrPr>
              <m:maxDist m:val="1"/>
              <m:ctrlPr>
                <w:rPr>
                  <w:rFonts w:ascii="Cambria Math" w:eastAsiaTheme="minorEastAsia" w:hAnsi="Cambria Math"/>
                  <w:i/>
                  <w:lang w:val="en-US"/>
                </w:rPr>
              </m:ctrlPr>
            </m:eqArrPr>
            <m:e>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n</m:t>
                  </m:r>
                </m:sub>
              </m:sSub>
              <m:r>
                <w:rPr>
                  <w:rFonts w:ascii="Cambria Math" w:eastAsiaTheme="minorEastAsia" w:hAnsi="Cambria Math"/>
                  <w:lang w:val="en-US"/>
                </w:rPr>
                <m:t xml:space="preserve">=Cp . ρ . h . Surf . </m:t>
              </m:r>
              <m:d>
                <m:dPr>
                  <m:ctrlPr>
                    <w:rPr>
                      <w:rFonts w:ascii="Cambria Math" w:eastAsiaTheme="minorEastAsia" w:hAnsi="Cambria Math"/>
                      <w:i/>
                      <w:lang w:val="en-US"/>
                    </w:rPr>
                  </m:ctrlPr>
                </m:dPr>
                <m:e>
                  <m:r>
                    <w:rPr>
                      <w:rFonts w:ascii="Cambria Math" w:eastAsiaTheme="minorEastAsia" w:hAnsi="Cambria Math"/>
                      <w:lang w:val="en-US"/>
                    </w:rPr>
                    <m:t>Tmelt-Thost</m:t>
                  </m:r>
                </m:e>
              </m:d>
              <m:r>
                <w:rPr>
                  <w:rFonts w:ascii="Cambria Math" w:eastAsiaTheme="minorEastAsia" w:hAnsi="Cambria Math"/>
                  <w:lang w:val="en-US"/>
                </w:rPr>
                <m:t>#(4)</m:t>
              </m:r>
            </m:e>
          </m:eqArr>
        </m:oMath>
      </m:oMathPara>
    </w:p>
    <w:p w14:paraId="5EA47FC6" w14:textId="2C9F3D79" w:rsidR="00016B95" w:rsidRDefault="00D01B3D" w:rsidP="00C52594">
      <w:pPr>
        <w:rPr>
          <w:rFonts w:eastAsiaTheme="minorEastAsia"/>
          <w:lang w:val="en-US"/>
        </w:rPr>
      </w:pPr>
      <w:r>
        <w:rPr>
          <w:rFonts w:eastAsiaTheme="minorEastAsia"/>
          <w:lang w:val="en-US"/>
        </w:rPr>
        <w:t xml:space="preserve">For a </w:t>
      </w:r>
      <w:r w:rsidR="00A568CE">
        <w:rPr>
          <w:rFonts w:eastAsiaTheme="minorEastAsia"/>
          <w:lang w:val="en-US"/>
        </w:rPr>
        <w:t xml:space="preserve">square </w:t>
      </w:r>
      <w:r>
        <w:rPr>
          <w:rFonts w:eastAsiaTheme="minorEastAsia"/>
          <w:lang w:val="en-US"/>
        </w:rPr>
        <w:t xml:space="preserve">meter </w:t>
      </w:r>
      <w:r w:rsidR="00016B95">
        <w:rPr>
          <w:rFonts w:eastAsiaTheme="minorEastAsia"/>
          <w:lang w:val="en-US"/>
        </w:rPr>
        <w:t>surface,</w:t>
      </w:r>
      <w:r>
        <w:rPr>
          <w:rFonts w:eastAsiaTheme="minorEastAsia"/>
          <w:lang w:val="en-US"/>
        </w:rPr>
        <w:t xml:space="preserve"> we obtain a </w:t>
      </w:r>
      <w:r w:rsidR="00374813">
        <w:rPr>
          <w:rFonts w:eastAsiaTheme="minorEastAsia"/>
          <w:lang w:val="en-US"/>
        </w:rPr>
        <w:t>total energy budget of</w:t>
      </w:r>
      <w:r>
        <w:rPr>
          <w:rFonts w:eastAsiaTheme="minorEastAsia"/>
          <w:lang w:val="en-US"/>
        </w:rPr>
        <w:t xml:space="preserve"> </w:t>
      </w:r>
      <w:r w:rsidRPr="002B4935">
        <w:rPr>
          <w:rFonts w:eastAsiaTheme="minorEastAsia"/>
          <w:lang w:val="en-US"/>
        </w:rPr>
        <w:t>3.76</w:t>
      </w:r>
      <w:r w:rsidR="00504F59" w:rsidRPr="002B4935">
        <w:rPr>
          <w:rFonts w:eastAsiaTheme="minorEastAsia"/>
          <w:lang w:val="en-US"/>
        </w:rPr>
        <w:t>e</w:t>
      </w:r>
      <w:r w:rsidRPr="002B4935">
        <w:rPr>
          <w:rFonts w:eastAsiaTheme="minorEastAsia"/>
          <w:lang w:val="en-US"/>
        </w:rPr>
        <w:t>10</w:t>
      </w:r>
      <w:r w:rsidRPr="002B4935">
        <w:rPr>
          <w:rFonts w:eastAsiaTheme="minorEastAsia"/>
          <w:vertAlign w:val="superscript"/>
          <w:lang w:val="en-US"/>
        </w:rPr>
        <w:t xml:space="preserve">6 </w:t>
      </w:r>
      <w:r w:rsidRPr="002B4935">
        <w:rPr>
          <w:rFonts w:eastAsiaTheme="minorEastAsia"/>
          <w:lang w:val="en-US"/>
        </w:rPr>
        <w:t>Joules</w:t>
      </w:r>
      <w:r>
        <w:rPr>
          <w:rFonts w:eastAsiaTheme="minorEastAsia"/>
          <w:lang w:val="en-US"/>
        </w:rPr>
        <w:t xml:space="preserve">. </w:t>
      </w:r>
    </w:p>
    <w:p w14:paraId="04593512" w14:textId="254E70DA" w:rsidR="008A266C" w:rsidRDefault="00374813" w:rsidP="00C52594">
      <w:pPr>
        <w:rPr>
          <w:rFonts w:eastAsiaTheme="minorEastAsia"/>
          <w:lang w:val="en-US"/>
        </w:rPr>
      </w:pPr>
      <w:r>
        <w:rPr>
          <w:rFonts w:eastAsiaTheme="minorEastAsia"/>
          <w:lang w:val="en-US"/>
        </w:rPr>
        <w:t xml:space="preserve">This budget can be compared </w:t>
      </w:r>
      <w:r w:rsidR="00A568CE">
        <w:rPr>
          <w:rFonts w:eastAsiaTheme="minorEastAsia"/>
          <w:lang w:val="en-US"/>
        </w:rPr>
        <w:t xml:space="preserve">with </w:t>
      </w:r>
      <w:r>
        <w:rPr>
          <w:rFonts w:eastAsiaTheme="minorEastAsia"/>
          <w:lang w:val="en-US"/>
        </w:rPr>
        <w:t>the</w:t>
      </w:r>
      <w:r w:rsidR="00016B95">
        <w:rPr>
          <w:rFonts w:eastAsiaTheme="minorEastAsia"/>
          <w:lang w:val="en-US"/>
        </w:rPr>
        <w:t xml:space="preserve"> amount of energy that can be produce</w:t>
      </w:r>
      <w:r w:rsidR="0037305C">
        <w:rPr>
          <w:rFonts w:eastAsiaTheme="minorEastAsia"/>
          <w:lang w:val="en-US"/>
        </w:rPr>
        <w:t>d</w:t>
      </w:r>
      <w:r w:rsidR="00016B95">
        <w:rPr>
          <w:rFonts w:eastAsiaTheme="minorEastAsia"/>
          <w:lang w:val="en-US"/>
        </w:rPr>
        <w:t xml:space="preserve"> by viscous shear heating. </w:t>
      </w:r>
      <w:r w:rsidR="008E4D1B">
        <w:rPr>
          <w:rFonts w:eastAsiaTheme="minorEastAsia"/>
          <w:lang w:val="en-US"/>
        </w:rPr>
        <w:t>Based on the equation (2</w:t>
      </w:r>
      <w:r>
        <w:rPr>
          <w:rFonts w:eastAsiaTheme="minorEastAsia"/>
          <w:lang w:val="en-US"/>
        </w:rPr>
        <w:t>.2), the heat production scales with the square of slip velocity. An upper bound on heat production can be obtained using extreme slip velocity, of the order of  10 m/s</w:t>
      </w:r>
      <w:r>
        <w:rPr>
          <w:rFonts w:eastAsiaTheme="minorEastAsia"/>
          <w:lang w:val="en-US"/>
        </w:rPr>
        <w:fldChar w:fldCharType="begin"/>
      </w:r>
      <w:r w:rsidR="00BD095E">
        <w:rPr>
          <w:rFonts w:eastAsiaTheme="minorEastAsia"/>
          <w:lang w:val="en-US"/>
        </w:rPr>
        <w:instrText xml:space="preserve"> ADDIN ZOTERO_ITEM CSL_CITATION {"citationID":"cWKbRvB8","properties":{"formattedCitation":"\\super 13\\nosupersub{}","plainCitation":"13","noteIndex":0},"citationItems":[{"id":430,"uris":["http://zotero.org/users/5712877/items/Y68MANAU"],"uri":["http://zotero.org/users/5712877/items/Y68MANAU"],"itemData":{"id":430,"type":"article-journal","title":"Sources of shaking and flooding during the Tohoku-Oki earthquake: A mixture of rupture styles","container-title":"Earth and Planetary Science Letters","page":"91-100","volume":"333-334","source":"Crossref","abstract":"Modeling strong ground motions from great subduction zone earthquakes is one of the great challenges of computational seismology. To separate the rupture characteristics from complexities caused by 3D sub-surface geology requires an extraordinary data set such as provided by the recent Mw9.0 TohokuOki earthquake. Here we combine deterministic inversion and dynamically guided forward simulation methods to model over one thousand high-rate GPS and strong motion observations from 0 to 0.25 Hz across the entire Honshu Island. Our results display distinct styles of rupture with a deeper generic interplate event ( $ Mw8.5) transitioning to a shallow tsunamigenic earthquake ($ Mw9.0) at about 25 km depth in a process driven by a strong dynamic weakening mechanism, possibly thermal pressurization. This source model predicts many important features of the broad set of seismic, geodetic and seaﬂoor observations providing a major advance in our understanding of such great natural hazards.","DOI":"10.1016/j.epsl.2012.04.006","ISSN":"0012821X","title-short":"Sources of shaking and flooding during the Tohoku-Oki earthquake","language":"en","author":[{"family":"Wei","given":"Shengji"},{"family":"Graves","given":"Robert"},{"family":"Helmberger","given":"Don"},{"family":"Avouac","given":"Jean-Philippe"},{"family":"Jiang","given":"Junle"}],"issued":{"date-parts":[["2012",6]]}}}],"schema":"https://github.com/citation-style-language/schema/raw/master/csl-citation.json"} </w:instrText>
      </w:r>
      <w:r>
        <w:rPr>
          <w:rFonts w:eastAsiaTheme="minorEastAsia"/>
          <w:lang w:val="en-US"/>
        </w:rPr>
        <w:fldChar w:fldCharType="separate"/>
      </w:r>
      <w:r w:rsidR="00BD095E" w:rsidRPr="00BD095E">
        <w:rPr>
          <w:rFonts w:cs="Times New Roman"/>
          <w:szCs w:val="24"/>
          <w:vertAlign w:val="superscript"/>
          <w:lang w:val="en-US"/>
        </w:rPr>
        <w:t>13</w:t>
      </w:r>
      <w:r>
        <w:rPr>
          <w:rFonts w:eastAsiaTheme="minorEastAsia"/>
          <w:lang w:val="en-US"/>
        </w:rPr>
        <w:fldChar w:fldCharType="end"/>
      </w:r>
      <w:r>
        <w:rPr>
          <w:rFonts w:eastAsiaTheme="minorEastAsia"/>
          <w:lang w:val="en-US"/>
        </w:rPr>
        <w:t>. Using eq</w:t>
      </w:r>
      <w:r w:rsidR="002B4935">
        <w:rPr>
          <w:rFonts w:eastAsiaTheme="minorEastAsia"/>
          <w:lang w:val="en-US"/>
        </w:rPr>
        <w:t>uation (</w:t>
      </w:r>
      <w:r w:rsidR="008E4D1B">
        <w:rPr>
          <w:rFonts w:eastAsiaTheme="minorEastAsia"/>
          <w:lang w:val="en-US"/>
        </w:rPr>
        <w:t>2</w:t>
      </w:r>
      <w:r>
        <w:rPr>
          <w:rFonts w:eastAsiaTheme="minorEastAsia"/>
          <w:lang w:val="en-US"/>
        </w:rPr>
        <w:t>.2</w:t>
      </w:r>
      <w:r w:rsidR="002B4935">
        <w:rPr>
          <w:rFonts w:eastAsiaTheme="minorEastAsia"/>
          <w:lang w:val="en-US"/>
        </w:rPr>
        <w:t>)</w:t>
      </w:r>
      <w:r>
        <w:rPr>
          <w:rFonts w:eastAsiaTheme="minorEastAsia"/>
          <w:lang w:val="en-US"/>
        </w:rPr>
        <w:t xml:space="preserve">, we </w:t>
      </w:r>
      <w:r w:rsidR="00090EDC">
        <w:rPr>
          <w:rFonts w:eastAsiaTheme="minorEastAsia"/>
          <w:lang w:val="en-US"/>
        </w:rPr>
        <w:t xml:space="preserve">can calculate the amount of </w:t>
      </w:r>
      <w:r>
        <w:rPr>
          <w:rFonts w:eastAsiaTheme="minorEastAsia"/>
          <w:lang w:val="en-US"/>
        </w:rPr>
        <w:t xml:space="preserve">energy produced by </w:t>
      </w:r>
      <w:r w:rsidR="00090EDC">
        <w:rPr>
          <w:rFonts w:eastAsiaTheme="minorEastAsia"/>
          <w:lang w:val="en-US"/>
        </w:rPr>
        <w:t xml:space="preserve">shear heating for slip duration </w:t>
      </w:r>
      <w:r>
        <w:rPr>
          <w:rFonts w:eastAsiaTheme="minorEastAsia"/>
          <w:lang w:val="en-US"/>
        </w:rPr>
        <w:t xml:space="preserve">in the range </w:t>
      </w:r>
      <w:r w:rsidR="00090EDC">
        <w:rPr>
          <w:rFonts w:eastAsiaTheme="minorEastAsia"/>
          <w:lang w:val="en-US"/>
        </w:rPr>
        <w:t xml:space="preserve">0.1s </w:t>
      </w:r>
      <w:r>
        <w:rPr>
          <w:rFonts w:eastAsiaTheme="minorEastAsia"/>
          <w:lang w:val="en-US"/>
        </w:rPr>
        <w:t xml:space="preserve">to </w:t>
      </w:r>
      <w:r w:rsidR="00090EDC">
        <w:rPr>
          <w:rFonts w:eastAsiaTheme="minorEastAsia"/>
          <w:lang w:val="en-US"/>
        </w:rPr>
        <w:t>1s</w:t>
      </w:r>
      <w:r>
        <w:rPr>
          <w:rFonts w:eastAsiaTheme="minorEastAsia"/>
          <w:lang w:val="en-US"/>
        </w:rPr>
        <w:t xml:space="preserve"> and</w:t>
      </w:r>
      <w:r w:rsidR="00090EDC">
        <w:rPr>
          <w:rFonts w:eastAsiaTheme="minorEastAsia"/>
          <w:lang w:val="en-US"/>
        </w:rPr>
        <w:t xml:space="preserve"> for slip rates </w:t>
      </w:r>
      <w:r>
        <w:rPr>
          <w:rFonts w:eastAsiaTheme="minorEastAsia"/>
          <w:lang w:val="en-US"/>
        </w:rPr>
        <w:t xml:space="preserve">in the range </w:t>
      </w:r>
      <w:r w:rsidR="00090EDC">
        <w:rPr>
          <w:rFonts w:eastAsiaTheme="minorEastAsia"/>
          <w:lang w:val="en-US"/>
        </w:rPr>
        <w:t xml:space="preserve">1 m/s </w:t>
      </w:r>
      <w:r>
        <w:rPr>
          <w:rFonts w:eastAsiaTheme="minorEastAsia"/>
          <w:lang w:val="en-US"/>
        </w:rPr>
        <w:t xml:space="preserve">to </w:t>
      </w:r>
      <w:r w:rsidR="00090EDC">
        <w:rPr>
          <w:rFonts w:eastAsiaTheme="minorEastAsia"/>
          <w:lang w:val="en-US"/>
        </w:rPr>
        <w:t>10 m/s</w:t>
      </w:r>
      <w:r>
        <w:rPr>
          <w:rFonts w:eastAsiaTheme="minorEastAsia"/>
          <w:lang w:val="en-US"/>
        </w:rPr>
        <w:t>, on a volume of V = h . Surf=1mm.1m</w:t>
      </w:r>
      <w:r w:rsidRPr="002B4935">
        <w:rPr>
          <w:rFonts w:eastAsiaTheme="minorEastAsia"/>
          <w:vertAlign w:val="superscript"/>
          <w:lang w:val="en-US"/>
        </w:rPr>
        <w:t>2</w:t>
      </w:r>
      <w:r>
        <w:rPr>
          <w:rFonts w:eastAsiaTheme="minorEastAsia"/>
          <w:lang w:val="en-US"/>
        </w:rPr>
        <w:t xml:space="preserve"> (in Joules)</w:t>
      </w:r>
      <w:r w:rsidR="00090EDC">
        <w:rPr>
          <w:rFonts w:eastAsiaTheme="minorEastAsia"/>
          <w:lang w:val="en-US"/>
        </w:rPr>
        <w:t xml:space="preserve">: </w:t>
      </w:r>
    </w:p>
    <w:tbl>
      <w:tblPr>
        <w:tblStyle w:val="TableauGrille1Clair"/>
        <w:tblW w:w="0" w:type="auto"/>
        <w:jc w:val="center"/>
        <w:tblLook w:val="04A0" w:firstRow="1" w:lastRow="0" w:firstColumn="1" w:lastColumn="0" w:noHBand="0" w:noVBand="1"/>
      </w:tblPr>
      <w:tblGrid>
        <w:gridCol w:w="1814"/>
        <w:gridCol w:w="1814"/>
        <w:gridCol w:w="1814"/>
      </w:tblGrid>
      <w:tr w:rsidR="00090EDC" w14:paraId="6726A8F6" w14:textId="77777777" w:rsidTr="00090EDC">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1814" w:type="dxa"/>
          </w:tcPr>
          <w:p w14:paraId="6D55AAE9" w14:textId="77777777" w:rsidR="00090EDC" w:rsidRDefault="00090EDC" w:rsidP="00090EDC">
            <w:pPr>
              <w:jc w:val="center"/>
              <w:rPr>
                <w:rFonts w:eastAsiaTheme="minorEastAsia"/>
                <w:lang w:val="en-US"/>
              </w:rPr>
            </w:pPr>
            <w:r>
              <w:rPr>
                <w:rFonts w:eastAsiaTheme="minorEastAsia"/>
                <w:lang w:val="en-US"/>
              </w:rPr>
              <w:t xml:space="preserve"> </w:t>
            </w:r>
          </w:p>
        </w:tc>
        <w:tc>
          <w:tcPr>
            <w:tcW w:w="1814" w:type="dxa"/>
          </w:tcPr>
          <w:p w14:paraId="0A8A8F67" w14:textId="77777777" w:rsidR="00090EDC" w:rsidRDefault="00090EDC" w:rsidP="00090EDC">
            <w:pPr>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Pr>
                <w:rFonts w:eastAsiaTheme="minorEastAsia"/>
                <w:lang w:val="en-US"/>
              </w:rPr>
              <w:t>1 m/s</w:t>
            </w:r>
          </w:p>
        </w:tc>
        <w:tc>
          <w:tcPr>
            <w:tcW w:w="1814" w:type="dxa"/>
          </w:tcPr>
          <w:p w14:paraId="00AC257C" w14:textId="77777777" w:rsidR="00090EDC" w:rsidRDefault="00090EDC" w:rsidP="00090EDC">
            <w:pPr>
              <w:jc w:val="center"/>
              <w:cnfStyle w:val="100000000000" w:firstRow="1" w:lastRow="0" w:firstColumn="0" w:lastColumn="0" w:oddVBand="0" w:evenVBand="0" w:oddHBand="0" w:evenHBand="0" w:firstRowFirstColumn="0" w:firstRowLastColumn="0" w:lastRowFirstColumn="0" w:lastRowLastColumn="0"/>
              <w:rPr>
                <w:rFonts w:eastAsiaTheme="minorEastAsia"/>
                <w:lang w:val="en-US"/>
              </w:rPr>
            </w:pPr>
            <w:r>
              <w:rPr>
                <w:rFonts w:eastAsiaTheme="minorEastAsia"/>
                <w:lang w:val="en-US"/>
              </w:rPr>
              <w:t>10 m/s</w:t>
            </w:r>
          </w:p>
        </w:tc>
      </w:tr>
      <w:tr w:rsidR="00090EDC" w14:paraId="1E920BD2" w14:textId="77777777" w:rsidTr="00504F59">
        <w:trPr>
          <w:trHeight w:val="552"/>
          <w:jc w:val="center"/>
        </w:trPr>
        <w:tc>
          <w:tcPr>
            <w:cnfStyle w:val="001000000000" w:firstRow="0" w:lastRow="0" w:firstColumn="1" w:lastColumn="0" w:oddVBand="0" w:evenVBand="0" w:oddHBand="0" w:evenHBand="0" w:firstRowFirstColumn="0" w:firstRowLastColumn="0" w:lastRowFirstColumn="0" w:lastRowLastColumn="0"/>
            <w:tcW w:w="1814" w:type="dxa"/>
          </w:tcPr>
          <w:p w14:paraId="512CD7EF" w14:textId="77777777" w:rsidR="00090EDC" w:rsidRDefault="00090EDC" w:rsidP="00090EDC">
            <w:pPr>
              <w:jc w:val="center"/>
              <w:rPr>
                <w:rFonts w:eastAsiaTheme="minorEastAsia"/>
                <w:lang w:val="en-US"/>
              </w:rPr>
            </w:pPr>
            <w:r>
              <w:rPr>
                <w:rFonts w:eastAsiaTheme="minorEastAsia"/>
                <w:lang w:val="en-US"/>
              </w:rPr>
              <w:t>0.1 s</w:t>
            </w:r>
          </w:p>
        </w:tc>
        <w:tc>
          <w:tcPr>
            <w:tcW w:w="1814" w:type="dxa"/>
            <w:vAlign w:val="center"/>
          </w:tcPr>
          <w:p w14:paraId="4064C6B6" w14:textId="77777777" w:rsidR="00090EDC" w:rsidRDefault="00090EDC" w:rsidP="00504F59">
            <w:pPr>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Pr>
                <w:rFonts w:eastAsiaTheme="minorEastAsia"/>
                <w:lang w:val="en-US"/>
              </w:rPr>
              <w:t>1.0e10</w:t>
            </w:r>
            <w:r w:rsidRPr="00090EDC">
              <w:rPr>
                <w:rFonts w:eastAsiaTheme="minorEastAsia"/>
                <w:vertAlign w:val="superscript"/>
                <w:lang w:val="en-US"/>
              </w:rPr>
              <w:t>4</w:t>
            </w:r>
          </w:p>
        </w:tc>
        <w:tc>
          <w:tcPr>
            <w:tcW w:w="1814" w:type="dxa"/>
            <w:vAlign w:val="center"/>
          </w:tcPr>
          <w:p w14:paraId="75281A9E" w14:textId="77777777" w:rsidR="00090EDC" w:rsidRDefault="00090EDC" w:rsidP="00504F59">
            <w:pPr>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Pr>
                <w:rFonts w:eastAsiaTheme="minorEastAsia"/>
                <w:lang w:val="en-US"/>
              </w:rPr>
              <w:t>1.0e10</w:t>
            </w:r>
            <w:r w:rsidRPr="00090EDC">
              <w:rPr>
                <w:rFonts w:eastAsiaTheme="minorEastAsia"/>
                <w:vertAlign w:val="superscript"/>
                <w:lang w:val="en-US"/>
              </w:rPr>
              <w:t>6</w:t>
            </w:r>
          </w:p>
        </w:tc>
      </w:tr>
      <w:tr w:rsidR="00090EDC" w14:paraId="3E054836" w14:textId="77777777" w:rsidTr="00504F59">
        <w:trPr>
          <w:trHeight w:val="552"/>
          <w:jc w:val="center"/>
        </w:trPr>
        <w:tc>
          <w:tcPr>
            <w:cnfStyle w:val="001000000000" w:firstRow="0" w:lastRow="0" w:firstColumn="1" w:lastColumn="0" w:oddVBand="0" w:evenVBand="0" w:oddHBand="0" w:evenHBand="0" w:firstRowFirstColumn="0" w:firstRowLastColumn="0" w:lastRowFirstColumn="0" w:lastRowLastColumn="0"/>
            <w:tcW w:w="1814" w:type="dxa"/>
          </w:tcPr>
          <w:p w14:paraId="63DC4AD5" w14:textId="77777777" w:rsidR="00090EDC" w:rsidRDefault="00090EDC" w:rsidP="00090EDC">
            <w:pPr>
              <w:jc w:val="center"/>
              <w:rPr>
                <w:rFonts w:eastAsiaTheme="minorEastAsia"/>
                <w:lang w:val="en-US"/>
              </w:rPr>
            </w:pPr>
            <w:r>
              <w:rPr>
                <w:rFonts w:eastAsiaTheme="minorEastAsia"/>
                <w:lang w:val="en-US"/>
              </w:rPr>
              <w:t>1 s</w:t>
            </w:r>
          </w:p>
        </w:tc>
        <w:tc>
          <w:tcPr>
            <w:tcW w:w="1814" w:type="dxa"/>
            <w:vAlign w:val="center"/>
          </w:tcPr>
          <w:p w14:paraId="152FBB87" w14:textId="77777777" w:rsidR="00090EDC" w:rsidRDefault="00090EDC" w:rsidP="00504F59">
            <w:pPr>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Pr>
                <w:rFonts w:eastAsiaTheme="minorEastAsia"/>
                <w:lang w:val="en-US"/>
              </w:rPr>
              <w:t>1.0e10</w:t>
            </w:r>
            <w:r w:rsidRPr="00090EDC">
              <w:rPr>
                <w:rFonts w:eastAsiaTheme="minorEastAsia"/>
                <w:vertAlign w:val="superscript"/>
                <w:lang w:val="en-US"/>
              </w:rPr>
              <w:t>5</w:t>
            </w:r>
          </w:p>
        </w:tc>
        <w:tc>
          <w:tcPr>
            <w:tcW w:w="1814" w:type="dxa"/>
            <w:vAlign w:val="center"/>
          </w:tcPr>
          <w:p w14:paraId="6339DDF7" w14:textId="77777777" w:rsidR="00090EDC" w:rsidRDefault="00090EDC" w:rsidP="00504F59">
            <w:pPr>
              <w:jc w:val="center"/>
              <w:cnfStyle w:val="000000000000" w:firstRow="0" w:lastRow="0" w:firstColumn="0" w:lastColumn="0" w:oddVBand="0" w:evenVBand="0" w:oddHBand="0" w:evenHBand="0" w:firstRowFirstColumn="0" w:firstRowLastColumn="0" w:lastRowFirstColumn="0" w:lastRowLastColumn="0"/>
              <w:rPr>
                <w:rFonts w:eastAsiaTheme="minorEastAsia"/>
                <w:lang w:val="en-US"/>
              </w:rPr>
            </w:pPr>
            <w:r>
              <w:rPr>
                <w:rFonts w:eastAsiaTheme="minorEastAsia"/>
                <w:lang w:val="en-US"/>
              </w:rPr>
              <w:t>1.0e10</w:t>
            </w:r>
            <w:r w:rsidRPr="00090EDC">
              <w:rPr>
                <w:rFonts w:eastAsiaTheme="minorEastAsia"/>
                <w:vertAlign w:val="superscript"/>
                <w:lang w:val="en-US"/>
              </w:rPr>
              <w:t>7</w:t>
            </w:r>
          </w:p>
        </w:tc>
      </w:tr>
    </w:tbl>
    <w:p w14:paraId="6BB026A4" w14:textId="77777777" w:rsidR="00D01B3D" w:rsidRDefault="00D01B3D" w:rsidP="00C52594">
      <w:pPr>
        <w:rPr>
          <w:rFonts w:eastAsiaTheme="minorEastAsia"/>
          <w:lang w:val="en-US"/>
        </w:rPr>
      </w:pPr>
    </w:p>
    <w:p w14:paraId="5FC7586A" w14:textId="0D8DF5F3" w:rsidR="00090EDC" w:rsidRDefault="00090EDC" w:rsidP="00C52594">
      <w:pPr>
        <w:rPr>
          <w:rFonts w:eastAsiaTheme="minorEastAsia"/>
          <w:lang w:val="en-US"/>
        </w:rPr>
      </w:pPr>
      <w:r>
        <w:rPr>
          <w:rFonts w:eastAsiaTheme="minorEastAsia"/>
          <w:lang w:val="en-US"/>
        </w:rPr>
        <w:t>Comparing these values with the heat diffusion</w:t>
      </w:r>
      <w:r w:rsidR="00016B95">
        <w:rPr>
          <w:rFonts w:eastAsiaTheme="minorEastAsia"/>
          <w:lang w:val="en-US"/>
        </w:rPr>
        <w:t xml:space="preserve"> (E</w:t>
      </w:r>
      <w:r w:rsidR="00016B95" w:rsidRPr="00016B95">
        <w:rPr>
          <w:rFonts w:eastAsiaTheme="minorEastAsia"/>
          <w:vertAlign w:val="subscript"/>
          <w:lang w:val="en-US"/>
        </w:rPr>
        <w:t>n</w:t>
      </w:r>
      <w:r w:rsidR="00016B95">
        <w:rPr>
          <w:rFonts w:eastAsiaTheme="minorEastAsia"/>
          <w:lang w:val="en-US"/>
        </w:rPr>
        <w:t>)</w:t>
      </w:r>
      <w:r>
        <w:rPr>
          <w:rFonts w:eastAsiaTheme="minorEastAsia"/>
          <w:lang w:val="en-US"/>
        </w:rPr>
        <w:t xml:space="preserve">, </w:t>
      </w:r>
      <w:r w:rsidR="00374813">
        <w:rPr>
          <w:rFonts w:eastAsiaTheme="minorEastAsia"/>
          <w:lang w:val="en-US"/>
        </w:rPr>
        <w:t>it appears that shear heating produces a significant amount of energy only for very high slip rates (10m/s) and for duration of at least 0.1s</w:t>
      </w:r>
      <w:r>
        <w:rPr>
          <w:rFonts w:eastAsiaTheme="minorEastAsia"/>
          <w:lang w:val="en-US"/>
        </w:rPr>
        <w:t xml:space="preserve">.  </w:t>
      </w:r>
    </w:p>
    <w:p w14:paraId="22C1774A" w14:textId="72E4B1D9" w:rsidR="002B4935" w:rsidRPr="00151F14" w:rsidRDefault="002B4935" w:rsidP="00151F14">
      <w:pPr>
        <w:pStyle w:val="Paragraphedeliste"/>
        <w:numPr>
          <w:ilvl w:val="1"/>
          <w:numId w:val="16"/>
        </w:numPr>
        <w:rPr>
          <w:rFonts w:eastAsiaTheme="minorEastAsia"/>
          <w:lang w:val="en-US"/>
        </w:rPr>
      </w:pPr>
      <w:r w:rsidRPr="00151F14">
        <w:rPr>
          <w:lang w:val="en-US"/>
        </w:rPr>
        <w:t xml:space="preserve">With viscous shear heating, </w:t>
      </w:r>
      <w:r w:rsidRPr="00151F14">
        <w:rPr>
          <w:rFonts w:eastAsiaTheme="minorEastAsia"/>
          <w:lang w:val="en-US"/>
        </w:rPr>
        <w:t>considering displacement at 1m/s</w:t>
      </w:r>
      <w:r w:rsidRPr="00151F14" w:rsidDel="00374813">
        <w:rPr>
          <w:rFonts w:eastAsiaTheme="minorEastAsia"/>
          <w:lang w:val="en-US"/>
        </w:rPr>
        <w:t xml:space="preserve"> </w:t>
      </w:r>
    </w:p>
    <w:p w14:paraId="01D1A174" w14:textId="77777777" w:rsidR="00B63041" w:rsidRDefault="00374813">
      <w:pPr>
        <w:rPr>
          <w:rFonts w:eastAsiaTheme="minorEastAsia"/>
          <w:lang w:val="en-US"/>
        </w:rPr>
      </w:pPr>
      <w:r w:rsidRPr="002B4935">
        <w:rPr>
          <w:rFonts w:eastAsiaTheme="minorEastAsia"/>
          <w:lang w:val="en-US"/>
        </w:rPr>
        <w:t>On the basis of the calculations above, only</w:t>
      </w:r>
      <w:r w:rsidR="00016B95" w:rsidRPr="002B4935">
        <w:rPr>
          <w:rFonts w:eastAsiaTheme="minorEastAsia"/>
          <w:lang w:val="en-US"/>
        </w:rPr>
        <w:t xml:space="preserve"> high slip rate of 10m/s</w:t>
      </w:r>
      <w:r w:rsidRPr="002B4935">
        <w:rPr>
          <w:rFonts w:eastAsiaTheme="minorEastAsia"/>
          <w:lang w:val="en-US"/>
        </w:rPr>
        <w:t xml:space="preserve"> can possibly produce enough energy as to influence the intensity ratio of the carbonaceous material</w:t>
      </w:r>
      <w:r w:rsidR="0042158B" w:rsidRPr="002B4935">
        <w:rPr>
          <w:rFonts w:eastAsiaTheme="minorEastAsia"/>
          <w:lang w:val="en-US"/>
        </w:rPr>
        <w:t xml:space="preserve"> in the molten layer</w:t>
      </w:r>
      <w:r w:rsidR="00016B95" w:rsidRPr="002B4935">
        <w:rPr>
          <w:rFonts w:eastAsiaTheme="minorEastAsia"/>
          <w:lang w:val="en-US"/>
        </w:rPr>
        <w:t xml:space="preserve">. </w:t>
      </w:r>
      <w:r w:rsidR="003E6700" w:rsidRPr="002B4935">
        <w:rPr>
          <w:rFonts w:eastAsiaTheme="minorEastAsia"/>
          <w:lang w:val="en-US"/>
        </w:rPr>
        <w:t xml:space="preserve">In order to compare </w:t>
      </w:r>
      <w:r w:rsidR="002B4935" w:rsidRPr="002B4935">
        <w:rPr>
          <w:rFonts w:eastAsiaTheme="minorEastAsia"/>
          <w:lang w:val="en-US"/>
        </w:rPr>
        <w:t>these modelling results</w:t>
      </w:r>
      <w:r w:rsidR="003E6700" w:rsidRPr="002B4935">
        <w:rPr>
          <w:rFonts w:eastAsiaTheme="minorEastAsia"/>
          <w:lang w:val="en-US"/>
        </w:rPr>
        <w:t xml:space="preserve"> with natural data we have to set the shear parameters to find the same value (eg. 0.7 for the intensity ratio) in the center of the molten vein. The </w:t>
      </w:r>
      <w:r w:rsidR="0042158B" w:rsidRPr="002B4935">
        <w:rPr>
          <w:rFonts w:eastAsiaTheme="minorEastAsia"/>
          <w:lang w:val="en-US"/>
        </w:rPr>
        <w:t xml:space="preserve">appropriate </w:t>
      </w:r>
      <w:r w:rsidR="003E6700" w:rsidRPr="002B4935">
        <w:rPr>
          <w:rFonts w:eastAsiaTheme="minorEastAsia"/>
          <w:lang w:val="en-US"/>
        </w:rPr>
        <w:t xml:space="preserve">slip rate and the slip duration </w:t>
      </w:r>
      <w:r w:rsidR="0042158B" w:rsidRPr="00980D7A">
        <w:rPr>
          <w:rFonts w:eastAsiaTheme="minorEastAsia"/>
          <w:lang w:val="en-US"/>
        </w:rPr>
        <w:t>are</w:t>
      </w:r>
      <w:r w:rsidR="003E6700" w:rsidRPr="00980D7A">
        <w:rPr>
          <w:rFonts w:eastAsiaTheme="minorEastAsia"/>
          <w:lang w:val="en-US"/>
        </w:rPr>
        <w:t xml:space="preserve"> at 10 m/s and 0.15 sec</w:t>
      </w:r>
      <w:r w:rsidR="003E6700" w:rsidRPr="002B4935">
        <w:rPr>
          <w:rFonts w:eastAsiaTheme="minorEastAsia"/>
          <w:lang w:val="en-US"/>
        </w:rPr>
        <w:t>ond respectively. The total displacement for these parameters is 1.5 meters and is consistent with naturel estimated slip displacement.</w:t>
      </w:r>
      <w:r w:rsidR="00987C9C" w:rsidRPr="002B4935">
        <w:rPr>
          <w:rFonts w:eastAsiaTheme="minorEastAsia"/>
          <w:lang w:val="en-US"/>
        </w:rPr>
        <w:t xml:space="preserve"> </w:t>
      </w:r>
      <w:r w:rsidR="004543F8" w:rsidRPr="002B4935">
        <w:rPr>
          <w:rFonts w:eastAsiaTheme="minorEastAsia"/>
          <w:lang w:val="en-US"/>
        </w:rPr>
        <w:t xml:space="preserve">Results obtained </w:t>
      </w:r>
      <w:r w:rsidR="003A7D4B" w:rsidRPr="002B4935">
        <w:rPr>
          <w:rFonts w:eastAsiaTheme="minorEastAsia"/>
          <w:lang w:val="en-US"/>
        </w:rPr>
        <w:t>have been presented</w:t>
      </w:r>
      <w:r w:rsidR="00157A61" w:rsidRPr="002B4935">
        <w:rPr>
          <w:rFonts w:eastAsiaTheme="minorEastAsia"/>
          <w:lang w:val="en-US"/>
        </w:rPr>
        <w:t xml:space="preserve"> in the Figure 3</w:t>
      </w:r>
      <w:r w:rsidR="003A7D4B" w:rsidRPr="002B4935">
        <w:rPr>
          <w:rFonts w:eastAsiaTheme="minorEastAsia"/>
          <w:lang w:val="en-US"/>
        </w:rPr>
        <w:t>a and 3b</w:t>
      </w:r>
      <w:r w:rsidR="00157A61" w:rsidRPr="002B4935">
        <w:rPr>
          <w:rFonts w:eastAsiaTheme="minorEastAsia"/>
          <w:lang w:val="en-US"/>
        </w:rPr>
        <w:t xml:space="preserve"> of the main article.</w:t>
      </w:r>
    </w:p>
    <w:p w14:paraId="03B4BBE6" w14:textId="505EDF91" w:rsidR="00B63041" w:rsidRDefault="00B63041" w:rsidP="00B63041">
      <w:pPr>
        <w:rPr>
          <w:lang w:val="en-US"/>
        </w:rPr>
      </w:pPr>
      <w:r>
        <w:rPr>
          <w:lang w:val="en-US"/>
        </w:rPr>
        <w:lastRenderedPageBreak/>
        <w:t xml:space="preserve">Supplementary Note 2 </w:t>
      </w:r>
    </w:p>
    <w:p w14:paraId="316825FF" w14:textId="77777777" w:rsidR="00B63041" w:rsidRDefault="00157A61">
      <w:pPr>
        <w:rPr>
          <w:b/>
          <w:lang w:val="en-US"/>
        </w:rPr>
      </w:pPr>
      <w:r w:rsidRPr="002B4935">
        <w:rPr>
          <w:rFonts w:eastAsiaTheme="minorEastAsia"/>
          <w:lang w:val="en-US"/>
        </w:rPr>
        <w:t xml:space="preserve"> </w:t>
      </w:r>
      <w:r w:rsidR="00B63041" w:rsidRPr="00B63041">
        <w:rPr>
          <w:rFonts w:eastAsiaTheme="minorEastAsia"/>
          <w:b/>
          <w:lang w:val="en-US"/>
        </w:rPr>
        <w:t>Material and methods</w:t>
      </w:r>
    </w:p>
    <w:p w14:paraId="76ADACC3" w14:textId="77777777" w:rsidR="00B63041" w:rsidRPr="008D1BBE" w:rsidRDefault="00B63041" w:rsidP="00B63041">
      <w:pPr>
        <w:pStyle w:val="Paragraphedeliste"/>
        <w:numPr>
          <w:ilvl w:val="0"/>
          <w:numId w:val="15"/>
        </w:numPr>
        <w:rPr>
          <w:lang w:val="en-US"/>
        </w:rPr>
      </w:pPr>
      <w:r w:rsidRPr="008D1BBE">
        <w:rPr>
          <w:lang w:val="en-US"/>
        </w:rPr>
        <w:t>Raman Spectra of Carbonaceous Material:</w:t>
      </w:r>
    </w:p>
    <w:p w14:paraId="7FC9A1B5" w14:textId="77777777" w:rsidR="00B63041" w:rsidRPr="00E6366E" w:rsidRDefault="00B63041" w:rsidP="00B63041">
      <w:pPr>
        <w:rPr>
          <w:lang w:val="en-US"/>
        </w:rPr>
      </w:pPr>
      <w:r>
        <w:rPr>
          <w:lang w:val="en-US"/>
        </w:rPr>
        <w:t>Samples were all cut in the X-Z structural plane to prepare 30 µm-thick standard thin</w:t>
      </w:r>
      <w:r w:rsidRPr="00D14A4E">
        <w:rPr>
          <w:lang w:val="en-US"/>
        </w:rPr>
        <w:t xml:space="preserve"> section</w:t>
      </w:r>
      <w:r>
        <w:rPr>
          <w:lang w:val="en-US"/>
        </w:rPr>
        <w:t>s.</w:t>
      </w:r>
      <w:r w:rsidRPr="00D14A4E">
        <w:rPr>
          <w:lang w:val="en-US"/>
        </w:rPr>
        <w:t xml:space="preserve"> </w:t>
      </w:r>
      <w:r>
        <w:rPr>
          <w:lang w:val="en-US"/>
        </w:rPr>
        <w:t xml:space="preserve">Sections were </w:t>
      </w:r>
      <w:r w:rsidRPr="00D14A4E">
        <w:rPr>
          <w:lang w:val="en-US"/>
        </w:rPr>
        <w:t xml:space="preserve">analyzed with ReniShaw InVIA microspectrometer using </w:t>
      </w:r>
      <w:r>
        <w:rPr>
          <w:lang w:val="en-US"/>
        </w:rPr>
        <w:t xml:space="preserve">argon </w:t>
      </w:r>
      <w:r w:rsidRPr="00D14A4E">
        <w:rPr>
          <w:lang w:val="en-US"/>
        </w:rPr>
        <w:t xml:space="preserve">laser beam of 514 nm focused on the sample by DM2500 Leica microscope equipped with </w:t>
      </w:r>
      <w:r>
        <w:rPr>
          <w:lang w:val="en-US"/>
        </w:rPr>
        <w:t>x</w:t>
      </w:r>
      <w:r w:rsidRPr="00D14A4E">
        <w:rPr>
          <w:lang w:val="en-US"/>
        </w:rPr>
        <w:t>100 objective.</w:t>
      </w:r>
      <w:r>
        <w:rPr>
          <w:lang w:val="en-US"/>
        </w:rPr>
        <w:t xml:space="preserve"> These apparatus are coupled with Renishaw software Wire 4.0 which was used for acquisition.</w:t>
      </w:r>
      <w:r w:rsidRPr="00D14A4E">
        <w:rPr>
          <w:lang w:val="en-US"/>
        </w:rPr>
        <w:t xml:space="preserve"> </w:t>
      </w:r>
      <w:r>
        <w:rPr>
          <w:lang w:val="en-US"/>
        </w:rPr>
        <w:t xml:space="preserve">Acquisition time was 30 to 200 seconds (Spectrometer opening time was around 5s with 40 spectra accumulation). Laser power was maintained at less than 0.5mW on the surface of the sample to avoid heating of carbonaceous material grain during analyses. To avoid defects bands generated during thin section polishing all analyzes were performed on subsurface grain by focusing laser beam through transparent or translucent minerals. </w:t>
      </w:r>
      <w:r w:rsidRPr="00D14A4E">
        <w:rPr>
          <w:lang w:val="en-US"/>
        </w:rPr>
        <w:t>Analyze</w:t>
      </w:r>
      <w:r>
        <w:rPr>
          <w:lang w:val="en-US"/>
        </w:rPr>
        <w:t>s</w:t>
      </w:r>
      <w:r w:rsidRPr="00D14A4E">
        <w:rPr>
          <w:lang w:val="en-US"/>
        </w:rPr>
        <w:t xml:space="preserve"> were processed along cross-section perpendicular </w:t>
      </w:r>
      <w:r>
        <w:rPr>
          <w:lang w:val="en-US"/>
        </w:rPr>
        <w:t>to</w:t>
      </w:r>
      <w:r w:rsidRPr="00D14A4E">
        <w:rPr>
          <w:lang w:val="en-US"/>
        </w:rPr>
        <w:t xml:space="preserve"> the </w:t>
      </w:r>
      <w:r>
        <w:rPr>
          <w:lang w:val="en-US"/>
        </w:rPr>
        <w:t>fault core</w:t>
      </w:r>
      <w:r w:rsidRPr="00D14A4E">
        <w:rPr>
          <w:lang w:val="en-US"/>
        </w:rPr>
        <w:t>.</w:t>
      </w:r>
      <w:r>
        <w:rPr>
          <w:lang w:val="en-US"/>
        </w:rPr>
        <w:t xml:space="preserve"> Spacing between analyses were drastically reduced near the boundary of each Black Fault Rocks with host rock, from few tens of micrometers to less than 10 µm. </w:t>
      </w:r>
      <w:r w:rsidRPr="00E6366E">
        <w:rPr>
          <w:lang w:val="en-US"/>
        </w:rPr>
        <w:t xml:space="preserve">Point </w:t>
      </w:r>
      <w:r w:rsidRPr="00371B62">
        <w:rPr>
          <w:lang w:val="en-GB"/>
        </w:rPr>
        <w:t>coordinates were taken for georeferencing the analyses</w:t>
      </w:r>
      <w:r w:rsidRPr="00E6366E">
        <w:rPr>
          <w:lang w:val="en-US"/>
        </w:rPr>
        <w:t xml:space="preserve">. </w:t>
      </w:r>
    </w:p>
    <w:p w14:paraId="754D9A1B" w14:textId="77777777" w:rsidR="00B63041" w:rsidRDefault="00B63041" w:rsidP="00B63041">
      <w:pPr>
        <w:rPr>
          <w:lang w:val="en-US"/>
        </w:rPr>
      </w:pPr>
      <w:r>
        <w:rPr>
          <w:lang w:val="en-US"/>
        </w:rPr>
        <w:t>Raman spectra processing was done using PeakFit v4.12. In order to get the best comparison between carbonaceous material spectra from the host rock and Black Fault Rock only spectra with flat baseline were considered and linear baseline substraction function was applied. To determine the baseline, two bands of 100cm</w:t>
      </w:r>
      <w:r w:rsidRPr="00F5637E">
        <w:rPr>
          <w:vertAlign w:val="superscript"/>
          <w:lang w:val="en-US"/>
        </w:rPr>
        <w:t>-1</w:t>
      </w:r>
      <w:r>
        <w:rPr>
          <w:lang w:val="en-US"/>
        </w:rPr>
        <w:t xml:space="preserve"> of width were selected around 900 and 1900cm</w:t>
      </w:r>
      <w:r w:rsidRPr="00B208B9">
        <w:rPr>
          <w:vertAlign w:val="superscript"/>
          <w:lang w:val="en-US"/>
        </w:rPr>
        <w:t>-1</w:t>
      </w:r>
      <w:r>
        <w:rPr>
          <w:lang w:val="en-US"/>
        </w:rPr>
        <w:t xml:space="preserve">. To interpret Raman spectra and obtain Raman spectra parameters Lahfid et al. (2010) procedure was used for deconvolution. This approach is well adapted to low metamorphic grade and consist in a 5 bands (D1, D2, D3, D4 and G) deconvolution using Lorentzian functions. These bands form one Defect band (D band) centered around 1350cm-1 by compiling D4+D1+D3 and one Graphite band (G </w:t>
      </w:r>
      <w:r w:rsidRPr="00E47674">
        <w:rPr>
          <w:i/>
          <w:lang w:val="en-US"/>
        </w:rPr>
        <w:t>sl.</w:t>
      </w:r>
      <w:r>
        <w:rPr>
          <w:lang w:val="en-US"/>
        </w:rPr>
        <w:t xml:space="preserve"> Band) composed of D2 + G centered around 1600cm</w:t>
      </w:r>
      <w:r w:rsidRPr="002F5BCA">
        <w:rPr>
          <w:vertAlign w:val="superscript"/>
          <w:lang w:val="en-US"/>
        </w:rPr>
        <w:t>-</w:t>
      </w:r>
      <w:r w:rsidRPr="002F5BCA">
        <w:rPr>
          <w:vertAlign w:val="superscript"/>
          <w:lang w:val="en-US"/>
        </w:rPr>
        <w:lastRenderedPageBreak/>
        <w:t>1</w:t>
      </w:r>
      <w:r>
        <w:rPr>
          <w:lang w:val="en-US"/>
        </w:rPr>
        <w:t>. By using area ratio RA1 = (D1+D4)/(D1+D2+D3+D4+G) it is possible to obtain an estimation of temperature in the range of 200 to 330°C with ±25°C uncertainty (</w:t>
      </w:r>
      <w:r w:rsidRPr="001B4E93">
        <w:rPr>
          <w:lang w:val="en-US"/>
        </w:rPr>
        <w:t>RA1</w:t>
      </w:r>
      <w:r>
        <w:rPr>
          <w:vertAlign w:val="subscript"/>
          <w:lang w:val="en-US"/>
        </w:rPr>
        <w:t xml:space="preserve"> </w:t>
      </w:r>
      <w:r w:rsidRPr="001B4E93">
        <w:rPr>
          <w:lang w:val="en-US"/>
        </w:rPr>
        <w:t>=</w:t>
      </w:r>
      <w:r>
        <w:rPr>
          <w:lang w:val="en-US"/>
        </w:rPr>
        <w:t xml:space="preserve"> 0.0008 . T</w:t>
      </w:r>
      <w:r w:rsidRPr="001B4E93">
        <w:rPr>
          <w:vertAlign w:val="subscript"/>
          <w:lang w:val="en-US"/>
        </w:rPr>
        <w:t>max</w:t>
      </w:r>
      <w:r>
        <w:rPr>
          <w:lang w:val="en-US"/>
        </w:rPr>
        <w:t xml:space="preserve"> + 0.3758). In some cases, carbonaceous particles have higher crystallinity (i.e. Black Fault Rock spectra) so that the deconvolution  using 5 bands described above was not possible. In such cases, we used the Beyssac et al. (2002) procedure and calibration using a 3 bands deconvolution. The main Raman spectra parameter used in this work was the intensity ratio (ie. R1 in Beyssac et al., 2002) which consists of comparing the height of the defect band and the raw graphite band (G </w:t>
      </w:r>
      <w:r w:rsidRPr="00E47674">
        <w:rPr>
          <w:i/>
          <w:lang w:val="en-US"/>
        </w:rPr>
        <w:t>sl.</w:t>
      </w:r>
      <w:r>
        <w:rPr>
          <w:lang w:val="en-US"/>
        </w:rPr>
        <w:t xml:space="preserve"> Band). </w:t>
      </w:r>
    </w:p>
    <w:p w14:paraId="3D1DF9AA" w14:textId="77777777" w:rsidR="00B63041" w:rsidRDefault="00B63041" w:rsidP="00B63041">
      <w:pPr>
        <w:rPr>
          <w:lang w:val="en-US"/>
        </w:rPr>
      </w:pPr>
      <w:r>
        <w:rPr>
          <w:lang w:val="en-US"/>
        </w:rPr>
        <w:t>After the processing phase, using the GIS software ArcMap 10.6, each analysis was precisely located on microstructural pictures. Such high-resolution mapping allowed to compare micro-textures and the corresponding Raman spectra distribution.</w:t>
      </w:r>
    </w:p>
    <w:p w14:paraId="41FFD256" w14:textId="77777777" w:rsidR="00B63041" w:rsidRPr="008D1BBE" w:rsidRDefault="00B63041" w:rsidP="00B63041">
      <w:pPr>
        <w:pStyle w:val="Paragraphedeliste"/>
        <w:numPr>
          <w:ilvl w:val="0"/>
          <w:numId w:val="13"/>
        </w:numPr>
        <w:rPr>
          <w:lang w:val="en-US"/>
        </w:rPr>
      </w:pPr>
      <w:r w:rsidRPr="008D1BBE">
        <w:rPr>
          <w:lang w:val="en-US"/>
        </w:rPr>
        <w:t xml:space="preserve">Maturation in autoclave and kinetics modelling: </w:t>
      </w:r>
    </w:p>
    <w:p w14:paraId="0E351672" w14:textId="709DA815" w:rsidR="00B63041" w:rsidRDefault="00B63041" w:rsidP="00B63041">
      <w:pPr>
        <w:rPr>
          <w:lang w:val="en-US"/>
        </w:rPr>
      </w:pPr>
      <w:r>
        <w:rPr>
          <w:lang w:val="en-US"/>
        </w:rPr>
        <w:t>For the maturation experiments, a poorly mature CM shale from Hyuga coherent unit (HN78) estimated at 200°C using Raman Spectroscopy of Carbonaceous Materials has been used. We select this starting material based on similarities in terms of lithology and thermal conditions with the host-rock observed around the Black Fault Rock. All Raman Spectroscopy parameters (intensity ratio: IR (i.e R1 in Beyssac et al.) and area ratios: R2, RA1) the estimated temperature of this starting materials are available in the Extended Data Table 1. In addition, vitrain was used in order to follow maturation with a calibrated kinetic model of the Vitrinite reflectance</w:t>
      </w:r>
      <w:r>
        <w:rPr>
          <w:lang w:val="en-US"/>
        </w:rPr>
        <w:fldChar w:fldCharType="begin"/>
      </w:r>
      <w:r w:rsidR="008D4FED">
        <w:rPr>
          <w:lang w:val="en-US"/>
        </w:rPr>
        <w:instrText xml:space="preserve"> ADDIN ZOTERO_ITEM CSL_CITATION {"citationID":"3l0riBEb","properties":{"formattedCitation":"\\super 24\\nosupersub{}","plainCitation":"24","noteIndex":0},"citationItems":[{"id":138,"uris":["http://zotero.org/users/5712877/items/ALYAGJ6X"],"uri":["http://zotero.org/users/5712877/items/ALYAGJ6X"],"itemData":{"id":138,"type":"article-journal","title":"A chemical kinetic model of vitrinite maturation and reflectance","container-title":"Geochimica et Cosmochimica Acta","page":"2649-2657","volume":"53","issue":"10","source":"Crossref","abstract":"A chemical kinetic model is presented that uses Arrhenius rate constants to calculate vitrinite elemental composition as a function of time and temperature. The model uses distributions of activation energies for each of four reactions: ehmination of water, carbon dioxide, methane, and higher hydrocarbons. The resulting composition is used to calculate vitrinite reflectance via correlations between elemental composition and reflectance. The correlations are derived from published measurements. The model is valid for %Ro values from slightly less than 0.3 to slightly greater than 4. Model calculations are compared to published vitrinite data from both laboratory experiments and sedimentary columns where adequate thermal histories are available. Calculated and measured %Ro values generally agree within 0.1 at low rank and 0.4 at high rank, which is comparable to uncertainties in the experimental values. This confirms our starting premise that vitrinite reflectance is properly described by standard chemical kinetics with activation energies that extrapolate from laboratory to geological maturation temperatures. The model indicates that the relationship between the extent of oil generation and vitrinite reflectance is nearly independent of heating rate.","DOI":"10.1016/0016-7037(89)90136-1","ISSN":"00167037","language":"en","author":[{"family":"Burnham","given":"Alan K."},{"family":"Sweeney","given":"Jerry J."}],"issued":{"date-parts":[["1989",10]]}}}],"schema":"https://github.com/citation-style-language/schema/raw/master/csl-citation.json"} </w:instrText>
      </w:r>
      <w:r>
        <w:rPr>
          <w:lang w:val="en-US"/>
        </w:rPr>
        <w:fldChar w:fldCharType="separate"/>
      </w:r>
      <w:r w:rsidR="008D4FED" w:rsidRPr="008D4FED">
        <w:rPr>
          <w:rFonts w:cs="Times New Roman"/>
          <w:szCs w:val="24"/>
          <w:vertAlign w:val="superscript"/>
          <w:lang w:val="en-US"/>
        </w:rPr>
        <w:t>24</w:t>
      </w:r>
      <w:r>
        <w:rPr>
          <w:lang w:val="en-US"/>
        </w:rPr>
        <w:fldChar w:fldCharType="end"/>
      </w:r>
      <w:r>
        <w:rPr>
          <w:lang w:val="en-US"/>
        </w:rPr>
        <w:t>. Because the kinetics could be different between the type of carbonaceous material, we select a type III standard vitrain from the Candiota mine</w:t>
      </w:r>
      <w:r>
        <w:rPr>
          <w:lang w:val="en-US"/>
        </w:rPr>
        <w:fldChar w:fldCharType="begin"/>
      </w:r>
      <w:r w:rsidR="008D4FED">
        <w:rPr>
          <w:lang w:val="en-US"/>
        </w:rPr>
        <w:instrText xml:space="preserve"> ADDIN ZOTERO_ITEM CSL_CITATION {"citationID":"kADyI3VP","properties":{"formattedCitation":"\\super 25\\nosupersub{}","plainCitation":"25","noteIndex":0},"citationItems":[{"id":398,"uris":["http://zotero.org/users/5712877/items/3TV9RZTS"],"uri":["http://zotero.org/users/5712877/items/3TV9RZTS"],"itemData":{"id":398,"type":"article-journal","title":"Petrological and geochemical characterization of Candiota coal seams, Brazil — Implication for coal facies interpretations and coal rank","container-title":"International Journal of Coal Geology","page":"217-238","volume":"64","issue":"3-4","source":"Crossref","abstract":"Seven coal seams, from cores of the borehole M-IV-C-101, Candiota Coalfield located in Rio Grande do Sul State, southern part of the Parana´ Basin were analyzed by coal petrographical and organic geochemical methods. The seams occur in the Rio Bonito Formation, Guata´ Group, Tubara˜o Supergroup of the Parana´ Basin and are of Permian (Artinskian–Kungurian) age. The composition, rank, coal facies and depositional environment characterization were made based on lithotype, maceral and microlithotype analyses. The data were then used in the definition of different types of facies-critical petrographical indices and were displayed in diagrams of coal facies. In addition, coal seams samples from Candiota Mine were analyzed by proximate, total moisture and gross calorific values and were classified using the United Nations-Economic Commission for Europe (UN-ECE) classification. In addition, Rock-Eval Pyrolysis, Liquid Chromatography, GC and GC–MS analyses were made to obtain independent parameters on coal rank and organic matter composition and environment of deposition. The results suggest deposition in open mires, with elevated contents of detrital macerals and clay minerals and also limnotelmatic coal facies. Coal-bearing sequence of coal seams represent a back-barrier setting. According to the International Classification (UN-ECE), Candiota coals are in the subbituminous (or low rank coal A) stage.","DOI":"10.1016/j.coal.2005.04.003","ISSN":"01665162","language":"en","author":[{"family":"Silva","given":"M.B."},{"family":"Kalkreuth","given":"W."}],"issued":{"date-parts":[["2005",11]]}}}],"schema":"https://github.com/citation-style-language/schema/raw/master/csl-citation.json"} </w:instrText>
      </w:r>
      <w:r>
        <w:rPr>
          <w:lang w:val="en-US"/>
        </w:rPr>
        <w:fldChar w:fldCharType="separate"/>
      </w:r>
      <w:r w:rsidR="008D4FED" w:rsidRPr="008D4FED">
        <w:rPr>
          <w:rFonts w:cs="Times New Roman"/>
          <w:szCs w:val="24"/>
          <w:vertAlign w:val="superscript"/>
        </w:rPr>
        <w:t>25</w:t>
      </w:r>
      <w:r>
        <w:rPr>
          <w:lang w:val="en-US"/>
        </w:rPr>
        <w:fldChar w:fldCharType="end"/>
      </w:r>
      <w:r>
        <w:rPr>
          <w:lang w:val="en-US"/>
        </w:rPr>
        <w:t xml:space="preserve">. Before maturation, starting materials has been characterized using Raman spectroscopy, vitrinite reflectance and RockEval pyrolysis. </w:t>
      </w:r>
    </w:p>
    <w:p w14:paraId="25AAC7CA" w14:textId="77777777" w:rsidR="00B63041" w:rsidRDefault="00B63041" w:rsidP="00B63041">
      <w:pPr>
        <w:rPr>
          <w:lang w:val="en-US"/>
        </w:rPr>
      </w:pPr>
      <w:r>
        <w:rPr>
          <w:lang w:val="en-US"/>
        </w:rPr>
        <w:t>For the preparation of the experiments, shales and vitrain have been grinded into a fine powder .1g of shale powder  and 120mg of vitrain separated by a gold leaf have beed loaded into Au-</w:t>
      </w:r>
      <w:r>
        <w:rPr>
          <w:lang w:val="en-US"/>
        </w:rPr>
        <w:lastRenderedPageBreak/>
        <w:t>capsules of 50mm length and diameter Ø5.0-5.4. Au-capsules were welded close under Argon flow in order to get neutral atmosphere (&lt;0.2% of O</w:t>
      </w:r>
      <w:r w:rsidRPr="00187C45">
        <w:rPr>
          <w:vertAlign w:val="subscript"/>
          <w:lang w:val="en-US"/>
        </w:rPr>
        <w:t>2</w:t>
      </w:r>
      <w:r>
        <w:rPr>
          <w:lang w:val="en-US"/>
        </w:rPr>
        <w:t xml:space="preserve">) inside capsules and to avoid oxidation of carbonaceous material during maturation. Additionally, no water was added in the gold capsules for the same reason that means the only free water available is the one present in the starting material minerals. </w:t>
      </w:r>
    </w:p>
    <w:p w14:paraId="23BF68F3" w14:textId="77777777" w:rsidR="00B63041" w:rsidRDefault="00B63041" w:rsidP="00B63041">
      <w:pPr>
        <w:rPr>
          <w:lang w:val="en-US"/>
        </w:rPr>
      </w:pPr>
      <w:r>
        <w:rPr>
          <w:lang w:val="en-US"/>
        </w:rPr>
        <w:t>Maturation experiments were carried out at respectively 500, 600, 700°C, and 1500 bar during 24 to 1080 hours. Two heating apparatus were used: one for experiments at 500 and 600°C with external heating system and H</w:t>
      </w:r>
      <w:r w:rsidRPr="00442962">
        <w:rPr>
          <w:vertAlign w:val="subscript"/>
          <w:lang w:val="en-US"/>
        </w:rPr>
        <w:t>2</w:t>
      </w:r>
      <w:r>
        <w:rPr>
          <w:lang w:val="en-US"/>
        </w:rPr>
        <w:t xml:space="preserve">O as a confining medium [A] and another one at 700°C with internal heating system and Argon as a confining medium [B]. </w:t>
      </w:r>
    </w:p>
    <w:p w14:paraId="012A0095" w14:textId="77777777" w:rsidR="00B63041" w:rsidRDefault="00B63041" w:rsidP="00B63041">
      <w:pPr>
        <w:rPr>
          <w:lang w:val="en-US"/>
        </w:rPr>
      </w:pPr>
      <w:r>
        <w:rPr>
          <w:lang w:val="en-US"/>
        </w:rPr>
        <w:t xml:space="preserve">At the end of each experiment, temperature was decreased very quickly in order to stop carbonization. Shale samples and vitrain were separated and prepared for Raman spectroscopy analysis. All the Raman parameters measured are available in the Extended Data Table 1. </w:t>
      </w:r>
    </w:p>
    <w:p w14:paraId="4365007D" w14:textId="41AEF556" w:rsidR="00B63041" w:rsidRDefault="00B63041" w:rsidP="00B63041">
      <w:pPr>
        <w:rPr>
          <w:lang w:val="en-US"/>
        </w:rPr>
      </w:pPr>
      <w:r>
        <w:rPr>
          <w:lang w:val="en-US"/>
        </w:rPr>
        <w:t xml:space="preserve">Based on the Raman analyses of all experimental samples, we developed a kinetic model of carbonization to account for the evolution of the Raman intensity ratio parameter (IR) with temperature and time. We used the procedure of the superposition model described in Nakamura </w:t>
      </w:r>
      <w:r w:rsidRPr="00716460">
        <w:rPr>
          <w:i/>
          <w:lang w:val="en-US"/>
        </w:rPr>
        <w:t>et al.</w:t>
      </w:r>
      <w:r>
        <w:rPr>
          <w:lang w:val="en-US"/>
        </w:rPr>
        <w:t xml:space="preserve"> (2017)</w:t>
      </w:r>
      <w:r>
        <w:rPr>
          <w:lang w:val="en-US"/>
        </w:rPr>
        <w:fldChar w:fldCharType="begin"/>
      </w:r>
      <w:r w:rsidR="008D4FED">
        <w:rPr>
          <w:lang w:val="en-US"/>
        </w:rPr>
        <w:instrText xml:space="preserve"> ADDIN ZOTERO_ITEM CSL_CITATION {"citationID":"BBtuBB6i","properties":{"formattedCitation":"\\super 26\\nosupersub{}","plainCitation":"26","noteIndex":0},"citationItems":[{"id":154,"uris":["http://zotero.org/users/5712877/items/H25FXWQM"],"uri":["http://zotero.org/users/5712877/items/H25FXWQM"],"itemData":{"id":154,"type":"article-journal","title":"An experimental kinetic study on the structural evolution of natural carbonaceous material to graphite","container-title":"American Mineralogist","page":"135-148","volume":"102","issue":"1","source":"Crossref","abstract":"We report here new experimental kinetic data on the structural evolution of carbonaceous material (CM) to graphite during heating at various temperatures (1000 to 1450 °C) for various durations (10 min to 115 h) under a pressure of 1 GPa. Natural CMs extracted from sedimentary rocks in the Shimanto accretionary complex and the Hidaka metamorphic belt of Japan transformed in morphology and crystallinity with increasing temperature and annealing duration to become fully ordered graphite (d002 spacing ~3.36 Å). Transmission electron microscopy showed that both samples have undergone microstructural evolution from amorphous carbon to platy graphitic carbon. These changes match the evolution of the samples’ X‑ray diffraction (XRD) patterns and micro-Raman spectra. The time–temperature relations of crystal parameters obtained by XRD and micro-Raman spectroscopy demonstrated a sigmoidal transformation curve from an amorphous to a graphitic structure, suggesting complexity of these successive and/or parallel chemical reactions are responsible for graphitization. To assess these complex chemical processes, we adopted three different approaches for formulating the graphitization kinetics using a power rate model, a Johnson-Mehl-Avrami (JMA) model and a superposition method. Irrespective of the models employed, the effective activation energies were estimated to lie between 259 and 339 kJ/mol, which are much lower than those reported previously for graphitization. Summarizing the previous studies and our results between 0.1 and 1000 MPa, we found that the effective activation energies systematically decrease as a function of pressure. Based on the experimental results in this study, the sigmoid functions obtained from the time–temperature relations can be extrapolated to low-temperature conditions at 1 GPa. Our kinetic model using unit-cell height c predicts that CM undergoing metamorphism for about 1 m.y. will begin to crystallize at ~410 °C, and will transform to fully ordered graphite at over ~520 °C. Thus, natural graphitization undergoes a much faster transformation than reported in previous studies at 1 atm and could be explored in laboratory experiments using natural precursor materials under pressure conditions and time spans that reflect natural conditions in the Earth’s crust.","DOI":"10.2138/am-2017-5733","ISSN":"0003-004X","language":"en","author":[{"family":"Nakamura","given":"Yoshihiro"},{"family":"Yoshino","given":"Takashi"},{"family":"Satish-Kumar","given":"Madhusoodhan"}],"issued":{"date-parts":[["2017",1]]}}}],"schema":"https://github.com/citation-style-language/schema/raw/master/csl-citation.json"} </w:instrText>
      </w:r>
      <w:r>
        <w:rPr>
          <w:lang w:val="en-US"/>
        </w:rPr>
        <w:fldChar w:fldCharType="separate"/>
      </w:r>
      <w:r w:rsidR="008D4FED" w:rsidRPr="008D4FED">
        <w:rPr>
          <w:rFonts w:cs="Times New Roman"/>
          <w:szCs w:val="24"/>
          <w:vertAlign w:val="superscript"/>
        </w:rPr>
        <w:t>26</w:t>
      </w:r>
      <w:r>
        <w:rPr>
          <w:lang w:val="en-US"/>
        </w:rPr>
        <w:fldChar w:fldCharType="end"/>
      </w:r>
      <w:r>
        <w:rPr>
          <w:lang w:val="en-US"/>
        </w:rPr>
        <w:t xml:space="preserve">. The following sigmoid equation and variables were used: </w:t>
      </w:r>
    </w:p>
    <w:p w14:paraId="00E04C66" w14:textId="77777777" w:rsidR="00982C4D" w:rsidRDefault="00982C4D" w:rsidP="00B63041">
      <w:pPr>
        <w:rPr>
          <w:lang w:val="en-US"/>
        </w:rPr>
      </w:pPr>
    </w:p>
    <w:p w14:paraId="14D08345" w14:textId="692F0B52" w:rsidR="00B63041" w:rsidRPr="00F4521D" w:rsidRDefault="00450B58" w:rsidP="00B63041">
      <w:pPr>
        <w:rPr>
          <w:rFonts w:eastAsiaTheme="minorEastAsia"/>
          <w:lang w:val="en-US"/>
        </w:rPr>
      </w:pPr>
      <m:oMathPara>
        <m:oMath>
          <m:eqArr>
            <m:eqArrPr>
              <m:maxDist m:val="1"/>
              <m:ctrlPr>
                <w:rPr>
                  <w:rFonts w:ascii="Cambria Math" w:eastAsiaTheme="minorEastAsia" w:hAnsi="Cambria Math"/>
                  <w:i/>
                  <w:lang w:val="en-US"/>
                </w:rPr>
              </m:ctrlPr>
            </m:eqArrPr>
            <m:e>
              <m:r>
                <w:rPr>
                  <w:rFonts w:ascii="Cambria Math" w:hAnsi="Cambria Math"/>
                  <w:lang w:val="en-US"/>
                </w:rPr>
                <m:t>f</m:t>
              </m:r>
              <m:d>
                <m:dPr>
                  <m:ctrlPr>
                    <w:rPr>
                      <w:rFonts w:ascii="Cambria Math" w:hAnsi="Cambria Math"/>
                      <w:i/>
                      <w:lang w:val="en-US"/>
                    </w:rPr>
                  </m:ctrlPr>
                </m:dPr>
                <m:e>
                  <m:r>
                    <w:rPr>
                      <w:rFonts w:ascii="Cambria Math" w:hAnsi="Cambria Math"/>
                      <w:lang w:val="en-US"/>
                    </w:rPr>
                    <m:t>T,t</m:t>
                  </m:r>
                </m:e>
              </m:d>
              <m:r>
                <w:rPr>
                  <w:rFonts w:ascii="Cambria Math"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IRmin+</m:t>
                  </m:r>
                  <m:d>
                    <m:dPr>
                      <m:ctrlPr>
                        <w:rPr>
                          <w:rFonts w:ascii="Cambria Math" w:eastAsiaTheme="minorEastAsia" w:hAnsi="Cambria Math"/>
                          <w:i/>
                          <w:lang w:val="en-US"/>
                        </w:rPr>
                      </m:ctrlPr>
                    </m:dPr>
                    <m:e>
                      <m:r>
                        <w:rPr>
                          <w:rFonts w:ascii="Cambria Math" w:eastAsiaTheme="minorEastAsia" w:hAnsi="Cambria Math"/>
                          <w:lang w:val="en-US"/>
                        </w:rPr>
                        <m:t>IRmax-IRmin</m:t>
                      </m:r>
                    </m:e>
                  </m:d>
                </m:num>
                <m:den>
                  <m:r>
                    <w:rPr>
                      <w:rFonts w:ascii="Cambria Math" w:eastAsiaTheme="minorEastAsia" w:hAnsi="Cambria Math"/>
                      <w:lang w:val="en-US"/>
                    </w:rPr>
                    <m:t>1+</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A</m:t>
                              </m:r>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-m</m:t>
                                          </m:r>
                                        </m:num>
                                        <m:den>
                                          <m:r>
                                            <w:rPr>
                                              <w:rFonts w:ascii="Cambria Math" w:eastAsiaTheme="minorEastAsia" w:hAnsi="Cambria Math"/>
                                              <w:lang w:val="en-US"/>
                                            </w:rPr>
                                            <m:t>T</m:t>
                                          </m:r>
                                        </m:den>
                                      </m:f>
                                    </m:e>
                                  </m:d>
                                </m:e>
                              </m:func>
                            </m:num>
                            <m:den>
                              <m:r>
                                <w:rPr>
                                  <w:rFonts w:ascii="Cambria Math" w:eastAsiaTheme="minorEastAsia" w:hAnsi="Cambria Math"/>
                                  <w:lang w:val="en-US"/>
                                </w:rPr>
                                <m:t>t</m:t>
                              </m:r>
                            </m:den>
                          </m:f>
                        </m:e>
                      </m:d>
                    </m:e>
                    <m:sup>
                      <m:r>
                        <w:rPr>
                          <w:rFonts w:ascii="Cambria Math" w:eastAsiaTheme="minorEastAsia" w:hAnsi="Cambria Math"/>
                          <w:lang w:val="en-US"/>
                        </w:rPr>
                        <m:t>h</m:t>
                      </m:r>
                    </m:sup>
                  </m:sSup>
                </m:den>
              </m:f>
              <m:r>
                <w:rPr>
                  <w:rFonts w:ascii="Cambria Math" w:eastAsiaTheme="minorEastAsia" w:hAnsi="Cambria Math"/>
                  <w:lang w:val="en-US"/>
                </w:rPr>
                <m:t xml:space="preserve"> </m:t>
              </m:r>
              <m:r>
                <w:rPr>
                  <w:rFonts w:ascii="Cambria Math"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5</m:t>
                  </m:r>
                </m:e>
              </m:d>
              <m:ctrlPr>
                <w:rPr>
                  <w:rFonts w:ascii="Cambria Math" w:hAnsi="Cambria Math"/>
                  <w:i/>
                  <w:lang w:val="en-US"/>
                </w:rPr>
              </m:ctrlPr>
            </m:e>
          </m:eqArr>
        </m:oMath>
      </m:oMathPara>
    </w:p>
    <w:p w14:paraId="1E48B46D" w14:textId="7C290DB0" w:rsidR="00B63041" w:rsidRDefault="00B63041" w:rsidP="00B63041">
      <w:pPr>
        <w:rPr>
          <w:rFonts w:eastAsiaTheme="minorEastAsia"/>
          <w:lang w:val="en-US"/>
        </w:rPr>
      </w:pPr>
    </w:p>
    <w:p w14:paraId="7970942F" w14:textId="77777777" w:rsidR="00DB618A" w:rsidRDefault="00DB618A" w:rsidP="00B63041">
      <w:pPr>
        <w:rPr>
          <w:rFonts w:eastAsiaTheme="minorEastAsia"/>
          <w:lang w:val="en-US"/>
        </w:rPr>
      </w:pPr>
    </w:p>
    <w:p w14:paraId="663E8293" w14:textId="77777777" w:rsidR="00B63041" w:rsidRDefault="00B63041" w:rsidP="00B63041">
      <w:pPr>
        <w:rPr>
          <w:rFonts w:eastAsiaTheme="minorEastAsia"/>
          <w:lang w:val="en-US"/>
        </w:rPr>
      </w:pPr>
    </w:p>
    <w:tbl>
      <w:tblPr>
        <w:tblStyle w:val="TableauGrille1Clair"/>
        <w:tblW w:w="0" w:type="auto"/>
        <w:jc w:val="center"/>
        <w:tblLook w:val="04A0" w:firstRow="1" w:lastRow="0" w:firstColumn="1" w:lastColumn="0" w:noHBand="0" w:noVBand="1"/>
      </w:tblPr>
      <w:tblGrid>
        <w:gridCol w:w="2551"/>
        <w:gridCol w:w="2552"/>
      </w:tblGrid>
      <w:tr w:rsidR="00B63041" w14:paraId="17D31F2B" w14:textId="77777777" w:rsidTr="005F7F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07243E76" w14:textId="77777777" w:rsidR="00B63041" w:rsidRDefault="00B63041" w:rsidP="005F7FC3">
            <w:pPr>
              <w:jc w:val="center"/>
              <w:rPr>
                <w:lang w:val="en-US"/>
              </w:rPr>
            </w:pPr>
            <w:r>
              <w:rPr>
                <w:lang w:val="en-US"/>
              </w:rPr>
              <w:lastRenderedPageBreak/>
              <w:t>Constant</w:t>
            </w:r>
          </w:p>
        </w:tc>
        <w:tc>
          <w:tcPr>
            <w:tcW w:w="2552" w:type="dxa"/>
            <w:vAlign w:val="center"/>
          </w:tcPr>
          <w:p w14:paraId="147CEE6A" w14:textId="77777777" w:rsidR="00B63041" w:rsidRDefault="00B63041" w:rsidP="005F7FC3">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Value</w:t>
            </w:r>
          </w:p>
        </w:tc>
      </w:tr>
      <w:tr w:rsidR="00B63041" w14:paraId="2BAD8B6F" w14:textId="77777777" w:rsidTr="005F7FC3">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195F731D" w14:textId="77777777" w:rsidR="00B63041" w:rsidRPr="00576A48" w:rsidRDefault="00B63041" w:rsidP="005F7FC3">
            <w:pPr>
              <w:jc w:val="center"/>
              <w:rPr>
                <w:b w:val="0"/>
                <w:lang w:val="en-US"/>
              </w:rPr>
            </w:pPr>
            <w:r>
              <w:rPr>
                <w:b w:val="0"/>
                <w:lang w:val="en-US"/>
              </w:rPr>
              <w:t>IR</w:t>
            </w:r>
            <w:r w:rsidRPr="00576A48">
              <w:rPr>
                <w:b w:val="0"/>
                <w:vertAlign w:val="subscript"/>
                <w:lang w:val="en-US"/>
              </w:rPr>
              <w:t>min</w:t>
            </w:r>
          </w:p>
        </w:tc>
        <w:tc>
          <w:tcPr>
            <w:tcW w:w="2552" w:type="dxa"/>
            <w:vAlign w:val="center"/>
          </w:tcPr>
          <w:p w14:paraId="7DCFE5BD" w14:textId="77777777" w:rsidR="00B63041" w:rsidRDefault="00B63041" w:rsidP="005F7FC3">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0.5</w:t>
            </w:r>
          </w:p>
        </w:tc>
      </w:tr>
      <w:tr w:rsidR="00B63041" w14:paraId="17D81B66" w14:textId="77777777" w:rsidTr="005F7FC3">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3BCAD9E5" w14:textId="77777777" w:rsidR="00B63041" w:rsidRPr="00576A48" w:rsidRDefault="00B63041" w:rsidP="005F7FC3">
            <w:pPr>
              <w:jc w:val="center"/>
              <w:rPr>
                <w:b w:val="0"/>
                <w:lang w:val="en-US"/>
              </w:rPr>
            </w:pPr>
            <w:r>
              <w:rPr>
                <w:b w:val="0"/>
                <w:lang w:val="en-US"/>
              </w:rPr>
              <w:t>IR</w:t>
            </w:r>
            <w:r w:rsidRPr="00576A48">
              <w:rPr>
                <w:b w:val="0"/>
                <w:vertAlign w:val="subscript"/>
                <w:lang w:val="en-US"/>
              </w:rPr>
              <w:t>max</w:t>
            </w:r>
          </w:p>
        </w:tc>
        <w:tc>
          <w:tcPr>
            <w:tcW w:w="2552" w:type="dxa"/>
            <w:vAlign w:val="center"/>
          </w:tcPr>
          <w:p w14:paraId="70160559" w14:textId="77777777" w:rsidR="00B63041" w:rsidRDefault="00B63041" w:rsidP="005F7FC3">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1.6</w:t>
            </w:r>
          </w:p>
        </w:tc>
      </w:tr>
      <w:tr w:rsidR="00B63041" w14:paraId="062FB253" w14:textId="77777777" w:rsidTr="005F7FC3">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589FD977" w14:textId="77777777" w:rsidR="00B63041" w:rsidRPr="00576A48" w:rsidRDefault="00B63041" w:rsidP="005F7FC3">
            <w:pPr>
              <w:jc w:val="center"/>
              <w:rPr>
                <w:b w:val="0"/>
                <w:lang w:val="en-US"/>
              </w:rPr>
            </w:pPr>
            <w:r w:rsidRPr="00576A48">
              <w:rPr>
                <w:b w:val="0"/>
                <w:lang w:val="en-US"/>
              </w:rPr>
              <w:t>A</w:t>
            </w:r>
          </w:p>
        </w:tc>
        <w:tc>
          <w:tcPr>
            <w:tcW w:w="2552" w:type="dxa"/>
            <w:vAlign w:val="center"/>
          </w:tcPr>
          <w:p w14:paraId="07669A07" w14:textId="77777777" w:rsidR="00B63041" w:rsidRDefault="00B63041" w:rsidP="005F7FC3">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7.6988 . 10</w:t>
            </w:r>
            <w:r w:rsidRPr="00576A48">
              <w:rPr>
                <w:vertAlign w:val="superscript"/>
                <w:lang w:val="en-US"/>
              </w:rPr>
              <w:t>-9</w:t>
            </w:r>
          </w:p>
        </w:tc>
      </w:tr>
      <w:tr w:rsidR="00B63041" w14:paraId="3B7FDE96" w14:textId="77777777" w:rsidTr="005F7FC3">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6ED8BAF8" w14:textId="77777777" w:rsidR="00B63041" w:rsidRPr="00576A48" w:rsidRDefault="00B63041" w:rsidP="005F7FC3">
            <w:pPr>
              <w:jc w:val="center"/>
              <w:rPr>
                <w:b w:val="0"/>
                <w:lang w:val="en-US"/>
              </w:rPr>
            </w:pPr>
            <w:r w:rsidRPr="00576A48">
              <w:rPr>
                <w:b w:val="0"/>
                <w:lang w:val="en-US"/>
              </w:rPr>
              <w:t>-m</w:t>
            </w:r>
          </w:p>
        </w:tc>
        <w:tc>
          <w:tcPr>
            <w:tcW w:w="2552" w:type="dxa"/>
            <w:vAlign w:val="center"/>
          </w:tcPr>
          <w:p w14:paraId="0B89AB5E" w14:textId="77777777" w:rsidR="00B63041" w:rsidRDefault="00B63041" w:rsidP="005F7FC3">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27031</w:t>
            </w:r>
          </w:p>
        </w:tc>
      </w:tr>
      <w:tr w:rsidR="00B63041" w14:paraId="6F57CB8D" w14:textId="77777777" w:rsidTr="005F7FC3">
        <w:trPr>
          <w:jc w:val="center"/>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338AE521" w14:textId="77777777" w:rsidR="00B63041" w:rsidRPr="00576A48" w:rsidRDefault="00B63041" w:rsidP="005F7FC3">
            <w:pPr>
              <w:jc w:val="center"/>
              <w:rPr>
                <w:b w:val="0"/>
                <w:lang w:val="en-US"/>
              </w:rPr>
            </w:pPr>
            <w:r w:rsidRPr="00576A48">
              <w:rPr>
                <w:b w:val="0"/>
                <w:lang w:val="en-US"/>
              </w:rPr>
              <w:t>h</w:t>
            </w:r>
          </w:p>
        </w:tc>
        <w:tc>
          <w:tcPr>
            <w:tcW w:w="2552" w:type="dxa"/>
            <w:vAlign w:val="center"/>
          </w:tcPr>
          <w:p w14:paraId="7284E526" w14:textId="77777777" w:rsidR="00B63041" w:rsidRDefault="00B63041" w:rsidP="005F7FC3">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0.67</w:t>
            </w:r>
          </w:p>
        </w:tc>
      </w:tr>
    </w:tbl>
    <w:p w14:paraId="1628DE08" w14:textId="77777777" w:rsidR="00B63041" w:rsidRDefault="00B63041" w:rsidP="00B63041">
      <w:pPr>
        <w:rPr>
          <w:lang w:val="en-US"/>
        </w:rPr>
      </w:pPr>
    </w:p>
    <w:p w14:paraId="38DA8B7C" w14:textId="77777777" w:rsidR="00B63041" w:rsidRDefault="00B63041" w:rsidP="00B63041">
      <w:pPr>
        <w:pStyle w:val="Paragraphedeliste"/>
        <w:numPr>
          <w:ilvl w:val="0"/>
          <w:numId w:val="11"/>
        </w:numPr>
        <w:rPr>
          <w:lang w:val="en-US"/>
        </w:rPr>
      </w:pPr>
      <w:r>
        <w:rPr>
          <w:lang w:val="en-US"/>
        </w:rPr>
        <w:t>Numerical modelling</w:t>
      </w:r>
      <w:r w:rsidRPr="008D1BBE">
        <w:rPr>
          <w:lang w:val="en-US"/>
        </w:rPr>
        <w:t xml:space="preserve">: </w:t>
      </w:r>
    </w:p>
    <w:p w14:paraId="3325DED4" w14:textId="77777777" w:rsidR="00B63041" w:rsidRDefault="00B63041" w:rsidP="00B63041">
      <w:pPr>
        <w:ind w:firstLine="708"/>
        <w:rPr>
          <w:lang w:val="en-US"/>
        </w:rPr>
      </w:pPr>
      <w:r>
        <w:rPr>
          <w:lang w:val="en-US"/>
        </w:rPr>
        <w:t>3.0 Assumption of the model: laminar flow of the material</w:t>
      </w:r>
    </w:p>
    <w:p w14:paraId="4EE22921" w14:textId="77777777" w:rsidR="00B63041" w:rsidRDefault="00B63041" w:rsidP="00B63041">
      <w:pPr>
        <w:rPr>
          <w:lang w:val="en-US"/>
        </w:rPr>
      </w:pPr>
      <w:r>
        <w:rPr>
          <w:lang w:val="en-US"/>
        </w:rPr>
        <w:t xml:space="preserve">To simplify the problem to a single dimension (perpendicular to the fault layer) requires to assume that the flow of the material was laminar, so that all grains of carbonaceous material in the fault layer have preserved the same distance to the host rock throughout deformation, without redistribution by convection. To answer we used the number of the Reynolds number of the flow, which can be defined as follows: </w:t>
      </w:r>
    </w:p>
    <w:p w14:paraId="5550C714" w14:textId="00FC7D83" w:rsidR="00B63041" w:rsidRPr="00226A99" w:rsidRDefault="00450B58" w:rsidP="00B63041">
      <w:pPr>
        <w:pStyle w:val="Paragraphedeliste"/>
        <w:ind w:left="1210"/>
        <w:rPr>
          <w:rFonts w:eastAsiaTheme="minorEastAsia"/>
          <w:lang w:val="en-US"/>
        </w:rPr>
      </w:pPr>
      <m:oMathPara>
        <m:oMathParaPr>
          <m:jc m:val="center"/>
        </m:oMathParaPr>
        <m:oMath>
          <m:eqArr>
            <m:eqArrPr>
              <m:maxDist m:val="1"/>
              <m:ctrlPr>
                <w:rPr>
                  <w:rFonts w:ascii="Cambria Math" w:hAnsi="Cambria Math"/>
                  <w:i/>
                  <w:lang w:val="en-US"/>
                </w:rPr>
              </m:ctrlPr>
            </m:eqArrPr>
            <m:e>
              <m:r>
                <w:rPr>
                  <w:rFonts w:ascii="Cambria Math" w:hAnsi="Cambria Math"/>
                  <w:lang w:val="en-US"/>
                </w:rPr>
                <m:t xml:space="preserve">Re= </m:t>
              </m:r>
              <m:f>
                <m:fPr>
                  <m:ctrlPr>
                    <w:rPr>
                      <w:rFonts w:ascii="Cambria Math" w:hAnsi="Cambria Math"/>
                      <w:i/>
                      <w:lang w:val="en-US"/>
                    </w:rPr>
                  </m:ctrlPr>
                </m:fPr>
                <m:num>
                  <m:r>
                    <w:rPr>
                      <w:rFonts w:ascii="Cambria Math" w:hAnsi="Cambria Math"/>
                      <w:lang w:val="en-US"/>
                    </w:rPr>
                    <m:t>ρ V Lc</m:t>
                  </m:r>
                </m:num>
                <m:den>
                  <m:r>
                    <w:rPr>
                      <w:rFonts w:ascii="Cambria Math" w:hAnsi="Cambria Math"/>
                      <w:lang w:val="en-US"/>
                    </w:rPr>
                    <m:t>μ</m:t>
                  </m:r>
                </m:den>
              </m:f>
              <m:r>
                <w:rPr>
                  <w:rFonts w:ascii="Cambria Math" w:hAnsi="Cambria Math"/>
                  <w:lang w:val="en-US"/>
                </w:rPr>
                <m:t>#(6)</m:t>
              </m:r>
            </m:e>
          </m:eqArr>
        </m:oMath>
      </m:oMathPara>
    </w:p>
    <w:tbl>
      <w:tblPr>
        <w:tblStyle w:val="TableauGrille1Clair"/>
        <w:tblW w:w="0" w:type="auto"/>
        <w:tblInd w:w="562" w:type="dxa"/>
        <w:tblLook w:val="04A0" w:firstRow="1" w:lastRow="0" w:firstColumn="1" w:lastColumn="0" w:noHBand="0" w:noVBand="1"/>
      </w:tblPr>
      <w:tblGrid>
        <w:gridCol w:w="2201"/>
        <w:gridCol w:w="1837"/>
        <w:gridCol w:w="2301"/>
        <w:gridCol w:w="2161"/>
      </w:tblGrid>
      <w:tr w:rsidR="00B63041" w:rsidRPr="00156A6B" w14:paraId="1DA6F87C" w14:textId="77777777" w:rsidTr="005F7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16F24048" w14:textId="77777777" w:rsidR="00B63041" w:rsidRPr="00156A6B" w:rsidRDefault="00B63041" w:rsidP="005F7FC3">
            <w:pPr>
              <w:jc w:val="center"/>
              <w:rPr>
                <w:sz w:val="16"/>
                <w:lang w:val="en-US"/>
              </w:rPr>
            </w:pPr>
            <w:r w:rsidRPr="00156A6B">
              <w:rPr>
                <w:sz w:val="16"/>
                <w:lang w:val="en-US"/>
              </w:rPr>
              <w:t>Constant</w:t>
            </w:r>
          </w:p>
        </w:tc>
        <w:tc>
          <w:tcPr>
            <w:tcW w:w="1837" w:type="dxa"/>
            <w:vAlign w:val="center"/>
          </w:tcPr>
          <w:p w14:paraId="6698C0DA" w14:textId="77777777" w:rsidR="00B63041" w:rsidRPr="00156A6B" w:rsidRDefault="00B63041" w:rsidP="005F7FC3">
            <w:pPr>
              <w:jc w:val="center"/>
              <w:cnfStyle w:val="100000000000" w:firstRow="1" w:lastRow="0" w:firstColumn="0" w:lastColumn="0" w:oddVBand="0" w:evenVBand="0" w:oddHBand="0" w:evenHBand="0" w:firstRowFirstColumn="0" w:firstRowLastColumn="0" w:lastRowFirstColumn="0" w:lastRowLastColumn="0"/>
              <w:rPr>
                <w:sz w:val="16"/>
                <w:lang w:val="en-US"/>
              </w:rPr>
            </w:pPr>
            <w:r w:rsidRPr="00156A6B">
              <w:rPr>
                <w:sz w:val="16"/>
                <w:lang w:val="en-US"/>
              </w:rPr>
              <w:t>Value</w:t>
            </w:r>
          </w:p>
        </w:tc>
        <w:tc>
          <w:tcPr>
            <w:tcW w:w="2301" w:type="dxa"/>
            <w:vAlign w:val="center"/>
          </w:tcPr>
          <w:p w14:paraId="0D2B5BF7" w14:textId="77777777" w:rsidR="00B63041" w:rsidRPr="00156A6B" w:rsidRDefault="00B63041" w:rsidP="005F7FC3">
            <w:pPr>
              <w:jc w:val="center"/>
              <w:cnfStyle w:val="100000000000" w:firstRow="1" w:lastRow="0" w:firstColumn="0" w:lastColumn="0" w:oddVBand="0" w:evenVBand="0" w:oddHBand="0" w:evenHBand="0" w:firstRowFirstColumn="0" w:firstRowLastColumn="0" w:lastRowFirstColumn="0" w:lastRowLastColumn="0"/>
              <w:rPr>
                <w:sz w:val="16"/>
                <w:lang w:val="en-US"/>
              </w:rPr>
            </w:pPr>
            <w:r w:rsidRPr="00156A6B">
              <w:rPr>
                <w:sz w:val="16"/>
                <w:lang w:val="en-US"/>
              </w:rPr>
              <w:t>Unit</w:t>
            </w:r>
          </w:p>
        </w:tc>
        <w:tc>
          <w:tcPr>
            <w:tcW w:w="2161" w:type="dxa"/>
          </w:tcPr>
          <w:p w14:paraId="5373D45E" w14:textId="77777777" w:rsidR="00B63041" w:rsidRPr="00156A6B" w:rsidRDefault="00B63041" w:rsidP="005F7FC3">
            <w:pPr>
              <w:jc w:val="center"/>
              <w:cnfStyle w:val="100000000000" w:firstRow="1" w:lastRow="0" w:firstColumn="0" w:lastColumn="0" w:oddVBand="0" w:evenVBand="0" w:oddHBand="0" w:evenHBand="0" w:firstRowFirstColumn="0" w:firstRowLastColumn="0" w:lastRowFirstColumn="0" w:lastRowLastColumn="0"/>
              <w:rPr>
                <w:sz w:val="16"/>
                <w:lang w:val="en-US"/>
              </w:rPr>
            </w:pPr>
            <w:r w:rsidRPr="00156A6B">
              <w:rPr>
                <w:sz w:val="16"/>
                <w:lang w:val="en-US"/>
              </w:rPr>
              <w:t xml:space="preserve">Reference </w:t>
            </w:r>
          </w:p>
        </w:tc>
      </w:tr>
      <w:tr w:rsidR="00B63041" w:rsidRPr="00156A6B" w14:paraId="7707509C" w14:textId="77777777" w:rsidTr="005F7FC3">
        <w:tc>
          <w:tcPr>
            <w:cnfStyle w:val="001000000000" w:firstRow="0" w:lastRow="0" w:firstColumn="1" w:lastColumn="0" w:oddVBand="0" w:evenVBand="0" w:oddHBand="0" w:evenHBand="0" w:firstRowFirstColumn="0" w:firstRowLastColumn="0" w:lastRowFirstColumn="0" w:lastRowLastColumn="0"/>
            <w:tcW w:w="2201" w:type="dxa"/>
            <w:vAlign w:val="center"/>
          </w:tcPr>
          <w:p w14:paraId="29977AD3" w14:textId="77777777" w:rsidR="00B63041" w:rsidRPr="00156A6B" w:rsidRDefault="00B63041" w:rsidP="005F7FC3">
            <w:pPr>
              <w:jc w:val="center"/>
              <w:rPr>
                <w:b w:val="0"/>
                <w:sz w:val="16"/>
                <w:lang w:val="en-US"/>
              </w:rPr>
            </w:pPr>
            <w:r w:rsidRPr="00156A6B">
              <w:rPr>
                <w:b w:val="0"/>
                <w:sz w:val="16"/>
                <w:lang w:val="en-US"/>
              </w:rPr>
              <w:t>Density – ρ</w:t>
            </w:r>
          </w:p>
        </w:tc>
        <w:tc>
          <w:tcPr>
            <w:tcW w:w="1837" w:type="dxa"/>
            <w:vAlign w:val="center"/>
          </w:tcPr>
          <w:p w14:paraId="334FB8F6"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2660</w:t>
            </w:r>
          </w:p>
        </w:tc>
        <w:tc>
          <w:tcPr>
            <w:tcW w:w="2301" w:type="dxa"/>
            <w:vAlign w:val="center"/>
          </w:tcPr>
          <w:p w14:paraId="147773B6"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Kg/m</w:t>
            </w:r>
            <w:r w:rsidRPr="00156A6B">
              <w:rPr>
                <w:sz w:val="16"/>
                <w:vertAlign w:val="superscript"/>
                <w:lang w:val="en-US"/>
              </w:rPr>
              <w:t>3</w:t>
            </w:r>
          </w:p>
        </w:tc>
        <w:tc>
          <w:tcPr>
            <w:tcW w:w="2161" w:type="dxa"/>
          </w:tcPr>
          <w:p w14:paraId="459EC563" w14:textId="1E9677DE" w:rsidR="00B63041" w:rsidRPr="00156A6B" w:rsidRDefault="00B63041" w:rsidP="008D4FED">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Schön, 1996</w:t>
            </w:r>
            <w:r w:rsidRPr="00156A6B">
              <w:rPr>
                <w:sz w:val="16"/>
                <w:lang w:val="en-US"/>
              </w:rPr>
              <w:fldChar w:fldCharType="begin"/>
            </w:r>
            <w:r w:rsidR="008D4FED">
              <w:rPr>
                <w:sz w:val="16"/>
                <w:lang w:val="en-US"/>
              </w:rPr>
              <w:instrText xml:space="preserve"> ADDIN ZOTERO_ITEM CSL_CITATION {"citationID":"H0zo2uqt","properties":{"formattedCitation":"\\super 27\\nosupersub{}","plainCitation":"27","noteIndex":0},"citationItems":[{"id":299,"uris":["http://zotero.org/users/5712877/items/3S5GLH4M"],"uri":["http://zotero.org/users/5712877/items/3S5GLH4M"],"itemData":{"id":299,"type":"book","title":"Physical Properties of Rocks Fundamentals and Principles of Petrophysics","collection-title":"Developments in Petroleum Science","publisher":"Elsevier B.V.","volume":"65","number-of-pages":"497","edition":"Second edition","ISBN":"978-0-08-100404-3","language":"en","author":[{"family":"Schön","given":"Jürgen"}],"issued":{"date-parts":[["1996"]]}}}],"schema":"https://github.com/citation-style-language/schema/raw/master/csl-citation.json"} </w:instrText>
            </w:r>
            <w:r w:rsidRPr="00156A6B">
              <w:rPr>
                <w:sz w:val="16"/>
                <w:lang w:val="en-US"/>
              </w:rPr>
              <w:fldChar w:fldCharType="separate"/>
            </w:r>
            <w:r w:rsidR="008D4FED" w:rsidRPr="008D4FED">
              <w:rPr>
                <w:rFonts w:cs="Times New Roman"/>
                <w:sz w:val="16"/>
                <w:szCs w:val="24"/>
                <w:vertAlign w:val="superscript"/>
              </w:rPr>
              <w:t>27</w:t>
            </w:r>
            <w:r w:rsidRPr="00156A6B">
              <w:rPr>
                <w:sz w:val="16"/>
                <w:lang w:val="en-US"/>
              </w:rPr>
              <w:fldChar w:fldCharType="end"/>
            </w:r>
          </w:p>
        </w:tc>
      </w:tr>
      <w:tr w:rsidR="00B63041" w:rsidRPr="00156A6B" w14:paraId="5A8A1B11" w14:textId="77777777" w:rsidTr="005F7FC3">
        <w:tc>
          <w:tcPr>
            <w:cnfStyle w:val="001000000000" w:firstRow="0" w:lastRow="0" w:firstColumn="1" w:lastColumn="0" w:oddVBand="0" w:evenVBand="0" w:oddHBand="0" w:evenHBand="0" w:firstRowFirstColumn="0" w:firstRowLastColumn="0" w:lastRowFirstColumn="0" w:lastRowLastColumn="0"/>
            <w:tcW w:w="2201" w:type="dxa"/>
            <w:vAlign w:val="center"/>
          </w:tcPr>
          <w:p w14:paraId="6EAC7538" w14:textId="77777777" w:rsidR="00B63041" w:rsidRPr="00156A6B" w:rsidRDefault="00B63041" w:rsidP="005F7FC3">
            <w:pPr>
              <w:jc w:val="center"/>
              <w:rPr>
                <w:b w:val="0"/>
                <w:sz w:val="16"/>
                <w:lang w:val="en-US"/>
              </w:rPr>
            </w:pPr>
            <w:r w:rsidRPr="00156A6B">
              <w:rPr>
                <w:b w:val="0"/>
                <w:sz w:val="16"/>
                <w:lang w:val="en-US"/>
              </w:rPr>
              <w:t>Slip rate – V</w:t>
            </w:r>
          </w:p>
        </w:tc>
        <w:tc>
          <w:tcPr>
            <w:tcW w:w="1837" w:type="dxa"/>
            <w:vAlign w:val="center"/>
          </w:tcPr>
          <w:p w14:paraId="6919CB9E"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1 - 10</w:t>
            </w:r>
          </w:p>
        </w:tc>
        <w:tc>
          <w:tcPr>
            <w:tcW w:w="2301" w:type="dxa"/>
            <w:vAlign w:val="center"/>
          </w:tcPr>
          <w:p w14:paraId="1DA56A5B"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m/s</w:t>
            </w:r>
          </w:p>
        </w:tc>
        <w:tc>
          <w:tcPr>
            <w:tcW w:w="2161" w:type="dxa"/>
          </w:tcPr>
          <w:p w14:paraId="6DEDE57F"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Cf Shear heating</w:t>
            </w:r>
          </w:p>
        </w:tc>
      </w:tr>
      <w:tr w:rsidR="00B63041" w:rsidRPr="00156A6B" w14:paraId="635FE35D" w14:textId="77777777" w:rsidTr="005F7FC3">
        <w:tc>
          <w:tcPr>
            <w:cnfStyle w:val="001000000000" w:firstRow="0" w:lastRow="0" w:firstColumn="1" w:lastColumn="0" w:oddVBand="0" w:evenVBand="0" w:oddHBand="0" w:evenHBand="0" w:firstRowFirstColumn="0" w:firstRowLastColumn="0" w:lastRowFirstColumn="0" w:lastRowLastColumn="0"/>
            <w:tcW w:w="2201" w:type="dxa"/>
            <w:vAlign w:val="center"/>
          </w:tcPr>
          <w:p w14:paraId="7F3D4499" w14:textId="77777777" w:rsidR="00B63041" w:rsidRPr="00156A6B" w:rsidRDefault="00B63041" w:rsidP="005F7FC3">
            <w:pPr>
              <w:jc w:val="center"/>
              <w:rPr>
                <w:b w:val="0"/>
                <w:sz w:val="16"/>
                <w:lang w:val="en-US"/>
              </w:rPr>
            </w:pPr>
            <w:r w:rsidRPr="00156A6B">
              <w:rPr>
                <w:b w:val="0"/>
                <w:sz w:val="16"/>
                <w:lang w:val="en-US"/>
              </w:rPr>
              <w:t>Diameter – Lc</w:t>
            </w:r>
          </w:p>
        </w:tc>
        <w:tc>
          <w:tcPr>
            <w:tcW w:w="1837" w:type="dxa"/>
            <w:vAlign w:val="center"/>
          </w:tcPr>
          <w:p w14:paraId="6C7D9139"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1.10</w:t>
            </w:r>
            <w:r w:rsidRPr="00156A6B">
              <w:rPr>
                <w:sz w:val="16"/>
                <w:vertAlign w:val="superscript"/>
                <w:lang w:val="en-US"/>
              </w:rPr>
              <w:t>-3</w:t>
            </w:r>
          </w:p>
        </w:tc>
        <w:tc>
          <w:tcPr>
            <w:tcW w:w="2301" w:type="dxa"/>
            <w:vAlign w:val="center"/>
          </w:tcPr>
          <w:p w14:paraId="28392A6D"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m</w:t>
            </w:r>
          </w:p>
        </w:tc>
        <w:tc>
          <w:tcPr>
            <w:tcW w:w="2161" w:type="dxa"/>
          </w:tcPr>
          <w:p w14:paraId="341D4EAC"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w:t>
            </w:r>
          </w:p>
        </w:tc>
      </w:tr>
      <w:tr w:rsidR="00B63041" w:rsidRPr="00156A6B" w14:paraId="4871D484" w14:textId="77777777" w:rsidTr="005F7FC3">
        <w:tc>
          <w:tcPr>
            <w:cnfStyle w:val="001000000000" w:firstRow="0" w:lastRow="0" w:firstColumn="1" w:lastColumn="0" w:oddVBand="0" w:evenVBand="0" w:oddHBand="0" w:evenHBand="0" w:firstRowFirstColumn="0" w:firstRowLastColumn="0" w:lastRowFirstColumn="0" w:lastRowLastColumn="0"/>
            <w:tcW w:w="2201" w:type="dxa"/>
            <w:vAlign w:val="center"/>
          </w:tcPr>
          <w:p w14:paraId="70A2608A" w14:textId="77777777" w:rsidR="00B63041" w:rsidRPr="00156A6B" w:rsidRDefault="00B63041" w:rsidP="005F7FC3">
            <w:pPr>
              <w:jc w:val="center"/>
              <w:rPr>
                <w:b w:val="0"/>
                <w:sz w:val="16"/>
                <w:lang w:val="en-US"/>
              </w:rPr>
            </w:pPr>
            <w:r w:rsidRPr="00156A6B">
              <w:rPr>
                <w:b w:val="0"/>
                <w:sz w:val="16"/>
                <w:lang w:val="en-US"/>
              </w:rPr>
              <w:t>Viscosity – µ</w:t>
            </w:r>
          </w:p>
        </w:tc>
        <w:tc>
          <w:tcPr>
            <w:tcW w:w="1837" w:type="dxa"/>
            <w:vAlign w:val="center"/>
          </w:tcPr>
          <w:p w14:paraId="205E94B5"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5 – 300</w:t>
            </w:r>
          </w:p>
        </w:tc>
        <w:tc>
          <w:tcPr>
            <w:tcW w:w="2301" w:type="dxa"/>
            <w:vAlign w:val="center"/>
          </w:tcPr>
          <w:p w14:paraId="677B9FEB"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Pa.s</w:t>
            </w:r>
          </w:p>
        </w:tc>
        <w:tc>
          <w:tcPr>
            <w:tcW w:w="2161" w:type="dxa"/>
          </w:tcPr>
          <w:p w14:paraId="0CB2F51B" w14:textId="1471252B" w:rsidR="00B63041" w:rsidRPr="00156A6B" w:rsidRDefault="00B63041" w:rsidP="008D4FED">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Ujiie et al., 2007</w:t>
            </w:r>
            <w:r w:rsidRPr="00156A6B">
              <w:rPr>
                <w:sz w:val="16"/>
                <w:lang w:val="en-US"/>
              </w:rPr>
              <w:fldChar w:fldCharType="begin"/>
            </w:r>
            <w:r w:rsidR="008D4FED">
              <w:rPr>
                <w:sz w:val="16"/>
                <w:lang w:val="en-US"/>
              </w:rPr>
              <w:instrText xml:space="preserve"> ADDIN ZOTERO_ITEM CSL_CITATION {"citationID":"KMszpGUa","properties":{"formattedCitation":"\\super 9\\nosupersub{}","plainCitation":"9","noteIndex":0},"citationItems":[{"id":315,"uris":["http://zotero.org/users/5712877/items/QRAJHXDG"],"uri":["http://zotero.org/users/5712877/items/QRAJHXDG"],"itemData":{"id":315,"type":"article-journal","title":"Pseudotachylytes in an ancient accretionary complex and implications for melt lubrication during subduction zone earthquakes","container-title":"Journal of Structural Geology","page":"599-613","volume":"29","issue":"4","source":"Crossref","abstract":"Pseudotachylyte-bearing fault zones, found in the Shimanto accretionary complex, southwest Japan, developed during subduction or underplating at seismogenic depths. The pseudotachylytes occur in narrow dark veins less than a few millimeters thick that are sharply bounded by foliated cataclasites that originated from a me´lange. The microstructures of pseudotachylytes are represented by a fragment-laden, glasssupported texture resulting from the rapid cooling of the frictional melt. Transmission electron microscopy reveals the presence of glass in which euhedral microcrystals of mullite are locally developed. The compositions of the pseudotachylyte matrix and the characteristics of the unmelted grains and microlites in the matrix suggest that frictional melting occurred in an illite-rich slip zone with a minimum melting temperature of 1100 \u0014C. The viscosities of the frictional melt were calculated from the pseudotachylyte matrix composition as well as from the volume fraction and aspect ratio of the unmelted grains. The viscosities at 1100 \u0014C range from 85 to 290 Pa s, and the corresponding shear resistance along a 1-mm-thick melt layer at a slip rate of 1 m/s was 0.1e0.3 MPa. The formation of a melt layer in an illite-rich slip zone can possibly induce large stress drops, increase the slip rate and enhance rupture propagation, which together could affect the earthquake magnitude in a subduction zone. Ó 2006 Elsevier Ltd. All rights reserved.","DOI":"10.1016/j.jsg.2006.10.012","ISSN":"01918141","language":"en","author":[{"family":"Ujiie","given":"Kohtaro"},{"family":"Yamaguchi","given":"Haruka"},{"family":"Sakaguchi","given":"Arito"},{"family":"Toh","given":"Shoichi"}],"issued":{"date-parts":[["2007",4]]}}}],"schema":"https://github.com/citation-style-language/schema/raw/master/csl-citation.json"} </w:instrText>
            </w:r>
            <w:r w:rsidRPr="00156A6B">
              <w:rPr>
                <w:sz w:val="16"/>
                <w:lang w:val="en-US"/>
              </w:rPr>
              <w:fldChar w:fldCharType="separate"/>
            </w:r>
            <w:r w:rsidR="008D4FED" w:rsidRPr="008D4FED">
              <w:rPr>
                <w:rFonts w:cs="Times New Roman"/>
                <w:sz w:val="16"/>
                <w:szCs w:val="24"/>
                <w:vertAlign w:val="superscript"/>
              </w:rPr>
              <w:t>9</w:t>
            </w:r>
            <w:r w:rsidRPr="00156A6B">
              <w:rPr>
                <w:sz w:val="16"/>
                <w:lang w:val="en-US"/>
              </w:rPr>
              <w:fldChar w:fldCharType="end"/>
            </w:r>
          </w:p>
        </w:tc>
      </w:tr>
    </w:tbl>
    <w:p w14:paraId="51F29F46" w14:textId="77777777" w:rsidR="00B63041" w:rsidRDefault="00B63041" w:rsidP="00B63041">
      <w:pPr>
        <w:rPr>
          <w:lang w:val="en-US"/>
        </w:rPr>
      </w:pPr>
    </w:p>
    <w:p w14:paraId="63D519AB" w14:textId="77777777" w:rsidR="00B63041" w:rsidRPr="00047713" w:rsidRDefault="00B63041" w:rsidP="00B63041">
      <w:pPr>
        <w:rPr>
          <w:rFonts w:eastAsiaTheme="minorEastAsia"/>
          <w:lang w:val="en-US"/>
        </w:rPr>
      </w:pPr>
      <w:r>
        <w:rPr>
          <w:lang w:val="en-US"/>
        </w:rPr>
        <w:t>Thanks to these values (see Table above), this equation allows calculating a Reynolds number between 5.3 and 8.9e10</w:t>
      </w:r>
      <w:r w:rsidRPr="00862F92">
        <w:rPr>
          <w:vertAlign w:val="superscript"/>
          <w:lang w:val="en-US"/>
        </w:rPr>
        <w:t>-3</w:t>
      </w:r>
      <w:r>
        <w:rPr>
          <w:lang w:val="en-US"/>
        </w:rPr>
        <w:t xml:space="preserve">. As the Reynolds number is lower than 2000, it means that the melt </w:t>
      </w:r>
      <w:r>
        <w:rPr>
          <w:lang w:val="en-US"/>
        </w:rPr>
        <w:lastRenderedPageBreak/>
        <w:t>behavior was laminar, so that there were no mixing of the grains during the deformation and the problem can be appropriately described by a 1D approach.</w:t>
      </w:r>
    </w:p>
    <w:p w14:paraId="01469BC7" w14:textId="77777777" w:rsidR="00B63041" w:rsidRPr="008D1BBE" w:rsidRDefault="00B63041" w:rsidP="00B63041">
      <w:pPr>
        <w:ind w:firstLine="708"/>
        <w:rPr>
          <w:lang w:val="en-US"/>
        </w:rPr>
      </w:pPr>
      <w:r>
        <w:rPr>
          <w:lang w:val="en-US"/>
        </w:rPr>
        <w:t>3.1 Thermal model</w:t>
      </w:r>
    </w:p>
    <w:p w14:paraId="0CD2CEEE" w14:textId="77777777" w:rsidR="00B63041" w:rsidRDefault="00B63041" w:rsidP="00B63041">
      <w:pPr>
        <w:rPr>
          <w:lang w:val="en-US"/>
        </w:rPr>
      </w:pPr>
      <w:r>
        <w:rPr>
          <w:lang w:val="en-US"/>
        </w:rPr>
        <w:t>We</w:t>
      </w:r>
      <w:r w:rsidRPr="00C76A17">
        <w:rPr>
          <w:lang w:val="en-US"/>
        </w:rPr>
        <w:t xml:space="preserve"> </w:t>
      </w:r>
      <w:r>
        <w:rPr>
          <w:lang w:val="en-US"/>
        </w:rPr>
        <w:t xml:space="preserve">describe the temperature field in a molten layer and its host rock using 1D numerical modelling of heat diffusion, including a source of heat production related to the work dissipated during rapid slip: </w:t>
      </w:r>
    </w:p>
    <w:p w14:paraId="0E592555" w14:textId="683C0737" w:rsidR="00B63041" w:rsidRPr="00F61AF1" w:rsidRDefault="00450B58" w:rsidP="00B63041">
      <w:pPr>
        <w:rPr>
          <w:rFonts w:eastAsiaTheme="minorEastAsia"/>
          <w:lang w:val="en-US"/>
        </w:rPr>
      </w:pPr>
      <m:oMathPara>
        <m:oMath>
          <m:eqArr>
            <m:eqArrPr>
              <m:maxDist m:val="1"/>
              <m:ctrlPr>
                <w:rPr>
                  <w:rFonts w:ascii="Cambria Math" w:hAnsi="Cambria Math"/>
                  <w:i/>
                </w:rPr>
              </m:ctrlPr>
            </m:eqArrPr>
            <m:e>
              <m:f>
                <m:fPr>
                  <m:ctrlPr>
                    <w:rPr>
                      <w:rFonts w:ascii="Cambria Math" w:hAnsi="Cambria Math"/>
                      <w:i/>
                      <w:lang w:val="en-US"/>
                    </w:rPr>
                  </m:ctrlPr>
                </m:fPr>
                <m:num>
                  <m:r>
                    <w:rPr>
                      <w:rFonts w:ascii="Cambria Math" w:hAnsi="Cambria Math"/>
                      <w:lang w:val="en-US"/>
                    </w:rPr>
                    <m:t>∂T</m:t>
                  </m:r>
                </m:num>
                <m:den>
                  <m:r>
                    <w:rPr>
                      <w:rFonts w:ascii="Cambria Math" w:hAnsi="Cambria Math"/>
                      <w:lang w:val="en-US"/>
                    </w:rPr>
                    <m:t>∂t</m:t>
                  </m:r>
                </m:den>
              </m:f>
              <m:r>
                <w:rPr>
                  <w:rFonts w:ascii="Cambria Math" w:hAnsi="Cambria Math"/>
                  <w:lang w:val="en-US"/>
                </w:rPr>
                <m:t xml:space="preserve">= </m:t>
              </m:r>
              <w:hyperlink r:id="rId16" w:tooltip="κ" w:history="1">
                <m:r>
                  <m:rPr>
                    <m:sty m:val="p"/>
                  </m:rPr>
                  <w:rPr>
                    <w:rStyle w:val="Lienhypertexte"/>
                    <w:rFonts w:ascii="Cambria Math" w:hAnsi="Cambria Math"/>
                    <w:color w:val="auto"/>
                  </w:rPr>
                  <m:t>κ</m:t>
                </m:r>
              </w:hyperlink>
              <m:r>
                <m:rPr>
                  <m:sty m:val="p"/>
                </m:rPr>
                <w:rPr>
                  <w:rFonts w:ascii="Cambria Math" w:hAnsi="Cambria Math"/>
                </w:rPr>
                <m:t xml:space="preserve"> . </m:t>
              </m:r>
              <m:f>
                <m:fPr>
                  <m:ctrlPr>
                    <w:rPr>
                      <w:rFonts w:ascii="Cambria Math" w:hAnsi="Cambria Math"/>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T</m:t>
                  </m:r>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ρ . Cp</m:t>
                  </m:r>
                </m:den>
              </m:f>
              <m:r>
                <w:rPr>
                  <w:rFonts w:ascii="Cambria Math" w:hAnsi="Cambria Math"/>
                </w:rPr>
                <m:t xml:space="preserve">    where </m:t>
              </m:r>
              <w:hyperlink r:id="rId17" w:tooltip="κ" w:history="1">
                <m:r>
                  <m:rPr>
                    <m:sty m:val="p"/>
                  </m:rPr>
                  <w:rPr>
                    <w:rStyle w:val="Lienhypertexte"/>
                    <w:rFonts w:ascii="Cambria Math" w:hAnsi="Cambria Math"/>
                    <w:color w:val="auto"/>
                  </w:rPr>
                  <m:t>κ</m:t>
                </m:r>
              </w:hyperlink>
              <m:r>
                <m:rPr>
                  <m:sty m:val="p"/>
                </m:rPr>
                <w:rPr>
                  <w:rFonts w:ascii="Cambria Math" w:hAnsi="Cambria Math"/>
                </w:rPr>
                <m:t xml:space="preserve">= </m:t>
              </m:r>
              <m:f>
                <m:fPr>
                  <m:ctrlPr>
                    <w:rPr>
                      <w:rFonts w:ascii="Cambria Math" w:hAnsi="Cambria Math"/>
                    </w:rPr>
                  </m:ctrlPr>
                </m:fPr>
                <m:num>
                  <m:r>
                    <w:rPr>
                      <w:rFonts w:ascii="Cambria Math" w:hAnsi="Cambria Math"/>
                    </w:rPr>
                    <m:t>k</m:t>
                  </m:r>
                </m:num>
                <m:den>
                  <m:r>
                    <w:rPr>
                      <w:rFonts w:ascii="Cambria Math" w:hAnsi="Cambria Math"/>
                    </w:rPr>
                    <m:t>ρ . Cp</m:t>
                  </m:r>
                </m:den>
              </m:f>
              <m:r>
                <w:rPr>
                  <w:rFonts w:ascii="Cambria Math" w:hAnsi="Cambria Math"/>
                </w:rPr>
                <m:t xml:space="preserve"> </m:t>
              </m:r>
              <m:r>
                <w:rPr>
                  <w:rFonts w:ascii="Cambria Math" w:hAnsi="Cambria Math"/>
                  <w:lang w:val="en-US"/>
                </w:rPr>
                <m:t>#</m:t>
              </m:r>
              <m:d>
                <m:dPr>
                  <m:ctrlPr>
                    <w:rPr>
                      <w:rFonts w:ascii="Cambria Math" w:hAnsi="Cambria Math"/>
                      <w:i/>
                    </w:rPr>
                  </m:ctrlPr>
                </m:dPr>
                <m:e>
                  <m:r>
                    <w:rPr>
                      <w:rFonts w:ascii="Cambria Math" w:hAnsi="Cambria Math"/>
                    </w:rPr>
                    <m:t>7</m:t>
                  </m:r>
                </m:e>
              </m:d>
              <m:ctrlPr>
                <w:rPr>
                  <w:rFonts w:ascii="Cambria Math" w:hAnsi="Cambria Math"/>
                  <w:i/>
                  <w:lang w:val="en-US"/>
                </w:rPr>
              </m:ctrlPr>
            </m:e>
          </m:eqArr>
        </m:oMath>
      </m:oMathPara>
    </w:p>
    <w:p w14:paraId="0CF9D495" w14:textId="77777777" w:rsidR="00B63041" w:rsidRDefault="00B63041" w:rsidP="00B63041">
      <w:pPr>
        <w:rPr>
          <w:lang w:val="en-US"/>
        </w:rPr>
      </w:pPr>
      <w:r>
        <w:rPr>
          <w:lang w:val="en-US"/>
        </w:rPr>
        <w:t xml:space="preserve">Where T is the temperature, t is the time, k is thermal conductivity, </w:t>
      </w:r>
      <w:r>
        <w:rPr>
          <w:rFonts w:cs="Times New Roman"/>
          <w:lang w:val="en-US"/>
        </w:rPr>
        <w:t>ρ</w:t>
      </w:r>
      <w:r>
        <w:rPr>
          <w:lang w:val="en-US"/>
        </w:rPr>
        <w:t xml:space="preserve"> is the density, Cp the heat capacity and S the heat production. All physical properties are considered as homogeneous throughout the profile. All the values used for this modelling are available on the table below. </w:t>
      </w:r>
    </w:p>
    <w:p w14:paraId="675D17C7" w14:textId="5E6A3398" w:rsidR="00B63041" w:rsidRDefault="00B63041" w:rsidP="00B63041">
      <w:pPr>
        <w:rPr>
          <w:lang w:val="en-US"/>
        </w:rPr>
      </w:pPr>
      <w:r>
        <w:rPr>
          <w:lang w:val="en-US"/>
        </w:rPr>
        <w:t xml:space="preserve">Note that our thermal diffusion modelling without heat production was checked using the </w:t>
      </w:r>
      <w:r w:rsidRPr="006300A5">
        <w:rPr>
          <w:lang w:val="en-US"/>
        </w:rPr>
        <w:t>analytical solution provided in Carslaw and Jaeger (1959)</w:t>
      </w:r>
      <w:r w:rsidRPr="006300A5">
        <w:rPr>
          <w:lang w:val="en-US"/>
        </w:rPr>
        <w:fldChar w:fldCharType="begin"/>
      </w:r>
      <w:r w:rsidR="008D4FED">
        <w:rPr>
          <w:lang w:val="en-US"/>
        </w:rPr>
        <w:instrText xml:space="preserve"> ADDIN ZOTERO_ITEM CSL_CITATION {"citationID":"Cv5ftpt8","properties":{"formattedCitation":"\\super 28\\nosupersub{}","plainCitation":"28","noteIndex":0},"citationItems":[{"id":409,"uris":["http://zotero.org/users/5712877/items/J6SKL6J8"],"uri":["http://zotero.org/users/5712877/items/J6SKL6J8"],"itemData":{"id":409,"type":"book","title":"Conduction of Heat in Solids","publisher":"Oxford University Press","edition":"2nd edition","author":[{"family":"Carslaw","given":"H.S."},{"family":"Jaeger","given":"J.C."}],"issued":{"date-parts":[["1959"]]}}}],"schema":"https://github.com/citation-style-language/schema/raw/master/csl-citation.json"} </w:instrText>
      </w:r>
      <w:r w:rsidRPr="006300A5">
        <w:rPr>
          <w:lang w:val="en-US"/>
        </w:rPr>
        <w:fldChar w:fldCharType="separate"/>
      </w:r>
      <w:r w:rsidR="008D4FED" w:rsidRPr="008D4FED">
        <w:rPr>
          <w:rFonts w:cs="Times New Roman"/>
          <w:szCs w:val="24"/>
          <w:vertAlign w:val="superscript"/>
          <w:lang w:val="en-US"/>
        </w:rPr>
        <w:t>28</w:t>
      </w:r>
      <w:r w:rsidRPr="006300A5">
        <w:rPr>
          <w:lang w:val="en-US"/>
        </w:rPr>
        <w:fldChar w:fldCharType="end"/>
      </w:r>
      <w:r w:rsidRPr="006300A5">
        <w:rPr>
          <w:lang w:val="en-US"/>
        </w:rPr>
        <w:t>.</w:t>
      </w:r>
    </w:p>
    <w:p w14:paraId="796625F6" w14:textId="77777777" w:rsidR="00B63041" w:rsidRDefault="00B63041" w:rsidP="00B63041">
      <w:pPr>
        <w:rPr>
          <w:lang w:val="en-US"/>
        </w:rPr>
      </w:pPr>
      <w:r>
        <w:rPr>
          <w:lang w:val="en-US"/>
        </w:rPr>
        <w:t>In this modelling, we always model the same time interval and spatial domain. It corresponds to a 10cm-thick domain of shale with an initial temperature of 200°C crossed by a 1mm-thick molten layer. The spatial resolutions is 1.10</w:t>
      </w:r>
      <w:r w:rsidRPr="003851E8">
        <w:rPr>
          <w:vertAlign w:val="superscript"/>
          <w:lang w:val="en-US"/>
        </w:rPr>
        <w:t>-4</w:t>
      </w:r>
      <w:r>
        <w:rPr>
          <w:vertAlign w:val="superscript"/>
          <w:lang w:val="en-US"/>
        </w:rPr>
        <w:t xml:space="preserve"> </w:t>
      </w:r>
      <w:r>
        <w:rPr>
          <w:lang w:val="en-US"/>
        </w:rPr>
        <w:t>meter along the modelling but we increase the resolution near the contact between the molten layer and the host rock at 3.10</w:t>
      </w:r>
      <w:r w:rsidRPr="003851E8">
        <w:rPr>
          <w:vertAlign w:val="superscript"/>
          <w:lang w:val="en-US"/>
        </w:rPr>
        <w:t>-5</w:t>
      </w:r>
      <w:r>
        <w:rPr>
          <w:vertAlign w:val="superscript"/>
          <w:lang w:val="en-US"/>
        </w:rPr>
        <w:t xml:space="preserve"> </w:t>
      </w:r>
      <w:r>
        <w:rPr>
          <w:lang w:val="en-US"/>
        </w:rPr>
        <w:t>meter. The temporal resolution has been set at 1.10</w:t>
      </w:r>
      <w:r w:rsidRPr="00A34A77">
        <w:rPr>
          <w:vertAlign w:val="superscript"/>
          <w:lang w:val="en-US"/>
        </w:rPr>
        <w:t>-4</w:t>
      </w:r>
      <w:r>
        <w:rPr>
          <w:lang w:val="en-US"/>
        </w:rPr>
        <w:t xml:space="preserve"> second. </w:t>
      </w:r>
    </w:p>
    <w:tbl>
      <w:tblPr>
        <w:tblStyle w:val="TableauGrille1Clair"/>
        <w:tblW w:w="0" w:type="auto"/>
        <w:jc w:val="center"/>
        <w:tblLook w:val="04A0" w:firstRow="1" w:lastRow="0" w:firstColumn="1" w:lastColumn="0" w:noHBand="0" w:noVBand="1"/>
      </w:tblPr>
      <w:tblGrid>
        <w:gridCol w:w="2689"/>
        <w:gridCol w:w="1098"/>
        <w:gridCol w:w="1586"/>
        <w:gridCol w:w="2702"/>
      </w:tblGrid>
      <w:tr w:rsidR="00B63041" w:rsidRPr="00156A6B" w14:paraId="0CDA7F2B" w14:textId="77777777" w:rsidTr="005F7F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5ECB4FD7" w14:textId="77777777" w:rsidR="00B63041" w:rsidRPr="00156A6B" w:rsidRDefault="00B63041" w:rsidP="005F7FC3">
            <w:pPr>
              <w:jc w:val="center"/>
              <w:rPr>
                <w:sz w:val="16"/>
                <w:lang w:val="en-US"/>
              </w:rPr>
            </w:pPr>
            <w:r w:rsidRPr="00156A6B">
              <w:rPr>
                <w:sz w:val="16"/>
                <w:lang w:val="en-US"/>
              </w:rPr>
              <w:t>Constant</w:t>
            </w:r>
          </w:p>
        </w:tc>
        <w:tc>
          <w:tcPr>
            <w:tcW w:w="1098" w:type="dxa"/>
            <w:vAlign w:val="bottom"/>
          </w:tcPr>
          <w:p w14:paraId="38C2E683" w14:textId="77777777" w:rsidR="00B63041" w:rsidRPr="00156A6B" w:rsidRDefault="00B63041" w:rsidP="005F7FC3">
            <w:pPr>
              <w:jc w:val="center"/>
              <w:cnfStyle w:val="100000000000" w:firstRow="1" w:lastRow="0" w:firstColumn="0" w:lastColumn="0" w:oddVBand="0" w:evenVBand="0" w:oddHBand="0" w:evenHBand="0" w:firstRowFirstColumn="0" w:firstRowLastColumn="0" w:lastRowFirstColumn="0" w:lastRowLastColumn="0"/>
              <w:rPr>
                <w:sz w:val="16"/>
                <w:lang w:val="en-US"/>
              </w:rPr>
            </w:pPr>
            <w:r w:rsidRPr="00156A6B">
              <w:rPr>
                <w:sz w:val="16"/>
                <w:lang w:val="en-US"/>
              </w:rPr>
              <w:t>Value</w:t>
            </w:r>
          </w:p>
        </w:tc>
        <w:tc>
          <w:tcPr>
            <w:tcW w:w="1586" w:type="dxa"/>
            <w:vAlign w:val="bottom"/>
          </w:tcPr>
          <w:p w14:paraId="28120FA6" w14:textId="77777777" w:rsidR="00B63041" w:rsidRPr="00156A6B" w:rsidRDefault="00B63041" w:rsidP="005F7FC3">
            <w:pPr>
              <w:jc w:val="center"/>
              <w:cnfStyle w:val="100000000000" w:firstRow="1" w:lastRow="0" w:firstColumn="0" w:lastColumn="0" w:oddVBand="0" w:evenVBand="0" w:oddHBand="0" w:evenHBand="0" w:firstRowFirstColumn="0" w:firstRowLastColumn="0" w:lastRowFirstColumn="0" w:lastRowLastColumn="0"/>
              <w:rPr>
                <w:sz w:val="16"/>
                <w:lang w:val="en-US"/>
              </w:rPr>
            </w:pPr>
            <w:r w:rsidRPr="00156A6B">
              <w:rPr>
                <w:sz w:val="16"/>
                <w:lang w:val="en-US"/>
              </w:rPr>
              <w:t>Unit</w:t>
            </w:r>
          </w:p>
        </w:tc>
        <w:tc>
          <w:tcPr>
            <w:tcW w:w="2702" w:type="dxa"/>
            <w:vAlign w:val="bottom"/>
          </w:tcPr>
          <w:p w14:paraId="57EF27E6" w14:textId="77777777" w:rsidR="00B63041" w:rsidRPr="00156A6B" w:rsidRDefault="00B63041" w:rsidP="005F7FC3">
            <w:pPr>
              <w:jc w:val="center"/>
              <w:cnfStyle w:val="100000000000" w:firstRow="1" w:lastRow="0" w:firstColumn="0" w:lastColumn="0" w:oddVBand="0" w:evenVBand="0" w:oddHBand="0" w:evenHBand="0" w:firstRowFirstColumn="0" w:firstRowLastColumn="0" w:lastRowFirstColumn="0" w:lastRowLastColumn="0"/>
              <w:rPr>
                <w:sz w:val="16"/>
                <w:lang w:val="en-US"/>
              </w:rPr>
            </w:pPr>
            <w:r w:rsidRPr="00156A6B">
              <w:rPr>
                <w:sz w:val="16"/>
                <w:lang w:val="en-US"/>
              </w:rPr>
              <w:t>References</w:t>
            </w:r>
          </w:p>
        </w:tc>
      </w:tr>
      <w:tr w:rsidR="00B63041" w:rsidRPr="00156A6B" w14:paraId="5F6BD5EA" w14:textId="77777777" w:rsidTr="005F7FC3">
        <w:trPr>
          <w:trHeight w:val="113"/>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354D5B94" w14:textId="77777777" w:rsidR="00B63041" w:rsidRPr="00156A6B" w:rsidRDefault="00B63041" w:rsidP="005F7FC3">
            <w:pPr>
              <w:jc w:val="center"/>
              <w:rPr>
                <w:b w:val="0"/>
                <w:sz w:val="16"/>
                <w:lang w:val="en-US"/>
              </w:rPr>
            </w:pPr>
            <w:r w:rsidRPr="00156A6B">
              <w:rPr>
                <w:b w:val="0"/>
                <w:sz w:val="16"/>
                <w:lang w:val="en-US"/>
              </w:rPr>
              <w:t>Host rock size</w:t>
            </w:r>
          </w:p>
        </w:tc>
        <w:tc>
          <w:tcPr>
            <w:tcW w:w="1098" w:type="dxa"/>
            <w:vAlign w:val="bottom"/>
          </w:tcPr>
          <w:p w14:paraId="73BF1720"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0.1</w:t>
            </w:r>
          </w:p>
        </w:tc>
        <w:tc>
          <w:tcPr>
            <w:tcW w:w="1586" w:type="dxa"/>
            <w:vAlign w:val="bottom"/>
          </w:tcPr>
          <w:p w14:paraId="04E72914"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m</w:t>
            </w:r>
          </w:p>
        </w:tc>
        <w:tc>
          <w:tcPr>
            <w:tcW w:w="2702" w:type="dxa"/>
            <w:vAlign w:val="bottom"/>
          </w:tcPr>
          <w:p w14:paraId="331FA0E2"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w:t>
            </w:r>
          </w:p>
        </w:tc>
      </w:tr>
      <w:tr w:rsidR="00B63041" w:rsidRPr="00156A6B" w14:paraId="3ACCCCA5" w14:textId="77777777" w:rsidTr="005F7FC3">
        <w:trPr>
          <w:trHeight w:val="20"/>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46FA6DB7" w14:textId="77777777" w:rsidR="00B63041" w:rsidRPr="00156A6B" w:rsidRDefault="00B63041" w:rsidP="005F7FC3">
            <w:pPr>
              <w:jc w:val="center"/>
              <w:rPr>
                <w:b w:val="0"/>
                <w:sz w:val="16"/>
                <w:lang w:val="en-US"/>
              </w:rPr>
            </w:pPr>
            <w:r w:rsidRPr="00156A6B">
              <w:rPr>
                <w:b w:val="0"/>
                <w:sz w:val="16"/>
                <w:lang w:val="en-US"/>
              </w:rPr>
              <w:t>Molten layer size</w:t>
            </w:r>
          </w:p>
        </w:tc>
        <w:tc>
          <w:tcPr>
            <w:tcW w:w="1098" w:type="dxa"/>
            <w:vAlign w:val="bottom"/>
          </w:tcPr>
          <w:p w14:paraId="104FDB0D"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1.10</w:t>
            </w:r>
            <w:r w:rsidRPr="00156A6B">
              <w:rPr>
                <w:sz w:val="16"/>
                <w:vertAlign w:val="superscript"/>
                <w:lang w:val="en-US"/>
              </w:rPr>
              <w:t>-3</w:t>
            </w:r>
          </w:p>
        </w:tc>
        <w:tc>
          <w:tcPr>
            <w:tcW w:w="1586" w:type="dxa"/>
            <w:vAlign w:val="bottom"/>
          </w:tcPr>
          <w:p w14:paraId="629345D5"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m</w:t>
            </w:r>
          </w:p>
        </w:tc>
        <w:tc>
          <w:tcPr>
            <w:tcW w:w="2702" w:type="dxa"/>
            <w:vAlign w:val="bottom"/>
          </w:tcPr>
          <w:p w14:paraId="46EADA7D"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w:t>
            </w:r>
          </w:p>
        </w:tc>
      </w:tr>
      <w:tr w:rsidR="00B63041" w:rsidRPr="00156A6B" w14:paraId="39863C85" w14:textId="77777777" w:rsidTr="005F7FC3">
        <w:trPr>
          <w:trHeight w:val="20"/>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5DD3AA9C" w14:textId="77777777" w:rsidR="00B63041" w:rsidRPr="00156A6B" w:rsidRDefault="00B63041" w:rsidP="005F7FC3">
            <w:pPr>
              <w:jc w:val="center"/>
              <w:rPr>
                <w:b w:val="0"/>
                <w:sz w:val="16"/>
                <w:lang w:val="en-US"/>
              </w:rPr>
            </w:pPr>
            <w:r w:rsidRPr="00156A6B">
              <w:rPr>
                <w:b w:val="0"/>
                <w:sz w:val="16"/>
                <w:lang w:val="en-US"/>
              </w:rPr>
              <w:t>Host rock temperature</w:t>
            </w:r>
          </w:p>
        </w:tc>
        <w:tc>
          <w:tcPr>
            <w:tcW w:w="1098" w:type="dxa"/>
            <w:vAlign w:val="bottom"/>
          </w:tcPr>
          <w:p w14:paraId="1C450641"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200</w:t>
            </w:r>
          </w:p>
        </w:tc>
        <w:tc>
          <w:tcPr>
            <w:tcW w:w="1586" w:type="dxa"/>
            <w:vAlign w:val="bottom"/>
          </w:tcPr>
          <w:p w14:paraId="1F0DAE74"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°C</w:t>
            </w:r>
          </w:p>
        </w:tc>
        <w:tc>
          <w:tcPr>
            <w:tcW w:w="2702" w:type="dxa"/>
            <w:vAlign w:val="bottom"/>
          </w:tcPr>
          <w:p w14:paraId="6AEA4C83"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w:t>
            </w:r>
          </w:p>
        </w:tc>
      </w:tr>
      <w:tr w:rsidR="00B63041" w:rsidRPr="00156A6B" w14:paraId="5A024F32" w14:textId="77777777" w:rsidTr="005F7FC3">
        <w:trPr>
          <w:trHeight w:val="20"/>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6DCC88C4" w14:textId="77777777" w:rsidR="00B63041" w:rsidRPr="00156A6B" w:rsidRDefault="00B63041" w:rsidP="005F7FC3">
            <w:pPr>
              <w:jc w:val="center"/>
              <w:rPr>
                <w:b w:val="0"/>
                <w:sz w:val="16"/>
                <w:lang w:val="en-US"/>
              </w:rPr>
            </w:pPr>
            <w:r w:rsidRPr="00156A6B">
              <w:rPr>
                <w:b w:val="0"/>
                <w:sz w:val="16"/>
                <w:lang w:val="en-US"/>
              </w:rPr>
              <w:t>Molten layer temperature</w:t>
            </w:r>
          </w:p>
        </w:tc>
        <w:tc>
          <w:tcPr>
            <w:tcW w:w="1098" w:type="dxa"/>
            <w:vAlign w:val="bottom"/>
          </w:tcPr>
          <w:p w14:paraId="5AA7A7DC"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1400</w:t>
            </w:r>
          </w:p>
        </w:tc>
        <w:tc>
          <w:tcPr>
            <w:tcW w:w="1586" w:type="dxa"/>
            <w:vAlign w:val="bottom"/>
          </w:tcPr>
          <w:p w14:paraId="6CDF890C"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°C</w:t>
            </w:r>
          </w:p>
        </w:tc>
        <w:tc>
          <w:tcPr>
            <w:tcW w:w="2702" w:type="dxa"/>
            <w:vAlign w:val="bottom"/>
          </w:tcPr>
          <w:p w14:paraId="5699814D" w14:textId="77777777" w:rsidR="00B63041" w:rsidRPr="00156A6B" w:rsidRDefault="00B63041" w:rsidP="005F7FC3">
            <w:pPr>
              <w:pStyle w:val="Paragraphedeliste"/>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w:t>
            </w:r>
          </w:p>
        </w:tc>
      </w:tr>
      <w:tr w:rsidR="00B63041" w:rsidRPr="00156A6B" w14:paraId="031CE3AF" w14:textId="77777777" w:rsidTr="005F7FC3">
        <w:trPr>
          <w:trHeight w:val="20"/>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25A52468" w14:textId="77777777" w:rsidR="00B63041" w:rsidRPr="00156A6B" w:rsidRDefault="00B63041" w:rsidP="005F7FC3">
            <w:pPr>
              <w:jc w:val="center"/>
              <w:rPr>
                <w:b w:val="0"/>
                <w:sz w:val="16"/>
                <w:lang w:val="en-US"/>
              </w:rPr>
            </w:pPr>
            <w:r w:rsidRPr="00156A6B">
              <w:rPr>
                <w:b w:val="0"/>
                <w:sz w:val="16"/>
                <w:lang w:val="en-US"/>
              </w:rPr>
              <w:t>Thermal conductivity – k</w:t>
            </w:r>
          </w:p>
        </w:tc>
        <w:tc>
          <w:tcPr>
            <w:tcW w:w="1098" w:type="dxa"/>
            <w:vAlign w:val="bottom"/>
          </w:tcPr>
          <w:p w14:paraId="4B726B31"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2.0700</w:t>
            </w:r>
          </w:p>
        </w:tc>
        <w:tc>
          <w:tcPr>
            <w:tcW w:w="1586" w:type="dxa"/>
            <w:vAlign w:val="bottom"/>
          </w:tcPr>
          <w:p w14:paraId="7F872697"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W/m/K</w:t>
            </w:r>
          </w:p>
        </w:tc>
        <w:tc>
          <w:tcPr>
            <w:tcW w:w="2702" w:type="dxa"/>
            <w:vAlign w:val="bottom"/>
          </w:tcPr>
          <w:p w14:paraId="7EE06F5B" w14:textId="64EAABD5" w:rsidR="00B63041" w:rsidRPr="00156A6B" w:rsidRDefault="00B63041" w:rsidP="008D4FED">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Cermak and Rybach, 1982</w:t>
            </w:r>
            <w:r w:rsidRPr="00156A6B">
              <w:rPr>
                <w:sz w:val="16"/>
                <w:lang w:val="en-US"/>
              </w:rPr>
              <w:fldChar w:fldCharType="begin"/>
            </w:r>
            <w:r w:rsidR="008D4FED">
              <w:rPr>
                <w:sz w:val="16"/>
                <w:lang w:val="en-US"/>
              </w:rPr>
              <w:instrText xml:space="preserve"> ADDIN ZOTERO_ITEM CSL_CITATION {"citationID":"1Q6RQt5Y","properties":{"formattedCitation":"\\super 29\\nosupersub{}","plainCitation":"29","noteIndex":0},"citationItems":[{"id":412,"uris":["http://zotero.org/users/5712877/items/LTMHPRL6"],"uri":["http://zotero.org/users/5712877/items/LTMHPRL6"],"itemData":{"id":412,"type":"book","title":"Thermal properties: Thermal conductivity and specific heat of minerals and rocks","publisher":"G. Angeneister","number-of-pages":"305-343","author":[{"family":"Cermak","given":"V."},{"family":"Rybach","given":"L."}],"issued":{"date-parts":[["1982"]]}}}],"schema":"https://github.com/citation-style-language/schema/raw/master/csl-citation.json"} </w:instrText>
            </w:r>
            <w:r w:rsidRPr="00156A6B">
              <w:rPr>
                <w:sz w:val="16"/>
                <w:lang w:val="en-US"/>
              </w:rPr>
              <w:fldChar w:fldCharType="separate"/>
            </w:r>
            <w:r w:rsidR="008D4FED" w:rsidRPr="008D4FED">
              <w:rPr>
                <w:rFonts w:cs="Times New Roman"/>
                <w:sz w:val="16"/>
                <w:szCs w:val="24"/>
                <w:vertAlign w:val="superscript"/>
              </w:rPr>
              <w:t>29</w:t>
            </w:r>
            <w:r w:rsidRPr="00156A6B">
              <w:rPr>
                <w:sz w:val="16"/>
                <w:lang w:val="en-US"/>
              </w:rPr>
              <w:fldChar w:fldCharType="end"/>
            </w:r>
          </w:p>
        </w:tc>
      </w:tr>
      <w:tr w:rsidR="00B63041" w:rsidRPr="00156A6B" w14:paraId="7CC646D9" w14:textId="77777777" w:rsidTr="005F7FC3">
        <w:trPr>
          <w:trHeight w:val="20"/>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06575A2A" w14:textId="77777777" w:rsidR="00B63041" w:rsidRPr="00156A6B" w:rsidRDefault="00B63041" w:rsidP="005F7FC3">
            <w:pPr>
              <w:jc w:val="center"/>
              <w:rPr>
                <w:b w:val="0"/>
                <w:sz w:val="16"/>
                <w:lang w:val="en-US"/>
              </w:rPr>
            </w:pPr>
            <w:r w:rsidRPr="00156A6B">
              <w:rPr>
                <w:b w:val="0"/>
                <w:sz w:val="16"/>
                <w:lang w:val="en-US"/>
              </w:rPr>
              <w:t>Heat capacity – Cp</w:t>
            </w:r>
          </w:p>
        </w:tc>
        <w:tc>
          <w:tcPr>
            <w:tcW w:w="1098" w:type="dxa"/>
            <w:vAlign w:val="bottom"/>
          </w:tcPr>
          <w:p w14:paraId="602AA977"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1180</w:t>
            </w:r>
          </w:p>
        </w:tc>
        <w:tc>
          <w:tcPr>
            <w:tcW w:w="1586" w:type="dxa"/>
            <w:vAlign w:val="bottom"/>
          </w:tcPr>
          <w:p w14:paraId="5FB43181"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J/kg/K</w:t>
            </w:r>
          </w:p>
        </w:tc>
        <w:tc>
          <w:tcPr>
            <w:tcW w:w="2702" w:type="dxa"/>
            <w:vAlign w:val="bottom"/>
          </w:tcPr>
          <w:p w14:paraId="1EDC1960" w14:textId="4CF266FE" w:rsidR="00B63041" w:rsidRPr="00156A6B" w:rsidRDefault="00B63041" w:rsidP="008D4FED">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Cermak and Rybach, 1982</w:t>
            </w:r>
            <w:r w:rsidRPr="00156A6B">
              <w:rPr>
                <w:sz w:val="16"/>
                <w:lang w:val="en-US"/>
              </w:rPr>
              <w:fldChar w:fldCharType="begin"/>
            </w:r>
            <w:r w:rsidR="008D4FED">
              <w:rPr>
                <w:sz w:val="16"/>
                <w:lang w:val="en-US"/>
              </w:rPr>
              <w:instrText xml:space="preserve"> ADDIN ZOTERO_ITEM CSL_CITATION {"citationID":"BrRX11p7","properties":{"formattedCitation":"\\super 29\\nosupersub{}","plainCitation":"29","noteIndex":0},"citationItems":[{"id":412,"uris":["http://zotero.org/users/5712877/items/LTMHPRL6"],"uri":["http://zotero.org/users/5712877/items/LTMHPRL6"],"itemData":{"id":412,"type":"book","title":"Thermal properties: Thermal conductivity and specific heat of minerals and rocks","publisher":"G. Angeneister","number-of-pages":"305-343","author":[{"family":"Cermak","given":"V."},{"family":"Rybach","given":"L."}],"issued":{"date-parts":[["1982"]]}}}],"schema":"https://github.com/citation-style-language/schema/raw/master/csl-citation.json"} </w:instrText>
            </w:r>
            <w:r w:rsidRPr="00156A6B">
              <w:rPr>
                <w:sz w:val="16"/>
                <w:lang w:val="en-US"/>
              </w:rPr>
              <w:fldChar w:fldCharType="separate"/>
            </w:r>
            <w:r w:rsidR="008D4FED" w:rsidRPr="008D4FED">
              <w:rPr>
                <w:rFonts w:cs="Times New Roman"/>
                <w:sz w:val="16"/>
                <w:szCs w:val="24"/>
                <w:vertAlign w:val="superscript"/>
              </w:rPr>
              <w:t>29</w:t>
            </w:r>
            <w:r w:rsidRPr="00156A6B">
              <w:rPr>
                <w:sz w:val="16"/>
                <w:lang w:val="en-US"/>
              </w:rPr>
              <w:fldChar w:fldCharType="end"/>
            </w:r>
          </w:p>
        </w:tc>
      </w:tr>
      <w:tr w:rsidR="00B63041" w:rsidRPr="00156A6B" w14:paraId="07BA6A32" w14:textId="77777777" w:rsidTr="005F7FC3">
        <w:trPr>
          <w:trHeight w:val="56"/>
          <w:jc w:val="center"/>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5D98DDE7" w14:textId="77777777" w:rsidR="00B63041" w:rsidRPr="00156A6B" w:rsidRDefault="00B63041" w:rsidP="005F7FC3">
            <w:pPr>
              <w:jc w:val="center"/>
              <w:rPr>
                <w:b w:val="0"/>
                <w:sz w:val="16"/>
                <w:lang w:val="en-US"/>
              </w:rPr>
            </w:pPr>
            <w:r w:rsidRPr="00156A6B">
              <w:rPr>
                <w:b w:val="0"/>
                <w:sz w:val="16"/>
                <w:lang w:val="en-US"/>
              </w:rPr>
              <w:t xml:space="preserve">Density – </w:t>
            </w:r>
            <w:r w:rsidRPr="00156A6B">
              <w:rPr>
                <w:rFonts w:cstheme="minorHAnsi"/>
                <w:b w:val="0"/>
                <w:sz w:val="16"/>
                <w:lang w:val="en-US"/>
              </w:rPr>
              <w:t>ρ</w:t>
            </w:r>
          </w:p>
        </w:tc>
        <w:tc>
          <w:tcPr>
            <w:tcW w:w="1098" w:type="dxa"/>
            <w:vAlign w:val="bottom"/>
          </w:tcPr>
          <w:p w14:paraId="4C85D67C"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2660</w:t>
            </w:r>
          </w:p>
        </w:tc>
        <w:tc>
          <w:tcPr>
            <w:tcW w:w="1586" w:type="dxa"/>
            <w:vAlign w:val="bottom"/>
          </w:tcPr>
          <w:p w14:paraId="45823EA5" w14:textId="77777777" w:rsidR="00B63041" w:rsidRPr="00156A6B" w:rsidRDefault="00B63041" w:rsidP="005F7FC3">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Kg/m</w:t>
            </w:r>
            <w:r w:rsidRPr="00156A6B">
              <w:rPr>
                <w:sz w:val="16"/>
                <w:vertAlign w:val="superscript"/>
                <w:lang w:val="en-US"/>
              </w:rPr>
              <w:t>3</w:t>
            </w:r>
          </w:p>
        </w:tc>
        <w:tc>
          <w:tcPr>
            <w:tcW w:w="2702" w:type="dxa"/>
            <w:vAlign w:val="bottom"/>
          </w:tcPr>
          <w:p w14:paraId="30AA137D" w14:textId="523EFC1E" w:rsidR="00B63041" w:rsidRPr="00156A6B" w:rsidRDefault="00B63041" w:rsidP="008D4FED">
            <w:pPr>
              <w:jc w:val="center"/>
              <w:cnfStyle w:val="000000000000" w:firstRow="0" w:lastRow="0" w:firstColumn="0" w:lastColumn="0" w:oddVBand="0" w:evenVBand="0" w:oddHBand="0" w:evenHBand="0" w:firstRowFirstColumn="0" w:firstRowLastColumn="0" w:lastRowFirstColumn="0" w:lastRowLastColumn="0"/>
              <w:rPr>
                <w:sz w:val="16"/>
                <w:lang w:val="en-US"/>
              </w:rPr>
            </w:pPr>
            <w:r w:rsidRPr="00156A6B">
              <w:rPr>
                <w:sz w:val="16"/>
                <w:lang w:val="en-US"/>
              </w:rPr>
              <w:t>Schön, 1996</w:t>
            </w:r>
            <w:r w:rsidRPr="00156A6B">
              <w:rPr>
                <w:sz w:val="16"/>
                <w:lang w:val="en-US"/>
              </w:rPr>
              <w:fldChar w:fldCharType="begin"/>
            </w:r>
            <w:r w:rsidR="008D4FED">
              <w:rPr>
                <w:sz w:val="16"/>
                <w:lang w:val="en-US"/>
              </w:rPr>
              <w:instrText xml:space="preserve"> ADDIN ZOTERO_ITEM CSL_CITATION {"citationID":"TjMi2XA2","properties":{"formattedCitation":"\\super 27\\nosupersub{}","plainCitation":"27","noteIndex":0},"citationItems":[{"id":299,"uris":["http://zotero.org/users/5712877/items/3S5GLH4M"],"uri":["http://zotero.org/users/5712877/items/3S5GLH4M"],"itemData":{"id":299,"type":"book","title":"Physical Properties of Rocks Fundamentals and Principles of Petrophysics","collection-title":"Developments in Petroleum Science","publisher":"Elsevier B.V.","volume":"65","number-of-pages":"497","edition":"Second edition","ISBN":"978-0-08-100404-3","language":"en","author":[{"family":"Schön","given":"Jürgen"}],"issued":{"date-parts":[["1996"]]}}}],"schema":"https://github.com/citation-style-language/schema/raw/master/csl-citation.json"} </w:instrText>
            </w:r>
            <w:r w:rsidRPr="00156A6B">
              <w:rPr>
                <w:sz w:val="16"/>
                <w:lang w:val="en-US"/>
              </w:rPr>
              <w:fldChar w:fldCharType="separate"/>
            </w:r>
            <w:r w:rsidR="008D4FED" w:rsidRPr="008D4FED">
              <w:rPr>
                <w:rFonts w:cs="Times New Roman"/>
                <w:sz w:val="16"/>
                <w:szCs w:val="24"/>
                <w:vertAlign w:val="superscript"/>
              </w:rPr>
              <w:t>27</w:t>
            </w:r>
            <w:r w:rsidRPr="00156A6B">
              <w:rPr>
                <w:sz w:val="16"/>
                <w:lang w:val="en-US"/>
              </w:rPr>
              <w:fldChar w:fldCharType="end"/>
            </w:r>
          </w:p>
        </w:tc>
      </w:tr>
    </w:tbl>
    <w:p w14:paraId="3871AB7A" w14:textId="3A7EA44B" w:rsidR="00B63041" w:rsidRPr="006300A5" w:rsidRDefault="00B63041" w:rsidP="00B63041">
      <w:pPr>
        <w:rPr>
          <w:rFonts w:eastAsiaTheme="minorEastAsia"/>
          <w:vertAlign w:val="subscript"/>
          <w:lang w:val="en-US"/>
        </w:rPr>
      </w:pPr>
      <w:r>
        <w:rPr>
          <w:rFonts w:eastAsiaTheme="minorEastAsia"/>
          <w:lang w:val="en-US"/>
        </w:rPr>
        <w:lastRenderedPageBreak/>
        <w:t xml:space="preserve">To finish, in this modelling, we consider that heat production is mainly generated by frictional and viscous shear-heating. However, others phenomena like the latent heat that occurs during the crystallization of the molten layer </w:t>
      </w:r>
      <w:r w:rsidRPr="00996016">
        <w:rPr>
          <w:rFonts w:eastAsiaTheme="minorEastAsia"/>
          <w:lang w:val="en-US"/>
        </w:rPr>
        <w:t>could control the temperature</w:t>
      </w:r>
      <w:r>
        <w:rPr>
          <w:rFonts w:eastAsiaTheme="minorEastAsia"/>
          <w:lang w:val="en-US"/>
        </w:rPr>
        <w:t xml:space="preserve"> evolution by releasing heat</w:t>
      </w:r>
      <w:r w:rsidRPr="00996016">
        <w:rPr>
          <w:rFonts w:eastAsiaTheme="minorEastAsia"/>
          <w:lang w:val="en-US"/>
        </w:rPr>
        <w:t>. Based on the work of Bohrson and Spera</w:t>
      </w:r>
      <w:r w:rsidRPr="00996016">
        <w:rPr>
          <w:rFonts w:eastAsiaTheme="minorEastAsia"/>
          <w:lang w:val="en-US"/>
        </w:rPr>
        <w:fldChar w:fldCharType="begin"/>
      </w:r>
      <w:r w:rsidR="008D4FED">
        <w:rPr>
          <w:rFonts w:eastAsiaTheme="minorEastAsia"/>
          <w:lang w:val="en-US"/>
        </w:rPr>
        <w:instrText xml:space="preserve"> ADDIN ZOTERO_ITEM CSL_CITATION {"citationID":"FCQv54mS","properties":{"formattedCitation":"\\super 30\\nosupersub{}","plainCitation":"30","noteIndex":0},"citationItems":[{"id":452,"uris":["http://zotero.org/users/5712877/items/BPWZY66V"],"uri":["http://zotero.org/users/5712877/items/BPWZY66V"],"itemData":{"id":452,"type":"article-journal","title":"Energy-constrained open-system magmatic processes IV: Geochemical, thermal and mass consequences of energy-constrained recharge, assimilation and fractional crystallization (EC-RAFC): OPEN-SYSTEM MAGMATIC PROCESSES","container-title":"Geochemistry, Geophysics, Geosystems","volume":"4","issue":"2","source":"Crossref","URL":"http://doi.wiley.com/10.1029/2002GC000316","DOI":"10.1029/2002GC000316","ISSN":"15252027","title-short":"Energy-constrained open-system magmatic processes IV","language":"en","author":[{"family":"Bohrson","given":"Wendy A."},{"family":"Spera","given":"Frank J."}],"issued":{"date-parts":[["2003",2]]},"accessed":{"date-parts":[["2020",11,12]]}}}],"schema":"https://github.com/citation-style-language/schema/raw/master/csl-citation.json"} </w:instrText>
      </w:r>
      <w:r w:rsidRPr="00996016">
        <w:rPr>
          <w:rFonts w:eastAsiaTheme="minorEastAsia"/>
          <w:lang w:val="en-US"/>
        </w:rPr>
        <w:fldChar w:fldCharType="separate"/>
      </w:r>
      <w:r w:rsidR="008D4FED" w:rsidRPr="008D4FED">
        <w:rPr>
          <w:rFonts w:cs="Times New Roman"/>
          <w:szCs w:val="24"/>
          <w:vertAlign w:val="superscript"/>
          <w:lang w:val="en-US"/>
        </w:rPr>
        <w:t>30</w:t>
      </w:r>
      <w:r w:rsidRPr="00996016">
        <w:rPr>
          <w:rFonts w:eastAsiaTheme="minorEastAsia"/>
          <w:lang w:val="en-US"/>
        </w:rPr>
        <w:fldChar w:fldCharType="end"/>
      </w:r>
      <w:r w:rsidRPr="00996016">
        <w:rPr>
          <w:rFonts w:eastAsiaTheme="minorEastAsia"/>
          <w:lang w:val="en-US"/>
        </w:rPr>
        <w:t>, we can estimate that the enthalpy production (H) from 3.5 to 3.9e10</w:t>
      </w:r>
      <w:r w:rsidRPr="00996016">
        <w:rPr>
          <w:rFonts w:eastAsiaTheme="minorEastAsia"/>
          <w:vertAlign w:val="superscript"/>
          <w:lang w:val="en-US"/>
        </w:rPr>
        <w:t>5</w:t>
      </w:r>
      <w:r w:rsidRPr="00996016">
        <w:rPr>
          <w:rFonts w:eastAsiaTheme="minorEastAsia"/>
          <w:lang w:val="en-US"/>
        </w:rPr>
        <w:t xml:space="preserve"> J/kg</w:t>
      </w:r>
      <w:r w:rsidRPr="00996016">
        <w:rPr>
          <w:rFonts w:eastAsiaTheme="minorEastAsia"/>
          <w:lang w:val="en-US"/>
        </w:rPr>
        <w:fldChar w:fldCharType="begin"/>
      </w:r>
      <w:r w:rsidR="008D4FED">
        <w:rPr>
          <w:rFonts w:eastAsiaTheme="minorEastAsia"/>
          <w:lang w:val="en-US"/>
        </w:rPr>
        <w:instrText xml:space="preserve"> ADDIN ZOTERO_ITEM CSL_CITATION {"citationID":"9nabPrmo","properties":{"formattedCitation":"\\super 30\\nosupersub{}","plainCitation":"30","noteIndex":0},"citationItems":[{"id":452,"uris":["http://zotero.org/users/5712877/items/BPWZY66V"],"uri":["http://zotero.org/users/5712877/items/BPWZY66V"],"itemData":{"id":452,"type":"article-journal","title":"Energy-constrained open-system magmatic processes IV: Geochemical, thermal and mass consequences of energy-constrained recharge, assimilation and fractional crystallization (EC-RAFC): OPEN-SYSTEM MAGMATIC PROCESSES","container-title":"Geochemistry, Geophysics, Geosystems","volume":"4","issue":"2","source":"Crossref","URL":"http://doi.wiley.com/10.1029/2002GC000316","DOI":"10.1029/2002GC000316","ISSN":"15252027","title-short":"Energy-constrained open-system magmatic processes IV","language":"en","author":[{"family":"Bohrson","given":"Wendy A."},{"family":"Spera","given":"Frank J."}],"issued":{"date-parts":[["2003",2]]},"accessed":{"date-parts":[["2020",11,12]]}}}],"schema":"https://github.com/citation-style-language/schema/raw/master/csl-citation.json"} </w:instrText>
      </w:r>
      <w:r w:rsidRPr="00996016">
        <w:rPr>
          <w:rFonts w:eastAsiaTheme="minorEastAsia"/>
          <w:lang w:val="en-US"/>
        </w:rPr>
        <w:fldChar w:fldCharType="separate"/>
      </w:r>
      <w:r w:rsidR="008D4FED" w:rsidRPr="008D4FED">
        <w:rPr>
          <w:rFonts w:cs="Times New Roman"/>
          <w:szCs w:val="24"/>
          <w:vertAlign w:val="superscript"/>
          <w:lang w:val="en-US"/>
        </w:rPr>
        <w:t>30</w:t>
      </w:r>
      <w:r w:rsidRPr="00996016">
        <w:rPr>
          <w:rFonts w:eastAsiaTheme="minorEastAsia"/>
          <w:lang w:val="en-US"/>
        </w:rPr>
        <w:fldChar w:fldCharType="end"/>
      </w:r>
      <w:r w:rsidRPr="00996016">
        <w:rPr>
          <w:rFonts w:eastAsiaTheme="minorEastAsia"/>
          <w:lang w:val="en-US"/>
        </w:rPr>
        <w:t xml:space="preserve">. For a 1mm thick layer on 1 square meter, the maximum heat diffusion </w:t>
      </w:r>
      <w:r>
        <w:rPr>
          <w:rFonts w:eastAsiaTheme="minorEastAsia"/>
          <w:lang w:val="en-US"/>
        </w:rPr>
        <w:t>corresponds</w:t>
      </w:r>
      <w:r w:rsidRPr="00996016">
        <w:rPr>
          <w:rFonts w:eastAsiaTheme="minorEastAsia"/>
          <w:lang w:val="en-US"/>
        </w:rPr>
        <w:t xml:space="preserve"> 3.76e10</w:t>
      </w:r>
      <w:r w:rsidRPr="00996016">
        <w:rPr>
          <w:rFonts w:eastAsiaTheme="minorEastAsia"/>
          <w:vertAlign w:val="superscript"/>
          <w:lang w:val="en-US"/>
        </w:rPr>
        <w:t>6</w:t>
      </w:r>
      <w:r w:rsidRPr="00996016">
        <w:rPr>
          <w:rFonts w:eastAsiaTheme="minorEastAsia"/>
          <w:lang w:val="en-US"/>
        </w:rPr>
        <w:t xml:space="preserve"> Joules. Based on these data, w</w:t>
      </w:r>
      <w:r>
        <w:rPr>
          <w:rFonts w:eastAsiaTheme="minorEastAsia"/>
          <w:lang w:val="en-US"/>
        </w:rPr>
        <w:t>e obtain an estimated</w:t>
      </w:r>
      <w:r w:rsidRPr="00996016">
        <w:rPr>
          <w:rFonts w:eastAsiaTheme="minorEastAsia"/>
          <w:lang w:val="en-US"/>
        </w:rPr>
        <w:t xml:space="preserve"> enthalpy production of 9.31e10</w:t>
      </w:r>
      <w:r w:rsidRPr="00996016">
        <w:rPr>
          <w:rFonts w:eastAsiaTheme="minorEastAsia"/>
          <w:vertAlign w:val="superscript"/>
          <w:lang w:val="en-US"/>
        </w:rPr>
        <w:t>5</w:t>
      </w:r>
      <w:r w:rsidRPr="00996016">
        <w:rPr>
          <w:rFonts w:eastAsiaTheme="minorEastAsia"/>
          <w:lang w:val="en-US"/>
        </w:rPr>
        <w:t xml:space="preserve"> to 1.04e10</w:t>
      </w:r>
      <w:r w:rsidRPr="00996016">
        <w:rPr>
          <w:rFonts w:eastAsiaTheme="minorEastAsia"/>
          <w:vertAlign w:val="superscript"/>
          <w:lang w:val="en-US"/>
        </w:rPr>
        <w:t xml:space="preserve">6 </w:t>
      </w:r>
      <w:r w:rsidRPr="00996016">
        <w:rPr>
          <w:rFonts w:eastAsiaTheme="minorEastAsia"/>
          <w:lang w:val="en-US"/>
        </w:rPr>
        <w:t>Joules</w:t>
      </w:r>
      <w:r w:rsidRPr="00996016">
        <w:rPr>
          <w:rFonts w:eastAsiaTheme="minorEastAsia"/>
          <w:vertAlign w:val="subscript"/>
          <w:lang w:val="en-US"/>
        </w:rPr>
        <w:t>.</w:t>
      </w:r>
      <w:r>
        <w:rPr>
          <w:rFonts w:eastAsiaTheme="minorEastAsia"/>
          <w:vertAlign w:val="subscript"/>
          <w:lang w:val="en-US"/>
        </w:rPr>
        <w:t xml:space="preserve"> </w:t>
      </w:r>
      <w:r w:rsidRPr="00996016">
        <w:rPr>
          <w:rFonts w:eastAsiaTheme="minorEastAsia"/>
          <w:vertAlign w:val="subscript"/>
          <w:lang w:val="en-US"/>
        </w:rPr>
        <w:t xml:space="preserve"> </w:t>
      </w:r>
      <w:r w:rsidRPr="00996016">
        <w:rPr>
          <w:rFonts w:eastAsiaTheme="minorEastAsia"/>
          <w:lang w:val="en-US"/>
        </w:rPr>
        <w:t>Hence, the enthalpy production is forth times lower than the heat possible diffusion</w:t>
      </w:r>
      <w:r>
        <w:rPr>
          <w:rFonts w:eastAsiaTheme="minorEastAsia"/>
          <w:lang w:val="en-US"/>
        </w:rPr>
        <w:t xml:space="preserve"> (See the section 2.2.3 in Supplementary Note 2). Based on these results, we neglect the effect of latent heat release</w:t>
      </w:r>
      <w:r w:rsidRPr="00996016">
        <w:rPr>
          <w:rFonts w:eastAsiaTheme="minorEastAsia"/>
          <w:lang w:val="en-US"/>
        </w:rPr>
        <w:t xml:space="preserve"> in </w:t>
      </w:r>
      <w:r>
        <w:rPr>
          <w:rFonts w:eastAsiaTheme="minorEastAsia"/>
          <w:lang w:val="en-US"/>
        </w:rPr>
        <w:t>the thermal</w:t>
      </w:r>
      <w:r w:rsidRPr="00996016">
        <w:rPr>
          <w:rFonts w:eastAsiaTheme="minorEastAsia"/>
          <w:lang w:val="en-US"/>
        </w:rPr>
        <w:t xml:space="preserve"> modelling. </w:t>
      </w:r>
    </w:p>
    <w:p w14:paraId="7BCC27FB" w14:textId="77777777" w:rsidR="00B63041" w:rsidRPr="008D1BBE" w:rsidRDefault="00B63041" w:rsidP="00B63041">
      <w:pPr>
        <w:ind w:firstLine="708"/>
        <w:rPr>
          <w:lang w:val="en-US"/>
        </w:rPr>
      </w:pPr>
      <w:r>
        <w:rPr>
          <w:lang w:val="en-US"/>
        </w:rPr>
        <w:t xml:space="preserve">3.2 </w:t>
      </w:r>
      <w:r w:rsidRPr="008D1BBE">
        <w:rPr>
          <w:lang w:val="en-US"/>
        </w:rPr>
        <w:t>Carbonization of carbonaceous material</w:t>
      </w:r>
      <w:r>
        <w:rPr>
          <w:lang w:val="en-US"/>
        </w:rPr>
        <w:t xml:space="preserve"> modelling </w:t>
      </w:r>
    </w:p>
    <w:p w14:paraId="723856A3" w14:textId="4F205961" w:rsidR="008D442A" w:rsidRPr="00B63041" w:rsidRDefault="00B63041" w:rsidP="00B63041">
      <w:pPr>
        <w:rPr>
          <w:lang w:val="en-US"/>
        </w:rPr>
      </w:pPr>
      <w:r w:rsidRPr="002F53E5">
        <w:rPr>
          <w:lang w:val="en-US"/>
        </w:rPr>
        <w:t xml:space="preserve">In addition, the carbonization kinetics modelling established previously was integrated to the thermal modelling, in order to model the evolution with time of Raman spectroscopy parameter along the 1D profile.  </w:t>
      </w:r>
      <w:r w:rsidR="008D442A" w:rsidRPr="00B63041">
        <w:rPr>
          <w:b/>
          <w:lang w:val="en-US"/>
        </w:rPr>
        <w:br w:type="page"/>
      </w:r>
    </w:p>
    <w:p w14:paraId="76609A55" w14:textId="69C33602" w:rsidR="00654162" w:rsidRDefault="00654162" w:rsidP="00654162">
      <w:pPr>
        <w:rPr>
          <w:noProof/>
          <w:sz w:val="28"/>
          <w:lang w:val="en-US" w:eastAsia="fr-FR"/>
        </w:rPr>
      </w:pPr>
      <w:r w:rsidRPr="00A31CC2">
        <w:rPr>
          <w:noProof/>
          <w:sz w:val="28"/>
          <w:lang w:val="en-US" w:eastAsia="fr-FR"/>
        </w:rPr>
        <w:lastRenderedPageBreak/>
        <w:t>Supplementary</w:t>
      </w:r>
      <w:r>
        <w:rPr>
          <w:noProof/>
          <w:sz w:val="28"/>
          <w:lang w:val="en-US" w:eastAsia="fr-FR"/>
        </w:rPr>
        <w:t xml:space="preserve"> References </w:t>
      </w:r>
    </w:p>
    <w:p w14:paraId="781AD51A" w14:textId="4C1B7E31" w:rsidR="008D4FED" w:rsidRPr="008D4FED" w:rsidRDefault="0095174F" w:rsidP="008D4FED">
      <w:pPr>
        <w:pStyle w:val="Bibliographie"/>
        <w:rPr>
          <w:rFonts w:cs="Times New Roman"/>
          <w:lang w:val="en-US"/>
        </w:rPr>
      </w:pPr>
      <w:r>
        <w:rPr>
          <w:noProof/>
          <w:sz w:val="28"/>
          <w:lang w:val="en-US" w:eastAsia="fr-FR"/>
        </w:rPr>
        <w:fldChar w:fldCharType="begin"/>
      </w:r>
      <w:r w:rsidR="008D4FED">
        <w:rPr>
          <w:noProof/>
          <w:sz w:val="28"/>
          <w:lang w:val="en-US" w:eastAsia="fr-FR"/>
        </w:rPr>
        <w:instrText xml:space="preserve"> ADDIN ZOTERO_BIBL {"uncited":[],"omitted":[],"custom":[]} CSL_BIBLIOGRAPHY </w:instrText>
      </w:r>
      <w:r>
        <w:rPr>
          <w:noProof/>
          <w:sz w:val="28"/>
          <w:lang w:val="en-US" w:eastAsia="fr-FR"/>
        </w:rPr>
        <w:fldChar w:fldCharType="separate"/>
      </w:r>
      <w:r w:rsidR="008D4FED" w:rsidRPr="008D4FED">
        <w:rPr>
          <w:rFonts w:cs="Times New Roman"/>
          <w:lang w:val="en-US"/>
        </w:rPr>
        <w:t>1.</w:t>
      </w:r>
      <w:r w:rsidR="008D4FED" w:rsidRPr="008D4FED">
        <w:rPr>
          <w:rFonts w:cs="Times New Roman"/>
          <w:lang w:val="en-US"/>
        </w:rPr>
        <w:tab/>
        <w:t xml:space="preserve">Scholz, C. </w:t>
      </w:r>
      <w:r w:rsidR="008D4FED" w:rsidRPr="008D4FED">
        <w:rPr>
          <w:rFonts w:cs="Times New Roman"/>
          <w:i/>
          <w:iCs/>
          <w:lang w:val="en-US"/>
        </w:rPr>
        <w:t>The Mechanics of Earthquakes and Faulting</w:t>
      </w:r>
      <w:r w:rsidR="008D4FED" w:rsidRPr="008D4FED">
        <w:rPr>
          <w:rFonts w:cs="Times New Roman"/>
          <w:lang w:val="en-US"/>
        </w:rPr>
        <w:t>. (Cambridge University Press, 1990).</w:t>
      </w:r>
    </w:p>
    <w:p w14:paraId="386E302C" w14:textId="77777777" w:rsidR="008D4FED" w:rsidRPr="008D4FED" w:rsidRDefault="008D4FED" w:rsidP="008D4FED">
      <w:pPr>
        <w:pStyle w:val="Bibliographie"/>
        <w:rPr>
          <w:rFonts w:cs="Times New Roman"/>
          <w:lang w:val="en-US"/>
        </w:rPr>
      </w:pPr>
      <w:r w:rsidRPr="008D4FED">
        <w:rPr>
          <w:rFonts w:cs="Times New Roman"/>
          <w:lang w:val="en-US"/>
        </w:rPr>
        <w:t>2.</w:t>
      </w:r>
      <w:r w:rsidRPr="008D4FED">
        <w:rPr>
          <w:rFonts w:cs="Times New Roman"/>
          <w:lang w:val="en-US"/>
        </w:rPr>
        <w:tab/>
        <w:t xml:space="preserve">Di Toro, G. &amp; Pennacchioni, G. Pseudotachylytes and Earthquake Source Mechanics. in </w:t>
      </w:r>
      <w:r w:rsidRPr="008D4FED">
        <w:rPr>
          <w:rFonts w:cs="Times New Roman"/>
          <w:i/>
          <w:iCs/>
          <w:lang w:val="en-US"/>
        </w:rPr>
        <w:t>Fault-Zone Properties and Earthquake Rupture Dynamics</w:t>
      </w:r>
      <w:r w:rsidRPr="008D4FED">
        <w:rPr>
          <w:rFonts w:cs="Times New Roman"/>
          <w:lang w:val="en-US"/>
        </w:rPr>
        <w:t xml:space="preserve"> 88–133 (Fukuyama, E., 2009).</w:t>
      </w:r>
    </w:p>
    <w:p w14:paraId="763AC6D9" w14:textId="77777777" w:rsidR="008D4FED" w:rsidRPr="008D4FED" w:rsidRDefault="008D4FED" w:rsidP="008D4FED">
      <w:pPr>
        <w:pStyle w:val="Bibliographie"/>
        <w:rPr>
          <w:rFonts w:cs="Times New Roman"/>
        </w:rPr>
      </w:pPr>
      <w:r w:rsidRPr="008D4FED">
        <w:rPr>
          <w:rFonts w:cs="Times New Roman"/>
          <w:lang w:val="en-US"/>
        </w:rPr>
        <w:t>3.</w:t>
      </w:r>
      <w:r w:rsidRPr="008D4FED">
        <w:rPr>
          <w:rFonts w:cs="Times New Roman"/>
          <w:lang w:val="en-US"/>
        </w:rPr>
        <w:tab/>
        <w:t xml:space="preserve">Di Toro, G., Goldsby, D. L. &amp; Tullis, T. E. Friction falls towards zero in quartz rock as slip velocity approaches seismic rates. </w:t>
      </w:r>
      <w:r w:rsidRPr="008D4FED">
        <w:rPr>
          <w:rFonts w:cs="Times New Roman"/>
          <w:i/>
          <w:iCs/>
        </w:rPr>
        <w:t>Nature</w:t>
      </w:r>
      <w:r w:rsidRPr="008D4FED">
        <w:rPr>
          <w:rFonts w:cs="Times New Roman"/>
        </w:rPr>
        <w:t xml:space="preserve"> </w:t>
      </w:r>
      <w:r w:rsidRPr="008D4FED">
        <w:rPr>
          <w:rFonts w:cs="Times New Roman"/>
          <w:b/>
          <w:bCs/>
        </w:rPr>
        <w:t>427</w:t>
      </w:r>
      <w:r w:rsidRPr="008D4FED">
        <w:rPr>
          <w:rFonts w:cs="Times New Roman"/>
        </w:rPr>
        <w:t>, 436–439 (2004).</w:t>
      </w:r>
    </w:p>
    <w:p w14:paraId="47EB5BE2" w14:textId="77777777" w:rsidR="008D4FED" w:rsidRPr="008D4FED" w:rsidRDefault="008D4FED" w:rsidP="008D4FED">
      <w:pPr>
        <w:pStyle w:val="Bibliographie"/>
        <w:rPr>
          <w:rFonts w:cs="Times New Roman"/>
        </w:rPr>
      </w:pPr>
      <w:r w:rsidRPr="008D4FED">
        <w:rPr>
          <w:rFonts w:cs="Times New Roman"/>
        </w:rPr>
        <w:t>4.</w:t>
      </w:r>
      <w:r w:rsidRPr="008D4FED">
        <w:rPr>
          <w:rFonts w:cs="Times New Roman"/>
        </w:rPr>
        <w:tab/>
        <w:t xml:space="preserve">Di Toro, G. </w:t>
      </w:r>
      <w:r w:rsidRPr="008D4FED">
        <w:rPr>
          <w:rFonts w:cs="Times New Roman"/>
          <w:i/>
          <w:iCs/>
        </w:rPr>
        <w:t>et al.</w:t>
      </w:r>
      <w:r w:rsidRPr="008D4FED">
        <w:rPr>
          <w:rFonts w:cs="Times New Roman"/>
        </w:rPr>
        <w:t xml:space="preserve"> Fault lubrication during earthquakes. </w:t>
      </w:r>
      <w:r w:rsidRPr="008D4FED">
        <w:rPr>
          <w:rFonts w:cs="Times New Roman"/>
          <w:i/>
          <w:iCs/>
        </w:rPr>
        <w:t>Nature</w:t>
      </w:r>
      <w:r w:rsidRPr="008D4FED">
        <w:rPr>
          <w:rFonts w:cs="Times New Roman"/>
        </w:rPr>
        <w:t xml:space="preserve"> </w:t>
      </w:r>
      <w:r w:rsidRPr="008D4FED">
        <w:rPr>
          <w:rFonts w:cs="Times New Roman"/>
          <w:b/>
          <w:bCs/>
        </w:rPr>
        <w:t>471</w:t>
      </w:r>
      <w:r w:rsidRPr="008D4FED">
        <w:rPr>
          <w:rFonts w:cs="Times New Roman"/>
        </w:rPr>
        <w:t>, 494–498 (2011).</w:t>
      </w:r>
    </w:p>
    <w:p w14:paraId="2B30BA0E" w14:textId="77777777" w:rsidR="008D4FED" w:rsidRPr="008D4FED" w:rsidRDefault="008D4FED" w:rsidP="008D4FED">
      <w:pPr>
        <w:pStyle w:val="Bibliographie"/>
        <w:rPr>
          <w:rFonts w:cs="Times New Roman"/>
          <w:lang w:val="en-US"/>
        </w:rPr>
      </w:pPr>
      <w:r w:rsidRPr="008D4FED">
        <w:rPr>
          <w:rFonts w:cs="Times New Roman"/>
        </w:rPr>
        <w:t>5.</w:t>
      </w:r>
      <w:r w:rsidRPr="008D4FED">
        <w:rPr>
          <w:rFonts w:cs="Times New Roman"/>
        </w:rPr>
        <w:tab/>
        <w:t xml:space="preserve">Lin, W. </w:t>
      </w:r>
      <w:r w:rsidRPr="008D4FED">
        <w:rPr>
          <w:rFonts w:cs="Times New Roman"/>
          <w:i/>
          <w:iCs/>
        </w:rPr>
        <w:t>et al.</w:t>
      </w:r>
      <w:r w:rsidRPr="008D4FED">
        <w:rPr>
          <w:rFonts w:cs="Times New Roman"/>
        </w:rPr>
        <w:t xml:space="preserve"> </w:t>
      </w:r>
      <w:r w:rsidRPr="008D4FED">
        <w:rPr>
          <w:rFonts w:cs="Times New Roman"/>
          <w:lang w:val="en-US"/>
        </w:rPr>
        <w:t xml:space="preserve">Stress State in the Largest Displacement Area of the 2011 Tohoku-Oki Earthquake. </w:t>
      </w:r>
      <w:r w:rsidRPr="008D4FED">
        <w:rPr>
          <w:rFonts w:cs="Times New Roman"/>
          <w:i/>
          <w:iCs/>
          <w:lang w:val="en-US"/>
        </w:rPr>
        <w:t>Science</w:t>
      </w:r>
      <w:r w:rsidRPr="008D4FED">
        <w:rPr>
          <w:rFonts w:cs="Times New Roman"/>
          <w:lang w:val="en-US"/>
        </w:rPr>
        <w:t xml:space="preserve"> </w:t>
      </w:r>
      <w:r w:rsidRPr="008D4FED">
        <w:rPr>
          <w:rFonts w:cs="Times New Roman"/>
          <w:b/>
          <w:bCs/>
          <w:lang w:val="en-US"/>
        </w:rPr>
        <w:t>339</w:t>
      </w:r>
      <w:r w:rsidRPr="008D4FED">
        <w:rPr>
          <w:rFonts w:cs="Times New Roman"/>
          <w:lang w:val="en-US"/>
        </w:rPr>
        <w:t>, 687–690 (2013).</w:t>
      </w:r>
    </w:p>
    <w:p w14:paraId="075E7378" w14:textId="77777777" w:rsidR="008D4FED" w:rsidRPr="006D7D52" w:rsidRDefault="008D4FED" w:rsidP="008D4FED">
      <w:pPr>
        <w:pStyle w:val="Bibliographie"/>
        <w:rPr>
          <w:rFonts w:cs="Times New Roman"/>
          <w:lang w:val="en-US"/>
        </w:rPr>
      </w:pPr>
      <w:r w:rsidRPr="008D4FED">
        <w:rPr>
          <w:rFonts w:cs="Times New Roman"/>
          <w:lang w:val="en-US"/>
        </w:rPr>
        <w:t>6.</w:t>
      </w:r>
      <w:r w:rsidRPr="008D4FED">
        <w:rPr>
          <w:rFonts w:cs="Times New Roman"/>
          <w:lang w:val="en-US"/>
        </w:rPr>
        <w:tab/>
        <w:t xml:space="preserve">Yoshida, K. </w:t>
      </w:r>
      <w:r w:rsidRPr="008D4FED">
        <w:rPr>
          <w:rFonts w:cs="Times New Roman"/>
          <w:i/>
          <w:iCs/>
          <w:lang w:val="en-US"/>
        </w:rPr>
        <w:t>et al.</w:t>
      </w:r>
      <w:r w:rsidRPr="008D4FED">
        <w:rPr>
          <w:rFonts w:cs="Times New Roman"/>
          <w:lang w:val="en-US"/>
        </w:rPr>
        <w:t xml:space="preserve"> Stress before and after the 2011 great Tohoku-oki earthquake and induced earthquakes in inland areas of eastern Japan: STRESS CHANGE BY 2011 TOHOKU EARTHQUAKE. </w:t>
      </w:r>
      <w:r w:rsidRPr="006D7D52">
        <w:rPr>
          <w:rFonts w:cs="Times New Roman"/>
          <w:i/>
          <w:iCs/>
          <w:lang w:val="en-US"/>
        </w:rPr>
        <w:t>Geophys. Res. Lett.</w:t>
      </w:r>
      <w:r w:rsidRPr="006D7D52">
        <w:rPr>
          <w:rFonts w:cs="Times New Roman"/>
          <w:lang w:val="en-US"/>
        </w:rPr>
        <w:t xml:space="preserve"> </w:t>
      </w:r>
      <w:r w:rsidRPr="006D7D52">
        <w:rPr>
          <w:rFonts w:cs="Times New Roman"/>
          <w:b/>
          <w:bCs/>
          <w:lang w:val="en-US"/>
        </w:rPr>
        <w:t>39</w:t>
      </w:r>
      <w:r w:rsidRPr="006D7D52">
        <w:rPr>
          <w:rFonts w:cs="Times New Roman"/>
          <w:lang w:val="en-US"/>
        </w:rPr>
        <w:t>, (2012).</w:t>
      </w:r>
    </w:p>
    <w:p w14:paraId="4D8087E7" w14:textId="77777777" w:rsidR="008D4FED" w:rsidRPr="008D4FED" w:rsidRDefault="008D4FED" w:rsidP="008D4FED">
      <w:pPr>
        <w:pStyle w:val="Bibliographie"/>
        <w:rPr>
          <w:rFonts w:cs="Times New Roman"/>
          <w:lang w:val="en-US"/>
        </w:rPr>
      </w:pPr>
      <w:r w:rsidRPr="008D4FED">
        <w:rPr>
          <w:rFonts w:cs="Times New Roman"/>
          <w:lang w:val="en-US"/>
        </w:rPr>
        <w:t>7.</w:t>
      </w:r>
      <w:r w:rsidRPr="008D4FED">
        <w:rPr>
          <w:rFonts w:cs="Times New Roman"/>
          <w:lang w:val="en-US"/>
        </w:rPr>
        <w:tab/>
        <w:t xml:space="preserve">Hardebeck, J. L. Coseismic and postseismic stress rotations due to great subduction zone earthquakes: STRESS ROTATIONS IN SUBDUCTION ZONES. </w:t>
      </w:r>
      <w:r w:rsidRPr="008D4FED">
        <w:rPr>
          <w:rFonts w:cs="Times New Roman"/>
          <w:i/>
          <w:iCs/>
          <w:lang w:val="en-US"/>
        </w:rPr>
        <w:t>Geophys. Res. Lett.</w:t>
      </w:r>
      <w:r w:rsidRPr="008D4FED">
        <w:rPr>
          <w:rFonts w:cs="Times New Roman"/>
          <w:lang w:val="en-US"/>
        </w:rPr>
        <w:t xml:space="preserve"> </w:t>
      </w:r>
      <w:r w:rsidRPr="008D4FED">
        <w:rPr>
          <w:rFonts w:cs="Times New Roman"/>
          <w:b/>
          <w:bCs/>
          <w:lang w:val="en-US"/>
        </w:rPr>
        <w:t>39</w:t>
      </w:r>
      <w:r w:rsidRPr="008D4FED">
        <w:rPr>
          <w:rFonts w:cs="Times New Roman"/>
          <w:lang w:val="en-US"/>
        </w:rPr>
        <w:t>, (2012).</w:t>
      </w:r>
    </w:p>
    <w:p w14:paraId="56EA836E" w14:textId="77777777" w:rsidR="008D4FED" w:rsidRPr="008D4FED" w:rsidRDefault="008D4FED" w:rsidP="008D4FED">
      <w:pPr>
        <w:pStyle w:val="Bibliographie"/>
        <w:rPr>
          <w:rFonts w:cs="Times New Roman"/>
          <w:lang w:val="en-US"/>
        </w:rPr>
      </w:pPr>
      <w:r w:rsidRPr="008D4FED">
        <w:rPr>
          <w:rFonts w:cs="Times New Roman"/>
          <w:lang w:val="en-US"/>
        </w:rPr>
        <w:t>8.</w:t>
      </w:r>
      <w:r w:rsidRPr="008D4FED">
        <w:rPr>
          <w:rFonts w:cs="Times New Roman"/>
          <w:lang w:val="en-US"/>
        </w:rPr>
        <w:tab/>
        <w:t xml:space="preserve">Hasegawa, A. </w:t>
      </w:r>
      <w:r w:rsidRPr="008D4FED">
        <w:rPr>
          <w:rFonts w:cs="Times New Roman"/>
          <w:i/>
          <w:iCs/>
          <w:lang w:val="en-US"/>
        </w:rPr>
        <w:t>et al.</w:t>
      </w:r>
      <w:r w:rsidRPr="008D4FED">
        <w:rPr>
          <w:rFonts w:cs="Times New Roman"/>
          <w:lang w:val="en-US"/>
        </w:rPr>
        <w:t xml:space="preserve"> Change in stress field after the 2011 great Tohoku-Oki earthquake. </w:t>
      </w:r>
      <w:r w:rsidRPr="008D4FED">
        <w:rPr>
          <w:rFonts w:cs="Times New Roman"/>
          <w:i/>
          <w:iCs/>
          <w:lang w:val="en-US"/>
        </w:rPr>
        <w:t>Earth Planet. Sci. Lett.</w:t>
      </w:r>
      <w:r w:rsidRPr="008D4FED">
        <w:rPr>
          <w:rFonts w:cs="Times New Roman"/>
          <w:lang w:val="en-US"/>
        </w:rPr>
        <w:t xml:space="preserve"> </w:t>
      </w:r>
      <w:r w:rsidRPr="008D4FED">
        <w:rPr>
          <w:rFonts w:cs="Times New Roman"/>
          <w:b/>
          <w:bCs/>
          <w:lang w:val="en-US"/>
        </w:rPr>
        <w:t>355–356</w:t>
      </w:r>
      <w:r w:rsidRPr="008D4FED">
        <w:rPr>
          <w:rFonts w:cs="Times New Roman"/>
          <w:lang w:val="en-US"/>
        </w:rPr>
        <w:t>, 231–243 (2012).</w:t>
      </w:r>
    </w:p>
    <w:p w14:paraId="7DC0FCFB" w14:textId="77777777" w:rsidR="008D4FED" w:rsidRPr="006D7D52" w:rsidRDefault="008D4FED" w:rsidP="008D4FED">
      <w:pPr>
        <w:pStyle w:val="Bibliographie"/>
        <w:rPr>
          <w:rFonts w:cs="Times New Roman"/>
          <w:lang w:val="en-US"/>
        </w:rPr>
      </w:pPr>
      <w:r w:rsidRPr="008D4FED">
        <w:rPr>
          <w:rFonts w:cs="Times New Roman"/>
          <w:lang w:val="en-US"/>
        </w:rPr>
        <w:t>9.</w:t>
      </w:r>
      <w:r w:rsidRPr="008D4FED">
        <w:rPr>
          <w:rFonts w:cs="Times New Roman"/>
          <w:lang w:val="en-US"/>
        </w:rPr>
        <w:tab/>
        <w:t xml:space="preserve">Ujiie, K., Yamaguchi, H., Sakaguchi, A. &amp; Toh, S. Pseudotachylytes in an ancient accretionary complex and implications for melt lubrication during subduction zone earthquakes. </w:t>
      </w:r>
      <w:r w:rsidRPr="006D7D52">
        <w:rPr>
          <w:rFonts w:cs="Times New Roman"/>
          <w:i/>
          <w:iCs/>
          <w:lang w:val="en-US"/>
        </w:rPr>
        <w:t>J. Struct. Geol.</w:t>
      </w:r>
      <w:r w:rsidRPr="006D7D52">
        <w:rPr>
          <w:rFonts w:cs="Times New Roman"/>
          <w:lang w:val="en-US"/>
        </w:rPr>
        <w:t xml:space="preserve"> </w:t>
      </w:r>
      <w:r w:rsidRPr="006D7D52">
        <w:rPr>
          <w:rFonts w:cs="Times New Roman"/>
          <w:b/>
          <w:bCs/>
          <w:lang w:val="en-US"/>
        </w:rPr>
        <w:t>29</w:t>
      </w:r>
      <w:r w:rsidRPr="006D7D52">
        <w:rPr>
          <w:rFonts w:cs="Times New Roman"/>
          <w:lang w:val="en-US"/>
        </w:rPr>
        <w:t>, 599–613 (2007).</w:t>
      </w:r>
    </w:p>
    <w:p w14:paraId="6FB62A35" w14:textId="77777777" w:rsidR="008D4FED" w:rsidRPr="008D4FED" w:rsidRDefault="008D4FED" w:rsidP="008D4FED">
      <w:pPr>
        <w:pStyle w:val="Bibliographie"/>
        <w:rPr>
          <w:rFonts w:cs="Times New Roman"/>
          <w:lang w:val="en-US"/>
        </w:rPr>
      </w:pPr>
      <w:r w:rsidRPr="008D4FED">
        <w:rPr>
          <w:rFonts w:cs="Times New Roman"/>
          <w:lang w:val="en-US"/>
        </w:rPr>
        <w:t>10.</w:t>
      </w:r>
      <w:r w:rsidRPr="008D4FED">
        <w:rPr>
          <w:rFonts w:cs="Times New Roman"/>
          <w:lang w:val="en-US"/>
        </w:rPr>
        <w:tab/>
        <w:t xml:space="preserve">Mukoyoshi, H., Sakaguchi, A., Otsuki, K., Hirono, T. &amp; Soh, W. Co-seismic frictional melting along an out-of-sequence thrust in the Shimanto accretionary complex. Implications on the tsunamigenic potential of splay faults in modern subduction zones. </w:t>
      </w:r>
      <w:r w:rsidRPr="008D4FED">
        <w:rPr>
          <w:rFonts w:cs="Times New Roman"/>
          <w:i/>
          <w:iCs/>
          <w:lang w:val="en-US"/>
        </w:rPr>
        <w:t>Earth Planet. Sci. Lett.</w:t>
      </w:r>
      <w:r w:rsidRPr="008D4FED">
        <w:rPr>
          <w:rFonts w:cs="Times New Roman"/>
          <w:lang w:val="en-US"/>
        </w:rPr>
        <w:t xml:space="preserve"> </w:t>
      </w:r>
      <w:r w:rsidRPr="008D4FED">
        <w:rPr>
          <w:rFonts w:cs="Times New Roman"/>
          <w:b/>
          <w:bCs/>
          <w:lang w:val="en-US"/>
        </w:rPr>
        <w:t>245</w:t>
      </w:r>
      <w:r w:rsidRPr="008D4FED">
        <w:rPr>
          <w:rFonts w:cs="Times New Roman"/>
          <w:lang w:val="en-US"/>
        </w:rPr>
        <w:t>, 330–343 (2006).</w:t>
      </w:r>
    </w:p>
    <w:p w14:paraId="3A7E2B5D" w14:textId="77777777" w:rsidR="008D4FED" w:rsidRPr="008D4FED" w:rsidRDefault="008D4FED" w:rsidP="008D4FED">
      <w:pPr>
        <w:pStyle w:val="Bibliographie"/>
        <w:rPr>
          <w:rFonts w:cs="Times New Roman"/>
          <w:lang w:val="en-US"/>
        </w:rPr>
      </w:pPr>
      <w:r w:rsidRPr="008D4FED">
        <w:rPr>
          <w:rFonts w:cs="Times New Roman"/>
          <w:lang w:val="en-US"/>
        </w:rPr>
        <w:lastRenderedPageBreak/>
        <w:t>11.</w:t>
      </w:r>
      <w:r w:rsidRPr="008D4FED">
        <w:rPr>
          <w:rFonts w:cs="Times New Roman"/>
          <w:lang w:val="en-US"/>
        </w:rPr>
        <w:tab/>
        <w:t xml:space="preserve">Ide, S. &amp; Takeo, M. Determination of constitutive relations of fault slip based on seismic wave analysis. </w:t>
      </w:r>
      <w:r w:rsidRPr="008D4FED">
        <w:rPr>
          <w:rFonts w:cs="Times New Roman"/>
          <w:i/>
          <w:iCs/>
          <w:lang w:val="en-US"/>
        </w:rPr>
        <w:t>J. Geophys. Res. Solid Earth</w:t>
      </w:r>
      <w:r w:rsidRPr="008D4FED">
        <w:rPr>
          <w:rFonts w:cs="Times New Roman"/>
          <w:lang w:val="en-US"/>
        </w:rPr>
        <w:t xml:space="preserve"> </w:t>
      </w:r>
      <w:r w:rsidRPr="008D4FED">
        <w:rPr>
          <w:rFonts w:cs="Times New Roman"/>
          <w:b/>
          <w:bCs/>
          <w:lang w:val="en-US"/>
        </w:rPr>
        <w:t>102</w:t>
      </w:r>
      <w:r w:rsidRPr="008D4FED">
        <w:rPr>
          <w:rFonts w:cs="Times New Roman"/>
          <w:lang w:val="en-US"/>
        </w:rPr>
        <w:t>, 27379–27391 (1997).</w:t>
      </w:r>
    </w:p>
    <w:p w14:paraId="15526F39" w14:textId="77777777" w:rsidR="008D4FED" w:rsidRPr="008D4FED" w:rsidRDefault="008D4FED" w:rsidP="008D4FED">
      <w:pPr>
        <w:pStyle w:val="Bibliographie"/>
        <w:rPr>
          <w:rFonts w:cs="Times New Roman"/>
          <w:lang w:val="en-US"/>
        </w:rPr>
      </w:pPr>
      <w:r w:rsidRPr="008D4FED">
        <w:rPr>
          <w:rFonts w:cs="Times New Roman"/>
          <w:lang w:val="en-US"/>
        </w:rPr>
        <w:t>12.</w:t>
      </w:r>
      <w:r w:rsidRPr="008D4FED">
        <w:rPr>
          <w:rFonts w:cs="Times New Roman"/>
          <w:lang w:val="en-US"/>
        </w:rPr>
        <w:tab/>
        <w:t xml:space="preserve">Turcotte, Donald. L. &amp; Schubert, G. </w:t>
      </w:r>
      <w:r w:rsidRPr="008D4FED">
        <w:rPr>
          <w:rFonts w:cs="Times New Roman"/>
          <w:i/>
          <w:iCs/>
          <w:lang w:val="en-US"/>
        </w:rPr>
        <w:t>Geodynamics</w:t>
      </w:r>
      <w:r w:rsidRPr="008D4FED">
        <w:rPr>
          <w:rFonts w:cs="Times New Roman"/>
          <w:lang w:val="en-US"/>
        </w:rPr>
        <w:t>. (Cambridge, 1982).</w:t>
      </w:r>
    </w:p>
    <w:p w14:paraId="1681886B" w14:textId="77777777" w:rsidR="008D4FED" w:rsidRPr="008D4FED" w:rsidRDefault="008D4FED" w:rsidP="008D4FED">
      <w:pPr>
        <w:pStyle w:val="Bibliographie"/>
        <w:rPr>
          <w:rFonts w:cs="Times New Roman"/>
          <w:lang w:val="en-US"/>
        </w:rPr>
      </w:pPr>
      <w:r w:rsidRPr="008D4FED">
        <w:rPr>
          <w:rFonts w:cs="Times New Roman"/>
          <w:lang w:val="en-US"/>
        </w:rPr>
        <w:t>13.</w:t>
      </w:r>
      <w:r w:rsidRPr="008D4FED">
        <w:rPr>
          <w:rFonts w:cs="Times New Roman"/>
          <w:lang w:val="en-US"/>
        </w:rPr>
        <w:tab/>
        <w:t xml:space="preserve">Wei, S., Graves, R., Helmberger, D., Avouac, J.-P. &amp; Jiang, J. Sources of shaking and flooding during the Tohoku-Oki earthquake: A mixture of rupture styles. </w:t>
      </w:r>
      <w:r w:rsidRPr="008D4FED">
        <w:rPr>
          <w:rFonts w:cs="Times New Roman"/>
          <w:i/>
          <w:iCs/>
          <w:lang w:val="en-US"/>
        </w:rPr>
        <w:t>Earth Planet. Sci. Lett.</w:t>
      </w:r>
      <w:r w:rsidRPr="008D4FED">
        <w:rPr>
          <w:rFonts w:cs="Times New Roman"/>
          <w:lang w:val="en-US"/>
        </w:rPr>
        <w:t xml:space="preserve"> </w:t>
      </w:r>
      <w:r w:rsidRPr="008D4FED">
        <w:rPr>
          <w:rFonts w:cs="Times New Roman"/>
          <w:b/>
          <w:bCs/>
          <w:lang w:val="en-US"/>
        </w:rPr>
        <w:t>333–334</w:t>
      </w:r>
      <w:r w:rsidRPr="008D4FED">
        <w:rPr>
          <w:rFonts w:cs="Times New Roman"/>
          <w:lang w:val="en-US"/>
        </w:rPr>
        <w:t>, 91–100 (2012).</w:t>
      </w:r>
    </w:p>
    <w:p w14:paraId="025B38E2" w14:textId="77777777" w:rsidR="008D4FED" w:rsidRPr="008D4FED" w:rsidRDefault="008D4FED" w:rsidP="008D4FED">
      <w:pPr>
        <w:pStyle w:val="Bibliographie"/>
        <w:rPr>
          <w:rFonts w:cs="Times New Roman"/>
          <w:lang w:val="en-US"/>
        </w:rPr>
      </w:pPr>
      <w:r w:rsidRPr="008D4FED">
        <w:rPr>
          <w:rFonts w:cs="Times New Roman"/>
          <w:lang w:val="en-US"/>
        </w:rPr>
        <w:t>14.</w:t>
      </w:r>
      <w:r w:rsidRPr="008D4FED">
        <w:rPr>
          <w:rFonts w:cs="Times New Roman"/>
          <w:lang w:val="en-US"/>
        </w:rPr>
        <w:tab/>
        <w:t xml:space="preserve">Kanamori, H. &amp; Heaton, T. H. Microscopic and macroscopic physics of earthquakes. in </w:t>
      </w:r>
      <w:r w:rsidRPr="008D4FED">
        <w:rPr>
          <w:rFonts w:cs="Times New Roman"/>
          <w:i/>
          <w:iCs/>
          <w:lang w:val="en-US"/>
        </w:rPr>
        <w:t>Geophysical Monograph Series</w:t>
      </w:r>
      <w:r w:rsidRPr="008D4FED">
        <w:rPr>
          <w:rFonts w:cs="Times New Roman"/>
          <w:lang w:val="en-US"/>
        </w:rPr>
        <w:t xml:space="preserve"> (eds. Rundle, J. B., Turcotte, D. L. &amp; Klein, W.) vol. 120 147–163 (American Geophysical Union, 2000).</w:t>
      </w:r>
    </w:p>
    <w:p w14:paraId="00A1D893" w14:textId="77777777" w:rsidR="008D4FED" w:rsidRPr="008D4FED" w:rsidRDefault="008D4FED" w:rsidP="008D4FED">
      <w:pPr>
        <w:pStyle w:val="Bibliographie"/>
        <w:rPr>
          <w:rFonts w:cs="Times New Roman"/>
          <w:lang w:val="en-US"/>
        </w:rPr>
      </w:pPr>
      <w:r w:rsidRPr="008D4FED">
        <w:rPr>
          <w:rFonts w:cs="Times New Roman"/>
          <w:lang w:val="en-US"/>
        </w:rPr>
        <w:t>15.</w:t>
      </w:r>
      <w:r w:rsidRPr="008D4FED">
        <w:rPr>
          <w:rFonts w:cs="Times New Roman"/>
          <w:lang w:val="en-US"/>
        </w:rPr>
        <w:tab/>
        <w:t xml:space="preserve">Sibson, R. H. Generation of Pseudotachylyte by Ancient Seismic Faulting. </w:t>
      </w:r>
      <w:r w:rsidRPr="008D4FED">
        <w:rPr>
          <w:rFonts w:cs="Times New Roman"/>
          <w:i/>
          <w:iCs/>
          <w:lang w:val="en-US"/>
        </w:rPr>
        <w:t>Geophys. J. Int.</w:t>
      </w:r>
      <w:r w:rsidRPr="008D4FED">
        <w:rPr>
          <w:rFonts w:cs="Times New Roman"/>
          <w:lang w:val="en-US"/>
        </w:rPr>
        <w:t xml:space="preserve"> </w:t>
      </w:r>
      <w:r w:rsidRPr="008D4FED">
        <w:rPr>
          <w:rFonts w:cs="Times New Roman"/>
          <w:b/>
          <w:bCs/>
          <w:lang w:val="en-US"/>
        </w:rPr>
        <w:t>43</w:t>
      </w:r>
      <w:r w:rsidRPr="008D4FED">
        <w:rPr>
          <w:rFonts w:cs="Times New Roman"/>
          <w:lang w:val="en-US"/>
        </w:rPr>
        <w:t>, 775–794 (1975).</w:t>
      </w:r>
    </w:p>
    <w:p w14:paraId="5BFE21CC" w14:textId="77777777" w:rsidR="008D4FED" w:rsidRPr="006D7D52" w:rsidRDefault="008D4FED" w:rsidP="008D4FED">
      <w:pPr>
        <w:pStyle w:val="Bibliographie"/>
        <w:rPr>
          <w:rFonts w:cs="Times New Roman"/>
          <w:lang w:val="en-US"/>
        </w:rPr>
      </w:pPr>
      <w:r w:rsidRPr="008D4FED">
        <w:rPr>
          <w:rFonts w:cs="Times New Roman"/>
          <w:lang w:val="en-US"/>
        </w:rPr>
        <w:t>16.</w:t>
      </w:r>
      <w:r w:rsidRPr="008D4FED">
        <w:rPr>
          <w:rFonts w:cs="Times New Roman"/>
          <w:lang w:val="en-US"/>
        </w:rPr>
        <w:tab/>
        <w:t xml:space="preserve">Tsutsumi, A. &amp; Shimamoto, T. High-velocity frictional properties of gabbro. </w:t>
      </w:r>
      <w:r w:rsidRPr="006D7D52">
        <w:rPr>
          <w:rFonts w:cs="Times New Roman"/>
          <w:i/>
          <w:iCs/>
          <w:lang w:val="en-US"/>
        </w:rPr>
        <w:t>Geophys. Res. Lett.</w:t>
      </w:r>
      <w:r w:rsidRPr="006D7D52">
        <w:rPr>
          <w:rFonts w:cs="Times New Roman"/>
          <w:lang w:val="en-US"/>
        </w:rPr>
        <w:t xml:space="preserve"> </w:t>
      </w:r>
      <w:r w:rsidRPr="006D7D52">
        <w:rPr>
          <w:rFonts w:cs="Times New Roman"/>
          <w:b/>
          <w:bCs/>
          <w:lang w:val="en-US"/>
        </w:rPr>
        <w:t>24</w:t>
      </w:r>
      <w:r w:rsidRPr="006D7D52">
        <w:rPr>
          <w:rFonts w:cs="Times New Roman"/>
          <w:lang w:val="en-US"/>
        </w:rPr>
        <w:t>, 699–702 (1997).</w:t>
      </w:r>
    </w:p>
    <w:p w14:paraId="3F6367E5" w14:textId="77777777" w:rsidR="008D4FED" w:rsidRPr="008D4FED" w:rsidRDefault="008D4FED" w:rsidP="008D4FED">
      <w:pPr>
        <w:pStyle w:val="Bibliographie"/>
        <w:rPr>
          <w:rFonts w:cs="Times New Roman"/>
          <w:lang w:val="en-US"/>
        </w:rPr>
      </w:pPr>
      <w:r w:rsidRPr="008D4FED">
        <w:rPr>
          <w:rFonts w:cs="Times New Roman"/>
          <w:lang w:val="en-US"/>
        </w:rPr>
        <w:t>17.</w:t>
      </w:r>
      <w:r w:rsidRPr="008D4FED">
        <w:rPr>
          <w:rFonts w:cs="Times New Roman"/>
          <w:lang w:val="en-US"/>
        </w:rPr>
        <w:tab/>
        <w:t xml:space="preserve">Madariaga, R. &amp; Olsen, K. B. </w:t>
      </w:r>
      <w:r w:rsidRPr="008D4FED">
        <w:rPr>
          <w:rFonts w:cs="Times New Roman"/>
          <w:i/>
          <w:iCs/>
          <w:lang w:val="en-US"/>
        </w:rPr>
        <w:t>Earthquake dynamics, International handbook of earthquake and engineering seismology</w:t>
      </w:r>
      <w:r w:rsidRPr="008D4FED">
        <w:rPr>
          <w:rFonts w:cs="Times New Roman"/>
          <w:lang w:val="en-US"/>
        </w:rPr>
        <w:t>. vol. 81A (Elsevier, 2012).</w:t>
      </w:r>
    </w:p>
    <w:p w14:paraId="63958C4A" w14:textId="77777777" w:rsidR="008D4FED" w:rsidRPr="008D4FED" w:rsidRDefault="008D4FED" w:rsidP="008D4FED">
      <w:pPr>
        <w:pStyle w:val="Bibliographie"/>
        <w:rPr>
          <w:rFonts w:cs="Times New Roman"/>
          <w:lang w:val="en-US"/>
        </w:rPr>
      </w:pPr>
      <w:r w:rsidRPr="008D4FED">
        <w:rPr>
          <w:rFonts w:cs="Times New Roman"/>
          <w:lang w:val="en-US"/>
        </w:rPr>
        <w:t>18.</w:t>
      </w:r>
      <w:r w:rsidRPr="008D4FED">
        <w:rPr>
          <w:rFonts w:cs="Times New Roman"/>
          <w:lang w:val="en-US"/>
        </w:rPr>
        <w:tab/>
        <w:t xml:space="preserve">Kanamori, H. &amp; Brodsky, E. E. The physics of earthquakes. </w:t>
      </w:r>
      <w:r w:rsidRPr="008D4FED">
        <w:rPr>
          <w:rFonts w:cs="Times New Roman"/>
          <w:i/>
          <w:iCs/>
          <w:lang w:val="en-US"/>
        </w:rPr>
        <w:t>Rep. Prog. Phys.</w:t>
      </w:r>
      <w:r w:rsidRPr="008D4FED">
        <w:rPr>
          <w:rFonts w:cs="Times New Roman"/>
          <w:lang w:val="en-US"/>
        </w:rPr>
        <w:t xml:space="preserve"> </w:t>
      </w:r>
      <w:r w:rsidRPr="008D4FED">
        <w:rPr>
          <w:rFonts w:cs="Times New Roman"/>
          <w:b/>
          <w:bCs/>
          <w:lang w:val="en-US"/>
        </w:rPr>
        <w:t>67</w:t>
      </w:r>
      <w:r w:rsidRPr="008D4FED">
        <w:rPr>
          <w:rFonts w:cs="Times New Roman"/>
          <w:lang w:val="en-US"/>
        </w:rPr>
        <w:t>, 1429–1496 (2004).</w:t>
      </w:r>
    </w:p>
    <w:p w14:paraId="7B33D363" w14:textId="77777777" w:rsidR="008D4FED" w:rsidRPr="008D4FED" w:rsidRDefault="008D4FED" w:rsidP="008D4FED">
      <w:pPr>
        <w:pStyle w:val="Bibliographie"/>
        <w:rPr>
          <w:rFonts w:cs="Times New Roman"/>
          <w:lang w:val="en-US"/>
        </w:rPr>
      </w:pPr>
      <w:r w:rsidRPr="008D4FED">
        <w:rPr>
          <w:rFonts w:cs="Times New Roman"/>
          <w:lang w:val="en-US"/>
        </w:rPr>
        <w:t>19.</w:t>
      </w:r>
      <w:r w:rsidRPr="008D4FED">
        <w:rPr>
          <w:rFonts w:cs="Times New Roman"/>
          <w:lang w:val="en-US"/>
        </w:rPr>
        <w:tab/>
        <w:t xml:space="preserve">Sibson, R. H. Earthquake faulting as a structural process. </w:t>
      </w:r>
      <w:r w:rsidRPr="008D4FED">
        <w:rPr>
          <w:rFonts w:cs="Times New Roman"/>
          <w:i/>
          <w:iCs/>
          <w:lang w:val="en-US"/>
        </w:rPr>
        <w:t>J. Struct. Geol.</w:t>
      </w:r>
      <w:r w:rsidRPr="008D4FED">
        <w:rPr>
          <w:rFonts w:cs="Times New Roman"/>
          <w:lang w:val="en-US"/>
        </w:rPr>
        <w:t xml:space="preserve"> </w:t>
      </w:r>
      <w:r w:rsidRPr="008D4FED">
        <w:rPr>
          <w:rFonts w:cs="Times New Roman"/>
          <w:b/>
          <w:bCs/>
          <w:lang w:val="en-US"/>
        </w:rPr>
        <w:t>11</w:t>
      </w:r>
      <w:r w:rsidRPr="008D4FED">
        <w:rPr>
          <w:rFonts w:cs="Times New Roman"/>
          <w:lang w:val="en-US"/>
        </w:rPr>
        <w:t>, 1–14 (1989).</w:t>
      </w:r>
    </w:p>
    <w:p w14:paraId="0E417B5F" w14:textId="77777777" w:rsidR="008D4FED" w:rsidRPr="006D7D52" w:rsidRDefault="008D4FED" w:rsidP="008D4FED">
      <w:pPr>
        <w:pStyle w:val="Bibliographie"/>
        <w:rPr>
          <w:rFonts w:cs="Times New Roman"/>
          <w:lang w:val="en-US"/>
        </w:rPr>
      </w:pPr>
      <w:r w:rsidRPr="008D4FED">
        <w:rPr>
          <w:rFonts w:cs="Times New Roman"/>
          <w:lang w:val="en-US"/>
        </w:rPr>
        <w:t>20.</w:t>
      </w:r>
      <w:r w:rsidRPr="008D4FED">
        <w:rPr>
          <w:rFonts w:cs="Times New Roman"/>
          <w:lang w:val="en-US"/>
        </w:rPr>
        <w:tab/>
        <w:t xml:space="preserve">Hasegawa, R. </w:t>
      </w:r>
      <w:r w:rsidRPr="008D4FED">
        <w:rPr>
          <w:rFonts w:cs="Times New Roman"/>
          <w:i/>
          <w:iCs/>
          <w:lang w:val="en-US"/>
        </w:rPr>
        <w:t>et al.</w:t>
      </w:r>
      <w:r w:rsidRPr="008D4FED">
        <w:rPr>
          <w:rFonts w:cs="Times New Roman"/>
          <w:lang w:val="en-US"/>
        </w:rPr>
        <w:t xml:space="preserve"> Postseismic fluid discharge chemically recorded in altered pseudotachylyte discovered from an ancient megasplay fault: an example from the Nobeoka Thrust in the Shimanto accretionary complex, SW Japan. </w:t>
      </w:r>
      <w:r w:rsidRPr="006D7D52">
        <w:rPr>
          <w:rFonts w:cs="Times New Roman"/>
          <w:i/>
          <w:iCs/>
          <w:lang w:val="en-US"/>
        </w:rPr>
        <w:t>Prog. Earth Planet. Sci.</w:t>
      </w:r>
      <w:r w:rsidRPr="006D7D52">
        <w:rPr>
          <w:rFonts w:cs="Times New Roman"/>
          <w:lang w:val="en-US"/>
        </w:rPr>
        <w:t xml:space="preserve"> </w:t>
      </w:r>
      <w:r w:rsidRPr="006D7D52">
        <w:rPr>
          <w:rFonts w:cs="Times New Roman"/>
          <w:b/>
          <w:bCs/>
          <w:lang w:val="en-US"/>
        </w:rPr>
        <w:t>6</w:t>
      </w:r>
      <w:r w:rsidRPr="006D7D52">
        <w:rPr>
          <w:rFonts w:cs="Times New Roman"/>
          <w:lang w:val="en-US"/>
        </w:rPr>
        <w:t>, (2019).</w:t>
      </w:r>
    </w:p>
    <w:p w14:paraId="0126AF7A" w14:textId="77777777" w:rsidR="008D4FED" w:rsidRPr="008D4FED" w:rsidRDefault="008D4FED" w:rsidP="008D4FED">
      <w:pPr>
        <w:pStyle w:val="Bibliographie"/>
        <w:rPr>
          <w:rFonts w:cs="Times New Roman"/>
          <w:lang w:val="en-US"/>
        </w:rPr>
      </w:pPr>
      <w:r w:rsidRPr="008D4FED">
        <w:rPr>
          <w:rFonts w:cs="Times New Roman"/>
          <w:lang w:val="en-US"/>
        </w:rPr>
        <w:t>21.</w:t>
      </w:r>
      <w:r w:rsidRPr="008D4FED">
        <w:rPr>
          <w:rFonts w:cs="Times New Roman"/>
          <w:lang w:val="en-US"/>
        </w:rPr>
        <w:tab/>
        <w:t xml:space="preserve">Di Toro, G. &amp; Pennacchioni, G. Fault plane processes and mesoscopic structure of a strong-type seismogenic fault in tonalites (Adamello batholith, Southern Alps). </w:t>
      </w:r>
      <w:r w:rsidRPr="008D4FED">
        <w:rPr>
          <w:rFonts w:cs="Times New Roman"/>
          <w:i/>
          <w:iCs/>
          <w:lang w:val="en-US"/>
        </w:rPr>
        <w:t>Tectonophysics</w:t>
      </w:r>
      <w:r w:rsidRPr="008D4FED">
        <w:rPr>
          <w:rFonts w:cs="Times New Roman"/>
          <w:lang w:val="en-US"/>
        </w:rPr>
        <w:t xml:space="preserve"> </w:t>
      </w:r>
      <w:r w:rsidRPr="008D4FED">
        <w:rPr>
          <w:rFonts w:cs="Times New Roman"/>
          <w:b/>
          <w:bCs/>
          <w:lang w:val="en-US"/>
        </w:rPr>
        <w:t>402</w:t>
      </w:r>
      <w:r w:rsidRPr="008D4FED">
        <w:rPr>
          <w:rFonts w:cs="Times New Roman"/>
          <w:lang w:val="en-US"/>
        </w:rPr>
        <w:t>, 55–80 (2005).</w:t>
      </w:r>
    </w:p>
    <w:p w14:paraId="44268521" w14:textId="77777777" w:rsidR="008D4FED" w:rsidRPr="008D4FED" w:rsidRDefault="008D4FED" w:rsidP="008D4FED">
      <w:pPr>
        <w:pStyle w:val="Bibliographie"/>
        <w:rPr>
          <w:rFonts w:cs="Times New Roman"/>
          <w:lang w:val="en-US"/>
        </w:rPr>
      </w:pPr>
      <w:r w:rsidRPr="008D4FED">
        <w:rPr>
          <w:rFonts w:cs="Times New Roman"/>
          <w:lang w:val="en-US"/>
        </w:rPr>
        <w:lastRenderedPageBreak/>
        <w:t>22.</w:t>
      </w:r>
      <w:r w:rsidRPr="008D4FED">
        <w:rPr>
          <w:rFonts w:cs="Times New Roman"/>
          <w:lang w:val="en-US"/>
        </w:rPr>
        <w:tab/>
        <w:t xml:space="preserve">Ma, K.-F. </w:t>
      </w:r>
      <w:r w:rsidRPr="008D4FED">
        <w:rPr>
          <w:rFonts w:cs="Times New Roman"/>
          <w:i/>
          <w:iCs/>
          <w:lang w:val="en-US"/>
        </w:rPr>
        <w:t>et al.</w:t>
      </w:r>
      <w:r w:rsidRPr="008D4FED">
        <w:rPr>
          <w:rFonts w:cs="Times New Roman"/>
          <w:lang w:val="en-US"/>
        </w:rPr>
        <w:t xml:space="preserve"> Slip zone and energetics of a large earthquake from the Taiwan Chelungpu-fault Drilling Project. </w:t>
      </w:r>
      <w:r w:rsidRPr="008D4FED">
        <w:rPr>
          <w:rFonts w:cs="Times New Roman"/>
          <w:i/>
          <w:iCs/>
          <w:lang w:val="en-US"/>
        </w:rPr>
        <w:t>Nature</w:t>
      </w:r>
      <w:r w:rsidRPr="008D4FED">
        <w:rPr>
          <w:rFonts w:cs="Times New Roman"/>
          <w:lang w:val="en-US"/>
        </w:rPr>
        <w:t xml:space="preserve"> </w:t>
      </w:r>
      <w:r w:rsidRPr="008D4FED">
        <w:rPr>
          <w:rFonts w:cs="Times New Roman"/>
          <w:b/>
          <w:bCs/>
          <w:lang w:val="en-US"/>
        </w:rPr>
        <w:t>444</w:t>
      </w:r>
      <w:r w:rsidRPr="008D4FED">
        <w:rPr>
          <w:rFonts w:cs="Times New Roman"/>
          <w:lang w:val="en-US"/>
        </w:rPr>
        <w:t>, 473–476 (2006).</w:t>
      </w:r>
    </w:p>
    <w:p w14:paraId="14CE2A78" w14:textId="77777777" w:rsidR="008D4FED" w:rsidRPr="008D4FED" w:rsidRDefault="008D4FED" w:rsidP="008D4FED">
      <w:pPr>
        <w:pStyle w:val="Bibliographie"/>
        <w:rPr>
          <w:rFonts w:cs="Times New Roman"/>
          <w:lang w:val="en-US"/>
        </w:rPr>
      </w:pPr>
      <w:r w:rsidRPr="008D4FED">
        <w:rPr>
          <w:rFonts w:cs="Times New Roman"/>
          <w:lang w:val="en-US"/>
        </w:rPr>
        <w:t>23.</w:t>
      </w:r>
      <w:r w:rsidRPr="008D4FED">
        <w:rPr>
          <w:rFonts w:cs="Times New Roman"/>
          <w:lang w:val="en-US"/>
        </w:rPr>
        <w:tab/>
        <w:t xml:space="preserve">Ujiie, K. &amp; Kimura, G. Earthquake faulting in subduction zones: insights from fault rocks in accretionary prisms. </w:t>
      </w:r>
      <w:r w:rsidRPr="008D4FED">
        <w:rPr>
          <w:rFonts w:cs="Times New Roman"/>
          <w:i/>
          <w:iCs/>
          <w:lang w:val="en-US"/>
        </w:rPr>
        <w:t>Prog. Earth Planet. Sci.</w:t>
      </w:r>
      <w:r w:rsidRPr="008D4FED">
        <w:rPr>
          <w:rFonts w:cs="Times New Roman"/>
          <w:lang w:val="en-US"/>
        </w:rPr>
        <w:t xml:space="preserve"> </w:t>
      </w:r>
      <w:r w:rsidRPr="008D4FED">
        <w:rPr>
          <w:rFonts w:cs="Times New Roman"/>
          <w:b/>
          <w:bCs/>
          <w:lang w:val="en-US"/>
        </w:rPr>
        <w:t>1</w:t>
      </w:r>
      <w:r w:rsidRPr="008D4FED">
        <w:rPr>
          <w:rFonts w:cs="Times New Roman"/>
          <w:lang w:val="en-US"/>
        </w:rPr>
        <w:t>, 7 (2014).</w:t>
      </w:r>
    </w:p>
    <w:p w14:paraId="443FF69D" w14:textId="77777777" w:rsidR="008D4FED" w:rsidRPr="008D4FED" w:rsidRDefault="008D4FED" w:rsidP="008D4FED">
      <w:pPr>
        <w:pStyle w:val="Bibliographie"/>
        <w:rPr>
          <w:rFonts w:cs="Times New Roman"/>
          <w:lang w:val="en-US"/>
        </w:rPr>
      </w:pPr>
      <w:r w:rsidRPr="008D4FED">
        <w:rPr>
          <w:rFonts w:cs="Times New Roman"/>
          <w:lang w:val="en-US"/>
        </w:rPr>
        <w:t>24.</w:t>
      </w:r>
      <w:r w:rsidRPr="008D4FED">
        <w:rPr>
          <w:rFonts w:cs="Times New Roman"/>
          <w:lang w:val="en-US"/>
        </w:rPr>
        <w:tab/>
        <w:t xml:space="preserve">Burnham, A. K. &amp; Sweeney, J. J. A chemical kinetic model of vitrinite maturation and reflectance. </w:t>
      </w:r>
      <w:r w:rsidRPr="008D4FED">
        <w:rPr>
          <w:rFonts w:cs="Times New Roman"/>
          <w:i/>
          <w:iCs/>
          <w:lang w:val="en-US"/>
        </w:rPr>
        <w:t>Geochim. Cosmochim. Acta</w:t>
      </w:r>
      <w:r w:rsidRPr="008D4FED">
        <w:rPr>
          <w:rFonts w:cs="Times New Roman"/>
          <w:lang w:val="en-US"/>
        </w:rPr>
        <w:t xml:space="preserve"> </w:t>
      </w:r>
      <w:r w:rsidRPr="008D4FED">
        <w:rPr>
          <w:rFonts w:cs="Times New Roman"/>
          <w:b/>
          <w:bCs/>
          <w:lang w:val="en-US"/>
        </w:rPr>
        <w:t>53</w:t>
      </w:r>
      <w:r w:rsidRPr="008D4FED">
        <w:rPr>
          <w:rFonts w:cs="Times New Roman"/>
          <w:lang w:val="en-US"/>
        </w:rPr>
        <w:t>, 2649–2657 (1989).</w:t>
      </w:r>
    </w:p>
    <w:p w14:paraId="64E4C7A4" w14:textId="77777777" w:rsidR="008D4FED" w:rsidRPr="008D4FED" w:rsidRDefault="008D4FED" w:rsidP="008D4FED">
      <w:pPr>
        <w:pStyle w:val="Bibliographie"/>
        <w:rPr>
          <w:rFonts w:cs="Times New Roman"/>
          <w:lang w:val="en-US"/>
        </w:rPr>
      </w:pPr>
      <w:r w:rsidRPr="008D4FED">
        <w:rPr>
          <w:rFonts w:cs="Times New Roman"/>
          <w:lang w:val="en-US"/>
        </w:rPr>
        <w:t>25.</w:t>
      </w:r>
      <w:r w:rsidRPr="008D4FED">
        <w:rPr>
          <w:rFonts w:cs="Times New Roman"/>
          <w:lang w:val="en-US"/>
        </w:rPr>
        <w:tab/>
        <w:t xml:space="preserve">Silva, M. B. &amp; Kalkreuth, W. Petrological and geochemical characterization of Candiota coal seams, Brazil — Implication for coal facies interpretations and coal rank. </w:t>
      </w:r>
      <w:r w:rsidRPr="008D4FED">
        <w:rPr>
          <w:rFonts w:cs="Times New Roman"/>
          <w:i/>
          <w:iCs/>
          <w:lang w:val="en-US"/>
        </w:rPr>
        <w:t>Int. J. Coal Geol.</w:t>
      </w:r>
      <w:r w:rsidRPr="008D4FED">
        <w:rPr>
          <w:rFonts w:cs="Times New Roman"/>
          <w:lang w:val="en-US"/>
        </w:rPr>
        <w:t xml:space="preserve"> </w:t>
      </w:r>
      <w:r w:rsidRPr="008D4FED">
        <w:rPr>
          <w:rFonts w:cs="Times New Roman"/>
          <w:b/>
          <w:bCs/>
          <w:lang w:val="en-US"/>
        </w:rPr>
        <w:t>64</w:t>
      </w:r>
      <w:r w:rsidRPr="008D4FED">
        <w:rPr>
          <w:rFonts w:cs="Times New Roman"/>
          <w:lang w:val="en-US"/>
        </w:rPr>
        <w:t>, 217–238 (2005).</w:t>
      </w:r>
    </w:p>
    <w:p w14:paraId="37CBB9EB" w14:textId="77777777" w:rsidR="008D4FED" w:rsidRPr="008D4FED" w:rsidRDefault="008D4FED" w:rsidP="008D4FED">
      <w:pPr>
        <w:pStyle w:val="Bibliographie"/>
        <w:rPr>
          <w:rFonts w:cs="Times New Roman"/>
          <w:lang w:val="en-US"/>
        </w:rPr>
      </w:pPr>
      <w:r w:rsidRPr="008D4FED">
        <w:rPr>
          <w:rFonts w:cs="Times New Roman"/>
          <w:lang w:val="en-US"/>
        </w:rPr>
        <w:t>26.</w:t>
      </w:r>
      <w:r w:rsidRPr="008D4FED">
        <w:rPr>
          <w:rFonts w:cs="Times New Roman"/>
          <w:lang w:val="en-US"/>
        </w:rPr>
        <w:tab/>
        <w:t xml:space="preserve">Nakamura, Y., Yoshino, T. &amp; Satish-Kumar, M. An experimental kinetic study on the structural evolution of natural carbonaceous material to graphite. </w:t>
      </w:r>
      <w:r w:rsidRPr="008D4FED">
        <w:rPr>
          <w:rFonts w:cs="Times New Roman"/>
          <w:i/>
          <w:iCs/>
          <w:lang w:val="en-US"/>
        </w:rPr>
        <w:t>Am. Mineral.</w:t>
      </w:r>
      <w:r w:rsidRPr="008D4FED">
        <w:rPr>
          <w:rFonts w:cs="Times New Roman"/>
          <w:lang w:val="en-US"/>
        </w:rPr>
        <w:t xml:space="preserve"> </w:t>
      </w:r>
      <w:r w:rsidRPr="008D4FED">
        <w:rPr>
          <w:rFonts w:cs="Times New Roman"/>
          <w:b/>
          <w:bCs/>
          <w:lang w:val="en-US"/>
        </w:rPr>
        <w:t>102</w:t>
      </w:r>
      <w:r w:rsidRPr="008D4FED">
        <w:rPr>
          <w:rFonts w:cs="Times New Roman"/>
          <w:lang w:val="en-US"/>
        </w:rPr>
        <w:t>, 135–148 (2017).</w:t>
      </w:r>
    </w:p>
    <w:p w14:paraId="1DA82FF5" w14:textId="77777777" w:rsidR="008D4FED" w:rsidRPr="008D4FED" w:rsidRDefault="008D4FED" w:rsidP="008D4FED">
      <w:pPr>
        <w:pStyle w:val="Bibliographie"/>
        <w:rPr>
          <w:rFonts w:cs="Times New Roman"/>
          <w:lang w:val="en-US"/>
        </w:rPr>
      </w:pPr>
      <w:r w:rsidRPr="008D4FED">
        <w:rPr>
          <w:rFonts w:cs="Times New Roman"/>
          <w:lang w:val="en-US"/>
        </w:rPr>
        <w:t>27.</w:t>
      </w:r>
      <w:r w:rsidRPr="008D4FED">
        <w:rPr>
          <w:rFonts w:cs="Times New Roman"/>
          <w:lang w:val="en-US"/>
        </w:rPr>
        <w:tab/>
        <w:t xml:space="preserve">Schön, J. </w:t>
      </w:r>
      <w:r w:rsidRPr="008D4FED">
        <w:rPr>
          <w:rFonts w:cs="Times New Roman"/>
          <w:i/>
          <w:iCs/>
          <w:lang w:val="en-US"/>
        </w:rPr>
        <w:t>Physical Properties of Rocks Fundamentals and Principles of Petrophysics</w:t>
      </w:r>
      <w:r w:rsidRPr="008D4FED">
        <w:rPr>
          <w:rFonts w:cs="Times New Roman"/>
          <w:lang w:val="en-US"/>
        </w:rPr>
        <w:t>. vol. 65 (Elsevier B.V., 1996).</w:t>
      </w:r>
    </w:p>
    <w:p w14:paraId="58449DB3" w14:textId="77777777" w:rsidR="008D4FED" w:rsidRPr="008D4FED" w:rsidRDefault="008D4FED" w:rsidP="008D4FED">
      <w:pPr>
        <w:pStyle w:val="Bibliographie"/>
        <w:rPr>
          <w:rFonts w:cs="Times New Roman"/>
          <w:lang w:val="en-US"/>
        </w:rPr>
      </w:pPr>
      <w:r w:rsidRPr="008D4FED">
        <w:rPr>
          <w:rFonts w:cs="Times New Roman"/>
          <w:lang w:val="en-US"/>
        </w:rPr>
        <w:t>28.</w:t>
      </w:r>
      <w:r w:rsidRPr="008D4FED">
        <w:rPr>
          <w:rFonts w:cs="Times New Roman"/>
          <w:lang w:val="en-US"/>
        </w:rPr>
        <w:tab/>
        <w:t xml:space="preserve">Carslaw, H. S. &amp; Jaeger, J. C. </w:t>
      </w:r>
      <w:r w:rsidRPr="008D4FED">
        <w:rPr>
          <w:rFonts w:cs="Times New Roman"/>
          <w:i/>
          <w:iCs/>
          <w:lang w:val="en-US"/>
        </w:rPr>
        <w:t>Conduction of Heat in Solids</w:t>
      </w:r>
      <w:r w:rsidRPr="008D4FED">
        <w:rPr>
          <w:rFonts w:cs="Times New Roman"/>
          <w:lang w:val="en-US"/>
        </w:rPr>
        <w:t>. (Oxford University Press, 1959).</w:t>
      </w:r>
    </w:p>
    <w:p w14:paraId="5B62B1BE" w14:textId="77777777" w:rsidR="008D4FED" w:rsidRPr="008D4FED" w:rsidRDefault="008D4FED" w:rsidP="008D4FED">
      <w:pPr>
        <w:pStyle w:val="Bibliographie"/>
        <w:rPr>
          <w:rFonts w:cs="Times New Roman"/>
          <w:lang w:val="en-US"/>
        </w:rPr>
      </w:pPr>
      <w:r w:rsidRPr="008D4FED">
        <w:rPr>
          <w:rFonts w:cs="Times New Roman"/>
          <w:lang w:val="en-US"/>
        </w:rPr>
        <w:t>29.</w:t>
      </w:r>
      <w:r w:rsidRPr="008D4FED">
        <w:rPr>
          <w:rFonts w:cs="Times New Roman"/>
          <w:lang w:val="en-US"/>
        </w:rPr>
        <w:tab/>
        <w:t xml:space="preserve">Cermak, V. &amp; Rybach, L. </w:t>
      </w:r>
      <w:r w:rsidRPr="008D4FED">
        <w:rPr>
          <w:rFonts w:cs="Times New Roman"/>
          <w:i/>
          <w:iCs/>
          <w:lang w:val="en-US"/>
        </w:rPr>
        <w:t>Thermal properties: Thermal conductivity and specific heat of minerals and rocks</w:t>
      </w:r>
      <w:r w:rsidRPr="008D4FED">
        <w:rPr>
          <w:rFonts w:cs="Times New Roman"/>
          <w:lang w:val="en-US"/>
        </w:rPr>
        <w:t>. (G. Angeneister, 1982).</w:t>
      </w:r>
    </w:p>
    <w:p w14:paraId="7449BE6E" w14:textId="77777777" w:rsidR="008D4FED" w:rsidRPr="008D4FED" w:rsidRDefault="008D4FED" w:rsidP="008D4FED">
      <w:pPr>
        <w:pStyle w:val="Bibliographie"/>
        <w:rPr>
          <w:rFonts w:cs="Times New Roman"/>
        </w:rPr>
      </w:pPr>
      <w:r w:rsidRPr="008D4FED">
        <w:rPr>
          <w:rFonts w:cs="Times New Roman"/>
          <w:lang w:val="en-US"/>
        </w:rPr>
        <w:t>30.</w:t>
      </w:r>
      <w:r w:rsidRPr="008D4FED">
        <w:rPr>
          <w:rFonts w:cs="Times New Roman"/>
          <w:lang w:val="en-US"/>
        </w:rPr>
        <w:tab/>
        <w:t xml:space="preserve">Bohrson, W. A. &amp; Spera, F. J. Energy-constrained open-system magmatic processes IV: Geochemical, thermal and mass consequences of energy-constrained recharge, assimilation and fractional crystallization (EC-RAFC): OPEN-SYSTEM MAGMATIC PROCESSES. </w:t>
      </w:r>
      <w:r w:rsidRPr="008D4FED">
        <w:rPr>
          <w:rFonts w:cs="Times New Roman"/>
          <w:i/>
          <w:iCs/>
        </w:rPr>
        <w:t>Geochem. Geophys. Geosystems</w:t>
      </w:r>
      <w:r w:rsidRPr="008D4FED">
        <w:rPr>
          <w:rFonts w:cs="Times New Roman"/>
        </w:rPr>
        <w:t xml:space="preserve"> </w:t>
      </w:r>
      <w:r w:rsidRPr="008D4FED">
        <w:rPr>
          <w:rFonts w:cs="Times New Roman"/>
          <w:b/>
          <w:bCs/>
        </w:rPr>
        <w:t>4</w:t>
      </w:r>
      <w:r w:rsidRPr="008D4FED">
        <w:rPr>
          <w:rFonts w:cs="Times New Roman"/>
        </w:rPr>
        <w:t>, (2003).</w:t>
      </w:r>
    </w:p>
    <w:p w14:paraId="00FBDC66" w14:textId="4C1B7E31" w:rsidR="0095174F" w:rsidRPr="00A31CC2" w:rsidRDefault="0095174F" w:rsidP="00654162">
      <w:pPr>
        <w:rPr>
          <w:noProof/>
          <w:sz w:val="28"/>
          <w:lang w:val="en-US" w:eastAsia="fr-FR"/>
        </w:rPr>
      </w:pPr>
      <w:r>
        <w:rPr>
          <w:noProof/>
          <w:sz w:val="28"/>
          <w:lang w:val="en-US" w:eastAsia="fr-FR"/>
        </w:rPr>
        <w:fldChar w:fldCharType="end"/>
      </w:r>
    </w:p>
    <w:sectPr w:rsidR="0095174F" w:rsidRPr="00A31CC2" w:rsidSect="00392E8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EC854" w14:textId="77777777" w:rsidR="00450B58" w:rsidRDefault="00450B58" w:rsidP="00F04B97">
      <w:pPr>
        <w:spacing w:after="0" w:line="240" w:lineRule="auto"/>
      </w:pPr>
      <w:r>
        <w:separator/>
      </w:r>
    </w:p>
  </w:endnote>
  <w:endnote w:type="continuationSeparator" w:id="0">
    <w:p w14:paraId="3BFBB383" w14:textId="77777777" w:rsidR="00450B58" w:rsidRDefault="00450B58" w:rsidP="00F0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0AF13" w14:textId="77777777" w:rsidR="00450B58" w:rsidRDefault="00450B58" w:rsidP="00F04B97">
      <w:pPr>
        <w:spacing w:after="0" w:line="240" w:lineRule="auto"/>
      </w:pPr>
      <w:r>
        <w:separator/>
      </w:r>
    </w:p>
  </w:footnote>
  <w:footnote w:type="continuationSeparator" w:id="0">
    <w:p w14:paraId="0FC8717B" w14:textId="77777777" w:rsidR="00450B58" w:rsidRDefault="00450B58" w:rsidP="00F04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7676"/>
    <w:multiLevelType w:val="hybridMultilevel"/>
    <w:tmpl w:val="67FC88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C77A66"/>
    <w:multiLevelType w:val="multilevel"/>
    <w:tmpl w:val="FFC844F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BF1E8A"/>
    <w:multiLevelType w:val="multilevel"/>
    <w:tmpl w:val="9AC88A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9324F"/>
    <w:multiLevelType w:val="hybridMultilevel"/>
    <w:tmpl w:val="A3F471B6"/>
    <w:lvl w:ilvl="0" w:tplc="EB92E902">
      <w:start w:val="2"/>
      <w:numFmt w:val="decimal"/>
      <w:lvlText w:val="%1."/>
      <w:lvlJc w:val="left"/>
      <w:pPr>
        <w:ind w:left="1430" w:hanging="360"/>
      </w:pPr>
      <w:rPr>
        <w:rFonts w:hint="default"/>
      </w:rPr>
    </w:lvl>
    <w:lvl w:ilvl="1" w:tplc="040C0019" w:tentative="1">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4" w15:restartNumberingAfterBreak="0">
    <w:nsid w:val="1BF9479D"/>
    <w:multiLevelType w:val="multilevel"/>
    <w:tmpl w:val="CDB2D692"/>
    <w:lvl w:ilvl="0">
      <w:start w:val="2"/>
      <w:numFmt w:val="decimal"/>
      <w:lvlText w:val="%1."/>
      <w:lvlJc w:val="left"/>
      <w:pPr>
        <w:ind w:left="720" w:hanging="360"/>
      </w:pPr>
      <w:rPr>
        <w:rFonts w:hint="default"/>
      </w:rPr>
    </w:lvl>
    <w:lvl w:ilvl="1">
      <w:start w:val="2"/>
      <w:numFmt w:val="decimal"/>
      <w:isLgl/>
      <w:lvlText w:val="%1.%2"/>
      <w:lvlJc w:val="left"/>
      <w:pPr>
        <w:ind w:left="1072" w:hanging="540"/>
      </w:pPr>
      <w:rPr>
        <w:rFonts w:hint="default"/>
      </w:rPr>
    </w:lvl>
    <w:lvl w:ilvl="2">
      <w:start w:val="4"/>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5" w15:restartNumberingAfterBreak="0">
    <w:nsid w:val="1F5C4047"/>
    <w:multiLevelType w:val="hybridMultilevel"/>
    <w:tmpl w:val="529A4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A13962"/>
    <w:multiLevelType w:val="hybridMultilevel"/>
    <w:tmpl w:val="351AADA6"/>
    <w:lvl w:ilvl="0" w:tplc="E5F466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B51773"/>
    <w:multiLevelType w:val="hybridMultilevel"/>
    <w:tmpl w:val="0E8ED94C"/>
    <w:lvl w:ilvl="0" w:tplc="386632D8">
      <w:start w:val="3"/>
      <w:numFmt w:val="decimal"/>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8" w15:restartNumberingAfterBreak="0">
    <w:nsid w:val="3A9521A8"/>
    <w:multiLevelType w:val="hybridMultilevel"/>
    <w:tmpl w:val="B2945038"/>
    <w:lvl w:ilvl="0" w:tplc="908242D0">
      <w:start w:val="1"/>
      <w:numFmt w:val="decimal"/>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9" w15:restartNumberingAfterBreak="0">
    <w:nsid w:val="3E435292"/>
    <w:multiLevelType w:val="hybridMultilevel"/>
    <w:tmpl w:val="CD48E32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A875588"/>
    <w:multiLevelType w:val="multilevel"/>
    <w:tmpl w:val="14F8EFDA"/>
    <w:lvl w:ilvl="0">
      <w:start w:val="2"/>
      <w:numFmt w:val="decimal"/>
      <w:lvlText w:val="%1"/>
      <w:lvlJc w:val="left"/>
      <w:pPr>
        <w:ind w:left="360" w:hanging="360"/>
      </w:pPr>
      <w:rPr>
        <w:rFonts w:eastAsiaTheme="minorHAnsi" w:hint="default"/>
      </w:rPr>
    </w:lvl>
    <w:lvl w:ilvl="1">
      <w:start w:val="4"/>
      <w:numFmt w:val="decimal"/>
      <w:lvlText w:val="%1.%2"/>
      <w:lvlJc w:val="left"/>
      <w:pPr>
        <w:ind w:left="1064" w:hanging="360"/>
      </w:pPr>
      <w:rPr>
        <w:rFonts w:eastAsiaTheme="minorHAnsi" w:hint="default"/>
      </w:rPr>
    </w:lvl>
    <w:lvl w:ilvl="2">
      <w:start w:val="1"/>
      <w:numFmt w:val="decimal"/>
      <w:lvlText w:val="%1.%2.%3"/>
      <w:lvlJc w:val="left"/>
      <w:pPr>
        <w:ind w:left="2128" w:hanging="720"/>
      </w:pPr>
      <w:rPr>
        <w:rFonts w:eastAsiaTheme="minorHAnsi" w:hint="default"/>
      </w:rPr>
    </w:lvl>
    <w:lvl w:ilvl="3">
      <w:start w:val="1"/>
      <w:numFmt w:val="decimal"/>
      <w:lvlText w:val="%1.%2.%3.%4"/>
      <w:lvlJc w:val="left"/>
      <w:pPr>
        <w:ind w:left="2832" w:hanging="720"/>
      </w:pPr>
      <w:rPr>
        <w:rFonts w:eastAsiaTheme="minorHAnsi" w:hint="default"/>
      </w:rPr>
    </w:lvl>
    <w:lvl w:ilvl="4">
      <w:start w:val="1"/>
      <w:numFmt w:val="decimal"/>
      <w:lvlText w:val="%1.%2.%3.%4.%5"/>
      <w:lvlJc w:val="left"/>
      <w:pPr>
        <w:ind w:left="3896" w:hanging="1080"/>
      </w:pPr>
      <w:rPr>
        <w:rFonts w:eastAsiaTheme="minorHAnsi" w:hint="default"/>
      </w:rPr>
    </w:lvl>
    <w:lvl w:ilvl="5">
      <w:start w:val="1"/>
      <w:numFmt w:val="decimal"/>
      <w:lvlText w:val="%1.%2.%3.%4.%5.%6"/>
      <w:lvlJc w:val="left"/>
      <w:pPr>
        <w:ind w:left="4600" w:hanging="1080"/>
      </w:pPr>
      <w:rPr>
        <w:rFonts w:eastAsiaTheme="minorHAnsi" w:hint="default"/>
      </w:rPr>
    </w:lvl>
    <w:lvl w:ilvl="6">
      <w:start w:val="1"/>
      <w:numFmt w:val="decimal"/>
      <w:lvlText w:val="%1.%2.%3.%4.%5.%6.%7"/>
      <w:lvlJc w:val="left"/>
      <w:pPr>
        <w:ind w:left="5664" w:hanging="1440"/>
      </w:pPr>
      <w:rPr>
        <w:rFonts w:eastAsiaTheme="minorHAnsi" w:hint="default"/>
      </w:rPr>
    </w:lvl>
    <w:lvl w:ilvl="7">
      <w:start w:val="1"/>
      <w:numFmt w:val="decimal"/>
      <w:lvlText w:val="%1.%2.%3.%4.%5.%6.%7.%8"/>
      <w:lvlJc w:val="left"/>
      <w:pPr>
        <w:ind w:left="6368" w:hanging="1440"/>
      </w:pPr>
      <w:rPr>
        <w:rFonts w:eastAsiaTheme="minorHAnsi" w:hint="default"/>
      </w:rPr>
    </w:lvl>
    <w:lvl w:ilvl="8">
      <w:start w:val="1"/>
      <w:numFmt w:val="decimal"/>
      <w:lvlText w:val="%1.%2.%3.%4.%5.%6.%7.%8.%9"/>
      <w:lvlJc w:val="left"/>
      <w:pPr>
        <w:ind w:left="7432" w:hanging="1800"/>
      </w:pPr>
      <w:rPr>
        <w:rFonts w:eastAsiaTheme="minorHAnsi" w:hint="default"/>
      </w:rPr>
    </w:lvl>
  </w:abstractNum>
  <w:abstractNum w:abstractNumId="11" w15:restartNumberingAfterBreak="0">
    <w:nsid w:val="51FC05D3"/>
    <w:multiLevelType w:val="hybridMultilevel"/>
    <w:tmpl w:val="809448F6"/>
    <w:lvl w:ilvl="0" w:tplc="42205B92">
      <w:start w:val="1"/>
      <w:numFmt w:val="decimal"/>
      <w:lvlText w:val="%1"/>
      <w:lvlJc w:val="left"/>
      <w:pPr>
        <w:ind w:left="107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1403225"/>
    <w:multiLevelType w:val="hybridMultilevel"/>
    <w:tmpl w:val="8882802A"/>
    <w:lvl w:ilvl="0" w:tplc="820C6A68">
      <w:start w:val="2"/>
      <w:numFmt w:val="bullet"/>
      <w:lvlText w:val="-"/>
      <w:lvlJc w:val="left"/>
      <w:pPr>
        <w:ind w:left="1210" w:hanging="360"/>
      </w:pPr>
      <w:rPr>
        <w:rFonts w:ascii="Calibri" w:eastAsiaTheme="minorHAnsi" w:hAnsi="Calibri" w:cs="Calibri"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3" w15:restartNumberingAfterBreak="0">
    <w:nsid w:val="67C06ECE"/>
    <w:multiLevelType w:val="hybridMultilevel"/>
    <w:tmpl w:val="3C9690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EF4BB3"/>
    <w:multiLevelType w:val="hybridMultilevel"/>
    <w:tmpl w:val="E306E596"/>
    <w:lvl w:ilvl="0" w:tplc="31AAA5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DFD2B81"/>
    <w:multiLevelType w:val="multilevel"/>
    <w:tmpl w:val="50F88C1C"/>
    <w:lvl w:ilvl="0">
      <w:start w:val="2"/>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9"/>
  </w:num>
  <w:num w:numId="3">
    <w:abstractNumId w:val="6"/>
  </w:num>
  <w:num w:numId="4">
    <w:abstractNumId w:val="5"/>
  </w:num>
  <w:num w:numId="5">
    <w:abstractNumId w:val="13"/>
  </w:num>
  <w:num w:numId="6">
    <w:abstractNumId w:val="14"/>
  </w:num>
  <w:num w:numId="7">
    <w:abstractNumId w:val="1"/>
  </w:num>
  <w:num w:numId="8">
    <w:abstractNumId w:val="2"/>
  </w:num>
  <w:num w:numId="9">
    <w:abstractNumId w:val="15"/>
  </w:num>
  <w:num w:numId="10">
    <w:abstractNumId w:val="11"/>
  </w:num>
  <w:num w:numId="11">
    <w:abstractNumId w:val="7"/>
  </w:num>
  <w:num w:numId="12">
    <w:abstractNumId w:val="3"/>
  </w:num>
  <w:num w:numId="13">
    <w:abstractNumId w:val="4"/>
  </w:num>
  <w:num w:numId="14">
    <w:abstractNumId w:val="8"/>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55"/>
    <w:rsid w:val="000065B5"/>
    <w:rsid w:val="000157CF"/>
    <w:rsid w:val="00016B95"/>
    <w:rsid w:val="000211F7"/>
    <w:rsid w:val="00027849"/>
    <w:rsid w:val="00031DD6"/>
    <w:rsid w:val="00032087"/>
    <w:rsid w:val="00040210"/>
    <w:rsid w:val="000406AA"/>
    <w:rsid w:val="00042188"/>
    <w:rsid w:val="00044F82"/>
    <w:rsid w:val="00047713"/>
    <w:rsid w:val="00086903"/>
    <w:rsid w:val="00090B54"/>
    <w:rsid w:val="00090EDC"/>
    <w:rsid w:val="00093351"/>
    <w:rsid w:val="000A2426"/>
    <w:rsid w:val="000A2C84"/>
    <w:rsid w:val="000B1117"/>
    <w:rsid w:val="000D35F3"/>
    <w:rsid w:val="000D5368"/>
    <w:rsid w:val="000F367C"/>
    <w:rsid w:val="000F3E2F"/>
    <w:rsid w:val="000F5C9A"/>
    <w:rsid w:val="00110730"/>
    <w:rsid w:val="0011120A"/>
    <w:rsid w:val="0013300B"/>
    <w:rsid w:val="00150F39"/>
    <w:rsid w:val="00151F14"/>
    <w:rsid w:val="001527CD"/>
    <w:rsid w:val="00156A6B"/>
    <w:rsid w:val="00157A61"/>
    <w:rsid w:val="00160790"/>
    <w:rsid w:val="001859CB"/>
    <w:rsid w:val="0018762E"/>
    <w:rsid w:val="001A4E19"/>
    <w:rsid w:val="001B0A03"/>
    <w:rsid w:val="001B5E4D"/>
    <w:rsid w:val="001C4F4A"/>
    <w:rsid w:val="001C7F39"/>
    <w:rsid w:val="001D3749"/>
    <w:rsid w:val="00215964"/>
    <w:rsid w:val="002167F0"/>
    <w:rsid w:val="00221F34"/>
    <w:rsid w:val="00226A99"/>
    <w:rsid w:val="00243F0A"/>
    <w:rsid w:val="0024757D"/>
    <w:rsid w:val="002567E0"/>
    <w:rsid w:val="002607C7"/>
    <w:rsid w:val="002657C8"/>
    <w:rsid w:val="00272A88"/>
    <w:rsid w:val="00273712"/>
    <w:rsid w:val="002750FB"/>
    <w:rsid w:val="0028178A"/>
    <w:rsid w:val="00294B87"/>
    <w:rsid w:val="002A18EE"/>
    <w:rsid w:val="002B2743"/>
    <w:rsid w:val="002B460E"/>
    <w:rsid w:val="002B4935"/>
    <w:rsid w:val="002B5850"/>
    <w:rsid w:val="002B6533"/>
    <w:rsid w:val="002D5C2C"/>
    <w:rsid w:val="002E6DC9"/>
    <w:rsid w:val="002E7A07"/>
    <w:rsid w:val="002F53E5"/>
    <w:rsid w:val="002F5BCA"/>
    <w:rsid w:val="003065F1"/>
    <w:rsid w:val="00316BEB"/>
    <w:rsid w:val="003252E8"/>
    <w:rsid w:val="00331DA9"/>
    <w:rsid w:val="00343B32"/>
    <w:rsid w:val="00345D15"/>
    <w:rsid w:val="00346F5C"/>
    <w:rsid w:val="00371B62"/>
    <w:rsid w:val="0037305C"/>
    <w:rsid w:val="00374813"/>
    <w:rsid w:val="003756BA"/>
    <w:rsid w:val="00380154"/>
    <w:rsid w:val="00382D2F"/>
    <w:rsid w:val="003851E8"/>
    <w:rsid w:val="00392E86"/>
    <w:rsid w:val="003A7D4B"/>
    <w:rsid w:val="003B44DA"/>
    <w:rsid w:val="003B5F1F"/>
    <w:rsid w:val="003C2678"/>
    <w:rsid w:val="003C3F55"/>
    <w:rsid w:val="003D00A5"/>
    <w:rsid w:val="003D5821"/>
    <w:rsid w:val="003E473C"/>
    <w:rsid w:val="003E6700"/>
    <w:rsid w:val="003F1EC7"/>
    <w:rsid w:val="003F21D8"/>
    <w:rsid w:val="003F37CC"/>
    <w:rsid w:val="003F6B27"/>
    <w:rsid w:val="00401BA7"/>
    <w:rsid w:val="00404BA8"/>
    <w:rsid w:val="004118CC"/>
    <w:rsid w:val="004214BE"/>
    <w:rsid w:val="0042158B"/>
    <w:rsid w:val="004363FC"/>
    <w:rsid w:val="00442962"/>
    <w:rsid w:val="00442A49"/>
    <w:rsid w:val="00445998"/>
    <w:rsid w:val="00446A23"/>
    <w:rsid w:val="00450143"/>
    <w:rsid w:val="00450B58"/>
    <w:rsid w:val="004543F8"/>
    <w:rsid w:val="00457AE5"/>
    <w:rsid w:val="00463CA3"/>
    <w:rsid w:val="0047175E"/>
    <w:rsid w:val="00481424"/>
    <w:rsid w:val="00494E88"/>
    <w:rsid w:val="004A261A"/>
    <w:rsid w:val="004A42A7"/>
    <w:rsid w:val="004B035F"/>
    <w:rsid w:val="004B0E6F"/>
    <w:rsid w:val="004B2D86"/>
    <w:rsid w:val="004C2464"/>
    <w:rsid w:val="004C4797"/>
    <w:rsid w:val="004C50A9"/>
    <w:rsid w:val="004D2D37"/>
    <w:rsid w:val="004E68F0"/>
    <w:rsid w:val="004F673D"/>
    <w:rsid w:val="004F79AD"/>
    <w:rsid w:val="00504F59"/>
    <w:rsid w:val="00510B30"/>
    <w:rsid w:val="00515E86"/>
    <w:rsid w:val="00515EC0"/>
    <w:rsid w:val="005171F4"/>
    <w:rsid w:val="005179D3"/>
    <w:rsid w:val="0052155B"/>
    <w:rsid w:val="00524488"/>
    <w:rsid w:val="005311AC"/>
    <w:rsid w:val="00541D6B"/>
    <w:rsid w:val="005542D3"/>
    <w:rsid w:val="00554C20"/>
    <w:rsid w:val="00576A48"/>
    <w:rsid w:val="005803EF"/>
    <w:rsid w:val="0059286C"/>
    <w:rsid w:val="005A1BE9"/>
    <w:rsid w:val="005A2100"/>
    <w:rsid w:val="005A6041"/>
    <w:rsid w:val="005C34EC"/>
    <w:rsid w:val="005C551B"/>
    <w:rsid w:val="005D2401"/>
    <w:rsid w:val="005D3063"/>
    <w:rsid w:val="005F18DC"/>
    <w:rsid w:val="00600BEE"/>
    <w:rsid w:val="00606B44"/>
    <w:rsid w:val="0062435C"/>
    <w:rsid w:val="00626356"/>
    <w:rsid w:val="00630057"/>
    <w:rsid w:val="006300A5"/>
    <w:rsid w:val="0063675D"/>
    <w:rsid w:val="00637661"/>
    <w:rsid w:val="00642F24"/>
    <w:rsid w:val="006510BA"/>
    <w:rsid w:val="00654162"/>
    <w:rsid w:val="00661762"/>
    <w:rsid w:val="0066599D"/>
    <w:rsid w:val="00673B0D"/>
    <w:rsid w:val="00686FF2"/>
    <w:rsid w:val="006A3794"/>
    <w:rsid w:val="006A4A87"/>
    <w:rsid w:val="006A4B35"/>
    <w:rsid w:val="006B4DE0"/>
    <w:rsid w:val="006B7F9F"/>
    <w:rsid w:val="006C0F4E"/>
    <w:rsid w:val="006C1115"/>
    <w:rsid w:val="006D41E5"/>
    <w:rsid w:val="006D7D52"/>
    <w:rsid w:val="006E6D10"/>
    <w:rsid w:val="006F0D07"/>
    <w:rsid w:val="0070091D"/>
    <w:rsid w:val="007051CE"/>
    <w:rsid w:val="0071028B"/>
    <w:rsid w:val="007126E8"/>
    <w:rsid w:val="007128E9"/>
    <w:rsid w:val="00716033"/>
    <w:rsid w:val="00716460"/>
    <w:rsid w:val="00725216"/>
    <w:rsid w:val="00725B59"/>
    <w:rsid w:val="00727A8C"/>
    <w:rsid w:val="00734EB2"/>
    <w:rsid w:val="00735E2E"/>
    <w:rsid w:val="007572D1"/>
    <w:rsid w:val="007572E5"/>
    <w:rsid w:val="00757877"/>
    <w:rsid w:val="0078175F"/>
    <w:rsid w:val="00790BBC"/>
    <w:rsid w:val="00792238"/>
    <w:rsid w:val="007928B5"/>
    <w:rsid w:val="007A0BD2"/>
    <w:rsid w:val="007A7E1D"/>
    <w:rsid w:val="007B2A59"/>
    <w:rsid w:val="007C67FA"/>
    <w:rsid w:val="007E16F9"/>
    <w:rsid w:val="007E63FC"/>
    <w:rsid w:val="007E6B57"/>
    <w:rsid w:val="00801936"/>
    <w:rsid w:val="008062D9"/>
    <w:rsid w:val="00817A56"/>
    <w:rsid w:val="00824B77"/>
    <w:rsid w:val="00824D4D"/>
    <w:rsid w:val="00830EE8"/>
    <w:rsid w:val="00847509"/>
    <w:rsid w:val="00853BE7"/>
    <w:rsid w:val="0086039D"/>
    <w:rsid w:val="00862F92"/>
    <w:rsid w:val="008652C8"/>
    <w:rsid w:val="008827D6"/>
    <w:rsid w:val="00890154"/>
    <w:rsid w:val="00895FBD"/>
    <w:rsid w:val="008A266C"/>
    <w:rsid w:val="008A6E6D"/>
    <w:rsid w:val="008B0E08"/>
    <w:rsid w:val="008B3078"/>
    <w:rsid w:val="008C1D1E"/>
    <w:rsid w:val="008C4EAF"/>
    <w:rsid w:val="008D0AAC"/>
    <w:rsid w:val="008D1BBE"/>
    <w:rsid w:val="008D1DBD"/>
    <w:rsid w:val="008D2940"/>
    <w:rsid w:val="008D2ED9"/>
    <w:rsid w:val="008D442A"/>
    <w:rsid w:val="008D4FED"/>
    <w:rsid w:val="008E4D1B"/>
    <w:rsid w:val="008F16AB"/>
    <w:rsid w:val="00900875"/>
    <w:rsid w:val="0090333C"/>
    <w:rsid w:val="009049BC"/>
    <w:rsid w:val="0093354D"/>
    <w:rsid w:val="009363D4"/>
    <w:rsid w:val="00942669"/>
    <w:rsid w:val="0095174F"/>
    <w:rsid w:val="00952E62"/>
    <w:rsid w:val="00953D89"/>
    <w:rsid w:val="00980D7A"/>
    <w:rsid w:val="00982C4D"/>
    <w:rsid w:val="00987C9C"/>
    <w:rsid w:val="00987E83"/>
    <w:rsid w:val="009917E0"/>
    <w:rsid w:val="00996016"/>
    <w:rsid w:val="009977CE"/>
    <w:rsid w:val="009A3AFC"/>
    <w:rsid w:val="009A3C43"/>
    <w:rsid w:val="009B3191"/>
    <w:rsid w:val="009C4487"/>
    <w:rsid w:val="009D1E66"/>
    <w:rsid w:val="009D7CA2"/>
    <w:rsid w:val="009E09CB"/>
    <w:rsid w:val="009E0A27"/>
    <w:rsid w:val="009E3B37"/>
    <w:rsid w:val="009F2CC2"/>
    <w:rsid w:val="009F3735"/>
    <w:rsid w:val="00A05279"/>
    <w:rsid w:val="00A13DED"/>
    <w:rsid w:val="00A31CC2"/>
    <w:rsid w:val="00A322EA"/>
    <w:rsid w:val="00A34A77"/>
    <w:rsid w:val="00A568CE"/>
    <w:rsid w:val="00A5749C"/>
    <w:rsid w:val="00A64823"/>
    <w:rsid w:val="00A65D33"/>
    <w:rsid w:val="00A82648"/>
    <w:rsid w:val="00A83A55"/>
    <w:rsid w:val="00A854E6"/>
    <w:rsid w:val="00A87C63"/>
    <w:rsid w:val="00A91F86"/>
    <w:rsid w:val="00AA11A7"/>
    <w:rsid w:val="00AA4EBF"/>
    <w:rsid w:val="00AA76D5"/>
    <w:rsid w:val="00AB157A"/>
    <w:rsid w:val="00AC4B1B"/>
    <w:rsid w:val="00AD2C8C"/>
    <w:rsid w:val="00AE4006"/>
    <w:rsid w:val="00B11842"/>
    <w:rsid w:val="00B11F1D"/>
    <w:rsid w:val="00B164CE"/>
    <w:rsid w:val="00B22241"/>
    <w:rsid w:val="00B22966"/>
    <w:rsid w:val="00B27184"/>
    <w:rsid w:val="00B33FAA"/>
    <w:rsid w:val="00B36E19"/>
    <w:rsid w:val="00B4391F"/>
    <w:rsid w:val="00B43AD2"/>
    <w:rsid w:val="00B45BCE"/>
    <w:rsid w:val="00B52E5C"/>
    <w:rsid w:val="00B55444"/>
    <w:rsid w:val="00B60DB4"/>
    <w:rsid w:val="00B61E9E"/>
    <w:rsid w:val="00B63041"/>
    <w:rsid w:val="00B71CAA"/>
    <w:rsid w:val="00B72579"/>
    <w:rsid w:val="00B72D1D"/>
    <w:rsid w:val="00B750AB"/>
    <w:rsid w:val="00B84E6E"/>
    <w:rsid w:val="00B86A1C"/>
    <w:rsid w:val="00B876C6"/>
    <w:rsid w:val="00B906A8"/>
    <w:rsid w:val="00B91C78"/>
    <w:rsid w:val="00B9417F"/>
    <w:rsid w:val="00B94C92"/>
    <w:rsid w:val="00BA0BF6"/>
    <w:rsid w:val="00BA1678"/>
    <w:rsid w:val="00BA1EB8"/>
    <w:rsid w:val="00BA5D9D"/>
    <w:rsid w:val="00BA6970"/>
    <w:rsid w:val="00BA7DF6"/>
    <w:rsid w:val="00BB3330"/>
    <w:rsid w:val="00BB6586"/>
    <w:rsid w:val="00BB6F8B"/>
    <w:rsid w:val="00BC1B92"/>
    <w:rsid w:val="00BD095E"/>
    <w:rsid w:val="00BE6CFA"/>
    <w:rsid w:val="00BE7A6A"/>
    <w:rsid w:val="00BF6FE1"/>
    <w:rsid w:val="00C11964"/>
    <w:rsid w:val="00C256C8"/>
    <w:rsid w:val="00C25840"/>
    <w:rsid w:val="00C32AE9"/>
    <w:rsid w:val="00C35D01"/>
    <w:rsid w:val="00C51B3B"/>
    <w:rsid w:val="00C52594"/>
    <w:rsid w:val="00C61FFB"/>
    <w:rsid w:val="00C67AD2"/>
    <w:rsid w:val="00C84E7D"/>
    <w:rsid w:val="00C90DE7"/>
    <w:rsid w:val="00C94976"/>
    <w:rsid w:val="00C95485"/>
    <w:rsid w:val="00CA0642"/>
    <w:rsid w:val="00CA1527"/>
    <w:rsid w:val="00CA5C23"/>
    <w:rsid w:val="00CB22BD"/>
    <w:rsid w:val="00CC27F5"/>
    <w:rsid w:val="00CC2DF6"/>
    <w:rsid w:val="00CD63A1"/>
    <w:rsid w:val="00CE0194"/>
    <w:rsid w:val="00CE214F"/>
    <w:rsid w:val="00CE7AE9"/>
    <w:rsid w:val="00D01B3D"/>
    <w:rsid w:val="00D04D35"/>
    <w:rsid w:val="00D105EE"/>
    <w:rsid w:val="00D26C87"/>
    <w:rsid w:val="00D3014C"/>
    <w:rsid w:val="00D31130"/>
    <w:rsid w:val="00D3779D"/>
    <w:rsid w:val="00D52D36"/>
    <w:rsid w:val="00D5601A"/>
    <w:rsid w:val="00D621DA"/>
    <w:rsid w:val="00D625C6"/>
    <w:rsid w:val="00D67E3B"/>
    <w:rsid w:val="00D769C2"/>
    <w:rsid w:val="00D83FA4"/>
    <w:rsid w:val="00D8523F"/>
    <w:rsid w:val="00D8599C"/>
    <w:rsid w:val="00D94D4D"/>
    <w:rsid w:val="00D97CA4"/>
    <w:rsid w:val="00DA017D"/>
    <w:rsid w:val="00DB54B6"/>
    <w:rsid w:val="00DB618A"/>
    <w:rsid w:val="00DB7A16"/>
    <w:rsid w:val="00DC1D0E"/>
    <w:rsid w:val="00DC45E5"/>
    <w:rsid w:val="00DE205C"/>
    <w:rsid w:val="00DE3033"/>
    <w:rsid w:val="00DE4076"/>
    <w:rsid w:val="00DE5E26"/>
    <w:rsid w:val="00E0653A"/>
    <w:rsid w:val="00E2295A"/>
    <w:rsid w:val="00E40894"/>
    <w:rsid w:val="00E47674"/>
    <w:rsid w:val="00E53BBC"/>
    <w:rsid w:val="00E53E7E"/>
    <w:rsid w:val="00E62627"/>
    <w:rsid w:val="00E6366E"/>
    <w:rsid w:val="00E82031"/>
    <w:rsid w:val="00E836E0"/>
    <w:rsid w:val="00E876AF"/>
    <w:rsid w:val="00EA0EDA"/>
    <w:rsid w:val="00EA35CD"/>
    <w:rsid w:val="00EA4CC1"/>
    <w:rsid w:val="00EB456E"/>
    <w:rsid w:val="00EB73D1"/>
    <w:rsid w:val="00EC65D0"/>
    <w:rsid w:val="00EC7985"/>
    <w:rsid w:val="00ED0CA3"/>
    <w:rsid w:val="00EE0D01"/>
    <w:rsid w:val="00EE3550"/>
    <w:rsid w:val="00EE4360"/>
    <w:rsid w:val="00EE4630"/>
    <w:rsid w:val="00EE7461"/>
    <w:rsid w:val="00EF01DE"/>
    <w:rsid w:val="00EF2199"/>
    <w:rsid w:val="00EF6559"/>
    <w:rsid w:val="00F04B97"/>
    <w:rsid w:val="00F172C1"/>
    <w:rsid w:val="00F20D34"/>
    <w:rsid w:val="00F33249"/>
    <w:rsid w:val="00F4521D"/>
    <w:rsid w:val="00F45638"/>
    <w:rsid w:val="00F511F7"/>
    <w:rsid w:val="00F536AC"/>
    <w:rsid w:val="00F536E5"/>
    <w:rsid w:val="00F5637E"/>
    <w:rsid w:val="00F61AF1"/>
    <w:rsid w:val="00F700DB"/>
    <w:rsid w:val="00F744B7"/>
    <w:rsid w:val="00F817A2"/>
    <w:rsid w:val="00F84EEC"/>
    <w:rsid w:val="00FA2B20"/>
    <w:rsid w:val="00FA4751"/>
    <w:rsid w:val="00FB172E"/>
    <w:rsid w:val="00FB5ECA"/>
    <w:rsid w:val="00FD06E0"/>
    <w:rsid w:val="00FD3E95"/>
    <w:rsid w:val="00FD6227"/>
    <w:rsid w:val="00FD62CE"/>
    <w:rsid w:val="00FE660B"/>
    <w:rsid w:val="00FF28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FC707"/>
  <w15:chartTrackingRefBased/>
  <w15:docId w15:val="{E95DC1E0-9E30-432E-B15E-0222B9AF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6AA"/>
    <w:pPr>
      <w:spacing w:line="480" w:lineRule="auto"/>
      <w:jc w:val="both"/>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2594"/>
    <w:pPr>
      <w:ind w:left="720"/>
      <w:contextualSpacing/>
    </w:pPr>
  </w:style>
  <w:style w:type="character" w:styleId="Textedelespacerserv">
    <w:name w:val="Placeholder Text"/>
    <w:basedOn w:val="Policepardfaut"/>
    <w:uiPriority w:val="99"/>
    <w:semiHidden/>
    <w:rsid w:val="008827D6"/>
    <w:rPr>
      <w:color w:val="808080"/>
    </w:rPr>
  </w:style>
  <w:style w:type="character" w:styleId="Lienhypertexte">
    <w:name w:val="Hyperlink"/>
    <w:basedOn w:val="Policepardfaut"/>
    <w:uiPriority w:val="99"/>
    <w:semiHidden/>
    <w:unhideWhenUsed/>
    <w:rsid w:val="008827D6"/>
    <w:rPr>
      <w:color w:val="0000FF"/>
      <w:u w:val="single"/>
    </w:rPr>
  </w:style>
  <w:style w:type="table" w:styleId="Grilledutableau">
    <w:name w:val="Table Grid"/>
    <w:basedOn w:val="TableauNormal"/>
    <w:uiPriority w:val="39"/>
    <w:rsid w:val="0088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B222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gende">
    <w:name w:val="caption"/>
    <w:basedOn w:val="Normal"/>
    <w:next w:val="Normal"/>
    <w:uiPriority w:val="35"/>
    <w:unhideWhenUsed/>
    <w:qFormat/>
    <w:rsid w:val="00A5749C"/>
    <w:pPr>
      <w:spacing w:after="200" w:line="240" w:lineRule="auto"/>
    </w:pPr>
    <w:rPr>
      <w:i/>
      <w:iCs/>
      <w:sz w:val="18"/>
      <w:szCs w:val="18"/>
    </w:rPr>
  </w:style>
  <w:style w:type="paragraph" w:styleId="Bibliographie">
    <w:name w:val="Bibliography"/>
    <w:basedOn w:val="Normal"/>
    <w:next w:val="Normal"/>
    <w:uiPriority w:val="37"/>
    <w:unhideWhenUsed/>
    <w:rsid w:val="00BA0BF6"/>
    <w:pPr>
      <w:tabs>
        <w:tab w:val="left" w:pos="264"/>
      </w:tabs>
      <w:spacing w:after="0"/>
      <w:ind w:left="264" w:hanging="264"/>
    </w:pPr>
  </w:style>
  <w:style w:type="paragraph" w:styleId="En-tte">
    <w:name w:val="header"/>
    <w:basedOn w:val="Normal"/>
    <w:link w:val="En-tteCar"/>
    <w:uiPriority w:val="99"/>
    <w:unhideWhenUsed/>
    <w:rsid w:val="00F04B97"/>
    <w:pPr>
      <w:tabs>
        <w:tab w:val="center" w:pos="4536"/>
        <w:tab w:val="right" w:pos="9072"/>
      </w:tabs>
      <w:spacing w:after="0" w:line="240" w:lineRule="auto"/>
    </w:pPr>
  </w:style>
  <w:style w:type="character" w:customStyle="1" w:styleId="En-tteCar">
    <w:name w:val="En-tête Car"/>
    <w:basedOn w:val="Policepardfaut"/>
    <w:link w:val="En-tte"/>
    <w:uiPriority w:val="99"/>
    <w:rsid w:val="00F04B97"/>
    <w:rPr>
      <w:rFonts w:ascii="Times New Roman" w:hAnsi="Times New Roman"/>
      <w:sz w:val="24"/>
    </w:rPr>
  </w:style>
  <w:style w:type="paragraph" w:styleId="Pieddepage">
    <w:name w:val="footer"/>
    <w:basedOn w:val="Normal"/>
    <w:link w:val="PieddepageCar"/>
    <w:uiPriority w:val="99"/>
    <w:unhideWhenUsed/>
    <w:rsid w:val="00F04B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4B97"/>
    <w:rPr>
      <w:rFonts w:ascii="Times New Roman" w:hAnsi="Times New Roman"/>
      <w:sz w:val="24"/>
    </w:rPr>
  </w:style>
  <w:style w:type="character" w:styleId="Marquedecommentaire">
    <w:name w:val="annotation reference"/>
    <w:basedOn w:val="Policepardfaut"/>
    <w:uiPriority w:val="99"/>
    <w:semiHidden/>
    <w:unhideWhenUsed/>
    <w:rsid w:val="005171F4"/>
    <w:rPr>
      <w:sz w:val="16"/>
      <w:szCs w:val="16"/>
    </w:rPr>
  </w:style>
  <w:style w:type="paragraph" w:styleId="Commentaire">
    <w:name w:val="annotation text"/>
    <w:basedOn w:val="Normal"/>
    <w:link w:val="CommentaireCar"/>
    <w:uiPriority w:val="99"/>
    <w:semiHidden/>
    <w:unhideWhenUsed/>
    <w:rsid w:val="005171F4"/>
    <w:pPr>
      <w:spacing w:line="240" w:lineRule="auto"/>
    </w:pPr>
    <w:rPr>
      <w:sz w:val="20"/>
      <w:szCs w:val="20"/>
    </w:rPr>
  </w:style>
  <w:style w:type="character" w:customStyle="1" w:styleId="CommentaireCar">
    <w:name w:val="Commentaire Car"/>
    <w:basedOn w:val="Policepardfaut"/>
    <w:link w:val="Commentaire"/>
    <w:uiPriority w:val="99"/>
    <w:semiHidden/>
    <w:rsid w:val="005171F4"/>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5171F4"/>
    <w:rPr>
      <w:b/>
      <w:bCs/>
    </w:rPr>
  </w:style>
  <w:style w:type="character" w:customStyle="1" w:styleId="ObjetducommentaireCar">
    <w:name w:val="Objet du commentaire Car"/>
    <w:basedOn w:val="CommentaireCar"/>
    <w:link w:val="Objetducommentaire"/>
    <w:uiPriority w:val="99"/>
    <w:semiHidden/>
    <w:rsid w:val="005171F4"/>
    <w:rPr>
      <w:rFonts w:ascii="Times New Roman" w:hAnsi="Times New Roman"/>
      <w:b/>
      <w:bCs/>
      <w:sz w:val="20"/>
      <w:szCs w:val="20"/>
    </w:rPr>
  </w:style>
  <w:style w:type="paragraph" w:styleId="Textedebulles">
    <w:name w:val="Balloon Text"/>
    <w:basedOn w:val="Normal"/>
    <w:link w:val="TextedebullesCar"/>
    <w:uiPriority w:val="99"/>
    <w:semiHidden/>
    <w:unhideWhenUsed/>
    <w:rsid w:val="005171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71F4"/>
    <w:rPr>
      <w:rFonts w:ascii="Segoe UI" w:hAnsi="Segoe UI" w:cs="Segoe UI"/>
      <w:sz w:val="18"/>
      <w:szCs w:val="18"/>
    </w:rPr>
  </w:style>
  <w:style w:type="character" w:styleId="Numrodeligne">
    <w:name w:val="line number"/>
    <w:basedOn w:val="Policepardfaut"/>
    <w:uiPriority w:val="99"/>
    <w:semiHidden/>
    <w:unhideWhenUsed/>
    <w:rsid w:val="0039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817284">
      <w:bodyDiv w:val="1"/>
      <w:marLeft w:val="0"/>
      <w:marRight w:val="0"/>
      <w:marTop w:val="0"/>
      <w:marBottom w:val="0"/>
      <w:divBdr>
        <w:top w:val="none" w:sz="0" w:space="0" w:color="auto"/>
        <w:left w:val="none" w:sz="0" w:space="0" w:color="auto"/>
        <w:bottom w:val="none" w:sz="0" w:space="0" w:color="auto"/>
        <w:right w:val="none" w:sz="0" w:space="0" w:color="auto"/>
      </w:divBdr>
    </w:div>
    <w:div w:id="1321036495">
      <w:bodyDiv w:val="1"/>
      <w:marLeft w:val="0"/>
      <w:marRight w:val="0"/>
      <w:marTop w:val="0"/>
      <w:marBottom w:val="0"/>
      <w:divBdr>
        <w:top w:val="none" w:sz="0" w:space="0" w:color="auto"/>
        <w:left w:val="none" w:sz="0" w:space="0" w:color="auto"/>
        <w:bottom w:val="none" w:sz="0" w:space="0" w:color="auto"/>
        <w:right w:val="none" w:sz="0" w:space="0" w:color="auto"/>
      </w:divBdr>
    </w:div>
    <w:div w:id="1461848568">
      <w:bodyDiv w:val="1"/>
      <w:marLeft w:val="0"/>
      <w:marRight w:val="0"/>
      <w:marTop w:val="0"/>
      <w:marBottom w:val="0"/>
      <w:divBdr>
        <w:top w:val="none" w:sz="0" w:space="0" w:color="auto"/>
        <w:left w:val="none" w:sz="0" w:space="0" w:color="auto"/>
        <w:bottom w:val="none" w:sz="0" w:space="0" w:color="auto"/>
        <w:right w:val="none" w:sz="0" w:space="0" w:color="auto"/>
      </w:divBdr>
    </w:div>
    <w:div w:id="1565023169">
      <w:bodyDiv w:val="1"/>
      <w:marLeft w:val="0"/>
      <w:marRight w:val="0"/>
      <w:marTop w:val="0"/>
      <w:marBottom w:val="0"/>
      <w:divBdr>
        <w:top w:val="none" w:sz="0" w:space="0" w:color="auto"/>
        <w:left w:val="none" w:sz="0" w:space="0" w:color="auto"/>
        <w:bottom w:val="none" w:sz="0" w:space="0" w:color="auto"/>
        <w:right w:val="none" w:sz="0" w:space="0" w:color="auto"/>
      </w:divBdr>
    </w:div>
    <w:div w:id="164990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fr.wiktionary.org/wiki/%CE%BA" TargetMode="External"/><Relationship Id="rId2" Type="http://schemas.openxmlformats.org/officeDocument/2006/relationships/numbering" Target="numbering.xml"/><Relationship Id="rId16" Type="http://schemas.openxmlformats.org/officeDocument/2006/relationships/hyperlink" Target="https://fr.wiktionary.org/wiki/%CE%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AA66-BF6A-40ED-AB47-CA81A9B8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14632</Words>
  <Characters>80481</Characters>
  <Application>Microsoft Office Word</Application>
  <DocSecurity>0</DocSecurity>
  <Lines>670</Lines>
  <Paragraphs>189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MORIS-MUTTONI</dc:creator>
  <cp:keywords/>
  <dc:description/>
  <cp:lastModifiedBy>Benjamin MORIS-MUTTONI</cp:lastModifiedBy>
  <cp:revision>2</cp:revision>
  <dcterms:created xsi:type="dcterms:W3CDTF">2021-05-18T12:12:00Z</dcterms:created>
  <dcterms:modified xsi:type="dcterms:W3CDTF">2021-05-18T12:12:00Z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id="Yogy4D5K"/&gt;&lt;style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