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0819AA" w14:textId="7CAF2E87" w:rsidR="00E92C06" w:rsidRPr="00E25B8D" w:rsidRDefault="00E92C06" w:rsidP="00E25B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25B8D">
        <w:rPr>
          <w:rFonts w:ascii="Times New Roman" w:hAnsi="Times New Roman" w:cs="Times New Roman"/>
          <w:b/>
          <w:bCs/>
          <w:sz w:val="24"/>
          <w:szCs w:val="24"/>
          <w:lang w:val="en-US"/>
        </w:rPr>
        <w:t>Data Analysis Plan for A Triple-Blinded Randomized Control Trial to Evaluate the Safety and Immunogenicity of Fractional Doses of COVID-19 Vaccines (</w:t>
      </w:r>
      <w:r w:rsidRPr="00E25B8D">
        <w:rPr>
          <w:rFonts w:ascii="Times New Roman" w:hAnsi="Times New Roman" w:cs="Times New Roman"/>
          <w:b/>
          <w:bCs/>
          <w:sz w:val="24"/>
          <w:szCs w:val="24"/>
        </w:rPr>
        <w:t>ChAd0x1, AD26.COV2.S, and BNT162B2</w:t>
      </w:r>
      <w:r w:rsidRPr="00E25B8D">
        <w:rPr>
          <w:rFonts w:ascii="Times New Roman" w:hAnsi="Times New Roman" w:cs="Times New Roman"/>
          <w:b/>
          <w:bCs/>
          <w:sz w:val="24"/>
          <w:szCs w:val="24"/>
          <w:lang w:val="en-US"/>
        </w:rPr>
        <w:t>) Among Nigeria Adults: The SIFCoVAN Trial</w:t>
      </w:r>
    </w:p>
    <w:p w14:paraId="2BABD0F6" w14:textId="25CD81A0" w:rsidR="005119AB" w:rsidRPr="00E25B8D" w:rsidRDefault="005119AB" w:rsidP="00E25B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159C97D" w14:textId="62A6DFFF" w:rsidR="00E92C06" w:rsidRPr="00E25B8D" w:rsidRDefault="00E25B8D" w:rsidP="00E25B8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1.0 </w:t>
      </w:r>
      <w:r w:rsidR="00E92C06" w:rsidRPr="00E25B8D">
        <w:rPr>
          <w:rFonts w:ascii="Times New Roman" w:hAnsi="Times New Roman" w:cs="Times New Roman"/>
          <w:b/>
          <w:bCs/>
          <w:sz w:val="24"/>
          <w:szCs w:val="24"/>
          <w:lang w:val="en-US"/>
        </w:rPr>
        <w:t>Background</w:t>
      </w:r>
    </w:p>
    <w:p w14:paraId="4CE897B3" w14:textId="6C6BC254" w:rsidR="00E92C06" w:rsidRPr="00E25B8D" w:rsidRDefault="00EE6214" w:rsidP="00E25B8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study aim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="00E92C06"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to evaluate the immunogenicity and safety profile of fractional dos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es</w:t>
      </w:r>
      <w:r w:rsidR="00E92C06"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of 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COVID-19 vaccines</w:t>
      </w:r>
      <w:r w:rsidR="00E92C06"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[</w:t>
      </w:r>
      <w:r w:rsidR="00E92C06"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ChAdOx1 and AD26.COV2.S vaccines at 25% and 50% of the approved standard dose, as well as the BNT162B2 vaccine at 50%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of the approved standard dose]</w:t>
      </w:r>
      <w:r w:rsidR="00E92C06"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among adults in Nigeria. The study hypothesizes that fractional dosing will provide comparable immunity and safety 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as the</w:t>
      </w:r>
      <w:r w:rsidR="00E92C06"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full-dose regimens.</w:t>
      </w:r>
    </w:p>
    <w:p w14:paraId="568F537D" w14:textId="4276971F" w:rsidR="00EE6214" w:rsidRPr="00E25B8D" w:rsidRDefault="00E25B8D" w:rsidP="00E25B8D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2.0 </w:t>
      </w:r>
      <w:r w:rsidR="00EE6214" w:rsidRPr="00E25B8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Methodology </w:t>
      </w:r>
    </w:p>
    <w:p w14:paraId="439FD829" w14:textId="5328DD2E" w:rsidR="00EE6214" w:rsidRPr="00E25B8D" w:rsidRDefault="00EE6214" w:rsidP="00E25B8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Study design: The study is a </w:t>
      </w:r>
      <w:r w:rsidRPr="00E25B8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en-GB" w:eastAsia="da-DK"/>
        </w:rPr>
        <w:t>non-inferiority</w:t>
      </w:r>
      <w:r w:rsidR="004C749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en-GB" w:eastAsia="da-DK"/>
        </w:rPr>
        <w:t>,</w:t>
      </w:r>
      <w:r w:rsidRPr="00E25B8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en-GB" w:eastAsia="da-DK"/>
        </w:rPr>
        <w:t xml:space="preserve"> randomized, triple-blind clinical trial comparing three different dose levels of 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safety and Immunogenicity of fractional doses of COVID-19 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</w:t>
      </w:r>
      <w:r w:rsidR="004C749D"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accine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="004C749D"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 w:rsidRPr="00E25B8D">
        <w:rPr>
          <w:rFonts w:ascii="Times New Roman" w:hAnsi="Times New Roman" w:cs="Times New Roman"/>
          <w:sz w:val="24"/>
          <w:szCs w:val="24"/>
        </w:rPr>
        <w:t>ChAd0x1, AD26.COV2.S, and BNT162B2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 among Nigeria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ns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18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-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65 years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The study will be conducted within 24 months.</w:t>
      </w:r>
    </w:p>
    <w:p w14:paraId="48492484" w14:textId="256032A5" w:rsidR="00FB2576" w:rsidRPr="00E25B8D" w:rsidRDefault="00E25B8D" w:rsidP="00E25B8D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2.1 </w:t>
      </w:r>
      <w:r w:rsidR="00FB2576" w:rsidRPr="00E25B8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Outcome measure</w:t>
      </w:r>
    </w:p>
    <w:p w14:paraId="390AC527" w14:textId="77777777" w:rsidR="00FB2576" w:rsidRPr="00E25B8D" w:rsidRDefault="00FB2576" w:rsidP="00E25B8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Primary Outcome:</w:t>
      </w:r>
    </w:p>
    <w:p w14:paraId="6D3A43E7" w14:textId="77777777" w:rsidR="00FB2576" w:rsidRPr="00E25B8D" w:rsidRDefault="00FB2576" w:rsidP="00E25B8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da-DK"/>
        </w:rPr>
      </w:pPr>
      <w:bookmarkStart w:id="0" w:name="_Hlk87635708"/>
      <w:r w:rsidRPr="00E25B8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da-DK"/>
        </w:rPr>
        <w:t>Geometric Mean Fold Rise (GMFR) of ≥ 2.5 within the range of 20% non-inferiority to the standard dose of anti-SARS-CoV-2 S antibody response 14-28 days after immunization detected by ELISA</w:t>
      </w:r>
      <w:bookmarkEnd w:id="0"/>
      <w:r w:rsidRPr="00E25B8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da-DK"/>
        </w:rPr>
        <w:t>.</w:t>
      </w:r>
    </w:p>
    <w:p w14:paraId="6F4BF3D8" w14:textId="77777777" w:rsidR="00FB2576" w:rsidRPr="00E25B8D" w:rsidRDefault="00FB2576" w:rsidP="00E25B8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da-DK"/>
        </w:rPr>
      </w:pPr>
      <w:r w:rsidRPr="00E25B8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da-DK"/>
        </w:rPr>
        <w:t>Secondary Outcome:</w:t>
      </w:r>
    </w:p>
    <w:p w14:paraId="4FD69A48" w14:textId="77777777" w:rsidR="00FB2576" w:rsidRPr="00E25B8D" w:rsidRDefault="00FB2576" w:rsidP="00E25B8D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E25B8D">
        <w:rPr>
          <w:rFonts w:ascii="Times New Roman" w:hAnsi="Times New Roman" w:cs="Times New Roman"/>
          <w:color w:val="000000" w:themeColor="text1"/>
          <w:lang w:val="en-US"/>
        </w:rPr>
        <w:t>Immunogenicity Outcome</w:t>
      </w:r>
    </w:p>
    <w:p w14:paraId="76E99CE3" w14:textId="77777777" w:rsidR="00FB2576" w:rsidRPr="00E25B8D" w:rsidRDefault="00FB2576" w:rsidP="00E25B8D">
      <w:pPr>
        <w:pStyle w:val="ListParagraph"/>
        <w:numPr>
          <w:ilvl w:val="0"/>
          <w:numId w:val="13"/>
        </w:numPr>
        <w:tabs>
          <w:tab w:val="left" w:pos="360"/>
        </w:tabs>
        <w:spacing w:line="360" w:lineRule="auto"/>
        <w:ind w:left="1276" w:hanging="425"/>
        <w:jc w:val="both"/>
        <w:rPr>
          <w:rFonts w:ascii="Times New Roman" w:eastAsia="Times New Roman" w:hAnsi="Times New Roman" w:cs="Times New Roman"/>
          <w:color w:val="000000" w:themeColor="text1"/>
          <w:lang w:val="en-GB" w:eastAsia="da-DK"/>
        </w:rPr>
      </w:pPr>
      <w:r w:rsidRPr="00E25B8D">
        <w:rPr>
          <w:rFonts w:ascii="Times New Roman" w:eastAsia="Times New Roman" w:hAnsi="Times New Roman" w:cs="Times New Roman"/>
          <w:color w:val="000000" w:themeColor="text1"/>
          <w:lang w:val="en-GB" w:eastAsia="da-DK"/>
        </w:rPr>
        <w:t>Determine 50% Plaque Reduction Neutralization by antibodies against Alpha, Delta, and Kappa variants of SARS-CoV-2.</w:t>
      </w:r>
    </w:p>
    <w:p w14:paraId="7B349D68" w14:textId="77777777" w:rsidR="00FB2576" w:rsidRPr="00E25B8D" w:rsidRDefault="00FB2576" w:rsidP="00E25B8D">
      <w:pPr>
        <w:pStyle w:val="ListParagraph"/>
        <w:numPr>
          <w:ilvl w:val="0"/>
          <w:numId w:val="13"/>
        </w:numPr>
        <w:spacing w:line="360" w:lineRule="auto"/>
        <w:ind w:left="1276" w:hanging="425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E25B8D">
        <w:rPr>
          <w:rFonts w:ascii="Times New Roman" w:eastAsia="Times New Roman" w:hAnsi="Times New Roman" w:cs="Times New Roman"/>
          <w:color w:val="000000" w:themeColor="text1"/>
          <w:lang w:eastAsia="da-DK"/>
        </w:rPr>
        <w:t>IFNα, γ-and IL-2 producing CD4 and CD8 T lymphocytes</w:t>
      </w:r>
    </w:p>
    <w:p w14:paraId="2C87A32E" w14:textId="77777777" w:rsidR="00FB2576" w:rsidRPr="00E25B8D" w:rsidRDefault="00FB2576" w:rsidP="00E25B8D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E25B8D">
        <w:rPr>
          <w:rFonts w:ascii="Times New Roman" w:hAnsi="Times New Roman" w:cs="Times New Roman"/>
          <w:color w:val="000000" w:themeColor="text1"/>
          <w:lang w:val="en-US"/>
        </w:rPr>
        <w:t>Safety Outcomes</w:t>
      </w:r>
    </w:p>
    <w:p w14:paraId="6A8BF40D" w14:textId="680A00FF" w:rsidR="00FB2576" w:rsidRPr="00E25B8D" w:rsidRDefault="00FB2576" w:rsidP="00E25B8D">
      <w:pPr>
        <w:pStyle w:val="ListParagraph"/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E25B8D">
        <w:rPr>
          <w:rFonts w:ascii="Times New Roman" w:hAnsi="Times New Roman" w:cs="Times New Roman"/>
          <w:color w:val="000000" w:themeColor="text1"/>
          <w:lang w:val="en-US"/>
        </w:rPr>
        <w:t>The proportion of adverse events</w:t>
      </w:r>
      <w:r w:rsidR="00843175">
        <w:rPr>
          <w:rFonts w:ascii="Times New Roman" w:hAnsi="Times New Roman" w:cs="Times New Roman"/>
          <w:color w:val="000000" w:themeColor="text1"/>
          <w:lang w:val="en-US"/>
        </w:rPr>
        <w:t xml:space="preserve"> (AE)</w:t>
      </w:r>
      <w:r w:rsidRPr="00E25B8D">
        <w:rPr>
          <w:rFonts w:ascii="Times New Roman" w:hAnsi="Times New Roman" w:cs="Times New Roman"/>
          <w:color w:val="000000" w:themeColor="text1"/>
          <w:lang w:val="en-US"/>
        </w:rPr>
        <w:t xml:space="preserve"> and severe adverse events</w:t>
      </w:r>
      <w:r w:rsidR="00843175">
        <w:rPr>
          <w:rFonts w:ascii="Times New Roman" w:hAnsi="Times New Roman" w:cs="Times New Roman"/>
          <w:color w:val="000000" w:themeColor="text1"/>
          <w:lang w:val="en-US"/>
        </w:rPr>
        <w:t xml:space="preserve"> (SAE)</w:t>
      </w:r>
      <w:r w:rsidRPr="00E25B8D">
        <w:rPr>
          <w:rFonts w:ascii="Times New Roman" w:hAnsi="Times New Roman" w:cs="Times New Roman"/>
          <w:color w:val="000000" w:themeColor="text1"/>
          <w:lang w:val="en-US"/>
        </w:rPr>
        <w:t xml:space="preserve"> associated with vaccination.</w:t>
      </w:r>
    </w:p>
    <w:p w14:paraId="31A955B1" w14:textId="61BA1184" w:rsidR="00FB2576" w:rsidRPr="00E25B8D" w:rsidRDefault="00FB2576" w:rsidP="004C749D">
      <w:pPr>
        <w:pStyle w:val="ListParagraph"/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E25B8D">
        <w:rPr>
          <w:rFonts w:ascii="Times New Roman" w:hAnsi="Times New Roman" w:cs="Times New Roman"/>
          <w:color w:val="000000" w:themeColor="text1"/>
          <w:lang w:val="en-US"/>
        </w:rPr>
        <w:t>The willingness and acceptability of the population on the uptake of COVID-19 vaccine in Nigeria.</w:t>
      </w:r>
    </w:p>
    <w:p w14:paraId="5868C156" w14:textId="254D8C9C" w:rsidR="00EE6214" w:rsidRPr="004C749D" w:rsidRDefault="00E25B8D" w:rsidP="00E25B8D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4C749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2.2</w:t>
      </w:r>
      <w:r w:rsidRPr="004C749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ab/>
      </w:r>
      <w:r w:rsidR="00EE6214" w:rsidRPr="004C749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Data </w:t>
      </w:r>
      <w:r w:rsidR="00FB2576" w:rsidRPr="004C749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collection</w:t>
      </w:r>
    </w:p>
    <w:p w14:paraId="713C3896" w14:textId="2A0DAAED" w:rsidR="00FB2576" w:rsidRPr="00E25B8D" w:rsidRDefault="00EE6214" w:rsidP="00E25B8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Data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collected will include </w:t>
      </w:r>
      <w:r w:rsidR="00FB2576"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socio-demographics, 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afety and 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mmunogenicity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information on the enrolled study participants</w:t>
      </w:r>
      <w:r w:rsidRPr="00E25B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Data will be collated on a dedicated software (</w:t>
      </w:r>
      <w:proofErr w:type="spellStart"/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REDCap</w:t>
      </w:r>
      <w:proofErr w:type="spellEnd"/>
      <w:r w:rsidR="004C749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</w:t>
      </w:r>
    </w:p>
    <w:p w14:paraId="4239FC7F" w14:textId="416C5CF6" w:rsidR="00FB2576" w:rsidRPr="00E25B8D" w:rsidRDefault="00E25B8D" w:rsidP="00E25B8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NG"/>
        </w:rPr>
        <w:t>2.3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NG"/>
        </w:rPr>
        <w:tab/>
        <w:t xml:space="preserve"> </w:t>
      </w:r>
      <w:r w:rsidR="00E92C06"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Data Preparation and Cleaning</w:t>
      </w:r>
    </w:p>
    <w:p w14:paraId="09F7B237" w14:textId="77777777" w:rsidR="00391B86" w:rsidRPr="00E25B8D" w:rsidRDefault="00E92C06" w:rsidP="00E25B8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lastRenderedPageBreak/>
        <w:t>Data Cleaning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: </w:t>
      </w:r>
      <w:r w:rsidR="00FB2576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Data will be</w:t>
      </w:r>
      <w:r w:rsidR="00391B86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 checked and</w:t>
      </w:r>
      <w:r w:rsidR="00FB2576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 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clean</w:t>
      </w:r>
      <w:r w:rsidR="00FB2576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ed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</w:t>
      </w:r>
      <w:r w:rsidR="00391B86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for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missing values, inconsistencies, or outliers. </w:t>
      </w:r>
    </w:p>
    <w:p w14:paraId="0446B59C" w14:textId="03E9645F" w:rsidR="00E92C06" w:rsidRPr="00E92C06" w:rsidRDefault="00E92C06" w:rsidP="00E25B8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Data Transformation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: </w:t>
      </w:r>
      <w:r w:rsidR="00391B86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V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ariables</w:t>
      </w:r>
      <w:r w:rsidR="00391B86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 will be transformed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as needed, such as converting antibody titers to log scales for normality or categorizing </w:t>
      </w:r>
      <w:r w:rsidR="004C749D">
        <w:rPr>
          <w:rFonts w:ascii="Times New Roman" w:eastAsia="Times New Roman" w:hAnsi="Times New Roman" w:cs="Times New Roman"/>
          <w:sz w:val="24"/>
          <w:szCs w:val="24"/>
          <w:lang w:eastAsia="en-NG"/>
        </w:rPr>
        <w:t>adverse events (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AE</w:t>
      </w:r>
      <w:r w:rsidR="004C749D">
        <w:rPr>
          <w:rFonts w:ascii="Times New Roman" w:eastAsia="Times New Roman" w:hAnsi="Times New Roman" w:cs="Times New Roman"/>
          <w:sz w:val="24"/>
          <w:szCs w:val="24"/>
          <w:lang w:eastAsia="en-NG"/>
        </w:rPr>
        <w:t>)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severity.</w:t>
      </w:r>
    </w:p>
    <w:p w14:paraId="27B1DEAA" w14:textId="38E0B73A" w:rsidR="00E92C06" w:rsidRPr="00E92C06" w:rsidRDefault="00E92C06" w:rsidP="00E25B8D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Descriptive Analysis</w:t>
      </w:r>
    </w:p>
    <w:p w14:paraId="6DB7F40D" w14:textId="730F4B1A" w:rsidR="00E92C06" w:rsidRPr="00E92C06" w:rsidRDefault="00391B86" w:rsidP="00E25B8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D</w:t>
      </w:r>
      <w:r w:rsidRPr="00E25B8D">
        <w:rPr>
          <w:rFonts w:ascii="Times New Roman" w:eastAsia="Times New Roman" w:hAnsi="Times New Roman" w:cs="Times New Roman"/>
          <w:sz w:val="24"/>
          <w:szCs w:val="24"/>
          <w:lang w:eastAsia="en-NG"/>
        </w:rPr>
        <w:t>escriptive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analyses</w:t>
      </w: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 will be conducted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to summarize participant demographics</w:t>
      </w: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, medical history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and baseline clinical characteristics,</w:t>
      </w: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 and the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se</w:t>
      </w: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 will be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stratified by 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vaccine type (</w:t>
      </w:r>
      <w:r w:rsidR="000A152E" w:rsidRPr="00E25B8D">
        <w:rPr>
          <w:rFonts w:ascii="Times New Roman" w:hAnsi="Times New Roman" w:cs="Times New Roman"/>
          <w:b/>
          <w:bCs/>
          <w:sz w:val="24"/>
          <w:szCs w:val="24"/>
        </w:rPr>
        <w:t>ChAd0x1, AD26.COV2.S, and BNT162B2</w:t>
      </w:r>
      <w:r w:rsidR="000A152E" w:rsidRPr="00E25B8D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  and 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dos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e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 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(Quarter, half and 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full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 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doses). This will include:</w:t>
      </w:r>
    </w:p>
    <w:p w14:paraId="451A7DD3" w14:textId="77777777" w:rsidR="00E92C06" w:rsidRPr="00E92C06" w:rsidRDefault="00E92C06" w:rsidP="00E25B8D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Baseline Characteristics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 Summarize using means, medians, and frequencies for continuous and categorical variables, respectively. Perform t-tests or chi-square tests to compare groups where appropriate.</w:t>
      </w:r>
    </w:p>
    <w:p w14:paraId="2459DF18" w14:textId="2D7F3CC2" w:rsidR="00E92C06" w:rsidRPr="00E92C06" w:rsidRDefault="00E92C06" w:rsidP="00E25B8D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Safety Outcomes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: 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Present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the incidence of 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the different types of 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AEs by 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vaccine type and doses</w:t>
      </w:r>
    </w:p>
    <w:p w14:paraId="26D07496" w14:textId="21EDA1FA" w:rsidR="00E92C06" w:rsidRPr="00E92C06" w:rsidRDefault="00E25B8D" w:rsidP="00E25B8D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NG"/>
        </w:rPr>
        <w:t>2.4</w:t>
      </w:r>
      <w:r w:rsidR="00E92C06"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. Safety Analysis</w:t>
      </w:r>
    </w:p>
    <w:p w14:paraId="2615624E" w14:textId="3C0E1D89" w:rsidR="00E92C06" w:rsidRPr="00E92C06" w:rsidRDefault="00E92C06" w:rsidP="00E25B8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Safety analysis will assess the frequency, severity, and duration of AEs within each 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vaccine type and 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dos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e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</w:t>
      </w:r>
    </w:p>
    <w:p w14:paraId="1D690C93" w14:textId="77777777" w:rsidR="00E92C06" w:rsidRPr="00E92C06" w:rsidRDefault="00E92C06" w:rsidP="00E25B8D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Adverse Event Frequency and Severity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</w:t>
      </w:r>
    </w:p>
    <w:p w14:paraId="62142CC1" w14:textId="78861799" w:rsidR="00E92C06" w:rsidRPr="00E92C06" w:rsidRDefault="00E92C06" w:rsidP="00E25B8D">
      <w:pPr>
        <w:numPr>
          <w:ilvl w:val="1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Calculate incidence rates of AEs and summarize by severity</w:t>
      </w:r>
      <w:r w:rsidR="000A152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, vaccine type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and dos</w:t>
      </w:r>
      <w:r w:rsidR="00F8127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e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.</w:t>
      </w:r>
    </w:p>
    <w:p w14:paraId="3B05E1A6" w14:textId="77777777" w:rsidR="00E92C06" w:rsidRPr="00E92C06" w:rsidRDefault="00E92C06" w:rsidP="00E25B8D">
      <w:pPr>
        <w:numPr>
          <w:ilvl w:val="1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Perform comparative analyses using </w:t>
      </w: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chi-square tests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or </w:t>
      </w: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Fisher’s exact tests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for categorical AE outcomes.</w:t>
      </w:r>
    </w:p>
    <w:p w14:paraId="6BAE689B" w14:textId="77777777" w:rsidR="00E92C06" w:rsidRPr="00E92C06" w:rsidRDefault="00E92C06" w:rsidP="00E25B8D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Time-to-Event Analysis for Serious AEs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</w:t>
      </w:r>
    </w:p>
    <w:p w14:paraId="1CEFF134" w14:textId="132255F1" w:rsidR="00E92C06" w:rsidRPr="00E92C06" w:rsidRDefault="00E92C06" w:rsidP="00E25B8D">
      <w:pPr>
        <w:numPr>
          <w:ilvl w:val="1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Use </w:t>
      </w: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Kaplan-Meier survival curves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to assess time to first serious AE within each dos</w:t>
      </w:r>
      <w:r w:rsidR="00F8127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e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.</w:t>
      </w:r>
    </w:p>
    <w:p w14:paraId="3C052B23" w14:textId="77777777" w:rsidR="00E92C06" w:rsidRPr="00E92C06" w:rsidRDefault="00E92C06" w:rsidP="00E25B8D">
      <w:pPr>
        <w:numPr>
          <w:ilvl w:val="1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Conduct </w:t>
      </w: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Cox proportional hazards regression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to estimate hazard ratios (HRs) and 95% confidence intervals (CIs) for serious AEs, adjusting for baseline characteristics if necessary.</w:t>
      </w:r>
    </w:p>
    <w:p w14:paraId="3006BA69" w14:textId="25A3EABE" w:rsidR="00E92C06" w:rsidRPr="00E92C06" w:rsidRDefault="00E25B8D" w:rsidP="00E25B8D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NG"/>
        </w:rPr>
        <w:t>2.</w:t>
      </w:r>
      <w:r w:rsidR="00E92C06"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5. Immunogenicity Analysis</w:t>
      </w:r>
    </w:p>
    <w:p w14:paraId="0D2A1CE6" w14:textId="4C72732D" w:rsidR="00E92C06" w:rsidRPr="00E92C06" w:rsidRDefault="00E92C06" w:rsidP="00E25B8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Immunogenicity is assessed by evaluating antibody responses and cell-mediated immunity (CMI) across </w:t>
      </w:r>
      <w:r w:rsidR="00F8127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the different doses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.</w:t>
      </w:r>
    </w:p>
    <w:p w14:paraId="23A3535C" w14:textId="77777777" w:rsidR="00E92C06" w:rsidRPr="00E92C06" w:rsidRDefault="00E92C06" w:rsidP="00E25B8D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a. Humoral Immunogenicity Analysis</w:t>
      </w:r>
    </w:p>
    <w:p w14:paraId="4BC1C5EA" w14:textId="77777777" w:rsidR="00E92C06" w:rsidRPr="00E92C06" w:rsidRDefault="00E92C06" w:rsidP="00E25B8D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Antibody Titers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</w:t>
      </w:r>
    </w:p>
    <w:p w14:paraId="63D28583" w14:textId="17E1C9F5" w:rsidR="00E92C06" w:rsidRPr="00E92C06" w:rsidRDefault="00E92C06" w:rsidP="00E25B8D">
      <w:pPr>
        <w:numPr>
          <w:ilvl w:val="1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lastRenderedPageBreak/>
        <w:t>Calculate mean antibody titers (e.g., neutralizing antibody titers, IgG concentrations) at each post-vaccination time point for each dos</w:t>
      </w:r>
      <w:r w:rsidR="00F8127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e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.</w:t>
      </w:r>
    </w:p>
    <w:p w14:paraId="50E95B26" w14:textId="77777777" w:rsidR="00E92C06" w:rsidRPr="00E92C06" w:rsidRDefault="00E92C06" w:rsidP="00E25B8D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Seroconversion Rates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</w:t>
      </w:r>
    </w:p>
    <w:p w14:paraId="235A98FF" w14:textId="77777777" w:rsidR="00E92C06" w:rsidRPr="00E92C06" w:rsidRDefault="00E92C06" w:rsidP="00E25B8D">
      <w:pPr>
        <w:numPr>
          <w:ilvl w:val="1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Define seroconversion as a predefined increase in antibody titer relative to baseline.</w:t>
      </w:r>
    </w:p>
    <w:p w14:paraId="65AC4075" w14:textId="77777777" w:rsidR="00E92C06" w:rsidRPr="00E92C06" w:rsidRDefault="00E92C06" w:rsidP="00E25B8D">
      <w:pPr>
        <w:numPr>
          <w:ilvl w:val="1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Calculate seroconversion rates at each time point and compare across groups using </w:t>
      </w: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chi-square tests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.</w:t>
      </w:r>
    </w:p>
    <w:p w14:paraId="1C31AFD5" w14:textId="77777777" w:rsidR="00E92C06" w:rsidRPr="00E92C06" w:rsidRDefault="00E92C06" w:rsidP="00E25B8D">
      <w:pPr>
        <w:numPr>
          <w:ilvl w:val="1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Conduct multivariable logistic regression to assess predictors of seroconversion, including dosing group, age, and baseline immunity.</w:t>
      </w:r>
    </w:p>
    <w:p w14:paraId="7D42AEF5" w14:textId="10C52703" w:rsidR="00E92C06" w:rsidRPr="00E92C06" w:rsidRDefault="00E25B8D" w:rsidP="00E25B8D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NG"/>
        </w:rPr>
        <w:t>2.6</w:t>
      </w:r>
      <w:r w:rsidR="00E92C06"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 xml:space="preserve"> Cellular Immunogenicity Analysis</w:t>
      </w:r>
    </w:p>
    <w:p w14:paraId="023EEBA3" w14:textId="77777777" w:rsidR="00E92C06" w:rsidRPr="00E92C06" w:rsidRDefault="00E92C06" w:rsidP="00E25B8D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T-cell Response Analysis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</w:t>
      </w:r>
    </w:p>
    <w:p w14:paraId="42E27ECB" w14:textId="29C06BDB" w:rsidR="00E92C06" w:rsidRPr="00E92C06" w:rsidRDefault="00E92C06" w:rsidP="00E25B8D">
      <w:pPr>
        <w:numPr>
          <w:ilvl w:val="1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Evaluate T-cell response using measures </w:t>
      </w:r>
      <w:r w:rsidR="00F8127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using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interferon-gamma (IFN-γ) production or T-cell proliferation assays.</w:t>
      </w:r>
    </w:p>
    <w:p w14:paraId="0626FC88" w14:textId="77777777" w:rsidR="00E92C06" w:rsidRPr="00E92C06" w:rsidRDefault="00E92C06" w:rsidP="00E25B8D">
      <w:pPr>
        <w:numPr>
          <w:ilvl w:val="1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Summarize mean T-cell response across dosing groups and compare at each time point using </w:t>
      </w: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mixed-effects linear regression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or </w:t>
      </w: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ANOVA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for repeated measures.</w:t>
      </w:r>
    </w:p>
    <w:p w14:paraId="20B29C2A" w14:textId="77777777" w:rsidR="00E92C06" w:rsidRPr="00E92C06" w:rsidRDefault="00E92C06" w:rsidP="00E25B8D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Immunogenicity Subgroup Analysis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</w:t>
      </w:r>
    </w:p>
    <w:p w14:paraId="7F1DB7EB" w14:textId="77777777" w:rsidR="00E92C06" w:rsidRPr="00E92C06" w:rsidRDefault="00E92C06" w:rsidP="00E25B8D">
      <w:pPr>
        <w:numPr>
          <w:ilvl w:val="1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Conduct subgroup analyses by age, sex, baseline immunity status, and any pre-existing conditions to assess differential immunogenicity responses.</w:t>
      </w:r>
    </w:p>
    <w:p w14:paraId="3225A935" w14:textId="13136A7C" w:rsidR="00E92C06" w:rsidRPr="00E92C06" w:rsidRDefault="00E25B8D" w:rsidP="00E25B8D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N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NG"/>
        </w:rPr>
        <w:t>2.7</w:t>
      </w:r>
      <w:r w:rsidR="00E92C06"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 xml:space="preserve">. Comparisons Across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NG"/>
        </w:rPr>
        <w:t xml:space="preserve">the different </w:t>
      </w:r>
      <w:r w:rsidR="00E92C06"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Dos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NG"/>
        </w:rPr>
        <w:t>es</w:t>
      </w:r>
    </w:p>
    <w:p w14:paraId="69D93363" w14:textId="77777777" w:rsidR="00E92C06" w:rsidRPr="00E92C06" w:rsidRDefault="00E92C06" w:rsidP="00E25B8D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Primary Immunogenicity Comparison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</w:t>
      </w:r>
    </w:p>
    <w:p w14:paraId="4C9554B3" w14:textId="351EB70C" w:rsidR="00E92C06" w:rsidRPr="00E92C06" w:rsidRDefault="00F8127E" w:rsidP="00E25B8D">
      <w:pPr>
        <w:numPr>
          <w:ilvl w:val="1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I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mmunogenicity outcomes (e.g., antibody titers, seroconversion rates, T-cell responses)</w:t>
      </w: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 will be evaluated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across </w:t>
      </w: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the different dose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groups.</w:t>
      </w:r>
    </w:p>
    <w:p w14:paraId="17DF3AE9" w14:textId="77777777" w:rsidR="00E92C06" w:rsidRPr="00E92C06" w:rsidRDefault="00E92C06" w:rsidP="00E25B8D">
      <w:pPr>
        <w:numPr>
          <w:ilvl w:val="1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Generalized estimating equations (GEE)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models will be used for binary outcomes (e.g., seroconversion), while </w:t>
      </w: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mixed-effects models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will be used for continuous outcomes (e.g., antibody titers).</w:t>
      </w:r>
    </w:p>
    <w:p w14:paraId="69E3B4FD" w14:textId="31BA8080" w:rsidR="00E92C06" w:rsidRPr="00E92C06" w:rsidRDefault="00E92C06" w:rsidP="00E25B8D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 xml:space="preserve">Non-Inferiority Analysis </w:t>
      </w:r>
    </w:p>
    <w:p w14:paraId="5FA33E87" w14:textId="47604100" w:rsidR="00E92C06" w:rsidRPr="00E92C06" w:rsidRDefault="00F8127E" w:rsidP="00E25B8D">
      <w:pPr>
        <w:numPr>
          <w:ilvl w:val="1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We will determine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whether fractional doses meet the immunogenicity criteria compared to the full dose</w:t>
      </w: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s based on the 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non-inferiority threshold</w:t>
      </w: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.</w:t>
      </w:r>
    </w:p>
    <w:p w14:paraId="14A29B1C" w14:textId="4F2E3813" w:rsidR="00E92C06" w:rsidRPr="00E92C06" w:rsidRDefault="00F8127E" w:rsidP="00E25B8D">
      <w:pPr>
        <w:numPr>
          <w:ilvl w:val="1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N</w:t>
      </w:r>
      <w:r w:rsidR="00E92C06"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on-inferiority margins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and confidence intervals for the differences between </w:t>
      </w: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the </w:t>
      </w:r>
      <w:r w:rsidR="00E92C06"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dos</w:t>
      </w:r>
      <w:r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es will be calculated.</w:t>
      </w:r>
    </w:p>
    <w:p w14:paraId="4E3408DB" w14:textId="7FA8889B" w:rsidR="00E92C06" w:rsidRPr="00E92C06" w:rsidRDefault="00E25B8D" w:rsidP="00E25B8D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NG"/>
        </w:rPr>
        <w:t>2.</w:t>
      </w:r>
      <w:r w:rsidR="00E92C06"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8. Software and Statistical Significance</w:t>
      </w:r>
    </w:p>
    <w:p w14:paraId="3D448696" w14:textId="62D51B1D" w:rsidR="00E92C06" w:rsidRPr="00E92C06" w:rsidRDefault="00E92C06" w:rsidP="00E25B8D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Statistical Software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: Analyses will be conducted in R </w:t>
      </w:r>
      <w:r w:rsidR="00F8127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and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STATA, particularly for complex models and handling repeated measures data.</w:t>
      </w:r>
    </w:p>
    <w:p w14:paraId="09700DA9" w14:textId="77777777" w:rsidR="00F8127E" w:rsidRPr="00E25B8D" w:rsidRDefault="00E92C06" w:rsidP="00E25B8D">
      <w:pPr>
        <w:numPr>
          <w:ilvl w:val="0"/>
          <w:numId w:val="9"/>
        </w:num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lastRenderedPageBreak/>
        <w:t>Significance Level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: </w:t>
      </w:r>
      <w:r w:rsidR="00F8127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A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 xml:space="preserve"> p-value threshold of 0.05 for all primary analyses</w:t>
      </w:r>
      <w:r w:rsidR="00F8127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 xml:space="preserve"> will be used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, with adjustments for multiple comparisons if needed</w:t>
      </w:r>
      <w:r w:rsidR="00F8127E" w:rsidRPr="00E25B8D">
        <w:rPr>
          <w:rFonts w:ascii="Times New Roman" w:eastAsia="Times New Roman" w:hAnsi="Times New Roman" w:cs="Times New Roman"/>
          <w:sz w:val="24"/>
          <w:szCs w:val="24"/>
          <w:lang w:val="en-US" w:eastAsia="en-NG"/>
        </w:rPr>
        <w:t>.</w:t>
      </w:r>
    </w:p>
    <w:p w14:paraId="5F8FDAA8" w14:textId="78CB3FE2" w:rsidR="00E92C06" w:rsidRPr="00E92C06" w:rsidRDefault="00E25B8D" w:rsidP="00E25B8D">
      <w:pPr>
        <w:spacing w:after="0" w:line="360" w:lineRule="auto"/>
        <w:ind w:left="36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NG"/>
        </w:rPr>
        <w:t>2.</w:t>
      </w:r>
      <w:r w:rsidR="00E92C06"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9. Reporting and Interpretation</w:t>
      </w:r>
    </w:p>
    <w:p w14:paraId="109C5C04" w14:textId="776FD431" w:rsidR="00E25B8D" w:rsidRPr="00E25B8D" w:rsidRDefault="00E25B8D" w:rsidP="00E25B8D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Immunogenicity Outcomes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 Summarize immunogenicity results, highlighting whether fractional dosing achieves comparable immune responses to full doses and meets any pre-specified non-inferiority criteria.</w:t>
      </w:r>
    </w:p>
    <w:p w14:paraId="2CC439EC" w14:textId="3C25C8FD" w:rsidR="00E92C06" w:rsidRPr="00E92C06" w:rsidRDefault="00E92C06" w:rsidP="00E25B8D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Safety Outcomes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 Interpret findings regarding AE frequency and severity within the context of vaccine tolerability, paying particular attention to any differential effects between dosing groups.</w:t>
      </w:r>
    </w:p>
    <w:p w14:paraId="2B1CA16F" w14:textId="77777777" w:rsidR="00E92C06" w:rsidRPr="00E92C06" w:rsidRDefault="00E92C06" w:rsidP="00E25B8D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NG"/>
        </w:rPr>
      </w:pPr>
      <w:r w:rsidRPr="00E92C06">
        <w:rPr>
          <w:rFonts w:ascii="Times New Roman" w:eastAsia="Times New Roman" w:hAnsi="Times New Roman" w:cs="Times New Roman"/>
          <w:b/>
          <w:bCs/>
          <w:sz w:val="24"/>
          <w:szCs w:val="24"/>
          <w:lang w:eastAsia="en-NG"/>
        </w:rPr>
        <w:t>Subgroup Results</w:t>
      </w:r>
      <w:r w:rsidRPr="00E92C06">
        <w:rPr>
          <w:rFonts w:ascii="Times New Roman" w:eastAsia="Times New Roman" w:hAnsi="Times New Roman" w:cs="Times New Roman"/>
          <w:sz w:val="24"/>
          <w:szCs w:val="24"/>
          <w:lang w:eastAsia="en-NG"/>
        </w:rPr>
        <w:t>: Emphasize findings from subgroup analyses to identify specific populations that may have higher or lower immunogenicity or adverse event rates.</w:t>
      </w:r>
    </w:p>
    <w:p w14:paraId="0F420EEE" w14:textId="77777777" w:rsidR="00E92C06" w:rsidRPr="00E25B8D" w:rsidRDefault="00E92C06" w:rsidP="00E25B8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E92C06" w:rsidRPr="00E25B8D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9E5496" w14:textId="77777777" w:rsidR="00CC7B3D" w:rsidRDefault="00CC7B3D" w:rsidP="00BD39F6">
      <w:pPr>
        <w:spacing w:after="0" w:line="240" w:lineRule="auto"/>
      </w:pPr>
      <w:r>
        <w:separator/>
      </w:r>
    </w:p>
  </w:endnote>
  <w:endnote w:type="continuationSeparator" w:id="0">
    <w:p w14:paraId="4B37FD12" w14:textId="77777777" w:rsidR="00CC7B3D" w:rsidRDefault="00CC7B3D" w:rsidP="00BD39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525781746"/>
      <w:docPartObj>
        <w:docPartGallery w:val="Page Numbers (Bottom of Page)"/>
        <w:docPartUnique/>
      </w:docPartObj>
    </w:sdtPr>
    <w:sdtContent>
      <w:p w14:paraId="4D863CFA" w14:textId="32967EB4" w:rsidR="00BD39F6" w:rsidRDefault="00BD39F6" w:rsidP="003E166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DA351CF" w14:textId="77777777" w:rsidR="00BD39F6" w:rsidRDefault="00BD39F6" w:rsidP="00BD39F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326018441"/>
      <w:docPartObj>
        <w:docPartGallery w:val="Page Numbers (Bottom of Page)"/>
        <w:docPartUnique/>
      </w:docPartObj>
    </w:sdtPr>
    <w:sdtContent>
      <w:p w14:paraId="571CBAAE" w14:textId="4174DC33" w:rsidR="00BD39F6" w:rsidRDefault="00BD39F6" w:rsidP="003E166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19FB62D" w14:textId="77777777" w:rsidR="00BD39F6" w:rsidRDefault="00BD39F6" w:rsidP="00BD39F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6A2964" w14:textId="77777777" w:rsidR="00CC7B3D" w:rsidRDefault="00CC7B3D" w:rsidP="00BD39F6">
      <w:pPr>
        <w:spacing w:after="0" w:line="240" w:lineRule="auto"/>
      </w:pPr>
      <w:r>
        <w:separator/>
      </w:r>
    </w:p>
  </w:footnote>
  <w:footnote w:type="continuationSeparator" w:id="0">
    <w:p w14:paraId="450426CD" w14:textId="77777777" w:rsidR="00CC7B3D" w:rsidRDefault="00CC7B3D" w:rsidP="00BD39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AD5F7A"/>
    <w:multiLevelType w:val="multilevel"/>
    <w:tmpl w:val="34C6F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A7A36"/>
    <w:multiLevelType w:val="multilevel"/>
    <w:tmpl w:val="799E2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B755D6"/>
    <w:multiLevelType w:val="multilevel"/>
    <w:tmpl w:val="978EA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0055AC"/>
    <w:multiLevelType w:val="multilevel"/>
    <w:tmpl w:val="BC02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C1657"/>
    <w:multiLevelType w:val="multilevel"/>
    <w:tmpl w:val="6180D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596605"/>
    <w:multiLevelType w:val="multilevel"/>
    <w:tmpl w:val="3D2AF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B80F5D"/>
    <w:multiLevelType w:val="multilevel"/>
    <w:tmpl w:val="38440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7B43DF"/>
    <w:multiLevelType w:val="multilevel"/>
    <w:tmpl w:val="15E8A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A01046"/>
    <w:multiLevelType w:val="hybridMultilevel"/>
    <w:tmpl w:val="204661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B53142"/>
    <w:multiLevelType w:val="multilevel"/>
    <w:tmpl w:val="DA70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835253"/>
    <w:multiLevelType w:val="multilevel"/>
    <w:tmpl w:val="27E04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3733C5"/>
    <w:multiLevelType w:val="hybridMultilevel"/>
    <w:tmpl w:val="7DBC2BF8"/>
    <w:lvl w:ilvl="0" w:tplc="200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ED10570"/>
    <w:multiLevelType w:val="multilevel"/>
    <w:tmpl w:val="91AC1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86061600">
    <w:abstractNumId w:val="0"/>
  </w:num>
  <w:num w:numId="2" w16cid:durableId="95759517">
    <w:abstractNumId w:val="9"/>
  </w:num>
  <w:num w:numId="3" w16cid:durableId="75710172">
    <w:abstractNumId w:val="5"/>
  </w:num>
  <w:num w:numId="4" w16cid:durableId="878666877">
    <w:abstractNumId w:val="2"/>
  </w:num>
  <w:num w:numId="5" w16cid:durableId="264461338">
    <w:abstractNumId w:val="6"/>
  </w:num>
  <w:num w:numId="6" w16cid:durableId="1498500463">
    <w:abstractNumId w:val="12"/>
  </w:num>
  <w:num w:numId="7" w16cid:durableId="117183590">
    <w:abstractNumId w:val="7"/>
  </w:num>
  <w:num w:numId="8" w16cid:durableId="1526676272">
    <w:abstractNumId w:val="1"/>
  </w:num>
  <w:num w:numId="9" w16cid:durableId="1348869344">
    <w:abstractNumId w:val="4"/>
  </w:num>
  <w:num w:numId="10" w16cid:durableId="1003553663">
    <w:abstractNumId w:val="3"/>
  </w:num>
  <w:num w:numId="11" w16cid:durableId="1905404857">
    <w:abstractNumId w:val="10"/>
  </w:num>
  <w:num w:numId="12" w16cid:durableId="478418830">
    <w:abstractNumId w:val="8"/>
  </w:num>
  <w:num w:numId="13" w16cid:durableId="159686130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C06"/>
    <w:rsid w:val="000A152E"/>
    <w:rsid w:val="00172BBF"/>
    <w:rsid w:val="001A55D5"/>
    <w:rsid w:val="001C2054"/>
    <w:rsid w:val="00391B86"/>
    <w:rsid w:val="004C749D"/>
    <w:rsid w:val="005119AB"/>
    <w:rsid w:val="00843175"/>
    <w:rsid w:val="00BD39F6"/>
    <w:rsid w:val="00CC7B3D"/>
    <w:rsid w:val="00E25B8D"/>
    <w:rsid w:val="00E8494F"/>
    <w:rsid w:val="00E92C06"/>
    <w:rsid w:val="00EE6214"/>
    <w:rsid w:val="00F8127E"/>
    <w:rsid w:val="00FB2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571E1"/>
  <w15:chartTrackingRefBased/>
  <w15:docId w15:val="{938AA47B-8B98-4969-A027-7D2600E08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N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92C0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NG"/>
    </w:rPr>
  </w:style>
  <w:style w:type="paragraph" w:styleId="Heading4">
    <w:name w:val="heading 4"/>
    <w:basedOn w:val="Normal"/>
    <w:link w:val="Heading4Char"/>
    <w:uiPriority w:val="9"/>
    <w:qFormat/>
    <w:rsid w:val="00E92C0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N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2C06"/>
    <w:rPr>
      <w:rFonts w:ascii="Times New Roman" w:eastAsia="Times New Roman" w:hAnsi="Times New Roman" w:cs="Times New Roman"/>
      <w:b/>
      <w:bCs/>
      <w:sz w:val="27"/>
      <w:szCs w:val="27"/>
      <w:lang w:val="en-NG" w:eastAsia="en-NG"/>
    </w:rPr>
  </w:style>
  <w:style w:type="character" w:customStyle="1" w:styleId="Heading4Char">
    <w:name w:val="Heading 4 Char"/>
    <w:basedOn w:val="DefaultParagraphFont"/>
    <w:link w:val="Heading4"/>
    <w:uiPriority w:val="9"/>
    <w:rsid w:val="00E92C06"/>
    <w:rPr>
      <w:rFonts w:ascii="Times New Roman" w:eastAsia="Times New Roman" w:hAnsi="Times New Roman" w:cs="Times New Roman"/>
      <w:b/>
      <w:bCs/>
      <w:sz w:val="24"/>
      <w:szCs w:val="24"/>
      <w:lang w:val="en-NG" w:eastAsia="en-NG"/>
    </w:rPr>
  </w:style>
  <w:style w:type="paragraph" w:styleId="NormalWeb">
    <w:name w:val="Normal (Web)"/>
    <w:basedOn w:val="Normal"/>
    <w:uiPriority w:val="99"/>
    <w:semiHidden/>
    <w:unhideWhenUsed/>
    <w:rsid w:val="00E92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G"/>
    </w:rPr>
  </w:style>
  <w:style w:type="character" w:styleId="Strong">
    <w:name w:val="Strong"/>
    <w:basedOn w:val="DefaultParagraphFont"/>
    <w:uiPriority w:val="22"/>
    <w:qFormat/>
    <w:rsid w:val="00E92C06"/>
    <w:rPr>
      <w:b/>
      <w:bCs/>
    </w:rPr>
  </w:style>
  <w:style w:type="paragraph" w:styleId="ListParagraph">
    <w:name w:val="List Paragraph"/>
    <w:basedOn w:val="Normal"/>
    <w:uiPriority w:val="34"/>
    <w:qFormat/>
    <w:rsid w:val="00FB2576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15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52E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D39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39F6"/>
  </w:style>
  <w:style w:type="character" w:styleId="PageNumber">
    <w:name w:val="page number"/>
    <w:basedOn w:val="DefaultParagraphFont"/>
    <w:uiPriority w:val="99"/>
    <w:semiHidden/>
    <w:unhideWhenUsed/>
    <w:rsid w:val="00BD39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921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Adesola Musa</dc:creator>
  <cp:keywords/>
  <dc:description/>
  <cp:lastModifiedBy>Nurudeen Rahman</cp:lastModifiedBy>
  <cp:revision>2</cp:revision>
  <dcterms:created xsi:type="dcterms:W3CDTF">2024-11-16T11:52:00Z</dcterms:created>
  <dcterms:modified xsi:type="dcterms:W3CDTF">2024-11-16T11:52:00Z</dcterms:modified>
</cp:coreProperties>
</file>