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628E35" w14:textId="6B9B28FF" w:rsidR="00C15E0E" w:rsidRPr="00C15E0E" w:rsidRDefault="00C15E0E" w:rsidP="00C15E0E">
      <w:pPr>
        <w:rPr>
          <w:b/>
          <w:bCs/>
          <w:shd w:val="clear" w:color="auto" w:fill="FFFFFF"/>
          <w:lang w:val="de-DE"/>
        </w:rPr>
      </w:pPr>
      <w:r w:rsidRPr="002B43C1">
        <w:rPr>
          <w:b/>
          <w:bCs/>
          <w:shd w:val="clear" w:color="auto" w:fill="FFFFFF"/>
        </w:rPr>
        <w:t xml:space="preserve">Supplemental </w:t>
      </w:r>
      <w:r>
        <w:rPr>
          <w:b/>
          <w:bCs/>
          <w:shd w:val="clear" w:color="auto" w:fill="FFFFFF"/>
          <w:lang w:val="de-DE"/>
        </w:rPr>
        <w:t>2</w:t>
      </w:r>
    </w:p>
    <w:p w14:paraId="45ABB442" w14:textId="77777777" w:rsidR="00C15E0E" w:rsidRDefault="00C15E0E"/>
    <w:tbl>
      <w:tblPr>
        <w:tblW w:w="0" w:type="auto"/>
        <w:tblCellMar>
          <w:left w:w="70" w:type="dxa"/>
          <w:right w:w="70" w:type="dxa"/>
        </w:tblCellMar>
        <w:tblLook w:val="04A0" w:firstRow="1" w:lastRow="0" w:firstColumn="1" w:lastColumn="0" w:noHBand="0" w:noVBand="1"/>
      </w:tblPr>
      <w:tblGrid>
        <w:gridCol w:w="1686"/>
        <w:gridCol w:w="400"/>
        <w:gridCol w:w="399"/>
        <w:gridCol w:w="541"/>
        <w:gridCol w:w="606"/>
        <w:gridCol w:w="433"/>
        <w:gridCol w:w="399"/>
        <w:gridCol w:w="935"/>
        <w:gridCol w:w="399"/>
        <w:gridCol w:w="399"/>
        <w:gridCol w:w="399"/>
        <w:gridCol w:w="399"/>
        <w:gridCol w:w="399"/>
        <w:gridCol w:w="399"/>
        <w:gridCol w:w="399"/>
        <w:gridCol w:w="399"/>
        <w:gridCol w:w="399"/>
        <w:gridCol w:w="399"/>
        <w:gridCol w:w="399"/>
        <w:gridCol w:w="399"/>
        <w:gridCol w:w="399"/>
        <w:gridCol w:w="399"/>
        <w:gridCol w:w="399"/>
        <w:gridCol w:w="399"/>
        <w:gridCol w:w="399"/>
        <w:gridCol w:w="399"/>
        <w:gridCol w:w="399"/>
        <w:gridCol w:w="399"/>
        <w:gridCol w:w="399"/>
      </w:tblGrid>
      <w:tr w:rsidR="00CE05CD" w:rsidRPr="00C336CB" w14:paraId="2C966F68" w14:textId="77777777" w:rsidTr="00C336CB">
        <w:trPr>
          <w:cantSplit/>
          <w:trHeight w:val="3080"/>
        </w:trPr>
        <w:tc>
          <w:tcPr>
            <w:tcW w:w="0" w:type="auto"/>
            <w:tcBorders>
              <w:top w:val="single" w:sz="4" w:space="0" w:color="auto"/>
              <w:left w:val="single" w:sz="4" w:space="0" w:color="auto"/>
              <w:bottom w:val="single" w:sz="8" w:space="0" w:color="auto"/>
              <w:right w:val="single" w:sz="4" w:space="0" w:color="auto"/>
            </w:tcBorders>
            <w:shd w:val="clear" w:color="auto" w:fill="auto"/>
            <w:textDirection w:val="btLr"/>
            <w:vAlign w:val="center"/>
            <w:hideMark/>
          </w:tcPr>
          <w:p w14:paraId="690367C3" w14:textId="77777777" w:rsidR="00C336CB" w:rsidRPr="00C336CB" w:rsidRDefault="00C336CB" w:rsidP="00C336CB">
            <w:pPr>
              <w:ind w:left="113" w:right="113"/>
              <w:jc w:val="center"/>
              <w:rPr>
                <w:rFonts w:ascii="Times New Roman" w:eastAsia="Times New Roman" w:hAnsi="Times New Roman" w:cs="Times New Roman"/>
                <w:b/>
                <w:bCs/>
                <w:color w:val="000000"/>
                <w:sz w:val="22"/>
                <w:szCs w:val="22"/>
                <w:lang w:eastAsia="de-DE"/>
              </w:rPr>
            </w:pPr>
            <w:r w:rsidRPr="00C336CB">
              <w:rPr>
                <w:rFonts w:ascii="Times New Roman" w:eastAsia="Times New Roman" w:hAnsi="Times New Roman" w:cs="Times New Roman"/>
                <w:b/>
                <w:bCs/>
                <w:color w:val="000000"/>
                <w:sz w:val="22"/>
                <w:szCs w:val="22"/>
                <w:lang w:eastAsia="de-DE"/>
              </w:rPr>
              <w:t>author</w:t>
            </w:r>
          </w:p>
        </w:tc>
        <w:tc>
          <w:tcPr>
            <w:tcW w:w="0" w:type="auto"/>
            <w:tcBorders>
              <w:top w:val="single" w:sz="4" w:space="0" w:color="auto"/>
              <w:left w:val="nil"/>
              <w:bottom w:val="single" w:sz="8" w:space="0" w:color="auto"/>
              <w:right w:val="single" w:sz="4" w:space="0" w:color="auto"/>
            </w:tcBorders>
            <w:shd w:val="clear" w:color="auto" w:fill="auto"/>
            <w:textDirection w:val="btLr"/>
            <w:vAlign w:val="center"/>
            <w:hideMark/>
          </w:tcPr>
          <w:p w14:paraId="42B083E6" w14:textId="71EE4821" w:rsidR="00C336CB" w:rsidRPr="00C336CB" w:rsidRDefault="00B92A51" w:rsidP="00C336CB">
            <w:pPr>
              <w:ind w:left="113" w:right="113"/>
              <w:jc w:val="center"/>
              <w:rPr>
                <w:rFonts w:ascii="Times New Roman" w:eastAsia="Times New Roman" w:hAnsi="Times New Roman" w:cs="Times New Roman"/>
                <w:b/>
                <w:bCs/>
                <w:color w:val="000000"/>
                <w:sz w:val="22"/>
                <w:szCs w:val="22"/>
                <w:lang w:val="de-DE" w:eastAsia="de-DE"/>
              </w:rPr>
            </w:pPr>
            <w:proofErr w:type="spellStart"/>
            <w:r>
              <w:rPr>
                <w:rFonts w:ascii="Times New Roman" w:eastAsia="Times New Roman" w:hAnsi="Times New Roman" w:cs="Times New Roman"/>
                <w:b/>
                <w:bCs/>
                <w:color w:val="000000"/>
                <w:sz w:val="22"/>
                <w:szCs w:val="22"/>
                <w:lang w:val="de-DE" w:eastAsia="de-DE"/>
              </w:rPr>
              <w:t>y</w:t>
            </w:r>
            <w:r w:rsidR="00C336CB" w:rsidRPr="00C336CB">
              <w:rPr>
                <w:rFonts w:ascii="Times New Roman" w:eastAsia="Times New Roman" w:hAnsi="Times New Roman" w:cs="Times New Roman"/>
                <w:b/>
                <w:bCs/>
                <w:color w:val="000000"/>
                <w:sz w:val="22"/>
                <w:szCs w:val="22"/>
                <w:lang w:val="de-DE" w:eastAsia="de-DE"/>
              </w:rPr>
              <w:t>ear</w:t>
            </w:r>
            <w:proofErr w:type="spellEnd"/>
            <w:r w:rsidR="00C336CB" w:rsidRPr="00C336CB">
              <w:rPr>
                <w:rFonts w:ascii="Times New Roman" w:eastAsia="Times New Roman" w:hAnsi="Times New Roman" w:cs="Times New Roman"/>
                <w:b/>
                <w:bCs/>
                <w:color w:val="000000"/>
                <w:sz w:val="22"/>
                <w:szCs w:val="22"/>
                <w:lang w:val="de-DE" w:eastAsia="de-DE"/>
              </w:rPr>
              <w:t xml:space="preserve"> of </w:t>
            </w:r>
            <w:proofErr w:type="spellStart"/>
            <w:r w:rsidR="00C336CB" w:rsidRPr="00C336CB">
              <w:rPr>
                <w:rFonts w:ascii="Times New Roman" w:eastAsia="Times New Roman" w:hAnsi="Times New Roman" w:cs="Times New Roman"/>
                <w:b/>
                <w:bCs/>
                <w:color w:val="000000"/>
                <w:sz w:val="22"/>
                <w:szCs w:val="22"/>
                <w:lang w:val="de-DE" w:eastAsia="de-DE"/>
              </w:rPr>
              <w:t>publication</w:t>
            </w:r>
            <w:proofErr w:type="spellEnd"/>
          </w:p>
        </w:tc>
        <w:tc>
          <w:tcPr>
            <w:tcW w:w="0" w:type="auto"/>
            <w:tcBorders>
              <w:top w:val="single" w:sz="4" w:space="0" w:color="auto"/>
              <w:left w:val="nil"/>
              <w:bottom w:val="single" w:sz="8" w:space="0" w:color="auto"/>
              <w:right w:val="single" w:sz="4" w:space="0" w:color="auto"/>
            </w:tcBorders>
            <w:shd w:val="clear" w:color="auto" w:fill="auto"/>
            <w:textDirection w:val="btLr"/>
            <w:vAlign w:val="center"/>
            <w:hideMark/>
          </w:tcPr>
          <w:p w14:paraId="08C0E327" w14:textId="77777777" w:rsidR="00C336CB" w:rsidRPr="00C336CB" w:rsidRDefault="00C336CB" w:rsidP="00C336CB">
            <w:pPr>
              <w:ind w:left="113" w:right="113"/>
              <w:jc w:val="center"/>
              <w:rPr>
                <w:rFonts w:ascii="Times New Roman" w:eastAsia="Times New Roman" w:hAnsi="Times New Roman" w:cs="Times New Roman"/>
                <w:b/>
                <w:bCs/>
                <w:color w:val="000000"/>
                <w:sz w:val="22"/>
                <w:szCs w:val="22"/>
                <w:lang w:eastAsia="de-DE"/>
              </w:rPr>
            </w:pPr>
            <w:r w:rsidRPr="00C336CB">
              <w:rPr>
                <w:rFonts w:ascii="Times New Roman" w:eastAsia="Times New Roman" w:hAnsi="Times New Roman" w:cs="Times New Roman"/>
                <w:b/>
                <w:bCs/>
                <w:color w:val="000000"/>
                <w:sz w:val="22"/>
                <w:szCs w:val="22"/>
                <w:lang w:eastAsia="de-DE"/>
              </w:rPr>
              <w:t>events</w:t>
            </w:r>
          </w:p>
        </w:tc>
        <w:tc>
          <w:tcPr>
            <w:tcW w:w="0" w:type="auto"/>
            <w:tcBorders>
              <w:top w:val="single" w:sz="4" w:space="0" w:color="auto"/>
              <w:left w:val="nil"/>
              <w:bottom w:val="single" w:sz="8" w:space="0" w:color="auto"/>
              <w:right w:val="single" w:sz="4" w:space="0" w:color="auto"/>
            </w:tcBorders>
            <w:shd w:val="clear" w:color="auto" w:fill="auto"/>
            <w:textDirection w:val="btLr"/>
            <w:vAlign w:val="center"/>
            <w:hideMark/>
          </w:tcPr>
          <w:p w14:paraId="6AD7056A" w14:textId="3F4F169A" w:rsidR="00C336CB" w:rsidRPr="00B92A51" w:rsidRDefault="00B92A51" w:rsidP="00C336CB">
            <w:pPr>
              <w:ind w:left="113" w:right="113"/>
              <w:jc w:val="center"/>
              <w:rPr>
                <w:rFonts w:ascii="Times New Roman" w:eastAsia="Times New Roman" w:hAnsi="Times New Roman" w:cs="Times New Roman"/>
                <w:b/>
                <w:bCs/>
                <w:color w:val="000000"/>
                <w:sz w:val="22"/>
                <w:szCs w:val="22"/>
                <w:lang w:val="de-DE" w:eastAsia="de-DE"/>
              </w:rPr>
            </w:pPr>
            <w:r>
              <w:rPr>
                <w:rFonts w:ascii="Times New Roman" w:eastAsia="Times New Roman" w:hAnsi="Times New Roman" w:cs="Times New Roman"/>
                <w:b/>
                <w:bCs/>
                <w:color w:val="000000"/>
                <w:sz w:val="22"/>
                <w:szCs w:val="22"/>
                <w:lang w:eastAsia="de-DE"/>
              </w:rPr>
              <w:t>incidence</w:t>
            </w:r>
            <w:r>
              <w:rPr>
                <w:rFonts w:ascii="Times New Roman" w:eastAsia="Times New Roman" w:hAnsi="Times New Roman" w:cs="Times New Roman"/>
                <w:b/>
                <w:bCs/>
                <w:color w:val="000000"/>
                <w:sz w:val="22"/>
                <w:szCs w:val="22"/>
                <w:lang w:val="de-DE" w:eastAsia="de-DE"/>
              </w:rPr>
              <w:t xml:space="preserve"> [%]</w:t>
            </w:r>
          </w:p>
        </w:tc>
        <w:tc>
          <w:tcPr>
            <w:tcW w:w="0" w:type="auto"/>
            <w:tcBorders>
              <w:top w:val="single" w:sz="4" w:space="0" w:color="auto"/>
              <w:left w:val="nil"/>
              <w:bottom w:val="single" w:sz="8" w:space="0" w:color="auto"/>
              <w:right w:val="single" w:sz="4" w:space="0" w:color="auto"/>
            </w:tcBorders>
            <w:shd w:val="clear" w:color="auto" w:fill="auto"/>
            <w:textDirection w:val="btLr"/>
            <w:vAlign w:val="center"/>
            <w:hideMark/>
          </w:tcPr>
          <w:p w14:paraId="55F7A0D4" w14:textId="7DFF23DE" w:rsidR="00C336CB" w:rsidRPr="00B92A51" w:rsidRDefault="00B92A51" w:rsidP="00C336CB">
            <w:pPr>
              <w:ind w:left="113" w:right="113"/>
              <w:jc w:val="center"/>
              <w:rPr>
                <w:rFonts w:ascii="Times New Roman" w:eastAsia="Times New Roman" w:hAnsi="Times New Roman" w:cs="Times New Roman"/>
                <w:b/>
                <w:bCs/>
                <w:color w:val="000000"/>
                <w:sz w:val="22"/>
                <w:szCs w:val="22"/>
                <w:lang w:val="de-DE" w:eastAsia="de-DE"/>
              </w:rPr>
            </w:pPr>
            <w:r>
              <w:rPr>
                <w:rFonts w:ascii="Times New Roman" w:eastAsia="Times New Roman" w:hAnsi="Times New Roman" w:cs="Times New Roman"/>
                <w:b/>
                <w:bCs/>
                <w:color w:val="000000"/>
                <w:sz w:val="22"/>
                <w:szCs w:val="22"/>
                <w:lang w:eastAsia="de-DE"/>
              </w:rPr>
              <w:t>mortality</w:t>
            </w:r>
            <w:r>
              <w:rPr>
                <w:rFonts w:ascii="Times New Roman" w:eastAsia="Times New Roman" w:hAnsi="Times New Roman" w:cs="Times New Roman"/>
                <w:b/>
                <w:bCs/>
                <w:color w:val="000000"/>
                <w:sz w:val="22"/>
                <w:szCs w:val="22"/>
                <w:lang w:val="de-DE" w:eastAsia="de-DE"/>
              </w:rPr>
              <w:t xml:space="preserve">  [%]</w:t>
            </w:r>
          </w:p>
        </w:tc>
        <w:tc>
          <w:tcPr>
            <w:tcW w:w="0" w:type="auto"/>
            <w:tcBorders>
              <w:top w:val="single" w:sz="4" w:space="0" w:color="auto"/>
              <w:left w:val="nil"/>
              <w:bottom w:val="single" w:sz="8" w:space="0" w:color="auto"/>
              <w:right w:val="single" w:sz="4" w:space="0" w:color="auto"/>
            </w:tcBorders>
            <w:shd w:val="clear" w:color="auto" w:fill="auto"/>
            <w:textDirection w:val="btLr"/>
            <w:vAlign w:val="center"/>
            <w:hideMark/>
          </w:tcPr>
          <w:p w14:paraId="17E1BF75" w14:textId="5CCFD209" w:rsidR="00C336CB" w:rsidRPr="00B92A51" w:rsidRDefault="00B92A51" w:rsidP="00C336CB">
            <w:pPr>
              <w:ind w:left="113" w:right="113"/>
              <w:jc w:val="center"/>
              <w:rPr>
                <w:rFonts w:ascii="Times New Roman" w:eastAsia="Times New Roman" w:hAnsi="Times New Roman" w:cs="Times New Roman"/>
                <w:b/>
                <w:bCs/>
                <w:color w:val="000000"/>
                <w:sz w:val="22"/>
                <w:szCs w:val="22"/>
                <w:lang w:val="de-DE" w:eastAsia="de-DE"/>
              </w:rPr>
            </w:pPr>
            <w:r>
              <w:rPr>
                <w:rFonts w:ascii="Times New Roman" w:eastAsia="Times New Roman" w:hAnsi="Times New Roman" w:cs="Times New Roman"/>
                <w:b/>
                <w:bCs/>
                <w:color w:val="000000"/>
                <w:sz w:val="22"/>
                <w:szCs w:val="22"/>
                <w:lang w:eastAsia="de-DE"/>
              </w:rPr>
              <w:t>age</w:t>
            </w:r>
            <w:r>
              <w:rPr>
                <w:rFonts w:ascii="Times New Roman" w:eastAsia="Times New Roman" w:hAnsi="Times New Roman" w:cs="Times New Roman"/>
                <w:b/>
                <w:bCs/>
                <w:color w:val="000000"/>
                <w:sz w:val="22"/>
                <w:szCs w:val="22"/>
                <w:lang w:val="de-DE" w:eastAsia="de-DE"/>
              </w:rPr>
              <w:t xml:space="preserve"> [</w:t>
            </w:r>
            <w:proofErr w:type="spellStart"/>
            <w:r>
              <w:rPr>
                <w:rFonts w:ascii="Times New Roman" w:eastAsia="Times New Roman" w:hAnsi="Times New Roman" w:cs="Times New Roman"/>
                <w:b/>
                <w:bCs/>
                <w:color w:val="000000"/>
                <w:sz w:val="22"/>
                <w:szCs w:val="22"/>
                <w:lang w:val="de-DE" w:eastAsia="de-DE"/>
              </w:rPr>
              <w:t>years</w:t>
            </w:r>
            <w:proofErr w:type="spellEnd"/>
            <w:r>
              <w:rPr>
                <w:rFonts w:ascii="Times New Roman" w:eastAsia="Times New Roman" w:hAnsi="Times New Roman" w:cs="Times New Roman"/>
                <w:b/>
                <w:bCs/>
                <w:color w:val="000000"/>
                <w:sz w:val="22"/>
                <w:szCs w:val="22"/>
                <w:lang w:val="de-DE" w:eastAsia="de-DE"/>
              </w:rPr>
              <w:t>]</w:t>
            </w:r>
          </w:p>
        </w:tc>
        <w:tc>
          <w:tcPr>
            <w:tcW w:w="0" w:type="auto"/>
            <w:tcBorders>
              <w:top w:val="single" w:sz="4" w:space="0" w:color="auto"/>
              <w:left w:val="nil"/>
              <w:bottom w:val="single" w:sz="8" w:space="0" w:color="auto"/>
              <w:right w:val="single" w:sz="4" w:space="0" w:color="auto"/>
            </w:tcBorders>
            <w:shd w:val="clear" w:color="auto" w:fill="auto"/>
            <w:textDirection w:val="btLr"/>
            <w:vAlign w:val="center"/>
            <w:hideMark/>
          </w:tcPr>
          <w:p w14:paraId="4A7AA832" w14:textId="77777777" w:rsidR="00C336CB" w:rsidRPr="00C336CB" w:rsidRDefault="00C336CB" w:rsidP="00C336CB">
            <w:pPr>
              <w:ind w:left="113" w:right="113"/>
              <w:jc w:val="center"/>
              <w:rPr>
                <w:rFonts w:ascii="Times New Roman" w:eastAsia="Times New Roman" w:hAnsi="Times New Roman" w:cs="Times New Roman"/>
                <w:b/>
                <w:bCs/>
                <w:color w:val="000000"/>
                <w:sz w:val="22"/>
                <w:szCs w:val="22"/>
                <w:lang w:eastAsia="de-DE"/>
              </w:rPr>
            </w:pPr>
            <w:r w:rsidRPr="00C336CB">
              <w:rPr>
                <w:rFonts w:ascii="Times New Roman" w:eastAsia="Times New Roman" w:hAnsi="Times New Roman" w:cs="Times New Roman"/>
                <w:b/>
                <w:bCs/>
                <w:color w:val="000000"/>
                <w:sz w:val="22"/>
                <w:szCs w:val="22"/>
                <w:lang w:eastAsia="de-DE"/>
              </w:rPr>
              <w:t>gender</w:t>
            </w:r>
          </w:p>
        </w:tc>
        <w:tc>
          <w:tcPr>
            <w:tcW w:w="0" w:type="auto"/>
            <w:tcBorders>
              <w:top w:val="single" w:sz="4" w:space="0" w:color="auto"/>
              <w:left w:val="nil"/>
              <w:bottom w:val="single" w:sz="8" w:space="0" w:color="auto"/>
              <w:right w:val="single" w:sz="4" w:space="0" w:color="auto"/>
            </w:tcBorders>
            <w:shd w:val="clear" w:color="auto" w:fill="auto"/>
            <w:textDirection w:val="btLr"/>
            <w:vAlign w:val="center"/>
            <w:hideMark/>
          </w:tcPr>
          <w:p w14:paraId="5E9364F2" w14:textId="75475D1C" w:rsidR="00C336CB" w:rsidRPr="00C336CB" w:rsidRDefault="00B92A51" w:rsidP="00C336CB">
            <w:pPr>
              <w:ind w:left="113" w:right="113"/>
              <w:jc w:val="center"/>
              <w:rPr>
                <w:rFonts w:ascii="Times New Roman" w:eastAsia="Times New Roman" w:hAnsi="Times New Roman" w:cs="Times New Roman"/>
                <w:b/>
                <w:bCs/>
                <w:color w:val="000000"/>
                <w:sz w:val="22"/>
                <w:szCs w:val="22"/>
                <w:lang w:eastAsia="de-DE"/>
              </w:rPr>
            </w:pPr>
            <w:r>
              <w:rPr>
                <w:rFonts w:ascii="Times New Roman" w:eastAsia="Times New Roman" w:hAnsi="Times New Roman" w:cs="Times New Roman"/>
                <w:b/>
                <w:bCs/>
                <w:color w:val="000000"/>
                <w:sz w:val="22"/>
                <w:szCs w:val="22"/>
                <w:lang w:val="de-DE" w:eastAsia="de-DE"/>
              </w:rPr>
              <w:t>s</w:t>
            </w:r>
            <w:r w:rsidR="00C336CB" w:rsidRPr="00C336CB">
              <w:rPr>
                <w:rFonts w:ascii="Times New Roman" w:eastAsia="Times New Roman" w:hAnsi="Times New Roman" w:cs="Times New Roman"/>
                <w:b/>
                <w:bCs/>
                <w:color w:val="000000"/>
                <w:sz w:val="22"/>
                <w:szCs w:val="22"/>
                <w:lang w:eastAsia="de-DE"/>
              </w:rPr>
              <w:t>tage</w:t>
            </w:r>
            <w:r w:rsidR="00C336CB" w:rsidRPr="00C336CB">
              <w:rPr>
                <w:rFonts w:ascii="Times New Roman" w:eastAsia="Times New Roman" w:hAnsi="Times New Roman" w:cs="Times New Roman"/>
                <w:b/>
                <w:bCs/>
                <w:color w:val="000000"/>
                <w:sz w:val="22"/>
                <w:szCs w:val="22"/>
                <w:lang w:val="de-DE" w:eastAsia="de-DE"/>
              </w:rPr>
              <w:t xml:space="preserve"> </w:t>
            </w:r>
            <w:r w:rsidR="00C336CB" w:rsidRPr="00C336CB">
              <w:rPr>
                <w:rFonts w:ascii="Times New Roman" w:eastAsia="Times New Roman" w:hAnsi="Times New Roman" w:cs="Times New Roman"/>
                <w:b/>
                <w:bCs/>
                <w:color w:val="000000"/>
                <w:sz w:val="22"/>
                <w:szCs w:val="22"/>
                <w:lang w:eastAsia="de-DE"/>
              </w:rPr>
              <w:t>of disease</w:t>
            </w:r>
          </w:p>
        </w:tc>
        <w:tc>
          <w:tcPr>
            <w:tcW w:w="0" w:type="auto"/>
            <w:tcBorders>
              <w:top w:val="single" w:sz="4" w:space="0" w:color="auto"/>
              <w:left w:val="nil"/>
              <w:bottom w:val="single" w:sz="8" w:space="0" w:color="auto"/>
              <w:right w:val="single" w:sz="4" w:space="0" w:color="auto"/>
            </w:tcBorders>
            <w:shd w:val="clear" w:color="auto" w:fill="auto"/>
            <w:textDirection w:val="btLr"/>
            <w:vAlign w:val="center"/>
            <w:hideMark/>
          </w:tcPr>
          <w:p w14:paraId="57948F80" w14:textId="47F4B38C" w:rsidR="00C336CB" w:rsidRPr="00B92A51" w:rsidRDefault="00B92A51" w:rsidP="00C336CB">
            <w:pPr>
              <w:ind w:left="113" w:right="113"/>
              <w:jc w:val="center"/>
              <w:rPr>
                <w:rFonts w:ascii="Times New Roman" w:eastAsia="Times New Roman" w:hAnsi="Times New Roman" w:cs="Times New Roman"/>
                <w:b/>
                <w:bCs/>
                <w:color w:val="000000"/>
                <w:sz w:val="22"/>
                <w:szCs w:val="22"/>
                <w:lang w:val="de-DE" w:eastAsia="de-DE"/>
              </w:rPr>
            </w:pPr>
            <w:r>
              <w:rPr>
                <w:rFonts w:ascii="Times New Roman" w:eastAsia="Times New Roman" w:hAnsi="Times New Roman" w:cs="Times New Roman"/>
                <w:b/>
                <w:bCs/>
                <w:color w:val="000000"/>
                <w:sz w:val="22"/>
                <w:szCs w:val="22"/>
                <w:lang w:eastAsia="de-DE"/>
              </w:rPr>
              <w:t>fever</w:t>
            </w:r>
            <w:r>
              <w:rPr>
                <w:rFonts w:ascii="Times New Roman" w:eastAsia="Times New Roman" w:hAnsi="Times New Roman" w:cs="Times New Roman"/>
                <w:b/>
                <w:bCs/>
                <w:color w:val="000000"/>
                <w:sz w:val="22"/>
                <w:szCs w:val="22"/>
                <w:lang w:val="de-DE" w:eastAsia="de-DE"/>
              </w:rPr>
              <w:t xml:space="preserve"> </w:t>
            </w:r>
          </w:p>
        </w:tc>
        <w:tc>
          <w:tcPr>
            <w:tcW w:w="0" w:type="auto"/>
            <w:tcBorders>
              <w:top w:val="single" w:sz="4" w:space="0" w:color="auto"/>
              <w:left w:val="nil"/>
              <w:bottom w:val="single" w:sz="8" w:space="0" w:color="auto"/>
              <w:right w:val="single" w:sz="4" w:space="0" w:color="auto"/>
            </w:tcBorders>
            <w:shd w:val="clear" w:color="auto" w:fill="auto"/>
            <w:textDirection w:val="btLr"/>
            <w:vAlign w:val="center"/>
            <w:hideMark/>
          </w:tcPr>
          <w:p w14:paraId="7951F771" w14:textId="77777777" w:rsidR="00C336CB" w:rsidRPr="00C336CB" w:rsidRDefault="00C336CB" w:rsidP="00C336CB">
            <w:pPr>
              <w:ind w:left="113" w:right="113"/>
              <w:jc w:val="center"/>
              <w:rPr>
                <w:rFonts w:ascii="Times New Roman" w:eastAsia="Times New Roman" w:hAnsi="Times New Roman" w:cs="Times New Roman"/>
                <w:b/>
                <w:bCs/>
                <w:color w:val="000000"/>
                <w:sz w:val="22"/>
                <w:szCs w:val="22"/>
                <w:lang w:eastAsia="de-DE"/>
              </w:rPr>
            </w:pPr>
            <w:r w:rsidRPr="00C336CB">
              <w:rPr>
                <w:rFonts w:ascii="Times New Roman" w:eastAsia="Times New Roman" w:hAnsi="Times New Roman" w:cs="Times New Roman"/>
                <w:b/>
                <w:bCs/>
                <w:color w:val="000000"/>
                <w:sz w:val="22"/>
                <w:szCs w:val="22"/>
                <w:lang w:eastAsia="de-DE"/>
              </w:rPr>
              <w:t>respiratory symptoms</w:t>
            </w:r>
          </w:p>
        </w:tc>
        <w:tc>
          <w:tcPr>
            <w:tcW w:w="0" w:type="auto"/>
            <w:tcBorders>
              <w:top w:val="single" w:sz="4" w:space="0" w:color="auto"/>
              <w:left w:val="nil"/>
              <w:bottom w:val="single" w:sz="8" w:space="0" w:color="auto"/>
              <w:right w:val="single" w:sz="4" w:space="0" w:color="auto"/>
            </w:tcBorders>
            <w:shd w:val="clear" w:color="auto" w:fill="auto"/>
            <w:textDirection w:val="btLr"/>
            <w:vAlign w:val="center"/>
            <w:hideMark/>
          </w:tcPr>
          <w:p w14:paraId="588E9100" w14:textId="77777777" w:rsidR="00C336CB" w:rsidRPr="00C336CB" w:rsidRDefault="00C336CB" w:rsidP="00C336CB">
            <w:pPr>
              <w:ind w:left="113" w:right="113"/>
              <w:jc w:val="center"/>
              <w:rPr>
                <w:rFonts w:ascii="Times New Roman" w:eastAsia="Times New Roman" w:hAnsi="Times New Roman" w:cs="Times New Roman"/>
                <w:b/>
                <w:bCs/>
                <w:color w:val="000000"/>
                <w:sz w:val="22"/>
                <w:szCs w:val="22"/>
                <w:lang w:eastAsia="de-DE"/>
              </w:rPr>
            </w:pPr>
            <w:r w:rsidRPr="00C336CB">
              <w:rPr>
                <w:rFonts w:ascii="Times New Roman" w:eastAsia="Times New Roman" w:hAnsi="Times New Roman" w:cs="Times New Roman"/>
                <w:b/>
                <w:bCs/>
                <w:color w:val="000000"/>
                <w:sz w:val="22"/>
                <w:szCs w:val="22"/>
                <w:lang w:eastAsia="de-DE"/>
              </w:rPr>
              <w:t>malaise</w:t>
            </w:r>
          </w:p>
        </w:tc>
        <w:tc>
          <w:tcPr>
            <w:tcW w:w="0" w:type="auto"/>
            <w:tcBorders>
              <w:top w:val="single" w:sz="4" w:space="0" w:color="auto"/>
              <w:left w:val="nil"/>
              <w:bottom w:val="single" w:sz="8" w:space="0" w:color="auto"/>
              <w:right w:val="single" w:sz="4" w:space="0" w:color="auto"/>
            </w:tcBorders>
            <w:shd w:val="clear" w:color="auto" w:fill="auto"/>
            <w:textDirection w:val="btLr"/>
            <w:vAlign w:val="center"/>
            <w:hideMark/>
          </w:tcPr>
          <w:p w14:paraId="705D9D04" w14:textId="77777777" w:rsidR="00C336CB" w:rsidRPr="00C336CB" w:rsidRDefault="00C336CB" w:rsidP="00C336CB">
            <w:pPr>
              <w:ind w:left="113" w:right="113"/>
              <w:jc w:val="center"/>
              <w:rPr>
                <w:rFonts w:ascii="Times New Roman" w:eastAsia="Times New Roman" w:hAnsi="Times New Roman" w:cs="Times New Roman"/>
                <w:b/>
                <w:bCs/>
                <w:color w:val="000000"/>
                <w:sz w:val="22"/>
                <w:szCs w:val="22"/>
                <w:lang w:eastAsia="de-DE"/>
              </w:rPr>
            </w:pPr>
            <w:r w:rsidRPr="00C336CB">
              <w:rPr>
                <w:rFonts w:ascii="Times New Roman" w:eastAsia="Times New Roman" w:hAnsi="Times New Roman" w:cs="Times New Roman"/>
                <w:b/>
                <w:bCs/>
                <w:color w:val="000000"/>
                <w:sz w:val="22"/>
                <w:szCs w:val="22"/>
                <w:lang w:eastAsia="de-DE"/>
              </w:rPr>
              <w:t>myalgia/arthrarthralgia</w:t>
            </w:r>
          </w:p>
        </w:tc>
        <w:tc>
          <w:tcPr>
            <w:tcW w:w="0" w:type="auto"/>
            <w:tcBorders>
              <w:top w:val="single" w:sz="4" w:space="0" w:color="auto"/>
              <w:left w:val="nil"/>
              <w:bottom w:val="single" w:sz="8" w:space="0" w:color="auto"/>
              <w:right w:val="single" w:sz="4" w:space="0" w:color="auto"/>
            </w:tcBorders>
            <w:shd w:val="clear" w:color="auto" w:fill="auto"/>
            <w:textDirection w:val="btLr"/>
            <w:vAlign w:val="center"/>
            <w:hideMark/>
          </w:tcPr>
          <w:p w14:paraId="525D917F" w14:textId="77777777" w:rsidR="00C336CB" w:rsidRPr="00C336CB" w:rsidRDefault="00C336CB" w:rsidP="00C336CB">
            <w:pPr>
              <w:ind w:left="113" w:right="113"/>
              <w:jc w:val="center"/>
              <w:rPr>
                <w:rFonts w:ascii="Times New Roman" w:eastAsia="Times New Roman" w:hAnsi="Times New Roman" w:cs="Times New Roman"/>
                <w:b/>
                <w:bCs/>
                <w:color w:val="000000"/>
                <w:sz w:val="22"/>
                <w:szCs w:val="22"/>
                <w:lang w:eastAsia="de-DE"/>
              </w:rPr>
            </w:pPr>
            <w:r w:rsidRPr="00C336CB">
              <w:rPr>
                <w:rFonts w:ascii="Times New Roman" w:eastAsia="Times New Roman" w:hAnsi="Times New Roman" w:cs="Times New Roman"/>
                <w:b/>
                <w:bCs/>
                <w:color w:val="000000"/>
                <w:sz w:val="22"/>
                <w:szCs w:val="22"/>
                <w:lang w:eastAsia="de-DE"/>
              </w:rPr>
              <w:t>focal deficits</w:t>
            </w:r>
          </w:p>
        </w:tc>
        <w:tc>
          <w:tcPr>
            <w:tcW w:w="0" w:type="auto"/>
            <w:tcBorders>
              <w:top w:val="single" w:sz="4" w:space="0" w:color="auto"/>
              <w:left w:val="nil"/>
              <w:bottom w:val="single" w:sz="8" w:space="0" w:color="auto"/>
              <w:right w:val="single" w:sz="4" w:space="0" w:color="auto"/>
            </w:tcBorders>
            <w:shd w:val="clear" w:color="auto" w:fill="auto"/>
            <w:textDirection w:val="btLr"/>
            <w:vAlign w:val="center"/>
            <w:hideMark/>
          </w:tcPr>
          <w:p w14:paraId="6AA39677" w14:textId="77777777" w:rsidR="00C336CB" w:rsidRPr="00C336CB" w:rsidRDefault="00C336CB" w:rsidP="00C336CB">
            <w:pPr>
              <w:ind w:left="113" w:right="113"/>
              <w:jc w:val="center"/>
              <w:rPr>
                <w:rFonts w:ascii="Times New Roman" w:eastAsia="Times New Roman" w:hAnsi="Times New Roman" w:cs="Times New Roman"/>
                <w:b/>
                <w:bCs/>
                <w:color w:val="000000"/>
                <w:sz w:val="22"/>
                <w:szCs w:val="22"/>
                <w:lang w:eastAsia="de-DE"/>
              </w:rPr>
            </w:pPr>
            <w:r w:rsidRPr="00C336CB">
              <w:rPr>
                <w:rFonts w:ascii="Times New Roman" w:eastAsia="Times New Roman" w:hAnsi="Times New Roman" w:cs="Times New Roman"/>
                <w:b/>
                <w:bCs/>
                <w:color w:val="000000"/>
                <w:sz w:val="22"/>
                <w:szCs w:val="22"/>
                <w:lang w:eastAsia="de-DE"/>
              </w:rPr>
              <w:t>altered mental state/level of consciousnes</w:t>
            </w:r>
          </w:p>
        </w:tc>
        <w:tc>
          <w:tcPr>
            <w:tcW w:w="0" w:type="auto"/>
            <w:tcBorders>
              <w:top w:val="single" w:sz="4" w:space="0" w:color="auto"/>
              <w:left w:val="nil"/>
              <w:bottom w:val="single" w:sz="8" w:space="0" w:color="auto"/>
              <w:right w:val="single" w:sz="4" w:space="0" w:color="auto"/>
            </w:tcBorders>
            <w:shd w:val="clear" w:color="auto" w:fill="auto"/>
            <w:textDirection w:val="btLr"/>
            <w:vAlign w:val="center"/>
            <w:hideMark/>
          </w:tcPr>
          <w:p w14:paraId="20D05190" w14:textId="77777777" w:rsidR="00C336CB" w:rsidRPr="00C336CB" w:rsidRDefault="00C336CB" w:rsidP="00C336CB">
            <w:pPr>
              <w:ind w:left="113" w:right="113"/>
              <w:jc w:val="center"/>
              <w:rPr>
                <w:rFonts w:ascii="Times New Roman" w:eastAsia="Times New Roman" w:hAnsi="Times New Roman" w:cs="Times New Roman"/>
                <w:b/>
                <w:bCs/>
                <w:color w:val="000000"/>
                <w:sz w:val="22"/>
                <w:szCs w:val="22"/>
                <w:lang w:eastAsia="de-DE"/>
              </w:rPr>
            </w:pPr>
            <w:r w:rsidRPr="00C336CB">
              <w:rPr>
                <w:rFonts w:ascii="Times New Roman" w:eastAsia="Times New Roman" w:hAnsi="Times New Roman" w:cs="Times New Roman"/>
                <w:b/>
                <w:bCs/>
                <w:color w:val="000000"/>
                <w:sz w:val="22"/>
                <w:szCs w:val="22"/>
                <w:lang w:eastAsia="de-DE"/>
              </w:rPr>
              <w:t>encephalopathy</w:t>
            </w:r>
          </w:p>
        </w:tc>
        <w:tc>
          <w:tcPr>
            <w:tcW w:w="0" w:type="auto"/>
            <w:tcBorders>
              <w:top w:val="single" w:sz="4" w:space="0" w:color="auto"/>
              <w:left w:val="nil"/>
              <w:bottom w:val="single" w:sz="8" w:space="0" w:color="auto"/>
              <w:right w:val="single" w:sz="4" w:space="0" w:color="auto"/>
            </w:tcBorders>
            <w:shd w:val="clear" w:color="auto" w:fill="auto"/>
            <w:textDirection w:val="btLr"/>
            <w:vAlign w:val="center"/>
            <w:hideMark/>
          </w:tcPr>
          <w:p w14:paraId="72D5BE3A" w14:textId="77777777" w:rsidR="00C336CB" w:rsidRPr="00C336CB" w:rsidRDefault="00C336CB" w:rsidP="00C336CB">
            <w:pPr>
              <w:ind w:left="113" w:right="113"/>
              <w:jc w:val="center"/>
              <w:rPr>
                <w:rFonts w:ascii="Times New Roman" w:eastAsia="Times New Roman" w:hAnsi="Times New Roman" w:cs="Times New Roman"/>
                <w:b/>
                <w:bCs/>
                <w:color w:val="000000"/>
                <w:sz w:val="22"/>
                <w:szCs w:val="22"/>
                <w:lang w:eastAsia="de-DE"/>
              </w:rPr>
            </w:pPr>
            <w:r w:rsidRPr="00C336CB">
              <w:rPr>
                <w:rFonts w:ascii="Times New Roman" w:eastAsia="Times New Roman" w:hAnsi="Times New Roman" w:cs="Times New Roman"/>
                <w:b/>
                <w:bCs/>
                <w:color w:val="000000"/>
                <w:sz w:val="22"/>
                <w:szCs w:val="22"/>
                <w:lang w:eastAsia="de-DE"/>
              </w:rPr>
              <w:t>anisocoria/abnormal pupils</w:t>
            </w:r>
          </w:p>
        </w:tc>
        <w:tc>
          <w:tcPr>
            <w:tcW w:w="0" w:type="auto"/>
            <w:tcBorders>
              <w:top w:val="single" w:sz="4" w:space="0" w:color="auto"/>
              <w:left w:val="nil"/>
              <w:bottom w:val="single" w:sz="8" w:space="0" w:color="auto"/>
              <w:right w:val="single" w:sz="4" w:space="0" w:color="auto"/>
            </w:tcBorders>
            <w:shd w:val="clear" w:color="auto" w:fill="auto"/>
            <w:textDirection w:val="btLr"/>
            <w:vAlign w:val="center"/>
            <w:hideMark/>
          </w:tcPr>
          <w:p w14:paraId="0CEFAAC3" w14:textId="77777777" w:rsidR="00C336CB" w:rsidRPr="00C336CB" w:rsidRDefault="00C336CB" w:rsidP="00C336CB">
            <w:pPr>
              <w:ind w:left="113" w:right="113"/>
              <w:jc w:val="center"/>
              <w:rPr>
                <w:rFonts w:ascii="Times New Roman" w:eastAsia="Times New Roman" w:hAnsi="Times New Roman" w:cs="Times New Roman"/>
                <w:b/>
                <w:bCs/>
                <w:color w:val="000000"/>
                <w:sz w:val="22"/>
                <w:szCs w:val="22"/>
                <w:lang w:eastAsia="de-DE"/>
              </w:rPr>
            </w:pPr>
            <w:r w:rsidRPr="00C336CB">
              <w:rPr>
                <w:rFonts w:ascii="Times New Roman" w:eastAsia="Times New Roman" w:hAnsi="Times New Roman" w:cs="Times New Roman"/>
                <w:b/>
                <w:bCs/>
                <w:color w:val="000000"/>
                <w:sz w:val="22"/>
                <w:szCs w:val="22"/>
                <w:lang w:eastAsia="de-DE"/>
              </w:rPr>
              <w:t>headache</w:t>
            </w:r>
          </w:p>
        </w:tc>
        <w:tc>
          <w:tcPr>
            <w:tcW w:w="0" w:type="auto"/>
            <w:tcBorders>
              <w:top w:val="single" w:sz="4" w:space="0" w:color="auto"/>
              <w:left w:val="nil"/>
              <w:bottom w:val="single" w:sz="8" w:space="0" w:color="auto"/>
              <w:right w:val="single" w:sz="4" w:space="0" w:color="auto"/>
            </w:tcBorders>
            <w:shd w:val="clear" w:color="auto" w:fill="auto"/>
            <w:textDirection w:val="btLr"/>
            <w:vAlign w:val="center"/>
            <w:hideMark/>
          </w:tcPr>
          <w:p w14:paraId="6176BFB2" w14:textId="77777777" w:rsidR="00C336CB" w:rsidRPr="00C336CB" w:rsidRDefault="00C336CB" w:rsidP="00C336CB">
            <w:pPr>
              <w:ind w:left="113" w:right="113"/>
              <w:jc w:val="center"/>
              <w:rPr>
                <w:rFonts w:ascii="Times New Roman" w:eastAsia="Times New Roman" w:hAnsi="Times New Roman" w:cs="Times New Roman"/>
                <w:b/>
                <w:bCs/>
                <w:color w:val="000000"/>
                <w:sz w:val="22"/>
                <w:szCs w:val="22"/>
                <w:lang w:eastAsia="de-DE"/>
              </w:rPr>
            </w:pPr>
            <w:r w:rsidRPr="00C336CB">
              <w:rPr>
                <w:rFonts w:ascii="Times New Roman" w:eastAsia="Times New Roman" w:hAnsi="Times New Roman" w:cs="Times New Roman"/>
                <w:b/>
                <w:bCs/>
                <w:color w:val="000000"/>
                <w:sz w:val="22"/>
                <w:szCs w:val="22"/>
                <w:lang w:eastAsia="de-DE"/>
              </w:rPr>
              <w:t>seizure</w:t>
            </w:r>
          </w:p>
        </w:tc>
        <w:tc>
          <w:tcPr>
            <w:tcW w:w="0" w:type="auto"/>
            <w:tcBorders>
              <w:top w:val="single" w:sz="4" w:space="0" w:color="auto"/>
              <w:left w:val="nil"/>
              <w:bottom w:val="single" w:sz="8" w:space="0" w:color="auto"/>
              <w:right w:val="single" w:sz="4" w:space="0" w:color="auto"/>
            </w:tcBorders>
            <w:shd w:val="clear" w:color="auto" w:fill="auto"/>
            <w:textDirection w:val="btLr"/>
            <w:vAlign w:val="center"/>
            <w:hideMark/>
          </w:tcPr>
          <w:p w14:paraId="23A50D19" w14:textId="77777777" w:rsidR="00C336CB" w:rsidRPr="00C336CB" w:rsidRDefault="00C336CB" w:rsidP="00C336CB">
            <w:pPr>
              <w:ind w:left="113" w:right="113"/>
              <w:jc w:val="center"/>
              <w:rPr>
                <w:rFonts w:ascii="Times New Roman" w:eastAsia="Times New Roman" w:hAnsi="Times New Roman" w:cs="Times New Roman"/>
                <w:b/>
                <w:bCs/>
                <w:color w:val="000000"/>
                <w:sz w:val="22"/>
                <w:szCs w:val="22"/>
                <w:lang w:eastAsia="de-DE"/>
              </w:rPr>
            </w:pPr>
            <w:r w:rsidRPr="00C336CB">
              <w:rPr>
                <w:rFonts w:ascii="Times New Roman" w:eastAsia="Times New Roman" w:hAnsi="Times New Roman" w:cs="Times New Roman"/>
                <w:b/>
                <w:bCs/>
                <w:color w:val="000000"/>
                <w:sz w:val="22"/>
                <w:szCs w:val="22"/>
                <w:lang w:eastAsia="de-DE"/>
              </w:rPr>
              <w:t>microbleeds</w:t>
            </w:r>
          </w:p>
        </w:tc>
        <w:tc>
          <w:tcPr>
            <w:tcW w:w="0" w:type="auto"/>
            <w:tcBorders>
              <w:top w:val="single" w:sz="4" w:space="0" w:color="auto"/>
              <w:left w:val="nil"/>
              <w:bottom w:val="single" w:sz="8" w:space="0" w:color="auto"/>
              <w:right w:val="single" w:sz="4" w:space="0" w:color="auto"/>
            </w:tcBorders>
            <w:shd w:val="clear" w:color="auto" w:fill="auto"/>
            <w:textDirection w:val="btLr"/>
            <w:vAlign w:val="center"/>
            <w:hideMark/>
          </w:tcPr>
          <w:p w14:paraId="0DF42E1C" w14:textId="77777777" w:rsidR="00C336CB" w:rsidRPr="00C336CB" w:rsidRDefault="00C336CB" w:rsidP="00C336CB">
            <w:pPr>
              <w:ind w:left="113" w:right="113"/>
              <w:jc w:val="center"/>
              <w:rPr>
                <w:rFonts w:ascii="Times New Roman" w:eastAsia="Times New Roman" w:hAnsi="Times New Roman" w:cs="Times New Roman"/>
                <w:b/>
                <w:bCs/>
                <w:color w:val="000000"/>
                <w:sz w:val="22"/>
                <w:szCs w:val="22"/>
                <w:lang w:eastAsia="de-DE"/>
              </w:rPr>
            </w:pPr>
            <w:r w:rsidRPr="00C336CB">
              <w:rPr>
                <w:rFonts w:ascii="Times New Roman" w:eastAsia="Times New Roman" w:hAnsi="Times New Roman" w:cs="Times New Roman"/>
                <w:b/>
                <w:bCs/>
                <w:color w:val="000000"/>
                <w:sz w:val="22"/>
                <w:szCs w:val="22"/>
                <w:lang w:eastAsia="de-DE"/>
              </w:rPr>
              <w:t>sah</w:t>
            </w:r>
          </w:p>
        </w:tc>
        <w:tc>
          <w:tcPr>
            <w:tcW w:w="0" w:type="auto"/>
            <w:tcBorders>
              <w:top w:val="single" w:sz="4" w:space="0" w:color="auto"/>
              <w:left w:val="nil"/>
              <w:bottom w:val="single" w:sz="8" w:space="0" w:color="auto"/>
              <w:right w:val="single" w:sz="4" w:space="0" w:color="auto"/>
            </w:tcBorders>
            <w:shd w:val="clear" w:color="auto" w:fill="auto"/>
            <w:textDirection w:val="btLr"/>
            <w:vAlign w:val="center"/>
            <w:hideMark/>
          </w:tcPr>
          <w:p w14:paraId="6B999A39" w14:textId="77777777" w:rsidR="00C336CB" w:rsidRPr="00C336CB" w:rsidRDefault="00C336CB" w:rsidP="00C336CB">
            <w:pPr>
              <w:ind w:left="113" w:right="113"/>
              <w:jc w:val="center"/>
              <w:rPr>
                <w:rFonts w:ascii="Times New Roman" w:eastAsia="Times New Roman" w:hAnsi="Times New Roman" w:cs="Times New Roman"/>
                <w:b/>
                <w:bCs/>
                <w:color w:val="000000"/>
                <w:sz w:val="22"/>
                <w:szCs w:val="22"/>
                <w:lang w:eastAsia="de-DE"/>
              </w:rPr>
            </w:pPr>
            <w:r w:rsidRPr="00C336CB">
              <w:rPr>
                <w:rFonts w:ascii="Times New Roman" w:eastAsia="Times New Roman" w:hAnsi="Times New Roman" w:cs="Times New Roman"/>
                <w:b/>
                <w:bCs/>
                <w:color w:val="000000"/>
                <w:sz w:val="22"/>
                <w:szCs w:val="22"/>
                <w:lang w:eastAsia="de-DE"/>
              </w:rPr>
              <w:t>iph</w:t>
            </w:r>
          </w:p>
        </w:tc>
        <w:tc>
          <w:tcPr>
            <w:tcW w:w="0" w:type="auto"/>
            <w:tcBorders>
              <w:top w:val="single" w:sz="4" w:space="0" w:color="auto"/>
              <w:left w:val="nil"/>
              <w:bottom w:val="single" w:sz="8" w:space="0" w:color="auto"/>
              <w:right w:val="single" w:sz="4" w:space="0" w:color="auto"/>
            </w:tcBorders>
            <w:shd w:val="clear" w:color="auto" w:fill="auto"/>
            <w:textDirection w:val="btLr"/>
            <w:vAlign w:val="center"/>
            <w:hideMark/>
          </w:tcPr>
          <w:p w14:paraId="7EBE636E" w14:textId="77777777" w:rsidR="00C336CB" w:rsidRPr="00C336CB" w:rsidRDefault="00C336CB" w:rsidP="00C336CB">
            <w:pPr>
              <w:ind w:left="113" w:right="113"/>
              <w:jc w:val="center"/>
              <w:rPr>
                <w:rFonts w:ascii="Times New Roman" w:eastAsia="Times New Roman" w:hAnsi="Times New Roman" w:cs="Times New Roman"/>
                <w:b/>
                <w:bCs/>
                <w:color w:val="000000"/>
                <w:sz w:val="22"/>
                <w:szCs w:val="22"/>
                <w:lang w:eastAsia="de-DE"/>
              </w:rPr>
            </w:pPr>
            <w:r w:rsidRPr="00C336CB">
              <w:rPr>
                <w:rFonts w:ascii="Times New Roman" w:eastAsia="Times New Roman" w:hAnsi="Times New Roman" w:cs="Times New Roman"/>
                <w:b/>
                <w:bCs/>
                <w:color w:val="000000"/>
                <w:sz w:val="22"/>
                <w:szCs w:val="22"/>
                <w:lang w:eastAsia="de-DE"/>
              </w:rPr>
              <w:t>ivh</w:t>
            </w:r>
          </w:p>
        </w:tc>
        <w:tc>
          <w:tcPr>
            <w:tcW w:w="0" w:type="auto"/>
            <w:tcBorders>
              <w:top w:val="single" w:sz="4" w:space="0" w:color="auto"/>
              <w:left w:val="nil"/>
              <w:bottom w:val="single" w:sz="8" w:space="0" w:color="auto"/>
              <w:right w:val="single" w:sz="4" w:space="0" w:color="auto"/>
            </w:tcBorders>
            <w:shd w:val="clear" w:color="auto" w:fill="auto"/>
            <w:textDirection w:val="btLr"/>
            <w:vAlign w:val="center"/>
            <w:hideMark/>
          </w:tcPr>
          <w:p w14:paraId="68F9745C" w14:textId="77777777" w:rsidR="00C336CB" w:rsidRPr="00C336CB" w:rsidRDefault="00C336CB" w:rsidP="00C336CB">
            <w:pPr>
              <w:ind w:left="113" w:right="113"/>
              <w:jc w:val="center"/>
              <w:rPr>
                <w:rFonts w:ascii="Times New Roman" w:eastAsia="Times New Roman" w:hAnsi="Times New Roman" w:cs="Times New Roman"/>
                <w:b/>
                <w:bCs/>
                <w:color w:val="000000"/>
                <w:sz w:val="22"/>
                <w:szCs w:val="22"/>
                <w:lang w:eastAsia="de-DE"/>
              </w:rPr>
            </w:pPr>
            <w:r w:rsidRPr="00C336CB">
              <w:rPr>
                <w:rFonts w:ascii="Times New Roman" w:eastAsia="Times New Roman" w:hAnsi="Times New Roman" w:cs="Times New Roman"/>
                <w:b/>
                <w:bCs/>
                <w:color w:val="000000"/>
                <w:sz w:val="22"/>
                <w:szCs w:val="22"/>
                <w:lang w:eastAsia="de-DE"/>
              </w:rPr>
              <w:t>edh/sdh</w:t>
            </w:r>
          </w:p>
        </w:tc>
        <w:tc>
          <w:tcPr>
            <w:tcW w:w="0" w:type="auto"/>
            <w:tcBorders>
              <w:top w:val="single" w:sz="4" w:space="0" w:color="auto"/>
              <w:left w:val="nil"/>
              <w:bottom w:val="single" w:sz="8" w:space="0" w:color="auto"/>
              <w:right w:val="single" w:sz="4" w:space="0" w:color="auto"/>
            </w:tcBorders>
            <w:shd w:val="clear" w:color="auto" w:fill="auto"/>
            <w:textDirection w:val="btLr"/>
            <w:vAlign w:val="center"/>
            <w:hideMark/>
          </w:tcPr>
          <w:p w14:paraId="44F1E1EF" w14:textId="77777777" w:rsidR="00C336CB" w:rsidRPr="00C336CB" w:rsidRDefault="00C336CB" w:rsidP="00C336CB">
            <w:pPr>
              <w:ind w:left="113" w:right="113"/>
              <w:jc w:val="center"/>
              <w:rPr>
                <w:rFonts w:ascii="Times New Roman" w:eastAsia="Times New Roman" w:hAnsi="Times New Roman" w:cs="Times New Roman"/>
                <w:b/>
                <w:bCs/>
                <w:color w:val="000000"/>
                <w:sz w:val="22"/>
                <w:szCs w:val="22"/>
                <w:lang w:eastAsia="de-DE"/>
              </w:rPr>
            </w:pPr>
            <w:r w:rsidRPr="00C336CB">
              <w:rPr>
                <w:rFonts w:ascii="Times New Roman" w:eastAsia="Times New Roman" w:hAnsi="Times New Roman" w:cs="Times New Roman"/>
                <w:b/>
                <w:bCs/>
                <w:color w:val="000000"/>
                <w:sz w:val="22"/>
                <w:szCs w:val="22"/>
                <w:lang w:eastAsia="de-DE"/>
              </w:rPr>
              <w:t>ht/ph</w:t>
            </w:r>
          </w:p>
        </w:tc>
        <w:tc>
          <w:tcPr>
            <w:tcW w:w="0" w:type="auto"/>
            <w:tcBorders>
              <w:top w:val="single" w:sz="4" w:space="0" w:color="auto"/>
              <w:left w:val="nil"/>
              <w:bottom w:val="single" w:sz="8" w:space="0" w:color="auto"/>
              <w:right w:val="single" w:sz="4" w:space="0" w:color="auto"/>
            </w:tcBorders>
            <w:shd w:val="clear" w:color="auto" w:fill="auto"/>
            <w:textDirection w:val="btLr"/>
            <w:vAlign w:val="center"/>
            <w:hideMark/>
          </w:tcPr>
          <w:p w14:paraId="0E7578FA" w14:textId="77777777" w:rsidR="00C336CB" w:rsidRPr="00C336CB" w:rsidRDefault="00C336CB" w:rsidP="00C336CB">
            <w:pPr>
              <w:ind w:left="113" w:right="113"/>
              <w:jc w:val="center"/>
              <w:rPr>
                <w:rFonts w:ascii="Times New Roman" w:eastAsia="Times New Roman" w:hAnsi="Times New Roman" w:cs="Times New Roman"/>
                <w:b/>
                <w:bCs/>
                <w:color w:val="000000"/>
                <w:sz w:val="22"/>
                <w:szCs w:val="22"/>
                <w:lang w:eastAsia="de-DE"/>
              </w:rPr>
            </w:pPr>
            <w:r w:rsidRPr="00C336CB">
              <w:rPr>
                <w:rFonts w:ascii="Times New Roman" w:eastAsia="Times New Roman" w:hAnsi="Times New Roman" w:cs="Times New Roman"/>
                <w:b/>
                <w:bCs/>
                <w:color w:val="000000"/>
                <w:sz w:val="22"/>
                <w:szCs w:val="22"/>
                <w:lang w:eastAsia="de-DE"/>
              </w:rPr>
              <w:t>svt</w:t>
            </w:r>
          </w:p>
        </w:tc>
        <w:tc>
          <w:tcPr>
            <w:tcW w:w="0" w:type="auto"/>
            <w:tcBorders>
              <w:top w:val="single" w:sz="4" w:space="0" w:color="auto"/>
              <w:left w:val="nil"/>
              <w:bottom w:val="single" w:sz="8" w:space="0" w:color="auto"/>
              <w:right w:val="single" w:sz="4" w:space="0" w:color="auto"/>
            </w:tcBorders>
            <w:shd w:val="clear" w:color="auto" w:fill="auto"/>
            <w:textDirection w:val="btLr"/>
            <w:vAlign w:val="center"/>
            <w:hideMark/>
          </w:tcPr>
          <w:p w14:paraId="4BAEB88E" w14:textId="77777777" w:rsidR="00C336CB" w:rsidRPr="00C336CB" w:rsidRDefault="00C336CB" w:rsidP="00C336CB">
            <w:pPr>
              <w:ind w:left="113" w:right="113"/>
              <w:jc w:val="center"/>
              <w:rPr>
                <w:rFonts w:ascii="Times New Roman" w:eastAsia="Times New Roman" w:hAnsi="Times New Roman" w:cs="Times New Roman"/>
                <w:b/>
                <w:bCs/>
                <w:color w:val="000000"/>
                <w:sz w:val="22"/>
                <w:szCs w:val="22"/>
                <w:lang w:eastAsia="de-DE"/>
              </w:rPr>
            </w:pPr>
            <w:r w:rsidRPr="00C336CB">
              <w:rPr>
                <w:rFonts w:ascii="Times New Roman" w:eastAsia="Times New Roman" w:hAnsi="Times New Roman" w:cs="Times New Roman"/>
                <w:b/>
                <w:bCs/>
                <w:color w:val="000000"/>
                <w:sz w:val="22"/>
                <w:szCs w:val="22"/>
                <w:lang w:eastAsia="de-DE"/>
              </w:rPr>
              <w:t>others/not specified</w:t>
            </w:r>
          </w:p>
        </w:tc>
        <w:tc>
          <w:tcPr>
            <w:tcW w:w="0" w:type="auto"/>
            <w:tcBorders>
              <w:top w:val="single" w:sz="4" w:space="0" w:color="auto"/>
              <w:left w:val="nil"/>
              <w:bottom w:val="single" w:sz="8" w:space="0" w:color="auto"/>
              <w:right w:val="single" w:sz="4" w:space="0" w:color="auto"/>
            </w:tcBorders>
            <w:shd w:val="clear" w:color="auto" w:fill="auto"/>
            <w:textDirection w:val="btLr"/>
            <w:vAlign w:val="center"/>
            <w:hideMark/>
          </w:tcPr>
          <w:p w14:paraId="08EB0019" w14:textId="77777777" w:rsidR="00C336CB" w:rsidRPr="00C336CB" w:rsidRDefault="00C336CB" w:rsidP="00C336CB">
            <w:pPr>
              <w:ind w:left="113" w:right="113"/>
              <w:jc w:val="center"/>
              <w:rPr>
                <w:rFonts w:ascii="Times New Roman" w:eastAsia="Times New Roman" w:hAnsi="Times New Roman" w:cs="Times New Roman"/>
                <w:b/>
                <w:bCs/>
                <w:color w:val="000000"/>
                <w:sz w:val="22"/>
                <w:szCs w:val="22"/>
                <w:lang w:eastAsia="de-DE"/>
              </w:rPr>
            </w:pPr>
            <w:r w:rsidRPr="00C336CB">
              <w:rPr>
                <w:rFonts w:ascii="Times New Roman" w:eastAsia="Times New Roman" w:hAnsi="Times New Roman" w:cs="Times New Roman"/>
                <w:b/>
                <w:bCs/>
                <w:color w:val="000000"/>
                <w:sz w:val="22"/>
                <w:szCs w:val="22"/>
                <w:lang w:eastAsia="de-DE"/>
              </w:rPr>
              <w:t>multilocular, not further specified</w:t>
            </w:r>
          </w:p>
        </w:tc>
        <w:tc>
          <w:tcPr>
            <w:tcW w:w="0" w:type="auto"/>
            <w:tcBorders>
              <w:top w:val="single" w:sz="4" w:space="0" w:color="auto"/>
              <w:left w:val="nil"/>
              <w:bottom w:val="single" w:sz="8" w:space="0" w:color="auto"/>
              <w:right w:val="single" w:sz="4" w:space="0" w:color="auto"/>
            </w:tcBorders>
            <w:shd w:val="clear" w:color="auto" w:fill="auto"/>
            <w:textDirection w:val="btLr"/>
            <w:vAlign w:val="center"/>
            <w:hideMark/>
          </w:tcPr>
          <w:p w14:paraId="3A6F70C3" w14:textId="77777777" w:rsidR="00C336CB" w:rsidRPr="00C336CB" w:rsidRDefault="00C336CB" w:rsidP="00C336CB">
            <w:pPr>
              <w:ind w:left="113" w:right="113"/>
              <w:jc w:val="center"/>
              <w:rPr>
                <w:rFonts w:ascii="Times New Roman" w:eastAsia="Times New Roman" w:hAnsi="Times New Roman" w:cs="Times New Roman"/>
                <w:b/>
                <w:bCs/>
                <w:color w:val="000000"/>
                <w:sz w:val="22"/>
                <w:szCs w:val="22"/>
                <w:lang w:eastAsia="de-DE"/>
              </w:rPr>
            </w:pPr>
            <w:r w:rsidRPr="00C336CB">
              <w:rPr>
                <w:rFonts w:ascii="Times New Roman" w:eastAsia="Times New Roman" w:hAnsi="Times New Roman" w:cs="Times New Roman"/>
                <w:b/>
                <w:bCs/>
                <w:color w:val="000000"/>
                <w:sz w:val="22"/>
                <w:szCs w:val="22"/>
                <w:lang w:eastAsia="de-DE"/>
              </w:rPr>
              <w:t>anticoaghulation</w:t>
            </w:r>
          </w:p>
        </w:tc>
        <w:tc>
          <w:tcPr>
            <w:tcW w:w="0" w:type="auto"/>
            <w:tcBorders>
              <w:top w:val="single" w:sz="4" w:space="0" w:color="auto"/>
              <w:left w:val="nil"/>
              <w:bottom w:val="single" w:sz="8" w:space="0" w:color="auto"/>
              <w:right w:val="single" w:sz="4" w:space="0" w:color="auto"/>
            </w:tcBorders>
            <w:shd w:val="clear" w:color="auto" w:fill="auto"/>
            <w:textDirection w:val="btLr"/>
            <w:vAlign w:val="center"/>
            <w:hideMark/>
          </w:tcPr>
          <w:p w14:paraId="6045ACB9" w14:textId="77777777" w:rsidR="00C336CB" w:rsidRPr="00C336CB" w:rsidRDefault="00C336CB" w:rsidP="00C336CB">
            <w:pPr>
              <w:ind w:left="113" w:right="113"/>
              <w:jc w:val="center"/>
              <w:rPr>
                <w:rFonts w:ascii="Times New Roman" w:eastAsia="Times New Roman" w:hAnsi="Times New Roman" w:cs="Times New Roman"/>
                <w:b/>
                <w:bCs/>
                <w:color w:val="000000"/>
                <w:sz w:val="22"/>
                <w:szCs w:val="22"/>
                <w:lang w:eastAsia="de-DE"/>
              </w:rPr>
            </w:pPr>
            <w:r w:rsidRPr="00C336CB">
              <w:rPr>
                <w:rFonts w:ascii="Times New Roman" w:eastAsia="Times New Roman" w:hAnsi="Times New Roman" w:cs="Times New Roman"/>
                <w:b/>
                <w:bCs/>
                <w:color w:val="000000"/>
                <w:sz w:val="22"/>
                <w:szCs w:val="22"/>
                <w:lang w:eastAsia="de-DE"/>
              </w:rPr>
              <w:t>ecmo</w:t>
            </w:r>
          </w:p>
        </w:tc>
      </w:tr>
      <w:tr w:rsidR="00CE05CD" w:rsidRPr="00C336CB" w14:paraId="1BC3E71B" w14:textId="77777777" w:rsidTr="00C336CB">
        <w:trPr>
          <w:trHeight w:val="320"/>
        </w:trPr>
        <w:tc>
          <w:tcPr>
            <w:tcW w:w="0" w:type="auto"/>
            <w:tcBorders>
              <w:top w:val="nil"/>
              <w:left w:val="nil"/>
              <w:bottom w:val="nil"/>
              <w:right w:val="nil"/>
            </w:tcBorders>
            <w:shd w:val="clear" w:color="auto" w:fill="auto"/>
            <w:noWrap/>
            <w:vAlign w:val="center"/>
            <w:hideMark/>
          </w:tcPr>
          <w:p w14:paraId="223CAE8B" w14:textId="7E51ED2D"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Agrawal et al. </w:t>
            </w:r>
            <w:r w:rsidR="000529E7">
              <w:rPr>
                <w:rFonts w:ascii="Times New Roman" w:eastAsia="Times New Roman" w:hAnsi="Times New Roman" w:cs="Times New Roman"/>
                <w:color w:val="000000"/>
                <w:sz w:val="13"/>
                <w:szCs w:val="13"/>
                <w:lang w:eastAsia="de-DE"/>
              </w:rPr>
              <w:fldChar w:fldCharType="begin"/>
            </w:r>
            <w:r w:rsidR="000529E7">
              <w:rPr>
                <w:rFonts w:ascii="Times New Roman" w:eastAsia="Times New Roman" w:hAnsi="Times New Roman" w:cs="Times New Roman"/>
                <w:color w:val="000000"/>
                <w:sz w:val="13"/>
                <w:szCs w:val="13"/>
                <w:lang w:eastAsia="de-DE"/>
              </w:rPr>
              <w:instrText xml:space="preserve"> ADDIN ZOTERO_ITEM CSL_CITATION {"citationID":"aVh9Ag9l","properties":{"formattedCitation":"\\super 1\\nosupersub{}","plainCitation":"1","noteIndex":0},"citationItems":[{"id":34,"uris":["http://zotero.org/users/local/4rfnQu81/items/9GLR9RSV"],"uri":["http://zotero.org/users/local/4rfnQu81/items/9GLR9RSV"],"itemData":{"id":34,"type":"article-journal","abstract":"BACKGROUND: Recent respiratory infection including SARS-CoV-2 is an independent risk factor for acute cerebrovascular disease. PURPOSE: There have been reports linking haemorrhagic strokes to SARS-CoV-2 infection during this pandemic, which lead us to evaluate if SARS-CoV-2 infection could be associated with increased risk of intracerebral haemorrhage (ICH). METHODS: A retrospective observational study evaluating all stroke cases admitted in our centre in the past one month. RESULTS: More than half (56%) had ICH, compared to 22% last year. Two patients with ICH were SARS-CoV-2 positive and they had no or mild respiratory symptoms and had higher occurrence of renal dysfunction. CONCLUSION: There could be possible association between ICH and SARS-CoV-2 infections. However, a prospective study with larger sample size is needed to elucidate the pathogenesis.","container-title":"Annals of Indian Academy of Neurology","DOI":"10.4103/aian.AIAN_362_20","ISSN":"0972-2327 (Print)","issue":"3","language":"eng","note":"PMID: 32606509","page":"261–264","title":"Intracerebral Hemorrhage and SARS-CoV-2: Association or Causation.","volume":"23","author":[{"family":"Agarwal","given":"Ayush"},{"family":"Vishnu","given":"Venugopalan Y"},{"family":"Vibha","given":"Deepti"},{"family":"Bhatia","given":"Rohit"},{"family":"Gupta","given":"Anu"},{"family":"Das","given":"Animesh"},{"family":"Srivastava","given":"M V Padma"}],"issued":{"date-parts":[["2020"]]}}}],"schema":"https://github.com/citation-style-language/schema/raw/master/csl-citation.json"} </w:instrText>
            </w:r>
            <w:r w:rsidR="000529E7">
              <w:rPr>
                <w:rFonts w:ascii="Times New Roman" w:eastAsia="Times New Roman" w:hAnsi="Times New Roman" w:cs="Times New Roman"/>
                <w:color w:val="000000"/>
                <w:sz w:val="13"/>
                <w:szCs w:val="13"/>
                <w:lang w:eastAsia="de-DE"/>
              </w:rPr>
              <w:fldChar w:fldCharType="separate"/>
            </w:r>
            <w:r w:rsidR="000529E7" w:rsidRPr="000529E7">
              <w:rPr>
                <w:rFonts w:ascii="Times New Roman" w:hAnsi="Times New Roman" w:cs="Times New Roman"/>
                <w:color w:val="000000"/>
                <w:sz w:val="13"/>
                <w:vertAlign w:val="superscript"/>
                <w:lang w:val="de-DE"/>
              </w:rPr>
              <w:t>1</w:t>
            </w:r>
            <w:r w:rsidR="000529E7">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0D00C21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7122E40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2924A5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13BB49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A8CDB4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56</w:t>
            </w:r>
          </w:p>
        </w:tc>
        <w:tc>
          <w:tcPr>
            <w:tcW w:w="0" w:type="auto"/>
            <w:tcBorders>
              <w:top w:val="nil"/>
              <w:left w:val="nil"/>
              <w:bottom w:val="nil"/>
              <w:right w:val="nil"/>
            </w:tcBorders>
            <w:shd w:val="clear" w:color="auto" w:fill="auto"/>
            <w:noWrap/>
            <w:vAlign w:val="center"/>
            <w:hideMark/>
          </w:tcPr>
          <w:p w14:paraId="58C5106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1B122E0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Uncomplicated</w:t>
            </w:r>
          </w:p>
        </w:tc>
        <w:tc>
          <w:tcPr>
            <w:tcW w:w="0" w:type="auto"/>
            <w:tcBorders>
              <w:top w:val="nil"/>
              <w:left w:val="nil"/>
              <w:bottom w:val="nil"/>
              <w:right w:val="nil"/>
            </w:tcBorders>
            <w:shd w:val="clear" w:color="auto" w:fill="auto"/>
            <w:noWrap/>
            <w:vAlign w:val="center"/>
            <w:hideMark/>
          </w:tcPr>
          <w:p w14:paraId="237DC09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A52B4E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1F2DD6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D24B04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38C6BC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D0FFAD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917483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D399F8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6AAA19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B05EEA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DA068F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DE864D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772398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416595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86F5D4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359C5C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60464F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1A2282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4EA500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C0C244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8D8C9E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6260D38A" w14:textId="77777777" w:rsidTr="00C336CB">
        <w:trPr>
          <w:trHeight w:val="320"/>
        </w:trPr>
        <w:tc>
          <w:tcPr>
            <w:tcW w:w="0" w:type="auto"/>
            <w:tcBorders>
              <w:top w:val="nil"/>
              <w:left w:val="nil"/>
              <w:bottom w:val="nil"/>
              <w:right w:val="nil"/>
            </w:tcBorders>
            <w:shd w:val="clear" w:color="auto" w:fill="auto"/>
            <w:noWrap/>
            <w:vAlign w:val="center"/>
            <w:hideMark/>
          </w:tcPr>
          <w:p w14:paraId="4585AB1C" w14:textId="37750348"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Agrawal et al. </w:t>
            </w:r>
            <w:r w:rsidR="000529E7">
              <w:rPr>
                <w:rFonts w:ascii="Times New Roman" w:eastAsia="Times New Roman" w:hAnsi="Times New Roman" w:cs="Times New Roman"/>
                <w:color w:val="000000"/>
                <w:sz w:val="13"/>
                <w:szCs w:val="13"/>
                <w:lang w:eastAsia="de-DE"/>
              </w:rPr>
              <w:fldChar w:fldCharType="begin"/>
            </w:r>
            <w:r w:rsidR="000529E7">
              <w:rPr>
                <w:rFonts w:ascii="Times New Roman" w:eastAsia="Times New Roman" w:hAnsi="Times New Roman" w:cs="Times New Roman"/>
                <w:color w:val="000000"/>
                <w:sz w:val="13"/>
                <w:szCs w:val="13"/>
                <w:lang w:eastAsia="de-DE"/>
              </w:rPr>
              <w:instrText xml:space="preserve"> ADDIN ZOTERO_ITEM CSL_CITATION {"citationID":"8QVq1dO3","properties":{"formattedCitation":"\\super 1\\nosupersub{}","plainCitation":"1","noteIndex":0},"citationItems":[{"id":34,"uris":["http://zotero.org/users/local/4rfnQu81/items/9GLR9RSV"],"uri":["http://zotero.org/users/local/4rfnQu81/items/9GLR9RSV"],"itemData":{"id":34,"type":"article-journal","abstract":"BACKGROUND: Recent respiratory infection including SARS-CoV-2 is an independent risk factor for acute cerebrovascular disease. PURPOSE: There have been reports linking haemorrhagic strokes to SARS-CoV-2 infection during this pandemic, which lead us to evaluate if SARS-CoV-2 infection could be associated with increased risk of intracerebral haemorrhage (ICH). METHODS: A retrospective observational study evaluating all stroke cases admitted in our centre in the past one month. RESULTS: More than half (56%) had ICH, compared to 22% last year. Two patients with ICH were SARS-CoV-2 positive and they had no or mild respiratory symptoms and had higher occurrence of renal dysfunction. CONCLUSION: There could be possible association between ICH and SARS-CoV-2 infections. However, a prospective study with larger sample size is needed to elucidate the pathogenesis.","container-title":"Annals of Indian Academy of Neurology","DOI":"10.4103/aian.AIAN_362_20","ISSN":"0972-2327 (Print)","issue":"3","language":"eng","note":"PMID: 32606509","page":"261–264","title":"Intracerebral Hemorrhage and SARS-CoV-2: Association or Causation.","volume":"23","author":[{"family":"Agarwal","given":"Ayush"},{"family":"Vishnu","given":"Venugopalan Y"},{"family":"Vibha","given":"Deepti"},{"family":"Bhatia","given":"Rohit"},{"family":"Gupta","given":"Anu"},{"family":"Das","given":"Animesh"},{"family":"Srivastava","given":"M V Padma"}],"issued":{"date-parts":[["2020"]]}}}],"schema":"https://github.com/citation-style-language/schema/raw/master/csl-citation.json"} </w:instrText>
            </w:r>
            <w:r w:rsidR="000529E7">
              <w:rPr>
                <w:rFonts w:ascii="Times New Roman" w:eastAsia="Times New Roman" w:hAnsi="Times New Roman" w:cs="Times New Roman"/>
                <w:color w:val="000000"/>
                <w:sz w:val="13"/>
                <w:szCs w:val="13"/>
                <w:lang w:eastAsia="de-DE"/>
              </w:rPr>
              <w:fldChar w:fldCharType="separate"/>
            </w:r>
            <w:r w:rsidR="000529E7" w:rsidRPr="000529E7">
              <w:rPr>
                <w:rFonts w:ascii="Times New Roman" w:hAnsi="Times New Roman" w:cs="Times New Roman"/>
                <w:color w:val="000000"/>
                <w:sz w:val="13"/>
                <w:vertAlign w:val="superscript"/>
                <w:lang w:val="de-DE"/>
              </w:rPr>
              <w:t>1</w:t>
            </w:r>
            <w:r w:rsidR="000529E7">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340222C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50FCB1F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945094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880F45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62B168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72</w:t>
            </w:r>
          </w:p>
        </w:tc>
        <w:tc>
          <w:tcPr>
            <w:tcW w:w="0" w:type="auto"/>
            <w:tcBorders>
              <w:top w:val="nil"/>
              <w:left w:val="nil"/>
              <w:bottom w:val="nil"/>
              <w:right w:val="nil"/>
            </w:tcBorders>
            <w:shd w:val="clear" w:color="auto" w:fill="auto"/>
            <w:noWrap/>
            <w:vAlign w:val="center"/>
            <w:hideMark/>
          </w:tcPr>
          <w:p w14:paraId="7E0D3B1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5CA01A8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Uncomplicated</w:t>
            </w:r>
          </w:p>
        </w:tc>
        <w:tc>
          <w:tcPr>
            <w:tcW w:w="0" w:type="auto"/>
            <w:tcBorders>
              <w:top w:val="nil"/>
              <w:left w:val="nil"/>
              <w:bottom w:val="nil"/>
              <w:right w:val="nil"/>
            </w:tcBorders>
            <w:shd w:val="clear" w:color="auto" w:fill="auto"/>
            <w:noWrap/>
            <w:vAlign w:val="center"/>
            <w:hideMark/>
          </w:tcPr>
          <w:p w14:paraId="0527543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0D57B6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8ECAAB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A5ED99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3CE7A4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334E7E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FB07B8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07FCD4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1F1D69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5C2E7A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13DC85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A3C515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708F08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D009CB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B884C4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6E3240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2EABB8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229C5E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798D7F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DA15A3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20FFBF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5FC35CFE" w14:textId="77777777" w:rsidTr="00C336CB">
        <w:trPr>
          <w:trHeight w:val="320"/>
        </w:trPr>
        <w:tc>
          <w:tcPr>
            <w:tcW w:w="0" w:type="auto"/>
            <w:tcBorders>
              <w:top w:val="nil"/>
              <w:left w:val="nil"/>
              <w:bottom w:val="nil"/>
              <w:right w:val="nil"/>
            </w:tcBorders>
            <w:shd w:val="clear" w:color="auto" w:fill="auto"/>
            <w:noWrap/>
            <w:vAlign w:val="center"/>
            <w:hideMark/>
          </w:tcPr>
          <w:p w14:paraId="37A03411" w14:textId="4CDE595C"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Saieght et al. </w:t>
            </w:r>
            <w:r w:rsidR="000529E7">
              <w:rPr>
                <w:rFonts w:ascii="Times New Roman" w:eastAsia="Times New Roman" w:hAnsi="Times New Roman" w:cs="Times New Roman"/>
                <w:color w:val="000000"/>
                <w:sz w:val="13"/>
                <w:szCs w:val="13"/>
                <w:lang w:eastAsia="de-DE"/>
              </w:rPr>
              <w:fldChar w:fldCharType="begin"/>
            </w:r>
            <w:r w:rsidR="000529E7">
              <w:rPr>
                <w:rFonts w:ascii="Times New Roman" w:eastAsia="Times New Roman" w:hAnsi="Times New Roman" w:cs="Times New Roman"/>
                <w:color w:val="000000"/>
                <w:sz w:val="13"/>
                <w:szCs w:val="13"/>
                <w:lang w:eastAsia="de-DE"/>
              </w:rPr>
              <w:instrText xml:space="preserve"> ADDIN ZOTERO_ITEM CSL_CITATION {"citationID":"E53dh7eV","properties":{"formattedCitation":"\\super 2\\nosupersub{}","plainCitation":"2","noteIndex":0},"citationItems":[{"id":142,"uris":["http://zotero.org/users/local/4rfnQu81/items/X6E72J3T"],"uri":["http://zotero.org/users/local/4rfnQu81/items/X6E72J3T"],"itemData":{"id":142,"type":"article-journal","abstract":"Background Emergence of the novel corona virus (severe acute respiratory syndrome (SARS)-CoV-2) in December 2019 has led to the COVID-19 pandemic. The extent of COVID-19 involvement in the central nervous system is not well established, and the presence or the absence of SARS-CoV-2 particles in the cerebrospinal fluid (CSF) is a topic of debate. Case description We present two patients with COVID-19 and concurrent neurological symptoms. Our first patient is a 31-year-old man who had flu-like symptoms due to COVID-19 and later developed an acute-onset severe headache and loss of consciousness and was diagnosed with a Hunt and Hess grade 3 subarachnoid haemorrhage from a ruptured aneurysm. Our second patient is a 62-year-old woman who had an ischaemic stroke with massive haemorrhagic conversion requiring a decompressive hemicraniectomy. Both patients' CSF was repeatedly negative on real-time PCR analysis despite concurrent neurological disease. Conclusion Our report shows that patients' CSF may be devoid of viral particles even when they test positive for COVID-19 on a nasal swab. Whether SARS-CoV-2 is present in CSF may depend on the systemic disease severity and the degree of the virus' nervous tissue tropism and should be examined in future studies.","container-title":"Journal of Neurology, Neurosurgery and Psychiatry","DOI":"10.1136/jnnp-2020-323522","ISSN":"1468330X","issue":"8","note":"PMID: 32354770","page":"846–848","title":"Status of SARS-CoV-2 in cerebrospinal fluid of patients with COVID-19 and stroke","volume":"91","author":[{"family":"Al Saiegh","given":"Fadi"},{"family":"Ghosh","given":"Ritam"},{"family":"Leibold","given":"Adam"},{"family":"Avery","given":"Michael B."},{"family":"Schmidt","given":"Richard F."},{"family":"Theofanis","given":"Thana"},{"family":"Mouchtouris","given":"Nikolaos"},{"family":"Philipp","given":"Lucas"},{"family":"Peiper","given":"Stephen C."},{"family":"Wang","given":"Zi Xuan"},{"family":"Rincon","given":"Fred"},{"family":"Tjoumakaris","given":"Stavropoula I."},{"family":"Jabbour","given":"Pascal"},{"family":"Rosenwasser","given":"Robert H."},{"family":"Gooch","given":"M. Reid"}],"issued":{"date-parts":[["2020"]]}}}],"schema":"https://github.com/citation-style-language/schema/raw/master/csl-citation.json"} </w:instrText>
            </w:r>
            <w:r w:rsidR="000529E7">
              <w:rPr>
                <w:rFonts w:ascii="Times New Roman" w:eastAsia="Times New Roman" w:hAnsi="Times New Roman" w:cs="Times New Roman"/>
                <w:color w:val="000000"/>
                <w:sz w:val="13"/>
                <w:szCs w:val="13"/>
                <w:lang w:eastAsia="de-DE"/>
              </w:rPr>
              <w:fldChar w:fldCharType="separate"/>
            </w:r>
            <w:r w:rsidR="000529E7" w:rsidRPr="000529E7">
              <w:rPr>
                <w:rFonts w:ascii="Times New Roman" w:hAnsi="Times New Roman" w:cs="Times New Roman"/>
                <w:color w:val="000000"/>
                <w:sz w:val="13"/>
                <w:vertAlign w:val="superscript"/>
                <w:lang w:val="de-DE"/>
              </w:rPr>
              <w:t>2</w:t>
            </w:r>
            <w:r w:rsidR="000529E7">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17FA4F5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78C263F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480FC4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35A0C1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08E132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31</w:t>
            </w:r>
          </w:p>
        </w:tc>
        <w:tc>
          <w:tcPr>
            <w:tcW w:w="0" w:type="auto"/>
            <w:tcBorders>
              <w:top w:val="nil"/>
              <w:left w:val="nil"/>
              <w:bottom w:val="nil"/>
              <w:right w:val="nil"/>
            </w:tcBorders>
            <w:shd w:val="clear" w:color="auto" w:fill="auto"/>
            <w:noWrap/>
            <w:vAlign w:val="center"/>
            <w:hideMark/>
          </w:tcPr>
          <w:p w14:paraId="4581F93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26428D5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Uncomplicated</w:t>
            </w:r>
          </w:p>
        </w:tc>
        <w:tc>
          <w:tcPr>
            <w:tcW w:w="0" w:type="auto"/>
            <w:tcBorders>
              <w:top w:val="nil"/>
              <w:left w:val="nil"/>
              <w:bottom w:val="nil"/>
              <w:right w:val="nil"/>
            </w:tcBorders>
            <w:shd w:val="clear" w:color="auto" w:fill="auto"/>
            <w:noWrap/>
            <w:vAlign w:val="center"/>
            <w:hideMark/>
          </w:tcPr>
          <w:p w14:paraId="6235450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0A70CF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3AA3D2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4F7A7B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BEA5FC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968A9D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F48431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242CD1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7C25E8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6B1D20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ED29CE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0DAEFC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A2DDB2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C3CEE3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88B6A4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77A004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E68E09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87C909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DC3D03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C1896C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65CB88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1F8ECC4D" w14:textId="77777777" w:rsidTr="00C336CB">
        <w:trPr>
          <w:trHeight w:val="320"/>
        </w:trPr>
        <w:tc>
          <w:tcPr>
            <w:tcW w:w="0" w:type="auto"/>
            <w:tcBorders>
              <w:top w:val="nil"/>
              <w:left w:val="nil"/>
              <w:bottom w:val="nil"/>
              <w:right w:val="nil"/>
            </w:tcBorders>
            <w:shd w:val="clear" w:color="auto" w:fill="auto"/>
            <w:noWrap/>
            <w:vAlign w:val="center"/>
            <w:hideMark/>
          </w:tcPr>
          <w:p w14:paraId="64D361CD" w14:textId="2A95B44D"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Saieght et al. </w:t>
            </w:r>
            <w:r w:rsidR="007A62EC">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{"citationID":"lXooJn9x","properties":{"formattedCitation":"\\super 2\\nosupersub{}","plainCitation":"2","noteIndex":0},"citationItems":[{"id":142,"uris":["http://zotero.org/users/local/4rfnQu81/items/X6E72J3T"],"uri":["http://zotero.org/users/local/4rfnQu81/items/X6E72J3T"],"itemData":{"id":142,"type":"article-journal","abstract":"Background Emergence of the novel corona virus (severe acute respiratory syndrome (SARS)-CoV-2) in December 2019 has led to the COVID-19 pandemic. The extent of COVID-19 involvement in the central nervous system is not well established, and the presence or the absence of SARS-CoV-2 particles in the cerebrospinal fluid (CSF) is a topic of debate. Case description We present two patients with COVID-19 and concurrent neurological symptoms. Our first patient is a 31-year-old man who had flu-like symptoms due to COVID-19 and later developed an acute-onset severe headache and loss of consciousness and was diagnosed with a Hunt and Hess grade 3 subarachnoid haemorrhage from a ruptured aneurysm. Our second patient is a 62-year-old woman who had an ischaemic stroke with massive haemorrhagic conversion requiring a decompressive hemicraniectomy. Both patients' CSF was repeatedly negative on real-time PCR analysis despite concurrent neurological disease. Conclusion Our report shows that patients' CSF may be devoid of viral particles even when they test positive for COVID-19 on a nasal swab. Whether SARS-CoV-2 is present in CSF may depend on the systemic disease severity and the degree of the virus' nervous tissue tropism and should be examined in future studies.","container-title":"Journal of Neurology, Neurosurgery and Psychiatry","DOI":"10.1136/jnnp-2020-323522","ISSN":"1468330X","issue":"8","note":"PMID: 32354770","page":"846–848","title":"Status of SARS-CoV-2 in cerebrospinal fluid of patients with COVID-19 and stroke","volume":"91","author":[{"family":"Al Saiegh","given":"Fadi"},{"family":"Ghosh","given":"Ritam"},{"family":"Leibold","given":"Adam"},{"family":"Avery","given":"Michael B."},{"family":"Schmidt","given":"Richard F."},{"family":"Theofanis","given":"Thana"},{"family":"Mouchtouris","given":"Nikolaos"},{"family":"Philipp","given":"Lucas"},{"family":"Peiper","given":"Stephen C."},{"family":"Wang","given":"Zi Xuan"},{"family":"Rincon","given":"Fred"},{"family":"Tjoumakaris","given":"Stavropoula I."},{"family":"Jabbour","given":"Pascal"},{"family":"Rosenwasser","given":"Robert H."},{"family":"Gooch","given":"M. Reid"}],"issued":{"date-parts":[["2020"]]}}}],"schema":"https://github.com/citation-style-language/schema/raw/master/csl-citation.json"} </w:instrText>
            </w:r>
            <w:r w:rsidR="007A62EC">
              <w:rPr>
                <w:rFonts w:ascii="Times New Roman" w:eastAsia="Times New Roman" w:hAnsi="Times New Roman" w:cs="Times New Roman"/>
                <w:color w:val="000000"/>
                <w:sz w:val="13"/>
                <w:szCs w:val="13"/>
                <w:lang w:eastAsia="de-DE"/>
              </w:rPr>
              <w:fldChar w:fldCharType="separate"/>
            </w:r>
            <w:r w:rsidR="007A62EC" w:rsidRPr="000529E7">
              <w:rPr>
                <w:rFonts w:ascii="Times New Roman" w:hAnsi="Times New Roman" w:cs="Times New Roman"/>
                <w:color w:val="000000"/>
                <w:sz w:val="13"/>
                <w:vertAlign w:val="superscript"/>
                <w:lang w:val="de-DE"/>
              </w:rPr>
              <w:t>2</w:t>
            </w:r>
            <w:r w:rsidR="007A62EC">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1C5BD40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09E2199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1FC71C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CA684F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B46BF4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61</w:t>
            </w:r>
          </w:p>
        </w:tc>
        <w:tc>
          <w:tcPr>
            <w:tcW w:w="0" w:type="auto"/>
            <w:tcBorders>
              <w:top w:val="nil"/>
              <w:left w:val="nil"/>
              <w:bottom w:val="nil"/>
              <w:right w:val="nil"/>
            </w:tcBorders>
            <w:shd w:val="clear" w:color="auto" w:fill="auto"/>
            <w:noWrap/>
            <w:vAlign w:val="center"/>
            <w:hideMark/>
          </w:tcPr>
          <w:p w14:paraId="1424192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47E690D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Uncomplicated</w:t>
            </w:r>
          </w:p>
        </w:tc>
        <w:tc>
          <w:tcPr>
            <w:tcW w:w="0" w:type="auto"/>
            <w:tcBorders>
              <w:top w:val="nil"/>
              <w:left w:val="nil"/>
              <w:bottom w:val="nil"/>
              <w:right w:val="nil"/>
            </w:tcBorders>
            <w:shd w:val="clear" w:color="auto" w:fill="auto"/>
            <w:noWrap/>
            <w:vAlign w:val="center"/>
            <w:hideMark/>
          </w:tcPr>
          <w:p w14:paraId="73504CF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AA69CE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4DDB0F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7DAE14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30129B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EA987C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8C9B4C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D2922F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E2E399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E63242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C6DBF2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94B521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998760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8F3A25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5A789E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761E91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236E09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E53735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27C08E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B6E3FE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F96BE1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01EB57E2" w14:textId="77777777" w:rsidTr="00C336CB">
        <w:trPr>
          <w:trHeight w:val="320"/>
        </w:trPr>
        <w:tc>
          <w:tcPr>
            <w:tcW w:w="0" w:type="auto"/>
            <w:tcBorders>
              <w:top w:val="nil"/>
              <w:left w:val="nil"/>
              <w:bottom w:val="nil"/>
              <w:right w:val="nil"/>
            </w:tcBorders>
            <w:shd w:val="clear" w:color="auto" w:fill="auto"/>
            <w:noWrap/>
            <w:vAlign w:val="center"/>
            <w:hideMark/>
          </w:tcPr>
          <w:p w14:paraId="44407373" w14:textId="01318CE5"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Al Dalahmah et al. </w:t>
            </w:r>
            <w:r w:rsidR="000529E7">
              <w:rPr>
                <w:rFonts w:ascii="Times New Roman" w:eastAsia="Times New Roman" w:hAnsi="Times New Roman" w:cs="Times New Roman"/>
                <w:color w:val="000000"/>
                <w:sz w:val="13"/>
                <w:szCs w:val="13"/>
                <w:lang w:eastAsia="de-DE"/>
              </w:rPr>
              <w:fldChar w:fldCharType="begin"/>
            </w:r>
            <w:r w:rsidR="000529E7">
              <w:rPr>
                <w:rFonts w:ascii="Times New Roman" w:eastAsia="Times New Roman" w:hAnsi="Times New Roman" w:cs="Times New Roman"/>
                <w:color w:val="000000"/>
                <w:sz w:val="13"/>
                <w:szCs w:val="13"/>
                <w:lang w:eastAsia="de-DE"/>
              </w:rPr>
              <w:instrText xml:space="preserve"> ADDIN ZOTERO_ITEM CSL_CITATION {"citationID":"0IIZC7LU","properties":{"formattedCitation":"\\super 3\\nosupersub{}","plainCitation":"3","noteIndex":0},"citationItems":[{"id":51,"uris":["http://zotero.org/users/local/4rfnQu81/items/7CBQUV8U"],"uri":["http://zotero.org/users/local/4rfnQu81/items/7CBQUV8U"],"itemData":{"id":51,"type":"article-journal","abstract":"We document the neuropathologic findings of a 73-year old man who died from acute cerebellar hemorrhage in the context of relatively mild SARS-CoV2 infection. The patient developed sudden onset of headache, nausea, and vomiting, immediately followed by loss of consciousness on the day of admission. Emergency medical services found him severely hypoxemic at home, and the patient suffered a cardiac arrest during transport to the emergency department. The emergency team achieved return of spontaneous circulation after over 17 min of resuscitation. A chest radiograph revealed hazy bilateral opacities; and real-time-PCR for SARS-CoV-2 on the nasopharyngeal swab was positive. Computed tomography of the head showed a large right cerebellar hemorrhage, with tonsillar herniation and intraventricular hemorrhage. One day after presentation, he was transitioned to comfort care and died shortly after palliative extubation. Autopsy performed 3 h after death showed cerebellar hemorrhage and acute infarcts in the dorsal pons and medulla. Remarkably, there were microglial nodules and neuronophagia bilaterally in the inferior olives and multifocally in the cerebellar dentate nuclei. This constellation of findings has not been reported thus far in the context of SARS-CoV-2 infection.","container-title":"Acta Neuropathologica Communications","DOI":"10.1186/s40478-020-01024-2","ISSN":"20515960","issue":"1","note":"publisher: BioMed Central\nPMID: 32847628","page":"1–7","title":"Neuronophagia and microglial nodules in a SARS-CoV-2 patient with cerebellar hemorrhage","volume":"8","author":[{"family":"Al-Dalahmah","given":"Osama"},{"family":"Thakur","given":"Kiran T."},{"family":"Nordvig","given":"Anna S."},{"family":"Prust","given":"Morgan L."},{"family":"Roth","given":"William"},{"family":"Lignelli","given":"Angela"},{"family":"Uhlemann","given":"Anne Catrin"},{"family":"Miller","given":"Emily Happy"},{"family":"Kunnath-Velayudhan","given":"Shajo"},{"family":"Del Portillo","given":"Armando"},{"family":"Liu","given":"Yang"},{"family":"Hargus","given":"Gunnar"},{"family":"Teich","given":"Andrew F."},{"family":"Hickman","given":"Richard A."},{"family":"Tanji","given":"Kurenai"},{"family":"Goldman","given":"James E."},{"family":"Faust","given":"Phyllis L."},{"family":"Canoll","given":"Peter"}],"issued":{"date-parts":[["2020"]]}}}],"schema":"https://github.com/citation-style-language/schema/raw/master/csl-citation.json"} </w:instrText>
            </w:r>
            <w:r w:rsidR="000529E7">
              <w:rPr>
                <w:rFonts w:ascii="Times New Roman" w:eastAsia="Times New Roman" w:hAnsi="Times New Roman" w:cs="Times New Roman"/>
                <w:color w:val="000000"/>
                <w:sz w:val="13"/>
                <w:szCs w:val="13"/>
                <w:lang w:eastAsia="de-DE"/>
              </w:rPr>
              <w:fldChar w:fldCharType="separate"/>
            </w:r>
            <w:r w:rsidR="000529E7" w:rsidRPr="000529E7">
              <w:rPr>
                <w:rFonts w:ascii="Times New Roman" w:hAnsi="Times New Roman" w:cs="Times New Roman"/>
                <w:color w:val="000000"/>
                <w:sz w:val="13"/>
                <w:vertAlign w:val="superscript"/>
                <w:lang w:val="de-DE"/>
              </w:rPr>
              <w:t>3</w:t>
            </w:r>
            <w:r w:rsidR="000529E7">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7799D59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63A3373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78A893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8BE87A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065E90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73</w:t>
            </w:r>
          </w:p>
        </w:tc>
        <w:tc>
          <w:tcPr>
            <w:tcW w:w="0" w:type="auto"/>
            <w:tcBorders>
              <w:top w:val="nil"/>
              <w:left w:val="nil"/>
              <w:bottom w:val="nil"/>
              <w:right w:val="nil"/>
            </w:tcBorders>
            <w:shd w:val="clear" w:color="auto" w:fill="auto"/>
            <w:noWrap/>
            <w:vAlign w:val="center"/>
            <w:hideMark/>
          </w:tcPr>
          <w:p w14:paraId="10A8AA1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3191652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Uncomplicated</w:t>
            </w:r>
          </w:p>
        </w:tc>
        <w:tc>
          <w:tcPr>
            <w:tcW w:w="0" w:type="auto"/>
            <w:tcBorders>
              <w:top w:val="nil"/>
              <w:left w:val="nil"/>
              <w:bottom w:val="nil"/>
              <w:right w:val="nil"/>
            </w:tcBorders>
            <w:shd w:val="clear" w:color="auto" w:fill="auto"/>
            <w:noWrap/>
            <w:vAlign w:val="center"/>
            <w:hideMark/>
          </w:tcPr>
          <w:p w14:paraId="31E2899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AC572C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3D1C92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21E131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6CE345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FBBAEA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E28F9F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50B424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BF9FEF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0B863B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CD7211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41DBB5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3A7BB5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4CAB2D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F3B27A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B6D648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EB6324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EB2F60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296361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7A6541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2F3FB1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27EF8006" w14:textId="77777777" w:rsidTr="00C336CB">
        <w:trPr>
          <w:trHeight w:val="320"/>
        </w:trPr>
        <w:tc>
          <w:tcPr>
            <w:tcW w:w="0" w:type="auto"/>
            <w:tcBorders>
              <w:top w:val="nil"/>
              <w:left w:val="nil"/>
              <w:bottom w:val="nil"/>
              <w:right w:val="nil"/>
            </w:tcBorders>
            <w:shd w:val="clear" w:color="auto" w:fill="auto"/>
            <w:noWrap/>
            <w:vAlign w:val="center"/>
            <w:hideMark/>
          </w:tcPr>
          <w:p w14:paraId="3C971E44" w14:textId="36B68C3A"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Al-olama et al. </w:t>
            </w:r>
            <w:r w:rsidR="000529E7">
              <w:rPr>
                <w:rFonts w:ascii="Times New Roman" w:eastAsia="Times New Roman" w:hAnsi="Times New Roman" w:cs="Times New Roman"/>
                <w:color w:val="000000"/>
                <w:sz w:val="13"/>
                <w:szCs w:val="13"/>
                <w:lang w:eastAsia="de-DE"/>
              </w:rPr>
              <w:fldChar w:fldCharType="begin"/>
            </w:r>
            <w:r w:rsidR="000529E7">
              <w:rPr>
                <w:rFonts w:ascii="Times New Roman" w:eastAsia="Times New Roman" w:hAnsi="Times New Roman" w:cs="Times New Roman"/>
                <w:color w:val="000000"/>
                <w:sz w:val="13"/>
                <w:szCs w:val="13"/>
                <w:lang w:eastAsia="de-DE"/>
              </w:rPr>
              <w:instrText xml:space="preserve"> ADDIN ZOTERO_ITEM CSL_CITATION {"citationID":"4TfZGmEz","properties":{"formattedCitation":"\\super 4\\nosupersub{}","plainCitation":"4","noteIndex":0},"citationItems":[{"id":169,"uris":["http://zotero.org/users/local/4rfnQu81/items/2LYSZPRS"],"uri":["http://zotero.org/users/local/4rfnQu81/items/2LYSZPRS"],"itemData":{"id":169,"type":"article-journal","abstract":"The coronavirus pandemic that started in December 2019 is mainly related to clinical pictures consistent with respiratory symptoms; nevertheless, reports about neurological complications have recently appeared in the medical literature. We describe a case of a 36-year-old coronavirus-positive patient that was admitted on emergency basis; his clinical presentation included neurological symptoms such as drowsiness and mild confusion. Imaging revealed findings consistent with meningoencephalitis complicated by intracerebral hematoma and subdural hematoma. The latter was surgically evacuated after it became chronic and evidence of coronavirus was found in the fluid. Our experience confirms that neurological complications might be a likely event in COVID-19. Although uncommon, the possible occurrence of meningoencephalitis should be kept in mind by physicians involved in the management of COVID-19 patients. Early recognition of brain involvement may provide better prognosis, preventing evolution into intracerebral hemorrhagic events.","container-title":"Acta neurochirurgica","DOI":"10.1007/s00701-020-04402-w","ISSN":"0942-0940 (Electronic)","issue":"7","language":"eng","note":"PMID: 32430637","page":"1495–1499","title":"COVID-19-associated meningoencephalitis complicated with intracranial hemorrhage: a case report.","volume":"162","author":[{"family":"Al-Olama","given":"Mohammad"},{"family":"Rashid","given":"Anas"},{"family":"Garozzo","given":"Debora"}],"issued":{"date-parts":[["2020",7]]}}}],"schema":"https://github.com/citation-style-language/schema/raw/master/csl-citation.json"} </w:instrText>
            </w:r>
            <w:r w:rsidR="000529E7">
              <w:rPr>
                <w:rFonts w:ascii="Times New Roman" w:eastAsia="Times New Roman" w:hAnsi="Times New Roman" w:cs="Times New Roman"/>
                <w:color w:val="000000"/>
                <w:sz w:val="13"/>
                <w:szCs w:val="13"/>
                <w:lang w:eastAsia="de-DE"/>
              </w:rPr>
              <w:fldChar w:fldCharType="separate"/>
            </w:r>
            <w:r w:rsidR="000529E7" w:rsidRPr="000529E7">
              <w:rPr>
                <w:rFonts w:ascii="Times New Roman" w:hAnsi="Times New Roman" w:cs="Times New Roman"/>
                <w:color w:val="000000"/>
                <w:sz w:val="13"/>
                <w:vertAlign w:val="superscript"/>
                <w:lang w:val="de-DE"/>
              </w:rPr>
              <w:t>4</w:t>
            </w:r>
            <w:r w:rsidR="000529E7">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0C70F42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6452E6F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B735C0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39F8C7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ADD2D2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36</w:t>
            </w:r>
          </w:p>
        </w:tc>
        <w:tc>
          <w:tcPr>
            <w:tcW w:w="0" w:type="auto"/>
            <w:tcBorders>
              <w:top w:val="nil"/>
              <w:left w:val="nil"/>
              <w:bottom w:val="nil"/>
              <w:right w:val="nil"/>
            </w:tcBorders>
            <w:shd w:val="clear" w:color="auto" w:fill="auto"/>
            <w:noWrap/>
            <w:vAlign w:val="center"/>
            <w:hideMark/>
          </w:tcPr>
          <w:p w14:paraId="22198BA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490E794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Uncomplicated</w:t>
            </w:r>
          </w:p>
        </w:tc>
        <w:tc>
          <w:tcPr>
            <w:tcW w:w="0" w:type="auto"/>
            <w:tcBorders>
              <w:top w:val="nil"/>
              <w:left w:val="nil"/>
              <w:bottom w:val="nil"/>
              <w:right w:val="nil"/>
            </w:tcBorders>
            <w:shd w:val="clear" w:color="auto" w:fill="auto"/>
            <w:noWrap/>
            <w:vAlign w:val="center"/>
            <w:hideMark/>
          </w:tcPr>
          <w:p w14:paraId="4B4E7D5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D2A69F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F2EEA0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5D550E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38DB50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E66210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F0E342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EF3ACD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53B54F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036F71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7B2477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D6D2BD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039035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6413DA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FE5FEF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573FDE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DE0B0D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FED99E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935EC5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4B7982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254B08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2B715A07" w14:textId="77777777" w:rsidTr="00C336CB">
        <w:trPr>
          <w:trHeight w:val="320"/>
        </w:trPr>
        <w:tc>
          <w:tcPr>
            <w:tcW w:w="0" w:type="auto"/>
            <w:tcBorders>
              <w:top w:val="nil"/>
              <w:left w:val="nil"/>
              <w:bottom w:val="nil"/>
              <w:right w:val="nil"/>
            </w:tcBorders>
            <w:shd w:val="clear" w:color="auto" w:fill="auto"/>
            <w:noWrap/>
            <w:vAlign w:val="center"/>
            <w:hideMark/>
          </w:tcPr>
          <w:p w14:paraId="2A0F292B" w14:textId="72B6D301"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Benger et al. </w:t>
            </w:r>
            <w:r w:rsidR="000529E7">
              <w:rPr>
                <w:rFonts w:ascii="Times New Roman" w:eastAsia="Times New Roman" w:hAnsi="Times New Roman" w:cs="Times New Roman"/>
                <w:color w:val="000000"/>
                <w:sz w:val="13"/>
                <w:szCs w:val="13"/>
                <w:lang w:eastAsia="de-DE"/>
              </w:rPr>
              <w:fldChar w:fldCharType="begin"/>
            </w:r>
            <w:r w:rsidR="000529E7">
              <w:rPr>
                <w:rFonts w:ascii="Times New Roman" w:eastAsia="Times New Roman" w:hAnsi="Times New Roman" w:cs="Times New Roman"/>
                <w:color w:val="000000"/>
                <w:sz w:val="13"/>
                <w:szCs w:val="13"/>
                <w:lang w:eastAsia="de-DE"/>
              </w:rPr>
              <w:instrText xml:space="preserve"> ADDIN ZOTERO_ITEM CSL_CITATION {"citationID":"1UOLyGzb","properties":{"formattedCitation":"\\super 5\\nosupersub{}","plainCitation":"5","noteIndex":0},"citationItems":[{"id":150,"uris":["http://zotero.org/users/local/4rfnQu81/items/XU2SBFWE"],"uri":["http://zotero.org/users/local/4rfnQu81/items/XU2SBFWE"],"itemData":{"id":150,"type":"article-journal","container-title":"Brain, Behavior, and Immunity","DOI":"10.1016/j.bbi.2020.06.005","ISSN":"10902139","issue":"June","note":"publisher: Elsevier\nPMID: 32525049","page":"940–944","title":"Intracerebral haemorrhage and COVID-19: Clinical characteristics from a case series","volume":"88","author":[{"family":"Benger","given":"Matthew"},{"family":"Williams","given":"Owain"},{"family":"Siddiqui","given":"Juveria"},{"family":"Sztriha","given":"Laszlo"}],"issued":{"date-parts":[["2020"]]}}}],"schema":"https://github.com/citation-style-language/schema/raw/master/csl-citation.json"} </w:instrText>
            </w:r>
            <w:r w:rsidR="000529E7">
              <w:rPr>
                <w:rFonts w:ascii="Times New Roman" w:eastAsia="Times New Roman" w:hAnsi="Times New Roman" w:cs="Times New Roman"/>
                <w:color w:val="000000"/>
                <w:sz w:val="13"/>
                <w:szCs w:val="13"/>
                <w:lang w:eastAsia="de-DE"/>
              </w:rPr>
              <w:fldChar w:fldCharType="separate"/>
            </w:r>
            <w:r w:rsidR="000529E7" w:rsidRPr="000529E7">
              <w:rPr>
                <w:rFonts w:ascii="Times New Roman" w:hAnsi="Times New Roman" w:cs="Times New Roman"/>
                <w:color w:val="000000"/>
                <w:sz w:val="13"/>
                <w:vertAlign w:val="superscript"/>
                <w:lang w:val="de-DE"/>
              </w:rPr>
              <w:t>5</w:t>
            </w:r>
            <w:r w:rsidR="000529E7">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22AB18E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18E8592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4B0D5D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F08FE3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70E2F2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41</w:t>
            </w:r>
          </w:p>
        </w:tc>
        <w:tc>
          <w:tcPr>
            <w:tcW w:w="0" w:type="auto"/>
            <w:tcBorders>
              <w:top w:val="nil"/>
              <w:left w:val="nil"/>
              <w:bottom w:val="nil"/>
              <w:right w:val="nil"/>
            </w:tcBorders>
            <w:shd w:val="clear" w:color="auto" w:fill="auto"/>
            <w:noWrap/>
            <w:vAlign w:val="center"/>
            <w:hideMark/>
          </w:tcPr>
          <w:p w14:paraId="463469A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63C4F34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Recovery</w:t>
            </w:r>
          </w:p>
        </w:tc>
        <w:tc>
          <w:tcPr>
            <w:tcW w:w="0" w:type="auto"/>
            <w:tcBorders>
              <w:top w:val="nil"/>
              <w:left w:val="nil"/>
              <w:bottom w:val="nil"/>
              <w:right w:val="nil"/>
            </w:tcBorders>
            <w:shd w:val="clear" w:color="auto" w:fill="auto"/>
            <w:noWrap/>
            <w:vAlign w:val="center"/>
            <w:hideMark/>
          </w:tcPr>
          <w:p w14:paraId="15B5773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DABF21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874410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EEF014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211F8D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684DC8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20BE66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D92D75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55BB08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98FCA9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C5BC86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8236D6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228264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950B42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81B1D0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3352A2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99ECBC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BFC27F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3973CE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C08268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FBB2D9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08DA2F4E" w14:textId="77777777" w:rsidTr="00C336CB">
        <w:trPr>
          <w:trHeight w:val="320"/>
        </w:trPr>
        <w:tc>
          <w:tcPr>
            <w:tcW w:w="0" w:type="auto"/>
            <w:tcBorders>
              <w:top w:val="nil"/>
              <w:left w:val="nil"/>
              <w:bottom w:val="nil"/>
              <w:right w:val="nil"/>
            </w:tcBorders>
            <w:shd w:val="clear" w:color="auto" w:fill="auto"/>
            <w:noWrap/>
            <w:vAlign w:val="center"/>
            <w:hideMark/>
          </w:tcPr>
          <w:p w14:paraId="3697783D" w14:textId="499EE6CE"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Benger et al. </w:t>
            </w:r>
            <w:r w:rsidR="007A62EC">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{"citationID":"9Rx4qFgj","properties":{"formattedCitation":"\\super 5\\nosupersub{}","plainCitation":"5","noteIndex":0},"citationItems":[{"id":150,"uris":["http://zotero.org/users/local/4rfnQu81/items/XU2SBFWE"],"uri":["http://zotero.org/users/local/4rfnQu81/items/XU2SBFWE"],"itemData":{"id":150,"type":"article-journal","container-title":"Brain, Behavior, and Immunity","DOI":"10.1016/j.bbi.2020.06.005","ISSN":"10902139","issue":"June","note":"publisher: Elsevier\nPMID: 32525049","page":"940–944","title":"Intracerebral haemorrhage and COVID-19: Clinical characteristics from a case series","volume":"88","author":[{"family":"Benger","given":"Matthew"},{"family":"Williams","given":"Owain"},{"family":"Siddiqui","given":"Juveria"},{"family":"Sztriha","given":"Laszlo"}],"issued":{"date-parts":[["2020"]]}}}],"schema":"https://github.com/citation-style-language/schema/raw/master/csl-citation.json"} </w:instrText>
            </w:r>
            <w:r w:rsidR="007A62EC">
              <w:rPr>
                <w:rFonts w:ascii="Times New Roman" w:eastAsia="Times New Roman" w:hAnsi="Times New Roman" w:cs="Times New Roman"/>
                <w:color w:val="000000"/>
                <w:sz w:val="13"/>
                <w:szCs w:val="13"/>
                <w:lang w:eastAsia="de-DE"/>
              </w:rPr>
              <w:fldChar w:fldCharType="separate"/>
            </w:r>
            <w:r w:rsidR="007A62EC" w:rsidRPr="000529E7">
              <w:rPr>
                <w:rFonts w:ascii="Times New Roman" w:hAnsi="Times New Roman" w:cs="Times New Roman"/>
                <w:color w:val="000000"/>
                <w:sz w:val="13"/>
                <w:vertAlign w:val="superscript"/>
                <w:lang w:val="de-DE"/>
              </w:rPr>
              <w:t>5</w:t>
            </w:r>
            <w:r w:rsidR="007A62EC">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6BEC90C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6D7A18B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0135E8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21E3B7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CDCC0B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54</w:t>
            </w:r>
          </w:p>
        </w:tc>
        <w:tc>
          <w:tcPr>
            <w:tcW w:w="0" w:type="auto"/>
            <w:tcBorders>
              <w:top w:val="nil"/>
              <w:left w:val="nil"/>
              <w:bottom w:val="nil"/>
              <w:right w:val="nil"/>
            </w:tcBorders>
            <w:shd w:val="clear" w:color="auto" w:fill="auto"/>
            <w:noWrap/>
            <w:vAlign w:val="center"/>
            <w:hideMark/>
          </w:tcPr>
          <w:p w14:paraId="1BDAFF1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3B79540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Uncomplicated</w:t>
            </w:r>
          </w:p>
        </w:tc>
        <w:tc>
          <w:tcPr>
            <w:tcW w:w="0" w:type="auto"/>
            <w:tcBorders>
              <w:top w:val="nil"/>
              <w:left w:val="nil"/>
              <w:bottom w:val="nil"/>
              <w:right w:val="nil"/>
            </w:tcBorders>
            <w:shd w:val="clear" w:color="auto" w:fill="auto"/>
            <w:noWrap/>
            <w:vAlign w:val="center"/>
            <w:hideMark/>
          </w:tcPr>
          <w:p w14:paraId="389A34C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EE705F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FDCA88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F39132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BA1E65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D0F540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0176D0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DBD9EE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E85A7B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880AA6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B15A90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9023E3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618D70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1FE4A1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36C20D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63436C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C25B73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DF1E9C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4A277B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7D7B46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931604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7507D119" w14:textId="77777777" w:rsidTr="00C336CB">
        <w:trPr>
          <w:trHeight w:val="320"/>
        </w:trPr>
        <w:tc>
          <w:tcPr>
            <w:tcW w:w="0" w:type="auto"/>
            <w:tcBorders>
              <w:top w:val="nil"/>
              <w:left w:val="nil"/>
              <w:bottom w:val="nil"/>
              <w:right w:val="nil"/>
            </w:tcBorders>
            <w:shd w:val="clear" w:color="auto" w:fill="auto"/>
            <w:noWrap/>
            <w:vAlign w:val="center"/>
            <w:hideMark/>
          </w:tcPr>
          <w:p w14:paraId="3555711E" w14:textId="2AB04E68"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Benger et al. </w:t>
            </w:r>
            <w:r w:rsidR="007A62EC">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{"citationID":"j5nHBhPQ","properties":{"formattedCitation":"\\super 5\\nosupersub{}","plainCitation":"5","noteIndex":0},"citationItems":[{"id":150,"uris":["http://zotero.org/users/local/4rfnQu81/items/XU2SBFWE"],"uri":["http://zotero.org/users/local/4rfnQu81/items/XU2SBFWE"],"itemData":{"id":150,"type":"article-journal","container-title":"Brain, Behavior, and Immunity","DOI":"10.1016/j.bbi.2020.06.005","ISSN":"10902139","issue":"June","note":"publisher: Elsevier\nPMID: 32525049","page":"940–944","title":"Intracerebral haemorrhage and COVID-19: Clinical characteristics from a case series","volume":"88","author":[{"family":"Benger","given":"Matthew"},{"family":"Williams","given":"Owain"},{"family":"Siddiqui","given":"Juveria"},{"family":"Sztriha","given":"Laszlo"}],"issued":{"date-parts":[["2020"]]}}}],"schema":"https://github.com/citation-style-language/schema/raw/master/csl-citation.json"} </w:instrText>
            </w:r>
            <w:r w:rsidR="007A62EC">
              <w:rPr>
                <w:rFonts w:ascii="Times New Roman" w:eastAsia="Times New Roman" w:hAnsi="Times New Roman" w:cs="Times New Roman"/>
                <w:color w:val="000000"/>
                <w:sz w:val="13"/>
                <w:szCs w:val="13"/>
                <w:lang w:eastAsia="de-DE"/>
              </w:rPr>
              <w:fldChar w:fldCharType="separate"/>
            </w:r>
            <w:r w:rsidR="007A62EC" w:rsidRPr="000529E7">
              <w:rPr>
                <w:rFonts w:ascii="Times New Roman" w:hAnsi="Times New Roman" w:cs="Times New Roman"/>
                <w:color w:val="000000"/>
                <w:sz w:val="13"/>
                <w:vertAlign w:val="superscript"/>
                <w:lang w:val="de-DE"/>
              </w:rPr>
              <w:t>5</w:t>
            </w:r>
            <w:r w:rsidR="007A62EC">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29E1651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46EEF67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8733E4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8280E7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3BFD6A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50</w:t>
            </w:r>
          </w:p>
        </w:tc>
        <w:tc>
          <w:tcPr>
            <w:tcW w:w="0" w:type="auto"/>
            <w:tcBorders>
              <w:top w:val="nil"/>
              <w:left w:val="nil"/>
              <w:bottom w:val="nil"/>
              <w:right w:val="nil"/>
            </w:tcBorders>
            <w:shd w:val="clear" w:color="auto" w:fill="auto"/>
            <w:noWrap/>
            <w:vAlign w:val="center"/>
            <w:hideMark/>
          </w:tcPr>
          <w:p w14:paraId="419B96D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08F5C65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 Phase</w:t>
            </w:r>
          </w:p>
        </w:tc>
        <w:tc>
          <w:tcPr>
            <w:tcW w:w="0" w:type="auto"/>
            <w:tcBorders>
              <w:top w:val="nil"/>
              <w:left w:val="nil"/>
              <w:bottom w:val="nil"/>
              <w:right w:val="nil"/>
            </w:tcBorders>
            <w:shd w:val="clear" w:color="auto" w:fill="auto"/>
            <w:noWrap/>
            <w:vAlign w:val="center"/>
            <w:hideMark/>
          </w:tcPr>
          <w:p w14:paraId="57C5C49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914241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4BA09A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0124B4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8DFA2C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675D73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1CEF25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B33A96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7F6BE4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FEF0FF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1449D4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0533E5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48C096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B5217F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76E9DF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9AE3BB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C36679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E3048F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D6B3DE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631FC5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6AB5FE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34190FC2" w14:textId="77777777" w:rsidTr="00C336CB">
        <w:trPr>
          <w:trHeight w:val="320"/>
        </w:trPr>
        <w:tc>
          <w:tcPr>
            <w:tcW w:w="0" w:type="auto"/>
            <w:tcBorders>
              <w:top w:val="nil"/>
              <w:left w:val="nil"/>
              <w:bottom w:val="nil"/>
              <w:right w:val="nil"/>
            </w:tcBorders>
            <w:shd w:val="clear" w:color="auto" w:fill="auto"/>
            <w:noWrap/>
            <w:vAlign w:val="center"/>
            <w:hideMark/>
          </w:tcPr>
          <w:p w14:paraId="47EDA46B" w14:textId="1A05D340"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Benger et al. </w:t>
            </w:r>
            <w:r w:rsidR="007A62EC">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{"citationID":"YcG80m31","properties":{"formattedCitation":"\\super 5\\nosupersub{}","plainCitation":"5","noteIndex":0},"citationItems":[{"id":150,"uris":["http://zotero.org/users/local/4rfnQu81/items/XU2SBFWE"],"uri":["http://zotero.org/users/local/4rfnQu81/items/XU2SBFWE"],"itemData":{"id":150,"type":"article-journal","container-title":"Brain, Behavior, and Immunity","DOI":"10.1016/j.bbi.2020.06.005","ISSN":"10902139","issue":"June","note":"publisher: Elsevier\nPMID: 32525049","page":"940–944","title":"Intracerebral haemorrhage and COVID-19: Clinical characteristics from a case series","volume":"88","author":[{"family":"Benger","given":"Matthew"},{"family":"Williams","given":"Owain"},{"family":"Siddiqui","given":"Juveria"},{"family":"Sztriha","given":"Laszlo"}],"issued":{"date-parts":[["2020"]]}}}],"schema":"https://github.com/citation-style-language/schema/raw/master/csl-citation.json"} </w:instrText>
            </w:r>
            <w:r w:rsidR="007A62EC">
              <w:rPr>
                <w:rFonts w:ascii="Times New Roman" w:eastAsia="Times New Roman" w:hAnsi="Times New Roman" w:cs="Times New Roman"/>
                <w:color w:val="000000"/>
                <w:sz w:val="13"/>
                <w:szCs w:val="13"/>
                <w:lang w:eastAsia="de-DE"/>
              </w:rPr>
              <w:fldChar w:fldCharType="separate"/>
            </w:r>
            <w:r w:rsidR="007A62EC" w:rsidRPr="000529E7">
              <w:rPr>
                <w:rFonts w:ascii="Times New Roman" w:hAnsi="Times New Roman" w:cs="Times New Roman"/>
                <w:color w:val="000000"/>
                <w:sz w:val="13"/>
                <w:vertAlign w:val="superscript"/>
                <w:lang w:val="de-DE"/>
              </w:rPr>
              <w:t>5</w:t>
            </w:r>
            <w:r w:rsidR="007A62EC">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02C96BE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043E086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AD58F8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DEFB6F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04A6A7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64</w:t>
            </w:r>
          </w:p>
        </w:tc>
        <w:tc>
          <w:tcPr>
            <w:tcW w:w="0" w:type="auto"/>
            <w:tcBorders>
              <w:top w:val="nil"/>
              <w:left w:val="nil"/>
              <w:bottom w:val="nil"/>
              <w:right w:val="nil"/>
            </w:tcBorders>
            <w:shd w:val="clear" w:color="auto" w:fill="auto"/>
            <w:noWrap/>
            <w:vAlign w:val="center"/>
            <w:hideMark/>
          </w:tcPr>
          <w:p w14:paraId="41E1FC3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1595A64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 Phase</w:t>
            </w:r>
          </w:p>
        </w:tc>
        <w:tc>
          <w:tcPr>
            <w:tcW w:w="0" w:type="auto"/>
            <w:tcBorders>
              <w:top w:val="nil"/>
              <w:left w:val="nil"/>
              <w:bottom w:val="nil"/>
              <w:right w:val="nil"/>
            </w:tcBorders>
            <w:shd w:val="clear" w:color="auto" w:fill="auto"/>
            <w:noWrap/>
            <w:vAlign w:val="center"/>
            <w:hideMark/>
          </w:tcPr>
          <w:p w14:paraId="29196B1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F2DC45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9D1406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BA0754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5BEFD2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B039AE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459D3C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51D4C2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FFE96F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4F2105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569C38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57FF24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87E89E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97C286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B278D1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75CFE6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5998F9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F264E3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B93CDA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0455DB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0289AB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r>
      <w:tr w:rsidR="00CE05CD" w:rsidRPr="00C336CB" w14:paraId="67AAD568" w14:textId="77777777" w:rsidTr="00C336CB">
        <w:trPr>
          <w:trHeight w:val="320"/>
        </w:trPr>
        <w:tc>
          <w:tcPr>
            <w:tcW w:w="0" w:type="auto"/>
            <w:tcBorders>
              <w:top w:val="nil"/>
              <w:left w:val="nil"/>
              <w:bottom w:val="nil"/>
              <w:right w:val="nil"/>
            </w:tcBorders>
            <w:shd w:val="clear" w:color="auto" w:fill="auto"/>
            <w:noWrap/>
            <w:vAlign w:val="center"/>
            <w:hideMark/>
          </w:tcPr>
          <w:p w14:paraId="407E5A72" w14:textId="6409F776"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Benger et al. </w:t>
            </w:r>
            <w:r w:rsidR="007A62EC">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{"citationID":"aT8BHTdq","properties":{"formattedCitation":"\\super 5\\nosupersub{}","plainCitation":"5","noteIndex":0},"citationItems":[{"id":150,"uris":["http://zotero.org/users/local/4rfnQu81/items/XU2SBFWE"],"uri":["http://zotero.org/users/local/4rfnQu81/items/XU2SBFWE"],"itemData":{"id":150,"type":"article-journal","container-title":"Brain, Behavior, and Immunity","DOI":"10.1016/j.bbi.2020.06.005","ISSN":"10902139","issue":"June","note":"publisher: Elsevier\nPMID: 32525049","page":"940–944","title":"Intracerebral haemorrhage and COVID-19: Clinical characteristics from a case series","volume":"88","author":[{"family":"Benger","given":"Matthew"},{"family":"Williams","given":"Owain"},{"family":"Siddiqui","given":"Juveria"},{"family":"Sztriha","given":"Laszlo"}],"issued":{"date-parts":[["2020"]]}}}],"schema":"https://github.com/citation-style-language/schema/raw/master/csl-citation.json"} </w:instrText>
            </w:r>
            <w:r w:rsidR="007A62EC">
              <w:rPr>
                <w:rFonts w:ascii="Times New Roman" w:eastAsia="Times New Roman" w:hAnsi="Times New Roman" w:cs="Times New Roman"/>
                <w:color w:val="000000"/>
                <w:sz w:val="13"/>
                <w:szCs w:val="13"/>
                <w:lang w:eastAsia="de-DE"/>
              </w:rPr>
              <w:fldChar w:fldCharType="separate"/>
            </w:r>
            <w:r w:rsidR="007A62EC" w:rsidRPr="000529E7">
              <w:rPr>
                <w:rFonts w:ascii="Times New Roman" w:hAnsi="Times New Roman" w:cs="Times New Roman"/>
                <w:color w:val="000000"/>
                <w:sz w:val="13"/>
                <w:vertAlign w:val="superscript"/>
                <w:lang w:val="de-DE"/>
              </w:rPr>
              <w:t>5</w:t>
            </w:r>
            <w:r w:rsidR="007A62EC">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4A60A08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77FA4D9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87F030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BA307E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87391F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52</w:t>
            </w:r>
          </w:p>
        </w:tc>
        <w:tc>
          <w:tcPr>
            <w:tcW w:w="0" w:type="auto"/>
            <w:tcBorders>
              <w:top w:val="nil"/>
              <w:left w:val="nil"/>
              <w:bottom w:val="nil"/>
              <w:right w:val="nil"/>
            </w:tcBorders>
            <w:shd w:val="clear" w:color="auto" w:fill="auto"/>
            <w:noWrap/>
            <w:vAlign w:val="center"/>
            <w:hideMark/>
          </w:tcPr>
          <w:p w14:paraId="64B2C70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3989664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 Phase</w:t>
            </w:r>
          </w:p>
        </w:tc>
        <w:tc>
          <w:tcPr>
            <w:tcW w:w="0" w:type="auto"/>
            <w:tcBorders>
              <w:top w:val="nil"/>
              <w:left w:val="nil"/>
              <w:bottom w:val="nil"/>
              <w:right w:val="nil"/>
            </w:tcBorders>
            <w:shd w:val="clear" w:color="auto" w:fill="auto"/>
            <w:noWrap/>
            <w:vAlign w:val="center"/>
            <w:hideMark/>
          </w:tcPr>
          <w:p w14:paraId="67248CE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03D4F3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B156CD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FFC545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E3D2BC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BC47F4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C52A8E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A27242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AA2AB7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D997A2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3F1112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22BC1D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3B8F3B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96A380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AF527A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9FE54A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D03877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B704AB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DEF966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B69457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09B60A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r>
      <w:tr w:rsidR="00CE05CD" w:rsidRPr="00C336CB" w14:paraId="1248469C" w14:textId="77777777" w:rsidTr="00C336CB">
        <w:trPr>
          <w:trHeight w:val="320"/>
        </w:trPr>
        <w:tc>
          <w:tcPr>
            <w:tcW w:w="0" w:type="auto"/>
            <w:tcBorders>
              <w:top w:val="nil"/>
              <w:left w:val="nil"/>
              <w:bottom w:val="nil"/>
              <w:right w:val="nil"/>
            </w:tcBorders>
            <w:shd w:val="clear" w:color="auto" w:fill="auto"/>
            <w:noWrap/>
            <w:vAlign w:val="center"/>
            <w:hideMark/>
          </w:tcPr>
          <w:p w14:paraId="1FC9D4BE" w14:textId="51E0BA0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Ca</w:t>
            </w:r>
            <w:proofErr w:type="spellStart"/>
            <w:r w:rsidR="000529E7">
              <w:rPr>
                <w:rFonts w:ascii="Times New Roman" w:eastAsia="Times New Roman" w:hAnsi="Times New Roman" w:cs="Times New Roman"/>
                <w:color w:val="000000"/>
                <w:sz w:val="13"/>
                <w:szCs w:val="13"/>
                <w:lang w:val="de-DE" w:eastAsia="de-DE"/>
              </w:rPr>
              <w:t>nnac</w:t>
            </w:r>
            <w:proofErr w:type="spellEnd"/>
            <w:r w:rsidRPr="00C336CB">
              <w:rPr>
                <w:rFonts w:ascii="Times New Roman" w:eastAsia="Times New Roman" w:hAnsi="Times New Roman" w:cs="Times New Roman"/>
                <w:color w:val="000000"/>
                <w:sz w:val="13"/>
                <w:szCs w:val="13"/>
                <w:lang w:eastAsia="de-DE"/>
              </w:rPr>
              <w:t xml:space="preserve"> et al. </w:t>
            </w:r>
            <w:r w:rsidR="000529E7">
              <w:rPr>
                <w:rFonts w:ascii="Times New Roman" w:eastAsia="Times New Roman" w:hAnsi="Times New Roman" w:cs="Times New Roman"/>
                <w:color w:val="000000"/>
                <w:sz w:val="13"/>
                <w:szCs w:val="13"/>
                <w:lang w:eastAsia="de-DE"/>
              </w:rPr>
              <w:fldChar w:fldCharType="begin"/>
            </w:r>
            <w:r w:rsidR="000529E7">
              <w:rPr>
                <w:rFonts w:ascii="Times New Roman" w:eastAsia="Times New Roman" w:hAnsi="Times New Roman" w:cs="Times New Roman"/>
                <w:color w:val="000000"/>
                <w:sz w:val="13"/>
                <w:szCs w:val="13"/>
                <w:lang w:eastAsia="de-DE"/>
              </w:rPr>
              <w:instrText xml:space="preserve"> ADDIN ZOTERO_ITEM CSL_CITATION {"citationID":"sKi3GFAx","properties":{"formattedCitation":"\\super 6\\nosupersub{}","plainCitation":"6","noteIndex":0},"citationItems":[{"id":121,"uris":["http://zotero.org/users/local/4rfnQu81/items/VP36MLRL"],"uri":["http://zotero.org/users/local/4rfnQu81/items/VP36MLRL"],"itemData":{"id":121,"type":"article-journal","container-title":"Neurology","DOI":"10.1212/WNL.0000000000010537","ISSN":"1526632X","issue":"11","note":"ISBN: 0000000000\nPMID: 32727834","page":"498–499","title":"Critical illness-associated cerebral microbleeds in COVID-19 acute respiratory distress syndrome","volume":"95","author":[{"family":"Cannac","given":"Octave"},{"family":"Martinez-Almoyna","given":"Laurent"},{"family":"Hraiech","given":"Sami"}],"issued":{"date-parts":[["2020"]]}}}],"schema":"https://github.com/citation-style-language/schema/raw/master/csl-citation.json"} </w:instrText>
            </w:r>
            <w:r w:rsidR="000529E7">
              <w:rPr>
                <w:rFonts w:ascii="Times New Roman" w:eastAsia="Times New Roman" w:hAnsi="Times New Roman" w:cs="Times New Roman"/>
                <w:color w:val="000000"/>
                <w:sz w:val="13"/>
                <w:szCs w:val="13"/>
                <w:lang w:eastAsia="de-DE"/>
              </w:rPr>
              <w:fldChar w:fldCharType="separate"/>
            </w:r>
            <w:r w:rsidR="000529E7" w:rsidRPr="000529E7">
              <w:rPr>
                <w:rFonts w:ascii="Times New Roman" w:hAnsi="Times New Roman" w:cs="Times New Roman"/>
                <w:color w:val="000000"/>
                <w:sz w:val="13"/>
                <w:vertAlign w:val="superscript"/>
                <w:lang w:val="de-DE"/>
              </w:rPr>
              <w:t>6</w:t>
            </w:r>
            <w:r w:rsidR="000529E7">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1CF34E5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3D107CB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C8CC1D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EF5DEC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9713C0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63</w:t>
            </w:r>
          </w:p>
        </w:tc>
        <w:tc>
          <w:tcPr>
            <w:tcW w:w="0" w:type="auto"/>
            <w:tcBorders>
              <w:top w:val="nil"/>
              <w:left w:val="nil"/>
              <w:bottom w:val="nil"/>
              <w:right w:val="nil"/>
            </w:tcBorders>
            <w:shd w:val="clear" w:color="auto" w:fill="auto"/>
            <w:noWrap/>
            <w:vAlign w:val="center"/>
            <w:hideMark/>
          </w:tcPr>
          <w:p w14:paraId="4819E05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23C0621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67FE93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421D8A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181BFC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9A652B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CBF024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6C73D8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491295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FEA826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29AA1C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13D5E1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A5013B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D12230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BD5EC6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8DAFBB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3F8771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DFCDF9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91A1C4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9BC0F7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EA9EDC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813787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E01DF5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r>
      <w:tr w:rsidR="00CE05CD" w:rsidRPr="00C336CB" w14:paraId="0267FEBF" w14:textId="77777777" w:rsidTr="00C336CB">
        <w:trPr>
          <w:trHeight w:val="320"/>
        </w:trPr>
        <w:tc>
          <w:tcPr>
            <w:tcW w:w="0" w:type="auto"/>
            <w:tcBorders>
              <w:top w:val="nil"/>
              <w:left w:val="nil"/>
              <w:bottom w:val="nil"/>
              <w:right w:val="nil"/>
            </w:tcBorders>
            <w:shd w:val="clear" w:color="auto" w:fill="auto"/>
            <w:noWrap/>
            <w:vAlign w:val="center"/>
            <w:hideMark/>
          </w:tcPr>
          <w:p w14:paraId="79C983CB" w14:textId="2447A4C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Caroll et al. </w:t>
            </w:r>
            <w:r w:rsidR="000529E7">
              <w:rPr>
                <w:rFonts w:ascii="Times New Roman" w:eastAsia="Times New Roman" w:hAnsi="Times New Roman" w:cs="Times New Roman"/>
                <w:color w:val="000000"/>
                <w:sz w:val="13"/>
                <w:szCs w:val="13"/>
                <w:lang w:eastAsia="de-DE"/>
              </w:rPr>
              <w:fldChar w:fldCharType="begin"/>
            </w:r>
            <w:r w:rsidR="000529E7">
              <w:rPr>
                <w:rFonts w:ascii="Times New Roman" w:eastAsia="Times New Roman" w:hAnsi="Times New Roman" w:cs="Times New Roman"/>
                <w:color w:val="000000"/>
                <w:sz w:val="13"/>
                <w:szCs w:val="13"/>
                <w:lang w:eastAsia="de-DE"/>
              </w:rPr>
              <w:instrText xml:space="preserve"> ADDIN ZOTERO_ITEM CSL_CITATION {"citationID":"rJpPpiN9","properties":{"formattedCitation":"\\super 7\\nosupersub{}","plainCitation":"7","noteIndex":0},"citationItems":[{"id":60,"uris":["http://zotero.org/users/local/4rfnQu81/items/GQTLXRJY"],"uri":["http://zotero.org/users/local/4rfnQu81/items/GQTLXRJY"],"itemData":{"id":60,"type":"article-journal","container-title":"Neurocritical care","DOI":"10.1007/s12028-020-00993-5","ISSN":"1556-0961 (Electronic)","language":"eng","note":"PMID: 32458333","page":"1–5","title":"Catastrophic Intracranial Hemorrhage in Two Critically Ill Patients with COVID-19.","author":[{"family":"Carroll","given":"Elizabeth"},{"family":"Lewis","given":"Ariane"}],"issued":{"date-parts":[["2020",5]]}}}],"schema":"https://github.com/citation-style-language/schema/raw/master/csl-citation.json"} </w:instrText>
            </w:r>
            <w:r w:rsidR="000529E7">
              <w:rPr>
                <w:rFonts w:ascii="Times New Roman" w:eastAsia="Times New Roman" w:hAnsi="Times New Roman" w:cs="Times New Roman"/>
                <w:color w:val="000000"/>
                <w:sz w:val="13"/>
                <w:szCs w:val="13"/>
                <w:lang w:eastAsia="de-DE"/>
              </w:rPr>
              <w:fldChar w:fldCharType="separate"/>
            </w:r>
            <w:r w:rsidR="000529E7" w:rsidRPr="000529E7">
              <w:rPr>
                <w:rFonts w:ascii="Times New Roman" w:hAnsi="Times New Roman" w:cs="Times New Roman"/>
                <w:color w:val="000000"/>
                <w:sz w:val="13"/>
                <w:vertAlign w:val="superscript"/>
                <w:lang w:val="de-DE"/>
              </w:rPr>
              <w:t>7</w:t>
            </w:r>
            <w:r w:rsidR="000529E7">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42D1FAA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0C88E44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AAB5AC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AC75BD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D1B1A3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62</w:t>
            </w:r>
          </w:p>
        </w:tc>
        <w:tc>
          <w:tcPr>
            <w:tcW w:w="0" w:type="auto"/>
            <w:tcBorders>
              <w:top w:val="nil"/>
              <w:left w:val="nil"/>
              <w:bottom w:val="nil"/>
              <w:right w:val="nil"/>
            </w:tcBorders>
            <w:shd w:val="clear" w:color="auto" w:fill="auto"/>
            <w:noWrap/>
            <w:vAlign w:val="center"/>
            <w:hideMark/>
          </w:tcPr>
          <w:p w14:paraId="43C9013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1140DAB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0013BE1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06FDB1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E33A77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EAC5FA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5DDA49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3000D6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40FB68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9DA787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D4D41A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7DB9ED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F68B64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F24BEE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FBC248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FD1C72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DD2E06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DF81EE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2C60FA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35473E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9EF622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F942D1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293499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0FC621B2" w14:textId="77777777" w:rsidTr="00C336CB">
        <w:trPr>
          <w:trHeight w:val="320"/>
        </w:trPr>
        <w:tc>
          <w:tcPr>
            <w:tcW w:w="0" w:type="auto"/>
            <w:tcBorders>
              <w:top w:val="nil"/>
              <w:left w:val="nil"/>
              <w:bottom w:val="nil"/>
              <w:right w:val="nil"/>
            </w:tcBorders>
            <w:shd w:val="clear" w:color="auto" w:fill="auto"/>
            <w:noWrap/>
            <w:vAlign w:val="center"/>
            <w:hideMark/>
          </w:tcPr>
          <w:p w14:paraId="6AA49976" w14:textId="7F0E3A36"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Caroll et al. </w:t>
            </w:r>
            <w:r w:rsidR="000529E7">
              <w:rPr>
                <w:rFonts w:ascii="Times New Roman" w:eastAsia="Times New Roman" w:hAnsi="Times New Roman" w:cs="Times New Roman"/>
                <w:color w:val="000000"/>
                <w:sz w:val="13"/>
                <w:szCs w:val="13"/>
                <w:lang w:eastAsia="de-DE"/>
              </w:rPr>
              <w:fldChar w:fldCharType="begin"/>
            </w:r>
            <w:r w:rsidR="000529E7">
              <w:rPr>
                <w:rFonts w:ascii="Times New Roman" w:eastAsia="Times New Roman" w:hAnsi="Times New Roman" w:cs="Times New Roman"/>
                <w:color w:val="000000"/>
                <w:sz w:val="13"/>
                <w:szCs w:val="13"/>
                <w:lang w:eastAsia="de-DE"/>
              </w:rPr>
              <w:instrText xml:space="preserve"> ADDIN ZOTERO_ITEM CSL_CITATION {"citationID":"KusCIYpU","properties":{"formattedCitation":"\\super 7\\nosupersub{}","plainCitation":"7","noteIndex":0},"citationItems":[{"id":60,"uris":["http://zotero.org/users/local/4rfnQu81/items/GQTLXRJY"],"uri":["http://zotero.org/users/local/4rfnQu81/items/GQTLXRJY"],"itemData":{"id":60,"type":"article-journal","container-title":"Neurocritical care","DOI":"10.1007/s12028-020-00993-5","ISSN":"1556-0961 (Electronic)","language":"eng","note":"PMID: 32458333","page":"1–5","title":"Catastrophic Intracranial Hemorrhage in Two Critically Ill Patients with COVID-19.","author":[{"family":"Carroll","given":"Elizabeth"},{"family":"Lewis","given":"Ariane"}],"issued":{"date-parts":[["2020",5]]}}}],"schema":"https://github.com/citation-style-language/schema/raw/master/csl-citation.json"} </w:instrText>
            </w:r>
            <w:r w:rsidR="000529E7">
              <w:rPr>
                <w:rFonts w:ascii="Times New Roman" w:eastAsia="Times New Roman" w:hAnsi="Times New Roman" w:cs="Times New Roman"/>
                <w:color w:val="000000"/>
                <w:sz w:val="13"/>
                <w:szCs w:val="13"/>
                <w:lang w:eastAsia="de-DE"/>
              </w:rPr>
              <w:fldChar w:fldCharType="separate"/>
            </w:r>
            <w:r w:rsidR="000529E7" w:rsidRPr="000529E7">
              <w:rPr>
                <w:rFonts w:ascii="Times New Roman" w:hAnsi="Times New Roman" w:cs="Times New Roman"/>
                <w:color w:val="000000"/>
                <w:sz w:val="13"/>
                <w:vertAlign w:val="superscript"/>
                <w:lang w:val="de-DE"/>
              </w:rPr>
              <w:t>7</w:t>
            </w:r>
            <w:r w:rsidR="000529E7">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47A026E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6602218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ACCD9D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FCDBD8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2EC0B4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74</w:t>
            </w:r>
          </w:p>
        </w:tc>
        <w:tc>
          <w:tcPr>
            <w:tcW w:w="0" w:type="auto"/>
            <w:tcBorders>
              <w:top w:val="nil"/>
              <w:left w:val="nil"/>
              <w:bottom w:val="nil"/>
              <w:right w:val="nil"/>
            </w:tcBorders>
            <w:shd w:val="clear" w:color="auto" w:fill="auto"/>
            <w:noWrap/>
            <w:vAlign w:val="center"/>
            <w:hideMark/>
          </w:tcPr>
          <w:p w14:paraId="24788D1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3FC961F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2BC09D9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76BA28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746A64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C65C31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6FA264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59AE18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1CB0EA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5FDD3E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5B6A6A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B23F97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E25DE7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DD4305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04FE49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400F39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38D719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44BC59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9E7DE8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F502B5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19AB98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7CD9BD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5DF2D8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42D6DB5C" w14:textId="77777777" w:rsidTr="00C336CB">
        <w:trPr>
          <w:trHeight w:val="320"/>
        </w:trPr>
        <w:tc>
          <w:tcPr>
            <w:tcW w:w="0" w:type="auto"/>
            <w:tcBorders>
              <w:top w:val="nil"/>
              <w:left w:val="nil"/>
              <w:bottom w:val="nil"/>
              <w:right w:val="nil"/>
            </w:tcBorders>
            <w:shd w:val="clear" w:color="auto" w:fill="auto"/>
            <w:noWrap/>
            <w:vAlign w:val="center"/>
            <w:hideMark/>
          </w:tcPr>
          <w:p w14:paraId="3F076C0D" w14:textId="56A1FD18"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Chougar et al. </w:t>
            </w:r>
            <w:r w:rsidR="000529E7">
              <w:rPr>
                <w:rFonts w:ascii="Times New Roman" w:eastAsia="Times New Roman" w:hAnsi="Times New Roman" w:cs="Times New Roman"/>
                <w:color w:val="000000"/>
                <w:sz w:val="13"/>
                <w:szCs w:val="13"/>
                <w:lang w:eastAsia="de-DE"/>
              </w:rPr>
              <w:fldChar w:fldCharType="begin"/>
            </w:r>
            <w:r w:rsidR="000529E7">
              <w:rPr>
                <w:rFonts w:ascii="Times New Roman" w:eastAsia="Times New Roman" w:hAnsi="Times New Roman" w:cs="Times New Roman"/>
                <w:color w:val="000000"/>
                <w:sz w:val="13"/>
                <w:szCs w:val="13"/>
                <w:lang w:eastAsia="de-DE"/>
              </w:rPr>
              <w:instrText xml:space="preserve"> ADDIN ZOTERO_ITEM CSL_CITATION {"citationID":"zU7EJd3P","properties":{"formattedCitation":"\\super 8\\nosupersub{}","plainCitation":"8","noteIndex":0},"citationItems":[{"id":46,"uris":["http://zotero.org/users/local/4rfnQu81/items/PKDNPKE5"],"uri":["http://zotero.org/users/local/4rfnQu81/items/PKDNPKE5"],"itemData":{"id":46,"type":"article-journal","abstract":"There is growing evidence that Severe Acute Respiratory Syndrome coronavirus 2 (SARS-CoV-2) has a neurotropic and neuroinvasive potential. In particular, neurologic complications associated with the infection by SARS-CoV-2 include strokes that may result from a dysregulated inflammatory response to the infection. We report an atypical deep cerebral vein thrombosis complicated with hemorrhagic venous infarction in a patient positive for SARS-CoV-2 with no risk factors for thrombosis.","container-title":"AJNR. American journal of neuroradiology","DOI":"10.3174/ajnr.A6642","ISSN":"1936-959X (Electronic)","issue":"8","language":"eng","note":"PMID: 32554423","page":"1377–1379","title":"Atypical Deep Cerebral Vein Thrombosis with Hemorrhagic Venous Infarction in a Patient Positive for COVID-19.","volume":"41","author":[{"family":"Chougar","given":"L"},{"family":"Mathon","given":"B"},{"family":"Weiss","given":"N"},{"family":"Degos","given":"V"},{"family":"Shor","given":"N"}],"issued":{"date-parts":[["2020",8]]}}}],"schema":"https://github.com/citation-style-language/schema/raw/master/csl-citation.json"} </w:instrText>
            </w:r>
            <w:r w:rsidR="000529E7">
              <w:rPr>
                <w:rFonts w:ascii="Times New Roman" w:eastAsia="Times New Roman" w:hAnsi="Times New Roman" w:cs="Times New Roman"/>
                <w:color w:val="000000"/>
                <w:sz w:val="13"/>
                <w:szCs w:val="13"/>
                <w:lang w:eastAsia="de-DE"/>
              </w:rPr>
              <w:fldChar w:fldCharType="separate"/>
            </w:r>
            <w:r w:rsidR="000529E7" w:rsidRPr="000529E7">
              <w:rPr>
                <w:rFonts w:ascii="Times New Roman" w:hAnsi="Times New Roman" w:cs="Times New Roman"/>
                <w:color w:val="000000"/>
                <w:sz w:val="13"/>
                <w:vertAlign w:val="superscript"/>
                <w:lang w:val="de-DE"/>
              </w:rPr>
              <w:t>8</w:t>
            </w:r>
            <w:r w:rsidR="000529E7">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1AC9060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2CF8926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71485A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9583F8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989A1B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72</w:t>
            </w:r>
          </w:p>
        </w:tc>
        <w:tc>
          <w:tcPr>
            <w:tcW w:w="0" w:type="auto"/>
            <w:tcBorders>
              <w:top w:val="nil"/>
              <w:left w:val="nil"/>
              <w:bottom w:val="nil"/>
              <w:right w:val="nil"/>
            </w:tcBorders>
            <w:shd w:val="clear" w:color="auto" w:fill="auto"/>
            <w:noWrap/>
            <w:vAlign w:val="center"/>
            <w:hideMark/>
          </w:tcPr>
          <w:p w14:paraId="100DBF8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7A78590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Uncomplicated</w:t>
            </w:r>
          </w:p>
        </w:tc>
        <w:tc>
          <w:tcPr>
            <w:tcW w:w="0" w:type="auto"/>
            <w:tcBorders>
              <w:top w:val="nil"/>
              <w:left w:val="nil"/>
              <w:bottom w:val="nil"/>
              <w:right w:val="nil"/>
            </w:tcBorders>
            <w:shd w:val="clear" w:color="auto" w:fill="auto"/>
            <w:noWrap/>
            <w:vAlign w:val="center"/>
            <w:hideMark/>
          </w:tcPr>
          <w:p w14:paraId="75FD59D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36C220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6619AA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9765F5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D347DA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1C60CF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5ED607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E9B6AA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B589C2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16B899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58B392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91B92D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1DBF7A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EB87D1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6A3906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BE7C76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5D9FAF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67E685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A75C6C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35836E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A3E4D7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09AA64F0" w14:textId="77777777" w:rsidTr="00C336CB">
        <w:trPr>
          <w:trHeight w:val="320"/>
        </w:trPr>
        <w:tc>
          <w:tcPr>
            <w:tcW w:w="0" w:type="auto"/>
            <w:tcBorders>
              <w:top w:val="nil"/>
              <w:left w:val="nil"/>
              <w:bottom w:val="nil"/>
              <w:right w:val="nil"/>
            </w:tcBorders>
            <w:shd w:val="clear" w:color="auto" w:fill="auto"/>
            <w:noWrap/>
            <w:vAlign w:val="center"/>
            <w:hideMark/>
          </w:tcPr>
          <w:p w14:paraId="47AA303D" w14:textId="688A90A9"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Daci et al. </w:t>
            </w:r>
            <w:r w:rsidR="000529E7">
              <w:rPr>
                <w:rFonts w:ascii="Times New Roman" w:eastAsia="Times New Roman" w:hAnsi="Times New Roman" w:cs="Times New Roman"/>
                <w:color w:val="000000"/>
                <w:sz w:val="13"/>
                <w:szCs w:val="13"/>
                <w:lang w:eastAsia="de-DE"/>
              </w:rPr>
              <w:fldChar w:fldCharType="begin"/>
            </w:r>
            <w:r w:rsidR="000529E7">
              <w:rPr>
                <w:rFonts w:ascii="Times New Roman" w:eastAsia="Times New Roman" w:hAnsi="Times New Roman" w:cs="Times New Roman"/>
                <w:color w:val="000000"/>
                <w:sz w:val="13"/>
                <w:szCs w:val="13"/>
                <w:lang w:eastAsia="de-DE"/>
              </w:rPr>
              <w:instrText xml:space="preserve"> ADDIN ZOTERO_ITEM CSL_CITATION {"citationID":"xIJyDhDW","properties":{"formattedCitation":"\\super 9\\nosupersub{}","plainCitation":"9","noteIndex":0},"citationItems":[{"id":24,"uris":["http://zotero.org/users/local/4rfnQu81/items/FFPGQUUZ"],"uri":["http://zotero.org/users/local/4rfnQu81/items/FFPGQUUZ"],"itemData":{"id":24,"type":"article-journal","abstract":"Bilateral basal ganglia hemorrhage is exceedingly rare. To our knowledge, our patient is the first reported case of a confirmed coronavirus disease 2019 (COVID-19) patient who had bilateral basal ganglia hemorrhage. In the absence of other risk factors for bilateral deep cerebral involvement, we suspect that COVID-19 may be contributing to these rare pathologies. Most published data represent a correlation between COVID-19 and neurologic complications, and more research is still needed to prove causation.","container-title":"AJNR. American journal of neuroradiology","DOI":"10.3174/ajnr.A6712","ISSN":"1936-959X (Electronic)","issue":"10","language":"eng","note":"PMID: 32819902","page":"1797–1799","title":"Bilateral Basal Ganglia Hemorrhage in a Patient with Confirmed COVID-19.","volume":"41","author":[{"family":"Daci","given":"R"},{"family":"Kennelly","given":"M"},{"family":"Ferris","given":"A"},{"family":"Azeem","given":"M U"},{"family":"Johnson","given":"M D"},{"family":"Hamzei-Sichani","given":"F"},{"family":"Jun-O'Connell","given":"A H"},{"family":"Natarajan","given":"S K"}],"issued":{"date-parts":[["2020",10]]}}}],"schema":"https://github.com/citation-style-language/schema/raw/master/csl-citation.json"} </w:instrText>
            </w:r>
            <w:r w:rsidR="000529E7">
              <w:rPr>
                <w:rFonts w:ascii="Times New Roman" w:eastAsia="Times New Roman" w:hAnsi="Times New Roman" w:cs="Times New Roman"/>
                <w:color w:val="000000"/>
                <w:sz w:val="13"/>
                <w:szCs w:val="13"/>
                <w:lang w:eastAsia="de-DE"/>
              </w:rPr>
              <w:fldChar w:fldCharType="separate"/>
            </w:r>
            <w:r w:rsidR="000529E7" w:rsidRPr="000529E7">
              <w:rPr>
                <w:rFonts w:ascii="Times New Roman" w:hAnsi="Times New Roman" w:cs="Times New Roman"/>
                <w:color w:val="000000"/>
                <w:sz w:val="13"/>
                <w:vertAlign w:val="superscript"/>
                <w:lang w:val="de-DE"/>
              </w:rPr>
              <w:t>9</w:t>
            </w:r>
            <w:r w:rsidR="000529E7">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6709698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6F214F6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BF1196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B69958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C99828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60</w:t>
            </w:r>
          </w:p>
        </w:tc>
        <w:tc>
          <w:tcPr>
            <w:tcW w:w="0" w:type="auto"/>
            <w:tcBorders>
              <w:top w:val="nil"/>
              <w:left w:val="nil"/>
              <w:bottom w:val="nil"/>
              <w:right w:val="nil"/>
            </w:tcBorders>
            <w:shd w:val="clear" w:color="auto" w:fill="auto"/>
            <w:noWrap/>
            <w:vAlign w:val="center"/>
            <w:hideMark/>
          </w:tcPr>
          <w:p w14:paraId="6830666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23D4771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Uncomplicated</w:t>
            </w:r>
          </w:p>
        </w:tc>
        <w:tc>
          <w:tcPr>
            <w:tcW w:w="0" w:type="auto"/>
            <w:tcBorders>
              <w:top w:val="nil"/>
              <w:left w:val="nil"/>
              <w:bottom w:val="nil"/>
              <w:right w:val="nil"/>
            </w:tcBorders>
            <w:shd w:val="clear" w:color="auto" w:fill="auto"/>
            <w:noWrap/>
            <w:vAlign w:val="center"/>
            <w:hideMark/>
          </w:tcPr>
          <w:p w14:paraId="28E8D39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70A30D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D00213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906F98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BA03D0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D525FB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C2E69A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B9765C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A27B19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FD5FB3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F12B69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BF350E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073F23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B20976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C5C24E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600826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C97135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ACCCDD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E025D0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BB84CF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86D244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2E1F2731" w14:textId="77777777" w:rsidTr="00C336CB">
        <w:trPr>
          <w:trHeight w:val="320"/>
        </w:trPr>
        <w:tc>
          <w:tcPr>
            <w:tcW w:w="0" w:type="auto"/>
            <w:tcBorders>
              <w:top w:val="nil"/>
              <w:left w:val="nil"/>
              <w:bottom w:val="nil"/>
              <w:right w:val="nil"/>
            </w:tcBorders>
            <w:shd w:val="clear" w:color="auto" w:fill="auto"/>
            <w:noWrap/>
            <w:vAlign w:val="center"/>
            <w:hideMark/>
          </w:tcPr>
          <w:p w14:paraId="68EEF7C5" w14:textId="5F085E3A"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lastRenderedPageBreak/>
              <w:t xml:space="preserve">Dakay et al. </w:t>
            </w:r>
            <w:r w:rsidR="000529E7">
              <w:rPr>
                <w:rFonts w:ascii="Times New Roman" w:eastAsia="Times New Roman" w:hAnsi="Times New Roman" w:cs="Times New Roman"/>
                <w:color w:val="000000"/>
                <w:sz w:val="13"/>
                <w:szCs w:val="13"/>
                <w:lang w:eastAsia="de-DE"/>
              </w:rPr>
              <w:fldChar w:fldCharType="begin"/>
            </w:r>
            <w:r w:rsidR="000529E7">
              <w:rPr>
                <w:rFonts w:ascii="Times New Roman" w:eastAsia="Times New Roman" w:hAnsi="Times New Roman" w:cs="Times New Roman"/>
                <w:color w:val="000000"/>
                <w:sz w:val="13"/>
                <w:szCs w:val="13"/>
                <w:lang w:eastAsia="de-DE"/>
              </w:rPr>
              <w:instrText xml:space="preserve"> ADDIN ZOTERO_ITEM CSL_CITATION {"citationID":"CxGWuj14","properties":{"formattedCitation":"\\super 10\\nosupersub{}","plainCitation":"10","noteIndex":0},"citationItems":[{"id":64,"uris":["http://zotero.org/users/local/4rfnQu81/items/FWCSC83V"],"uri":["http://zotero.org/users/local/4rfnQu81/items/FWCSC83V"],"itemData":{"id":64,"type":"book","abstract":"The current COVID-19 pandemic has recently brought to attention the myriad of neuro- logic sequelae associated with Coronavirus infection including the predilection for stroke, particularly in young patients. Reversible cerebral vasoconstriction syndrome (RCVS) is a well-described clinical syndrome leading to vasoconstriction in the intracra- nial vessels, and has been associated with convexity subarachnoid hemorrhage and oc- casionally cervical artery dissection. It is usually reported in the context of a trigger such as medications, recreational drugs, or the postpartum state; however, it has not been described in COVID-19 infection. We report a case of both cervical vertebral ar- tery dissection as well as convexity subarachnoid hemorrhage due to RCVS, in a pa- tient with COVID-19 infection and no other triggers.","collection-number":"9","language":"eng","note":"ISSN: 1532-8511 (Electronic)\ncontainer-title: Journal of stroke and cerebrovascular diseases : the official journal of National Stroke Association\nDOI: 10.1016/j.jstrokecerebrovasdis.2020.105011\nPMID: 32807426","number-of-pages":"105011","title":"Reversible cerebral vasoconstriction syndrome and dissection in the setting of COVID-19 infection.","volume":"29","author":[{"family":"Dakay","given":"Katarina"},{"family":"Kaur","given":"Gurmeen"},{"family":"Gulko","given":"Edwin"},{"family":"Santarelli","given":"Justin"},{"family":"Bowers","given":"Christian"},{"family":"Mayer","given":"Stephan A"},{"family":"Gandhi","given":"Chirag D"},{"family":"Al-Mufti","given":"Fawaz"}],"issued":{"date-parts":[["2020",9]]}}}],"schema":"https://github.com/citation-style-language/schema/raw/master/csl-citation.json"} </w:instrText>
            </w:r>
            <w:r w:rsidR="000529E7">
              <w:rPr>
                <w:rFonts w:ascii="Times New Roman" w:eastAsia="Times New Roman" w:hAnsi="Times New Roman" w:cs="Times New Roman"/>
                <w:color w:val="000000"/>
                <w:sz w:val="13"/>
                <w:szCs w:val="13"/>
                <w:lang w:eastAsia="de-DE"/>
              </w:rPr>
              <w:fldChar w:fldCharType="separate"/>
            </w:r>
            <w:r w:rsidR="000529E7" w:rsidRPr="000529E7">
              <w:rPr>
                <w:rFonts w:ascii="Times New Roman" w:hAnsi="Times New Roman" w:cs="Times New Roman"/>
                <w:color w:val="000000"/>
                <w:sz w:val="13"/>
                <w:vertAlign w:val="superscript"/>
                <w:lang w:val="de-DE"/>
              </w:rPr>
              <w:t>10</w:t>
            </w:r>
            <w:r w:rsidR="000529E7">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32A41D5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5D05F46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87E324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C5B378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26E84F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35</w:t>
            </w:r>
          </w:p>
        </w:tc>
        <w:tc>
          <w:tcPr>
            <w:tcW w:w="0" w:type="auto"/>
            <w:tcBorders>
              <w:top w:val="nil"/>
              <w:left w:val="nil"/>
              <w:bottom w:val="nil"/>
              <w:right w:val="nil"/>
            </w:tcBorders>
            <w:shd w:val="clear" w:color="auto" w:fill="auto"/>
            <w:noWrap/>
            <w:vAlign w:val="center"/>
            <w:hideMark/>
          </w:tcPr>
          <w:p w14:paraId="24F0F8A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4B7F626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Uncomplicated</w:t>
            </w:r>
          </w:p>
        </w:tc>
        <w:tc>
          <w:tcPr>
            <w:tcW w:w="0" w:type="auto"/>
            <w:tcBorders>
              <w:top w:val="nil"/>
              <w:left w:val="nil"/>
              <w:bottom w:val="nil"/>
              <w:right w:val="nil"/>
            </w:tcBorders>
            <w:shd w:val="clear" w:color="auto" w:fill="auto"/>
            <w:noWrap/>
            <w:vAlign w:val="center"/>
            <w:hideMark/>
          </w:tcPr>
          <w:p w14:paraId="70EFC7E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9D621F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6E1202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59B267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C1FD38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C0317F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DBB5FD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85846F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DA6803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79190C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66BF13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610C8E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CF8398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9C3FAA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E74009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347302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D0EB10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7A9BB6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587F77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C2DC39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2B60BA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09A9D59E" w14:textId="77777777" w:rsidTr="00C336CB">
        <w:trPr>
          <w:trHeight w:val="320"/>
        </w:trPr>
        <w:tc>
          <w:tcPr>
            <w:tcW w:w="0" w:type="auto"/>
            <w:tcBorders>
              <w:top w:val="nil"/>
              <w:left w:val="nil"/>
              <w:bottom w:val="nil"/>
              <w:right w:val="nil"/>
            </w:tcBorders>
            <w:shd w:val="clear" w:color="auto" w:fill="auto"/>
            <w:noWrap/>
            <w:vAlign w:val="center"/>
            <w:hideMark/>
          </w:tcPr>
          <w:p w14:paraId="7C2F4050" w14:textId="499A04B4"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De Stefano et al. </w:t>
            </w:r>
            <w:r w:rsidR="000529E7">
              <w:rPr>
                <w:rFonts w:ascii="Times New Roman" w:eastAsia="Times New Roman" w:hAnsi="Times New Roman" w:cs="Times New Roman"/>
                <w:color w:val="000000"/>
                <w:sz w:val="13"/>
                <w:szCs w:val="13"/>
                <w:lang w:eastAsia="de-DE"/>
              </w:rPr>
              <w:fldChar w:fldCharType="begin"/>
            </w:r>
            <w:r w:rsidR="000529E7">
              <w:rPr>
                <w:rFonts w:ascii="Times New Roman" w:eastAsia="Times New Roman" w:hAnsi="Times New Roman" w:cs="Times New Roman"/>
                <w:color w:val="000000"/>
                <w:sz w:val="13"/>
                <w:szCs w:val="13"/>
                <w:lang w:eastAsia="de-DE"/>
              </w:rPr>
              <w:instrText xml:space="preserve"> ADDIN ZOTERO_ITEM CSL_CITATION {"citationID":"0559uStY","properties":{"formattedCitation":"\\super 11\\nosupersub{}","plainCitation":"11","noteIndex":0},"citationItems":[{"id":1369,"uris":["http://zotero.org/users/local/4rfnQu81/items/N64RTUNJ"],"uri":["http://zotero.org/users/local/4rfnQu81/items/N64RTUNJ"],"itemData":{"id":1369,"type":"book","abstract":"OBJECTIVES: We describe a patient suffering from Covid19-related acute respiratory distress syndrome (ARDS), highlighting the diagnostic role of the EEG in ICU. HISTORY: A Covid-19 patient undergoing mechanical ventilation due to related acute respiratory distress syndrome (ARDS), presented altered mental status in the ICU. Video-EEG revealed a focal monomorphic theta slowing in bilateral frontal-central regions. Concordant with the EEG localization, MRI showed abundant microbleeds located in bilateral white matter junction, various regions of corpus callosum and internal capsule, suggestive of Critical Illness-Associated Cerebral Microbleeds. CSF analysis excluded the presence of encephalitis, SARS-Cov2 RNA-PCR in CSF was negative. Clinical and biological picture was suggestive of cytokine release syndrome. CONCLUSION: This is the first reported case of Critical Illness-Associated Cerebral Microbleeds in the context of Covid-19. Knowledge of Covid-19 is still partial and acute neurological complications should be explored systematically. In our case, EEG helped to rule out non-convulsive status epilepticus, but revealed focal dysfunction, justifying further investigations.EEG plays a crucial role in these patients, allowing investigating the presence of focal or diffuse cerebral dysfunction. This is particularly helpful for Covid-19 patients in the ICU, where the neurological examination is challenging by the severity of the respiratory illness.","language":"eng","note":"ISSN: 2467-981X (Electronic)\ncontainer-title: Clinical neurophysiology practice\nDOI: 10.1016/j.cnp.2020.05.004\nPMID: 32607454","number-of-pages":"125–129","title":"Focal EEG changes indicating critical illness associated cerebral microbleeds in a Covid-19 patient.","volume":"5","author":[{"family":"De Stefano","given":"Pia"},{"family":"Nencha","given":"Umberto"},{"family":"De Stefano","given":"Ludovico"},{"family":"Mégevand","given":"Pierre"},{"family":"Seeck","given":"Margitta"}],"issued":{"date-parts":[["2020"]]}}}],"schema":"https://github.com/citation-style-language/schema/raw/master/csl-citation.json"} </w:instrText>
            </w:r>
            <w:r w:rsidR="000529E7">
              <w:rPr>
                <w:rFonts w:ascii="Times New Roman" w:eastAsia="Times New Roman" w:hAnsi="Times New Roman" w:cs="Times New Roman"/>
                <w:color w:val="000000"/>
                <w:sz w:val="13"/>
                <w:szCs w:val="13"/>
                <w:lang w:eastAsia="de-DE"/>
              </w:rPr>
              <w:fldChar w:fldCharType="separate"/>
            </w:r>
            <w:r w:rsidR="000529E7" w:rsidRPr="000529E7">
              <w:rPr>
                <w:rFonts w:ascii="Times New Roman" w:hAnsi="Times New Roman" w:cs="Times New Roman"/>
                <w:color w:val="000000"/>
                <w:sz w:val="13"/>
                <w:vertAlign w:val="superscript"/>
                <w:lang w:val="de-DE"/>
              </w:rPr>
              <w:t>11</w:t>
            </w:r>
            <w:r w:rsidR="000529E7">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3BC3422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4CCD02F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FF7BE2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E46EB1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1B65E4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56</w:t>
            </w:r>
          </w:p>
        </w:tc>
        <w:tc>
          <w:tcPr>
            <w:tcW w:w="0" w:type="auto"/>
            <w:tcBorders>
              <w:top w:val="nil"/>
              <w:left w:val="nil"/>
              <w:bottom w:val="nil"/>
              <w:right w:val="nil"/>
            </w:tcBorders>
            <w:shd w:val="clear" w:color="auto" w:fill="auto"/>
            <w:noWrap/>
            <w:vAlign w:val="center"/>
            <w:hideMark/>
          </w:tcPr>
          <w:p w14:paraId="5C4B79B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568A77D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1923683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E60DC6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4F4CCA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E5D514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D040CB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F68FFA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A25946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EBACCE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F533DB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7745F9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684EFB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4ED059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3FD327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3862F0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DC664E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F18B69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221E18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8D5B8B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A1BC84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6E015E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DB60AC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52037CEE" w14:textId="77777777" w:rsidTr="00C336CB">
        <w:trPr>
          <w:trHeight w:val="320"/>
        </w:trPr>
        <w:tc>
          <w:tcPr>
            <w:tcW w:w="0" w:type="auto"/>
            <w:tcBorders>
              <w:top w:val="nil"/>
              <w:left w:val="nil"/>
              <w:bottom w:val="nil"/>
              <w:right w:val="nil"/>
            </w:tcBorders>
            <w:shd w:val="clear" w:color="auto" w:fill="auto"/>
            <w:noWrap/>
            <w:vAlign w:val="center"/>
            <w:hideMark/>
          </w:tcPr>
          <w:p w14:paraId="5374B7E8" w14:textId="1BF2EF2F"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Dixon et al. </w:t>
            </w:r>
            <w:r w:rsidR="000529E7">
              <w:rPr>
                <w:rFonts w:ascii="Times New Roman" w:eastAsia="Times New Roman" w:hAnsi="Times New Roman" w:cs="Times New Roman"/>
                <w:color w:val="000000"/>
                <w:sz w:val="13"/>
                <w:szCs w:val="13"/>
                <w:lang w:eastAsia="de-DE"/>
              </w:rPr>
              <w:fldChar w:fldCharType="begin"/>
            </w:r>
            <w:r w:rsidR="000529E7">
              <w:rPr>
                <w:rFonts w:ascii="Times New Roman" w:eastAsia="Times New Roman" w:hAnsi="Times New Roman" w:cs="Times New Roman"/>
                <w:color w:val="000000"/>
                <w:sz w:val="13"/>
                <w:szCs w:val="13"/>
                <w:lang w:eastAsia="de-DE"/>
              </w:rPr>
              <w:instrText xml:space="preserve"> ADDIN ZOTERO_ITEM CSL_CITATION {"citationID":"L3Axx5vX","properties":{"formattedCitation":"\\super 12\\nosupersub{}","plainCitation":"12","noteIndex":0},"citationItems":[{"id":188,"uris":["http://zotero.org/users/local/4rfnQu81/items/22HHSYB6"],"uri":["http://zotero.org/users/local/4rfnQu81/items/22HHSYB6"],"itemData":{"id":188,"type":"article-journal","abstract":"OBJECTIVE: To describe a novel case of coronavirus disease 2019 (COVID-19)-associated acute necrotizing encephalopathy (ANE) in a patient with aplastic anemia where there was early brain stem-predominant involvement. METHODS: Evaluation of cause, clinical symptoms, and treatment response. RESULTS: A 59-year-old woman with a background of transfusion-dependent aplastic anemia presented with seizures and reduced level of consciousness 10 days after the onset of subjective fever, cough, and headache. Nasopharyngeal swab testing for severe acute respiratory syndrome coronavirus (SARS-CoV-2) was positive, and CT during admission demonstrated diffuse swelling of the brain stem. She required intubation and mechanical ventilation for airway protection, given her reduced level of consciousness. The patient's condition deteriorated, and MRI on day 6 demonstrated worsening brain stem swelling with symmetrical hemorrhagic lesions in the brain stem, amygdalae, putamina, and thalamic nuclei. Appearances were consistent with hemorrhagic ANE with early brain stem involvement. The patient showed no response to steroid therapy and died on the eighth day of admission. CONCLUSIONS: COVID-19 may be associated with an acute severe encephalopathy and, in this case, was considered most likely to represent an immune-mediated phenomenon. As the pandemic continues, we anticipate that the spectrum of neurologic presentation will broaden. It will be important to delineate the full clinical range of emergent COVID-19-related neurologic disease.","container-title":"Neurology(R) neuroimmunology &amp; neuroinflammation","DOI":"10.1212/NXI.0000000000000789","ISSN":"2332-7812 (Electronic)","issue":"5","language":"eng","note":"PMID: 32457227","title":"COVID-19-related acute necrotizing encephalopathy with brain stem involvement in a patient with aplastic anemia.","volume":"7","author":[{"family":"Dixon","given":"Luke"},{"family":"Varley","given":"James"},{"family":"Gontsarova","given":"Anastassia"},{"family":"Mallon","given":"Dermot"},{"family":"Tona","given":"Francesca"},{"family":"Muir","given":"David"},{"family":"Luqmani","given":"Asad"},{"family":"Jenkins","given":"Ieuan Harri"},{"family":"Nicholas","given":"Richard"},{"family":"Jones","given":"Brynmor"},{"family":"Everitt","given":"Alex"}],"issued":{"date-parts":[["2020",9]]}}}],"schema":"https://github.com/citation-style-language/schema/raw/master/csl-citation.json"} </w:instrText>
            </w:r>
            <w:r w:rsidR="000529E7">
              <w:rPr>
                <w:rFonts w:ascii="Times New Roman" w:eastAsia="Times New Roman" w:hAnsi="Times New Roman" w:cs="Times New Roman"/>
                <w:color w:val="000000"/>
                <w:sz w:val="13"/>
                <w:szCs w:val="13"/>
                <w:lang w:eastAsia="de-DE"/>
              </w:rPr>
              <w:fldChar w:fldCharType="separate"/>
            </w:r>
            <w:r w:rsidR="000529E7" w:rsidRPr="000529E7">
              <w:rPr>
                <w:rFonts w:ascii="Times New Roman" w:hAnsi="Times New Roman" w:cs="Times New Roman"/>
                <w:color w:val="000000"/>
                <w:sz w:val="13"/>
                <w:vertAlign w:val="superscript"/>
                <w:lang w:val="de-DE"/>
              </w:rPr>
              <w:t>12</w:t>
            </w:r>
            <w:r w:rsidR="000529E7">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3FC0313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4B2E224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3E65A0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717D27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7F32ED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59</w:t>
            </w:r>
          </w:p>
        </w:tc>
        <w:tc>
          <w:tcPr>
            <w:tcW w:w="0" w:type="auto"/>
            <w:tcBorders>
              <w:top w:val="nil"/>
              <w:left w:val="nil"/>
              <w:bottom w:val="nil"/>
              <w:right w:val="nil"/>
            </w:tcBorders>
            <w:shd w:val="clear" w:color="auto" w:fill="auto"/>
            <w:noWrap/>
            <w:vAlign w:val="center"/>
            <w:hideMark/>
          </w:tcPr>
          <w:p w14:paraId="775822A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0B363DE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Uncomplicated</w:t>
            </w:r>
          </w:p>
        </w:tc>
        <w:tc>
          <w:tcPr>
            <w:tcW w:w="0" w:type="auto"/>
            <w:tcBorders>
              <w:top w:val="nil"/>
              <w:left w:val="nil"/>
              <w:bottom w:val="nil"/>
              <w:right w:val="nil"/>
            </w:tcBorders>
            <w:shd w:val="clear" w:color="auto" w:fill="auto"/>
            <w:noWrap/>
            <w:vAlign w:val="center"/>
            <w:hideMark/>
          </w:tcPr>
          <w:p w14:paraId="3AF0B91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FF9140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182094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4AA3C7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1DD5A2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3D825E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6327D9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A09A52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F11E76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CE7BF5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1A3A9B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EB1E3B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97992F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808AD8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FF6080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C9EFBA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A28892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022C7C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1570DF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3C05D9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5D2D93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7D262A9E" w14:textId="77777777" w:rsidTr="00C336CB">
        <w:trPr>
          <w:trHeight w:val="320"/>
        </w:trPr>
        <w:tc>
          <w:tcPr>
            <w:tcW w:w="0" w:type="auto"/>
            <w:tcBorders>
              <w:top w:val="nil"/>
              <w:left w:val="nil"/>
              <w:bottom w:val="nil"/>
              <w:right w:val="nil"/>
            </w:tcBorders>
            <w:shd w:val="clear" w:color="auto" w:fill="auto"/>
            <w:noWrap/>
            <w:vAlign w:val="center"/>
            <w:hideMark/>
          </w:tcPr>
          <w:p w14:paraId="6ADC928C" w14:textId="11D77E16"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Franceschi et al. </w:t>
            </w:r>
            <w:r w:rsidR="000529E7">
              <w:rPr>
                <w:rFonts w:ascii="Times New Roman" w:eastAsia="Times New Roman" w:hAnsi="Times New Roman" w:cs="Times New Roman"/>
                <w:color w:val="000000"/>
                <w:sz w:val="13"/>
                <w:szCs w:val="13"/>
                <w:lang w:eastAsia="de-DE"/>
              </w:rPr>
              <w:fldChar w:fldCharType="begin"/>
            </w:r>
            <w:r w:rsidR="000529E7">
              <w:rPr>
                <w:rFonts w:ascii="Times New Roman" w:eastAsia="Times New Roman" w:hAnsi="Times New Roman" w:cs="Times New Roman"/>
                <w:color w:val="000000"/>
                <w:sz w:val="13"/>
                <w:szCs w:val="13"/>
                <w:lang w:eastAsia="de-DE"/>
              </w:rPr>
              <w:instrText xml:space="preserve"> ADDIN ZOTERO_ITEM CSL_CITATION {"citationID":"fsR6cs1C","properties":{"formattedCitation":"\\super 13\\nosupersub{}","plainCitation":"13","noteIndex":0},"citationItems":[{"id":84,"uris":["http://zotero.org/users/local/4rfnQu81/items/TE75UUPP"],"uri":["http://zotero.org/users/local/4rfnQu81/items/TE75UUPP"],"itemData":{"id":84,"type":"article-journal","abstract":"We describe 2 hospitalized patients with confirmed coronavirus 19 (COVID-19) infection in whom brain imaging showed hemorrhagic posterior reversible encephalopathy syndrome, and we discuss the possible reasons for these findings and their relationship to the infection.","container-title":"AJNR. American journal of neuroradiology","DOI":"10.3174/ajnr.A6595","ISSN":"1936-959X (Electronic)","issue":"7","language":"eng","note":"PMID: 32439646","page":"1173–1176","title":"Hemorrhagic Posterior Reversible Encephalopathy Syndrome as a Manifestation of COVID-19 Infection.","volume":"41","author":[{"family":"Franceschi","given":"A M"},{"family":"Ahmed","given":"O"},{"family":"Giliberto","given":"L"},{"family":"Castillo","given":"M"}],"issued":{"date-parts":[["2020",7]]}}}],"schema":"https://github.com/citation-style-language/schema/raw/master/csl-citation.json"} </w:instrText>
            </w:r>
            <w:r w:rsidR="000529E7">
              <w:rPr>
                <w:rFonts w:ascii="Times New Roman" w:eastAsia="Times New Roman" w:hAnsi="Times New Roman" w:cs="Times New Roman"/>
                <w:color w:val="000000"/>
                <w:sz w:val="13"/>
                <w:szCs w:val="13"/>
                <w:lang w:eastAsia="de-DE"/>
              </w:rPr>
              <w:fldChar w:fldCharType="separate"/>
            </w:r>
            <w:r w:rsidR="000529E7" w:rsidRPr="000529E7">
              <w:rPr>
                <w:rFonts w:ascii="Times New Roman" w:hAnsi="Times New Roman" w:cs="Times New Roman"/>
                <w:color w:val="000000"/>
                <w:sz w:val="13"/>
                <w:vertAlign w:val="superscript"/>
                <w:lang w:val="de-DE"/>
              </w:rPr>
              <w:t>13</w:t>
            </w:r>
            <w:r w:rsidR="000529E7">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2AEEE7C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2A3E1B0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BA09B3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B6E55A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2D7EF7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48</w:t>
            </w:r>
          </w:p>
        </w:tc>
        <w:tc>
          <w:tcPr>
            <w:tcW w:w="0" w:type="auto"/>
            <w:tcBorders>
              <w:top w:val="nil"/>
              <w:left w:val="nil"/>
              <w:bottom w:val="nil"/>
              <w:right w:val="nil"/>
            </w:tcBorders>
            <w:shd w:val="clear" w:color="auto" w:fill="auto"/>
            <w:noWrap/>
            <w:vAlign w:val="center"/>
            <w:hideMark/>
          </w:tcPr>
          <w:p w14:paraId="110B346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75E60A6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152A6AC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74F789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ED2DF7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AD406E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3191BD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54CE33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1B66B7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E46431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888E1C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649BAD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591FBD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C7714E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F6921B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F3EDD1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9B5A2F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8389F5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F45916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AE7796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D2A2B2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5C762B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D2312F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4B66DDA9" w14:textId="77777777" w:rsidTr="00C336CB">
        <w:trPr>
          <w:trHeight w:val="320"/>
        </w:trPr>
        <w:tc>
          <w:tcPr>
            <w:tcW w:w="0" w:type="auto"/>
            <w:tcBorders>
              <w:top w:val="nil"/>
              <w:left w:val="nil"/>
              <w:bottom w:val="nil"/>
              <w:right w:val="nil"/>
            </w:tcBorders>
            <w:shd w:val="clear" w:color="auto" w:fill="auto"/>
            <w:noWrap/>
            <w:vAlign w:val="center"/>
            <w:hideMark/>
          </w:tcPr>
          <w:p w14:paraId="3C3DEFAD" w14:textId="6E78330B" w:rsidR="000529E7" w:rsidRPr="00C336CB" w:rsidRDefault="00C336CB" w:rsidP="00C336CB">
            <w:pPr>
              <w:rPr>
                <w:rFonts w:ascii="Times New Roman" w:hAnsi="Times New Roman" w:cs="Times New Roman"/>
                <w:color w:val="000000"/>
                <w:sz w:val="13"/>
                <w:vertAlign w:val="superscript"/>
                <w:lang w:val="de-DE"/>
              </w:rPr>
            </w:pPr>
            <w:r w:rsidRPr="00C336CB">
              <w:rPr>
                <w:rFonts w:ascii="Times New Roman" w:eastAsia="Times New Roman" w:hAnsi="Times New Roman" w:cs="Times New Roman"/>
                <w:color w:val="000000"/>
                <w:sz w:val="13"/>
                <w:szCs w:val="13"/>
                <w:lang w:eastAsia="de-DE"/>
              </w:rPr>
              <w:t xml:space="preserve">Franceschi et al. </w:t>
            </w:r>
            <w:r w:rsidR="000529E7">
              <w:rPr>
                <w:rFonts w:ascii="Times New Roman" w:eastAsia="Times New Roman" w:hAnsi="Times New Roman" w:cs="Times New Roman"/>
                <w:color w:val="000000"/>
                <w:sz w:val="13"/>
                <w:szCs w:val="13"/>
                <w:lang w:eastAsia="de-DE"/>
              </w:rPr>
              <w:fldChar w:fldCharType="begin"/>
            </w:r>
            <w:r w:rsidR="000529E7">
              <w:rPr>
                <w:rFonts w:ascii="Times New Roman" w:eastAsia="Times New Roman" w:hAnsi="Times New Roman" w:cs="Times New Roman"/>
                <w:color w:val="000000"/>
                <w:sz w:val="13"/>
                <w:szCs w:val="13"/>
                <w:lang w:eastAsia="de-DE"/>
              </w:rPr>
              <w:instrText xml:space="preserve"> ADDIN ZOTERO_ITEM CSL_CITATION {"citationID":"ZOGa7GUy","properties":{"formattedCitation":"\\super 13\\nosupersub{}","plainCitation":"13","noteIndex":0},"citationItems":[{"id":84,"uris":["http://zotero.org/users/local/4rfnQu81/items/TE75UUPP"],"uri":["http://zotero.org/users/local/4rfnQu81/items/TE75UUPP"],"itemData":{"id":84,"type":"article-journal","abstract":"We describe 2 hospitalized patients with confirmed coronavirus 19 (COVID-19) infection in whom brain imaging showed hemorrhagic posterior reversible encephalopathy syndrome, and we discuss the possible reasons for these findings and their relationship to the infection.","container-title":"AJNR. American journal of neuroradiology","DOI":"10.3174/ajnr.A6595","ISSN":"1936-959X (Electronic)","issue":"7","language":"eng","note":"PMID: 32439646","page":"1173–1176","title":"Hemorrhagic Posterior Reversible Encephalopathy Syndrome as a Manifestation of COVID-19 Infection.","volume":"41","author":[{"family":"Franceschi","given":"A M"},{"family":"Ahmed","given":"O"},{"family":"Giliberto","given":"L"},{"family":"Castillo","given":"M"}],"issued":{"date-parts":[["2020",7]]}}}],"schema":"https://github.com/citation-style-language/schema/raw/master/csl-citation.json"} </w:instrText>
            </w:r>
            <w:r w:rsidR="000529E7">
              <w:rPr>
                <w:rFonts w:ascii="Times New Roman" w:eastAsia="Times New Roman" w:hAnsi="Times New Roman" w:cs="Times New Roman"/>
                <w:color w:val="000000"/>
                <w:sz w:val="13"/>
                <w:szCs w:val="13"/>
                <w:lang w:eastAsia="de-DE"/>
              </w:rPr>
              <w:fldChar w:fldCharType="separate"/>
            </w:r>
            <w:r w:rsidR="000529E7" w:rsidRPr="000529E7">
              <w:rPr>
                <w:rFonts w:ascii="Times New Roman" w:hAnsi="Times New Roman" w:cs="Times New Roman"/>
                <w:color w:val="000000"/>
                <w:sz w:val="13"/>
                <w:vertAlign w:val="superscript"/>
                <w:lang w:val="de-DE"/>
              </w:rPr>
              <w:t>13</w:t>
            </w:r>
            <w:r w:rsidR="000529E7">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2F20987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1086C8A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DCD89D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12CB8C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BBA217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67</w:t>
            </w:r>
          </w:p>
        </w:tc>
        <w:tc>
          <w:tcPr>
            <w:tcW w:w="0" w:type="auto"/>
            <w:tcBorders>
              <w:top w:val="nil"/>
              <w:left w:val="nil"/>
              <w:bottom w:val="nil"/>
              <w:right w:val="nil"/>
            </w:tcBorders>
            <w:shd w:val="clear" w:color="auto" w:fill="auto"/>
            <w:noWrap/>
            <w:vAlign w:val="center"/>
            <w:hideMark/>
          </w:tcPr>
          <w:p w14:paraId="0EA34E8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2A07E7D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Uncomplicated</w:t>
            </w:r>
          </w:p>
        </w:tc>
        <w:tc>
          <w:tcPr>
            <w:tcW w:w="0" w:type="auto"/>
            <w:tcBorders>
              <w:top w:val="nil"/>
              <w:left w:val="nil"/>
              <w:bottom w:val="nil"/>
              <w:right w:val="nil"/>
            </w:tcBorders>
            <w:shd w:val="clear" w:color="auto" w:fill="auto"/>
            <w:noWrap/>
            <w:vAlign w:val="center"/>
            <w:hideMark/>
          </w:tcPr>
          <w:p w14:paraId="0C55B3F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EE5DF8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3BDEF6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89516D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A99C4D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8224A2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684457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B68B02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A3AB98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9EC8FC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3551C1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324554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3E98A3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167797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9AC2AF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CF82F6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840343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21F6D0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AA5AF7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148EB2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572143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098C634E" w14:textId="77777777" w:rsidTr="00C336CB">
        <w:trPr>
          <w:trHeight w:val="320"/>
        </w:trPr>
        <w:tc>
          <w:tcPr>
            <w:tcW w:w="0" w:type="auto"/>
            <w:tcBorders>
              <w:top w:val="nil"/>
              <w:left w:val="nil"/>
              <w:bottom w:val="nil"/>
              <w:right w:val="nil"/>
            </w:tcBorders>
            <w:shd w:val="clear" w:color="auto" w:fill="auto"/>
            <w:noWrap/>
            <w:vAlign w:val="center"/>
            <w:hideMark/>
          </w:tcPr>
          <w:p w14:paraId="44528B10" w14:textId="7AEE48BE"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Ghani et al. </w:t>
            </w:r>
            <w:r w:rsidR="000529E7">
              <w:rPr>
                <w:rFonts w:ascii="Times New Roman" w:eastAsia="Times New Roman" w:hAnsi="Times New Roman" w:cs="Times New Roman"/>
                <w:color w:val="000000"/>
                <w:sz w:val="13"/>
                <w:szCs w:val="13"/>
                <w:lang w:eastAsia="de-DE"/>
              </w:rPr>
              <w:fldChar w:fldCharType="begin"/>
            </w:r>
            <w:r w:rsidR="000529E7">
              <w:rPr>
                <w:rFonts w:ascii="Times New Roman" w:eastAsia="Times New Roman" w:hAnsi="Times New Roman" w:cs="Times New Roman"/>
                <w:color w:val="000000"/>
                <w:sz w:val="13"/>
                <w:szCs w:val="13"/>
                <w:lang w:eastAsia="de-DE"/>
              </w:rPr>
              <w:instrText xml:space="preserve"> ADDIN ZOTERO_ITEM CSL_CITATION {"citationID":"YlrcWTD6","properties":{"formattedCitation":"\\super 14\\nosupersub{}","plainCitation":"14","noteIndex":0},"citationItems":[{"id":217,"uris":["http://zotero.org/users/local/4rfnQu81/items/9NIDPAFH"],"uri":["http://zotero.org/users/local/4rfnQu81/items/9NIDPAFH"],"itemData":{"id":217,"type":"article-journal","abstract":"SARS-CoV2 has led to a global pandemic affecting almost 3 million people in almost over 3 months. Various clinical presentations have been reported so far and no definite therapy is established. Anticoagulation is recommended by several experts to address the potential prothrombotic complications from COVID-19, but its safety and regimen need further clinical trials and safety and efficacy profile. Here, we present three cases of intracranial hemorrhage in three critically ill patients with COVID-19 and discuss their course in relation to various regimens of anticoagulation used.","container-title":"Journal of neurovirology","DOI":"10.1007/s13365-020-00869-6","ISSN":"1538-2443 (Electronic)","issue":"4","language":"eng","note":"PMID: 32572835","page":"602–604","title":"Intracranial hemorrhage complicating anticoagulant prophylactic therapy in three hospitalized COVID-19 patients.","volume":"26","author":[{"family":"Ghani","given":"Muhammad Usman"},{"family":"Kumar","given":"Mukesh"},{"family":"Ghani","given":"Usman"},{"family":"Sonia","given":"Fnu"},{"family":"Abbas","given":"Syed Ali"}],"issued":{"date-parts":[["2020",8]]}}}],"schema":"https://github.com/citation-style-language/schema/raw/master/csl-citation.json"} </w:instrText>
            </w:r>
            <w:r w:rsidR="000529E7">
              <w:rPr>
                <w:rFonts w:ascii="Times New Roman" w:eastAsia="Times New Roman" w:hAnsi="Times New Roman" w:cs="Times New Roman"/>
                <w:color w:val="000000"/>
                <w:sz w:val="13"/>
                <w:szCs w:val="13"/>
                <w:lang w:eastAsia="de-DE"/>
              </w:rPr>
              <w:fldChar w:fldCharType="separate"/>
            </w:r>
            <w:r w:rsidR="000529E7" w:rsidRPr="000529E7">
              <w:rPr>
                <w:rFonts w:ascii="Times New Roman" w:hAnsi="Times New Roman" w:cs="Times New Roman"/>
                <w:color w:val="000000"/>
                <w:sz w:val="13"/>
                <w:vertAlign w:val="superscript"/>
                <w:lang w:val="de-DE"/>
              </w:rPr>
              <w:t>14</w:t>
            </w:r>
            <w:r w:rsidR="000529E7">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2DADC98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7F18AB9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07B832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D62DA6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461E25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59</w:t>
            </w:r>
          </w:p>
        </w:tc>
        <w:tc>
          <w:tcPr>
            <w:tcW w:w="0" w:type="auto"/>
            <w:tcBorders>
              <w:top w:val="nil"/>
              <w:left w:val="nil"/>
              <w:bottom w:val="nil"/>
              <w:right w:val="nil"/>
            </w:tcBorders>
            <w:shd w:val="clear" w:color="auto" w:fill="auto"/>
            <w:noWrap/>
            <w:vAlign w:val="center"/>
            <w:hideMark/>
          </w:tcPr>
          <w:p w14:paraId="1A35B2B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1915374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5DF54AE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647195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0A3285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E50863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23A1E0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A9E22B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FA7C21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1CCE75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CD47E7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F03ED4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4B36F8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2CB402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A67E58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EDDB7C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ADFFC3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DDAFF2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57A5D3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2570B1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050E10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9D5661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ABA620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4F934BF6" w14:textId="77777777" w:rsidTr="00C336CB">
        <w:trPr>
          <w:trHeight w:val="320"/>
        </w:trPr>
        <w:tc>
          <w:tcPr>
            <w:tcW w:w="0" w:type="auto"/>
            <w:tcBorders>
              <w:top w:val="nil"/>
              <w:left w:val="nil"/>
              <w:bottom w:val="nil"/>
              <w:right w:val="nil"/>
            </w:tcBorders>
            <w:shd w:val="clear" w:color="auto" w:fill="auto"/>
            <w:noWrap/>
            <w:vAlign w:val="center"/>
            <w:hideMark/>
          </w:tcPr>
          <w:p w14:paraId="69CA66A6" w14:textId="152D7CAA"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Ghani et al. </w:t>
            </w:r>
            <w:r w:rsidR="000529E7">
              <w:rPr>
                <w:rFonts w:ascii="Times New Roman" w:eastAsia="Times New Roman" w:hAnsi="Times New Roman" w:cs="Times New Roman"/>
                <w:color w:val="000000"/>
                <w:sz w:val="13"/>
                <w:szCs w:val="13"/>
                <w:lang w:eastAsia="de-DE"/>
              </w:rPr>
              <w:fldChar w:fldCharType="begin"/>
            </w:r>
            <w:r w:rsidR="000529E7">
              <w:rPr>
                <w:rFonts w:ascii="Times New Roman" w:eastAsia="Times New Roman" w:hAnsi="Times New Roman" w:cs="Times New Roman"/>
                <w:color w:val="000000"/>
                <w:sz w:val="13"/>
                <w:szCs w:val="13"/>
                <w:lang w:eastAsia="de-DE"/>
              </w:rPr>
              <w:instrText xml:space="preserve"> ADDIN ZOTERO_ITEM CSL_CITATION {"citationID":"d7J6njAT","properties":{"formattedCitation":"\\super 14\\nosupersub{}","plainCitation":"14","noteIndex":0},"citationItems":[{"id":217,"uris":["http://zotero.org/users/local/4rfnQu81/items/9NIDPAFH"],"uri":["http://zotero.org/users/local/4rfnQu81/items/9NIDPAFH"],"itemData":{"id":217,"type":"article-journal","abstract":"SARS-CoV2 has led to a global pandemic affecting almost 3 million people in almost over 3 months. Various clinical presentations have been reported so far and no definite therapy is established. Anticoagulation is recommended by several experts to address the potential prothrombotic complications from COVID-19, but its safety and regimen need further clinical trials and safety and efficacy profile. Here, we present three cases of intracranial hemorrhage in three critically ill patients with COVID-19 and discuss their course in relation to various regimens of anticoagulation used.","container-title":"Journal of neurovirology","DOI":"10.1007/s13365-020-00869-6","ISSN":"1538-2443 (Electronic)","issue":"4","language":"eng","note":"PMID: 32572835","page":"602–604","title":"Intracranial hemorrhage complicating anticoagulant prophylactic therapy in three hospitalized COVID-19 patients.","volume":"26","author":[{"family":"Ghani","given":"Muhammad Usman"},{"family":"Kumar","given":"Mukesh"},{"family":"Ghani","given":"Usman"},{"family":"Sonia","given":"Fnu"},{"family":"Abbas","given":"Syed Ali"}],"issued":{"date-parts":[["2020",8]]}}}],"schema":"https://github.com/citation-style-language/schema/raw/master/csl-citation.json"} </w:instrText>
            </w:r>
            <w:r w:rsidR="000529E7">
              <w:rPr>
                <w:rFonts w:ascii="Times New Roman" w:eastAsia="Times New Roman" w:hAnsi="Times New Roman" w:cs="Times New Roman"/>
                <w:color w:val="000000"/>
                <w:sz w:val="13"/>
                <w:szCs w:val="13"/>
                <w:lang w:eastAsia="de-DE"/>
              </w:rPr>
              <w:fldChar w:fldCharType="separate"/>
            </w:r>
            <w:r w:rsidR="000529E7" w:rsidRPr="000529E7">
              <w:rPr>
                <w:rFonts w:ascii="Times New Roman" w:hAnsi="Times New Roman" w:cs="Times New Roman"/>
                <w:color w:val="000000"/>
                <w:sz w:val="13"/>
                <w:vertAlign w:val="superscript"/>
                <w:lang w:val="de-DE"/>
              </w:rPr>
              <w:t>14</w:t>
            </w:r>
            <w:r w:rsidR="000529E7">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14D0DAC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2B66C4E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09D01B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2570ED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0E012C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61</w:t>
            </w:r>
          </w:p>
        </w:tc>
        <w:tc>
          <w:tcPr>
            <w:tcW w:w="0" w:type="auto"/>
            <w:tcBorders>
              <w:top w:val="nil"/>
              <w:left w:val="nil"/>
              <w:bottom w:val="nil"/>
              <w:right w:val="nil"/>
            </w:tcBorders>
            <w:shd w:val="clear" w:color="auto" w:fill="auto"/>
            <w:noWrap/>
            <w:vAlign w:val="center"/>
            <w:hideMark/>
          </w:tcPr>
          <w:p w14:paraId="4F3D7EF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053C8A5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7E93354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0705F5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206E91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E2A139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F3F679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E75177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D13133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FD5FC8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F459A1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C343B8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ADD144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E5F6DB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E00C67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EC9C96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E401AB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C4D64B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01D03C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427314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E9A42E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F05E7D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09C256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3DB23342" w14:textId="77777777" w:rsidTr="00C336CB">
        <w:trPr>
          <w:trHeight w:val="320"/>
        </w:trPr>
        <w:tc>
          <w:tcPr>
            <w:tcW w:w="0" w:type="auto"/>
            <w:tcBorders>
              <w:top w:val="nil"/>
              <w:left w:val="nil"/>
              <w:bottom w:val="nil"/>
              <w:right w:val="nil"/>
            </w:tcBorders>
            <w:shd w:val="clear" w:color="auto" w:fill="auto"/>
            <w:noWrap/>
            <w:vAlign w:val="center"/>
            <w:hideMark/>
          </w:tcPr>
          <w:p w14:paraId="60D5F887" w14:textId="0D2F8470"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Ghani et al. </w:t>
            </w:r>
            <w:r w:rsidR="000529E7">
              <w:rPr>
                <w:rFonts w:ascii="Times New Roman" w:eastAsia="Times New Roman" w:hAnsi="Times New Roman" w:cs="Times New Roman"/>
                <w:color w:val="000000"/>
                <w:sz w:val="13"/>
                <w:szCs w:val="13"/>
                <w:lang w:eastAsia="de-DE"/>
              </w:rPr>
              <w:fldChar w:fldCharType="begin"/>
            </w:r>
            <w:r w:rsidR="000529E7">
              <w:rPr>
                <w:rFonts w:ascii="Times New Roman" w:eastAsia="Times New Roman" w:hAnsi="Times New Roman" w:cs="Times New Roman"/>
                <w:color w:val="000000"/>
                <w:sz w:val="13"/>
                <w:szCs w:val="13"/>
                <w:lang w:eastAsia="de-DE"/>
              </w:rPr>
              <w:instrText xml:space="preserve"> ADDIN ZOTERO_ITEM CSL_CITATION {"citationID":"EruX3Kv8","properties":{"formattedCitation":"\\super 14\\nosupersub{}","plainCitation":"14","noteIndex":0},"citationItems":[{"id":217,"uris":["http://zotero.org/users/local/4rfnQu81/items/9NIDPAFH"],"uri":["http://zotero.org/users/local/4rfnQu81/items/9NIDPAFH"],"itemData":{"id":217,"type":"article-journal","abstract":"SARS-CoV2 has led to a global pandemic affecting almost 3 million people in almost over 3 months. Various clinical presentations have been reported so far and no definite therapy is established. Anticoagulation is recommended by several experts to address the potential prothrombotic complications from COVID-19, but its safety and regimen need further clinical trials and safety and efficacy profile. Here, we present three cases of intracranial hemorrhage in three critically ill patients with COVID-19 and discuss their course in relation to various regimens of anticoagulation used.","container-title":"Journal of neurovirology","DOI":"10.1007/s13365-020-00869-6","ISSN":"1538-2443 (Electronic)","issue":"4","language":"eng","note":"PMID: 32572835","page":"602–604","title":"Intracranial hemorrhage complicating anticoagulant prophylactic therapy in three hospitalized COVID-19 patients.","volume":"26","author":[{"family":"Ghani","given":"Muhammad Usman"},{"family":"Kumar","given":"Mukesh"},{"family":"Ghani","given":"Usman"},{"family":"Sonia","given":"Fnu"},{"family":"Abbas","given":"Syed Ali"}],"issued":{"date-parts":[["2020",8]]}}}],"schema":"https://github.com/citation-style-language/schema/raw/master/csl-citation.json"} </w:instrText>
            </w:r>
            <w:r w:rsidR="000529E7">
              <w:rPr>
                <w:rFonts w:ascii="Times New Roman" w:eastAsia="Times New Roman" w:hAnsi="Times New Roman" w:cs="Times New Roman"/>
                <w:color w:val="000000"/>
                <w:sz w:val="13"/>
                <w:szCs w:val="13"/>
                <w:lang w:eastAsia="de-DE"/>
              </w:rPr>
              <w:fldChar w:fldCharType="separate"/>
            </w:r>
            <w:r w:rsidR="000529E7" w:rsidRPr="000529E7">
              <w:rPr>
                <w:rFonts w:ascii="Times New Roman" w:hAnsi="Times New Roman" w:cs="Times New Roman"/>
                <w:color w:val="000000"/>
                <w:sz w:val="13"/>
                <w:vertAlign w:val="superscript"/>
                <w:lang w:val="de-DE"/>
              </w:rPr>
              <w:t>14</w:t>
            </w:r>
            <w:r w:rsidR="000529E7">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0BAC3CE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69A9D01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2A128E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BABB76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5A7EA2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59</w:t>
            </w:r>
          </w:p>
        </w:tc>
        <w:tc>
          <w:tcPr>
            <w:tcW w:w="0" w:type="auto"/>
            <w:tcBorders>
              <w:top w:val="nil"/>
              <w:left w:val="nil"/>
              <w:bottom w:val="nil"/>
              <w:right w:val="nil"/>
            </w:tcBorders>
            <w:shd w:val="clear" w:color="auto" w:fill="auto"/>
            <w:noWrap/>
            <w:vAlign w:val="center"/>
            <w:hideMark/>
          </w:tcPr>
          <w:p w14:paraId="05CF684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00E08B3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414A916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4B8177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56A3F9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816AFF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969795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E60B39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ED61EC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768060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CBCCBF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1E9486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D8C4FF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AE3C24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EA186B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5BB1C8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641A03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EAD050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EA782E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B551D0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B4751D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A1C473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9E561E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5006A234" w14:textId="77777777" w:rsidTr="00C336CB">
        <w:trPr>
          <w:trHeight w:val="320"/>
        </w:trPr>
        <w:tc>
          <w:tcPr>
            <w:tcW w:w="0" w:type="auto"/>
            <w:tcBorders>
              <w:top w:val="nil"/>
              <w:left w:val="nil"/>
              <w:bottom w:val="nil"/>
              <w:right w:val="nil"/>
            </w:tcBorders>
            <w:shd w:val="clear" w:color="auto" w:fill="auto"/>
            <w:noWrap/>
            <w:vAlign w:val="center"/>
            <w:hideMark/>
          </w:tcPr>
          <w:p w14:paraId="786535AD" w14:textId="191834CC"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Ghosh et al. </w:t>
            </w:r>
            <w:r w:rsidR="000529E7">
              <w:rPr>
                <w:rFonts w:ascii="Times New Roman" w:eastAsia="Times New Roman" w:hAnsi="Times New Roman" w:cs="Times New Roman"/>
                <w:color w:val="000000"/>
                <w:sz w:val="13"/>
                <w:szCs w:val="13"/>
                <w:lang w:eastAsia="de-DE"/>
              </w:rPr>
              <w:fldChar w:fldCharType="begin"/>
            </w:r>
            <w:r w:rsidR="000529E7">
              <w:rPr>
                <w:rFonts w:ascii="Times New Roman" w:eastAsia="Times New Roman" w:hAnsi="Times New Roman" w:cs="Times New Roman"/>
                <w:color w:val="000000"/>
                <w:sz w:val="13"/>
                <w:szCs w:val="13"/>
                <w:lang w:eastAsia="de-DE"/>
              </w:rPr>
              <w:instrText xml:space="preserve"> ADDIN ZOTERO_ITEM CSL_CITATION {"citationID":"yhWm5nJI","properties":{"formattedCitation":"\\super 14\\nosupersub{}","plainCitation":"14","noteIndex":0},"citationItems":[{"id":217,"uris":["http://zotero.org/users/local/4rfnQu81/items/9NIDPAFH"],"uri":["http://zotero.org/users/local/4rfnQu81/items/9NIDPAFH"],"itemData":{"id":217,"type":"article-journal","abstract":"SARS-CoV2 has led to a global pandemic affecting almost 3 million people in almost over 3 months. Various clinical presentations have been reported so far and no definite therapy is established. Anticoagulation is recommended by several experts to address the potential prothrombotic complications from COVID-19, but its safety and regimen need further clinical trials and safety and efficacy profile. Here, we present three cases of intracranial hemorrhage in three critically ill patients with COVID-19 and discuss their course in relation to various regimens of anticoagulation used.","container-title":"Journal of neurovirology","DOI":"10.1007/s13365-020-00869-6","ISSN":"1538-2443 (Electronic)","issue":"4","language":"eng","note":"PMID: 32572835","page":"602–604","title":"Intracranial hemorrhage complicating anticoagulant prophylactic therapy in three hospitalized COVID-19 patients.","volume":"26","author":[{"family":"Ghani","given":"Muhammad Usman"},{"family":"Kumar","given":"Mukesh"},{"family":"Ghani","given":"Usman"},{"family":"Sonia","given":"Fnu"},{"family":"Abbas","given":"Syed Ali"}],"issued":{"date-parts":[["2020",8]]}}}],"schema":"https://github.com/citation-style-language/schema/raw/master/csl-citation.json"} </w:instrText>
            </w:r>
            <w:r w:rsidR="000529E7">
              <w:rPr>
                <w:rFonts w:ascii="Times New Roman" w:eastAsia="Times New Roman" w:hAnsi="Times New Roman" w:cs="Times New Roman"/>
                <w:color w:val="000000"/>
                <w:sz w:val="13"/>
                <w:szCs w:val="13"/>
                <w:lang w:eastAsia="de-DE"/>
              </w:rPr>
              <w:fldChar w:fldCharType="separate"/>
            </w:r>
            <w:r w:rsidR="000529E7" w:rsidRPr="000529E7">
              <w:rPr>
                <w:rFonts w:ascii="Times New Roman" w:hAnsi="Times New Roman" w:cs="Times New Roman"/>
                <w:color w:val="000000"/>
                <w:sz w:val="13"/>
                <w:vertAlign w:val="superscript"/>
                <w:lang w:val="de-DE"/>
              </w:rPr>
              <w:t>14</w:t>
            </w:r>
            <w:r w:rsidR="000529E7">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5DC931B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0A85541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7F692B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967A3C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8035B6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44</w:t>
            </w:r>
          </w:p>
        </w:tc>
        <w:tc>
          <w:tcPr>
            <w:tcW w:w="0" w:type="auto"/>
            <w:tcBorders>
              <w:top w:val="nil"/>
              <w:left w:val="nil"/>
              <w:bottom w:val="nil"/>
              <w:right w:val="nil"/>
            </w:tcBorders>
            <w:shd w:val="clear" w:color="auto" w:fill="auto"/>
            <w:noWrap/>
            <w:vAlign w:val="center"/>
            <w:hideMark/>
          </w:tcPr>
          <w:p w14:paraId="63D5F17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219CDF1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Uncomplicated</w:t>
            </w:r>
          </w:p>
        </w:tc>
        <w:tc>
          <w:tcPr>
            <w:tcW w:w="0" w:type="auto"/>
            <w:tcBorders>
              <w:top w:val="nil"/>
              <w:left w:val="nil"/>
              <w:bottom w:val="nil"/>
              <w:right w:val="nil"/>
            </w:tcBorders>
            <w:shd w:val="clear" w:color="auto" w:fill="auto"/>
            <w:noWrap/>
            <w:vAlign w:val="center"/>
            <w:hideMark/>
          </w:tcPr>
          <w:p w14:paraId="1A2710B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7B8AEB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312AC5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E698E7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28B72C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ABF066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D65432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0CF2A8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69F6FA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D8C62F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DBD882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B1C312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395A25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E81DE4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738978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119815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A84A18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D35A29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DAB6B6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443FB2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F06CB9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4C060D9C" w14:textId="77777777" w:rsidTr="00C336CB">
        <w:trPr>
          <w:trHeight w:val="320"/>
        </w:trPr>
        <w:tc>
          <w:tcPr>
            <w:tcW w:w="0" w:type="auto"/>
            <w:tcBorders>
              <w:top w:val="nil"/>
              <w:left w:val="nil"/>
              <w:bottom w:val="nil"/>
              <w:right w:val="nil"/>
            </w:tcBorders>
            <w:shd w:val="clear" w:color="auto" w:fill="auto"/>
            <w:noWrap/>
            <w:vAlign w:val="center"/>
            <w:hideMark/>
          </w:tcPr>
          <w:p w14:paraId="29897C09" w14:textId="3EC6CFB9"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Gogia et al. </w:t>
            </w:r>
            <w:r w:rsidR="000529E7">
              <w:rPr>
                <w:rFonts w:ascii="Times New Roman" w:eastAsia="Times New Roman" w:hAnsi="Times New Roman" w:cs="Times New Roman"/>
                <w:color w:val="000000"/>
                <w:sz w:val="13"/>
                <w:szCs w:val="13"/>
                <w:lang w:eastAsia="de-DE"/>
              </w:rPr>
              <w:fldChar w:fldCharType="begin"/>
            </w:r>
            <w:r w:rsidR="000529E7">
              <w:rPr>
                <w:rFonts w:ascii="Times New Roman" w:eastAsia="Times New Roman" w:hAnsi="Times New Roman" w:cs="Times New Roman"/>
                <w:color w:val="000000"/>
                <w:sz w:val="13"/>
                <w:szCs w:val="13"/>
                <w:lang w:eastAsia="de-DE"/>
              </w:rPr>
              <w:instrText xml:space="preserve"> ADDIN ZOTERO_ITEM CSL_CITATION {"citationID":"r8mtfTKg","properties":{"formattedCitation":"\\super 15\\nosupersub{}","plainCitation":"15","noteIndex":0},"citationItems":[{"id":3243,"uris":["http://zotero.org/users/local/4rfnQu81/items/GNX78HEE"],"uri":["http://zotero.org/users/local/4rfnQu81/items/GNX78HEE"],"itemData":{"id":3243,"type":"article-journal","abstract":"Some of the reported neurological manifestations of COVID-19 are encephalopathy,  headache, ischemic, hemorrhagic stroke, Miller Fisher syndrome, cranial neuropathies, and Guillain-Barre syndrome. We report a case of a 75-year-old COVID-19 patient with life-threatening intracranial hemorrhage. The initial labs on admission showed D-dimer of 1.04 µg/mL, which increased to 3.74 µg/mL the next day, PT/INR of 13.7 seconds/1.2, aPTT of 22 seconds, fibrinogen of 386 mg/dL, WBC of 9.71 K/µL, Hgb of 14.1 g/dL, platelet of 315 x 10(3)/µL, LDH of 965 U/L, and CRP of 35.2 mg/dL. In addition to aspirin and Plavix (clopidogrel), the patient was started on a therapeutic dose of enoxaparin due to elevated D-dimer. A few days later, the patient had a change in the neurological examination. The CT of the head without contrast revealed a left-sided acute subdural hematoma, causing left to right midline shift, a large left temporal intraparenchymal, and subarachnoid hemorrhage with transtentorial herniation, leading to death. This case illustrates a combination of factors including hypertension, triple therapy (aspirin, clopidogrel, and enoxaparin), and underlying coagulopathy due to COVID-19, which contributed to the life-threatening intracranial hemorrhage in this patient. Therefore, this raises a concern about the safety of starting these patients preemptively on a therapeutic dose of anticoagulation.","container-title":"Cureus","DOI":"10.7759/cureus.10159","ISSN":"2168-8184 (Print)","issue":"8","language":"eng","note":"PMID: 32884879","page":"e10159","title":"Intracranial Hemorrhage in a Patient With COVID-19: Possible Explanations and  Considerations.","volume":"12","author":[{"family":"Gogia","given":"Bhanu"},{"family":"Fang","given":"Xiang"},{"family":"Rai","given":"Prashant"}],"issued":{"date-parts":[["2020",8]]}}}],"schema":"https://github.com/citation-style-language/schema/raw/master/csl-citation.json"} </w:instrText>
            </w:r>
            <w:r w:rsidR="000529E7">
              <w:rPr>
                <w:rFonts w:ascii="Times New Roman" w:eastAsia="Times New Roman" w:hAnsi="Times New Roman" w:cs="Times New Roman"/>
                <w:color w:val="000000"/>
                <w:sz w:val="13"/>
                <w:szCs w:val="13"/>
                <w:lang w:eastAsia="de-DE"/>
              </w:rPr>
              <w:fldChar w:fldCharType="separate"/>
            </w:r>
            <w:r w:rsidR="000529E7" w:rsidRPr="000529E7">
              <w:rPr>
                <w:rFonts w:ascii="Times New Roman" w:hAnsi="Times New Roman" w:cs="Times New Roman"/>
                <w:color w:val="000000"/>
                <w:sz w:val="13"/>
                <w:vertAlign w:val="superscript"/>
                <w:lang w:val="de-DE"/>
              </w:rPr>
              <w:t>15</w:t>
            </w:r>
            <w:r w:rsidR="000529E7">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1A68224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27F738A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24485F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9D3B91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A70337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75</w:t>
            </w:r>
          </w:p>
        </w:tc>
        <w:tc>
          <w:tcPr>
            <w:tcW w:w="0" w:type="auto"/>
            <w:tcBorders>
              <w:top w:val="nil"/>
              <w:left w:val="nil"/>
              <w:bottom w:val="nil"/>
              <w:right w:val="nil"/>
            </w:tcBorders>
            <w:shd w:val="clear" w:color="auto" w:fill="auto"/>
            <w:noWrap/>
            <w:vAlign w:val="center"/>
            <w:hideMark/>
          </w:tcPr>
          <w:p w14:paraId="7D7452F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729EF68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5763EF4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FE07CF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226222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BFA4FD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CD60B7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A822FE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F74141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332D30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FD5866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D91403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8590C9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B44E6C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D57408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753771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80DD8A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63E145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69FA0A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4E400D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A00F27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162F8E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CF393C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60A02334" w14:textId="77777777" w:rsidTr="00C336CB">
        <w:trPr>
          <w:trHeight w:val="320"/>
        </w:trPr>
        <w:tc>
          <w:tcPr>
            <w:tcW w:w="0" w:type="auto"/>
            <w:tcBorders>
              <w:top w:val="nil"/>
              <w:left w:val="nil"/>
              <w:bottom w:val="nil"/>
              <w:right w:val="nil"/>
            </w:tcBorders>
            <w:shd w:val="clear" w:color="auto" w:fill="auto"/>
            <w:noWrap/>
            <w:vAlign w:val="center"/>
            <w:hideMark/>
          </w:tcPr>
          <w:p w14:paraId="1F44F16A" w14:textId="6176E628"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Goncalves et al. </w:t>
            </w:r>
            <w:r w:rsidR="000529E7">
              <w:rPr>
                <w:rFonts w:ascii="Times New Roman" w:eastAsia="Times New Roman" w:hAnsi="Times New Roman" w:cs="Times New Roman"/>
                <w:color w:val="000000"/>
                <w:sz w:val="13"/>
                <w:szCs w:val="13"/>
                <w:lang w:eastAsia="de-DE"/>
              </w:rPr>
              <w:fldChar w:fldCharType="begin"/>
            </w:r>
            <w:r w:rsidR="000529E7">
              <w:rPr>
                <w:rFonts w:ascii="Times New Roman" w:eastAsia="Times New Roman" w:hAnsi="Times New Roman" w:cs="Times New Roman"/>
                <w:color w:val="000000"/>
                <w:sz w:val="13"/>
                <w:szCs w:val="13"/>
                <w:lang w:eastAsia="de-DE"/>
              </w:rPr>
              <w:instrText xml:space="preserve"> ADDIN ZOTERO_ITEM CSL_CITATION {"citationID":"paKBRwrU","properties":{"formattedCitation":"\\super 16\\nosupersub{}","plainCitation":"16","noteIndex":0},"citationItems":[{"id":99,"uris":["http://zotero.org/users/local/4rfnQu81/items/NMUAZ36G"],"uri":["http://zotero.org/users/local/4rfnQu81/items/NMUAZ36G"],"itemData":{"id":99,"type":"article-journal","container-title":"Neurocritical care","DOI":"10.1007/s12028-020-01078-z","ISSN":"1556-0961 (Electronic)","issue":"2","language":"eng","note":"PMID: 32789603","page":"587–590","title":"Thrombotic and Hemorrhagic Neurological Complications in Critically Ill COVID-19 Patients.","volume":"33","author":[{"family":"Gonçalves","given":"Bruno"},{"family":"Righy","given":"Cassia"},{"family":"Kurtz","given":"Pedro"}],"issued":{"date-parts":[["2020",10]]}}}],"schema":"https://github.com/citation-style-language/schema/raw/master/csl-citation.json"} </w:instrText>
            </w:r>
            <w:r w:rsidR="000529E7">
              <w:rPr>
                <w:rFonts w:ascii="Times New Roman" w:eastAsia="Times New Roman" w:hAnsi="Times New Roman" w:cs="Times New Roman"/>
                <w:color w:val="000000"/>
                <w:sz w:val="13"/>
                <w:szCs w:val="13"/>
                <w:lang w:eastAsia="de-DE"/>
              </w:rPr>
              <w:fldChar w:fldCharType="separate"/>
            </w:r>
            <w:r w:rsidR="000529E7" w:rsidRPr="000529E7">
              <w:rPr>
                <w:rFonts w:ascii="Times New Roman" w:hAnsi="Times New Roman" w:cs="Times New Roman"/>
                <w:color w:val="000000"/>
                <w:sz w:val="13"/>
                <w:vertAlign w:val="superscript"/>
                <w:lang w:val="de-DE"/>
              </w:rPr>
              <w:t>16</w:t>
            </w:r>
            <w:r w:rsidR="000529E7">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32EE3DE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78C8E0C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D648F7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5E1435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DE047E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56</w:t>
            </w:r>
          </w:p>
        </w:tc>
        <w:tc>
          <w:tcPr>
            <w:tcW w:w="0" w:type="auto"/>
            <w:tcBorders>
              <w:top w:val="nil"/>
              <w:left w:val="nil"/>
              <w:bottom w:val="nil"/>
              <w:right w:val="nil"/>
            </w:tcBorders>
            <w:shd w:val="clear" w:color="auto" w:fill="auto"/>
            <w:noWrap/>
            <w:vAlign w:val="center"/>
            <w:hideMark/>
          </w:tcPr>
          <w:p w14:paraId="30333BB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3886AA4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21404F7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B35A65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43AC86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E26A96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C3D9EA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2FD068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FF10F7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DEA08B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65D3AD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1A6DBD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94D88F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E8D851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6369C4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815B44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3B2881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31CF62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91C682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1D3564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3A307D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0718A2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ECE682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0582FE38" w14:textId="77777777" w:rsidTr="00C336CB">
        <w:trPr>
          <w:trHeight w:val="320"/>
        </w:trPr>
        <w:tc>
          <w:tcPr>
            <w:tcW w:w="0" w:type="auto"/>
            <w:tcBorders>
              <w:top w:val="nil"/>
              <w:left w:val="nil"/>
              <w:bottom w:val="nil"/>
              <w:right w:val="nil"/>
            </w:tcBorders>
            <w:shd w:val="clear" w:color="auto" w:fill="auto"/>
            <w:noWrap/>
            <w:vAlign w:val="center"/>
            <w:hideMark/>
          </w:tcPr>
          <w:p w14:paraId="7A737427" w14:textId="3E2BE4B6"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Goncalves et al. </w:t>
            </w:r>
            <w:r w:rsidR="000529E7">
              <w:rPr>
                <w:rFonts w:ascii="Times New Roman" w:eastAsia="Times New Roman" w:hAnsi="Times New Roman" w:cs="Times New Roman"/>
                <w:color w:val="000000"/>
                <w:sz w:val="13"/>
                <w:szCs w:val="13"/>
                <w:lang w:eastAsia="de-DE"/>
              </w:rPr>
              <w:fldChar w:fldCharType="begin"/>
            </w:r>
            <w:r w:rsidR="000529E7">
              <w:rPr>
                <w:rFonts w:ascii="Times New Roman" w:eastAsia="Times New Roman" w:hAnsi="Times New Roman" w:cs="Times New Roman"/>
                <w:color w:val="000000"/>
                <w:sz w:val="13"/>
                <w:szCs w:val="13"/>
                <w:lang w:eastAsia="de-DE"/>
              </w:rPr>
              <w:instrText xml:space="preserve"> ADDIN ZOTERO_ITEM CSL_CITATION {"citationID":"COuo2Wop","properties":{"formattedCitation":"\\super 16\\nosupersub{}","plainCitation":"16","noteIndex":0},"citationItems":[{"id":99,"uris":["http://zotero.org/users/local/4rfnQu81/items/NMUAZ36G"],"uri":["http://zotero.org/users/local/4rfnQu81/items/NMUAZ36G"],"itemData":{"id":99,"type":"article-journal","container-title":"Neurocritical care","DOI":"10.1007/s12028-020-01078-z","ISSN":"1556-0961 (Electronic)","issue":"2","language":"eng","note":"PMID: 32789603","page":"587–590","title":"Thrombotic and Hemorrhagic Neurological Complications in Critically Ill COVID-19 Patients.","volume":"33","author":[{"family":"Gonçalves","given":"Bruno"},{"family":"Righy","given":"Cassia"},{"family":"Kurtz","given":"Pedro"}],"issued":{"date-parts":[["2020",10]]}}}],"schema":"https://github.com/citation-style-language/schema/raw/master/csl-citation.json"} </w:instrText>
            </w:r>
            <w:r w:rsidR="000529E7">
              <w:rPr>
                <w:rFonts w:ascii="Times New Roman" w:eastAsia="Times New Roman" w:hAnsi="Times New Roman" w:cs="Times New Roman"/>
                <w:color w:val="000000"/>
                <w:sz w:val="13"/>
                <w:szCs w:val="13"/>
                <w:lang w:eastAsia="de-DE"/>
              </w:rPr>
              <w:fldChar w:fldCharType="separate"/>
            </w:r>
            <w:r w:rsidR="000529E7" w:rsidRPr="000529E7">
              <w:rPr>
                <w:rFonts w:ascii="Times New Roman" w:hAnsi="Times New Roman" w:cs="Times New Roman"/>
                <w:color w:val="000000"/>
                <w:sz w:val="13"/>
                <w:vertAlign w:val="superscript"/>
                <w:lang w:val="de-DE"/>
              </w:rPr>
              <w:t>16</w:t>
            </w:r>
            <w:r w:rsidR="000529E7">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3A3BFC7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2A507A0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C67405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01CB1A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7D868B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40</w:t>
            </w:r>
          </w:p>
        </w:tc>
        <w:tc>
          <w:tcPr>
            <w:tcW w:w="0" w:type="auto"/>
            <w:tcBorders>
              <w:top w:val="nil"/>
              <w:left w:val="nil"/>
              <w:bottom w:val="nil"/>
              <w:right w:val="nil"/>
            </w:tcBorders>
            <w:shd w:val="clear" w:color="auto" w:fill="auto"/>
            <w:noWrap/>
            <w:vAlign w:val="center"/>
            <w:hideMark/>
          </w:tcPr>
          <w:p w14:paraId="44357FB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5372079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58992F5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7B9615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DD8067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37C13F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A16A86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247175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C57269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671564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508150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21B4D3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C6EF0A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71237A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0EE6A2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56BE5B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7594FA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851011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6A3F09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A52199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AAC80E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6DB2AC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1064D2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0AB94C11" w14:textId="77777777" w:rsidTr="00C336CB">
        <w:trPr>
          <w:trHeight w:val="320"/>
        </w:trPr>
        <w:tc>
          <w:tcPr>
            <w:tcW w:w="0" w:type="auto"/>
            <w:tcBorders>
              <w:top w:val="nil"/>
              <w:left w:val="nil"/>
              <w:bottom w:val="nil"/>
              <w:right w:val="nil"/>
            </w:tcBorders>
            <w:shd w:val="clear" w:color="auto" w:fill="auto"/>
            <w:noWrap/>
            <w:vAlign w:val="center"/>
            <w:hideMark/>
          </w:tcPr>
          <w:p w14:paraId="0D5F5B93" w14:textId="29C319EF"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Goncalves et al. </w:t>
            </w:r>
            <w:r w:rsidR="000529E7">
              <w:rPr>
                <w:rFonts w:ascii="Times New Roman" w:eastAsia="Times New Roman" w:hAnsi="Times New Roman" w:cs="Times New Roman"/>
                <w:color w:val="000000"/>
                <w:sz w:val="13"/>
                <w:szCs w:val="13"/>
                <w:lang w:eastAsia="de-DE"/>
              </w:rPr>
              <w:fldChar w:fldCharType="begin"/>
            </w:r>
            <w:r w:rsidR="000529E7">
              <w:rPr>
                <w:rFonts w:ascii="Times New Roman" w:eastAsia="Times New Roman" w:hAnsi="Times New Roman" w:cs="Times New Roman"/>
                <w:color w:val="000000"/>
                <w:sz w:val="13"/>
                <w:szCs w:val="13"/>
                <w:lang w:eastAsia="de-DE"/>
              </w:rPr>
              <w:instrText xml:space="preserve"> ADDIN ZOTERO_ITEM CSL_CITATION {"citationID":"nvgKHJH3","properties":{"formattedCitation":"\\super 16\\nosupersub{}","plainCitation":"16","noteIndex":0},"citationItems":[{"id":99,"uris":["http://zotero.org/users/local/4rfnQu81/items/NMUAZ36G"],"uri":["http://zotero.org/users/local/4rfnQu81/items/NMUAZ36G"],"itemData":{"id":99,"type":"article-journal","container-title":"Neurocritical care","DOI":"10.1007/s12028-020-01078-z","ISSN":"1556-0961 (Electronic)","issue":"2","language":"eng","note":"PMID: 32789603","page":"587–590","title":"Thrombotic and Hemorrhagic Neurological Complications in Critically Ill COVID-19 Patients.","volume":"33","author":[{"family":"Gonçalves","given":"Bruno"},{"family":"Righy","given":"Cassia"},{"family":"Kurtz","given":"Pedro"}],"issued":{"date-parts":[["2020",10]]}}}],"schema":"https://github.com/citation-style-language/schema/raw/master/csl-citation.json"} </w:instrText>
            </w:r>
            <w:r w:rsidR="000529E7">
              <w:rPr>
                <w:rFonts w:ascii="Times New Roman" w:eastAsia="Times New Roman" w:hAnsi="Times New Roman" w:cs="Times New Roman"/>
                <w:color w:val="000000"/>
                <w:sz w:val="13"/>
                <w:szCs w:val="13"/>
                <w:lang w:eastAsia="de-DE"/>
              </w:rPr>
              <w:fldChar w:fldCharType="separate"/>
            </w:r>
            <w:r w:rsidR="000529E7" w:rsidRPr="000529E7">
              <w:rPr>
                <w:rFonts w:ascii="Times New Roman" w:hAnsi="Times New Roman" w:cs="Times New Roman"/>
                <w:color w:val="000000"/>
                <w:sz w:val="13"/>
                <w:vertAlign w:val="superscript"/>
                <w:lang w:val="de-DE"/>
              </w:rPr>
              <w:t>16</w:t>
            </w:r>
            <w:r w:rsidR="000529E7">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1E48D6D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6B66D80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37ABA9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656283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251F0F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60</w:t>
            </w:r>
          </w:p>
        </w:tc>
        <w:tc>
          <w:tcPr>
            <w:tcW w:w="0" w:type="auto"/>
            <w:tcBorders>
              <w:top w:val="nil"/>
              <w:left w:val="nil"/>
              <w:bottom w:val="nil"/>
              <w:right w:val="nil"/>
            </w:tcBorders>
            <w:shd w:val="clear" w:color="auto" w:fill="auto"/>
            <w:noWrap/>
            <w:vAlign w:val="center"/>
            <w:hideMark/>
          </w:tcPr>
          <w:p w14:paraId="7C96210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267ECA1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691B8A3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092C3E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972B09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FEE514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4AFD26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8277E3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E2160F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192AA6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2A0A2E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796AEE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AC0506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ED91E5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A6EB04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36E3DA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73F4A8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21A7B8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D02A2A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926664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12EF04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0C409D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BBA4C3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3BC878E0" w14:textId="77777777" w:rsidTr="00C336CB">
        <w:trPr>
          <w:trHeight w:val="320"/>
        </w:trPr>
        <w:tc>
          <w:tcPr>
            <w:tcW w:w="0" w:type="auto"/>
            <w:tcBorders>
              <w:top w:val="nil"/>
              <w:left w:val="nil"/>
              <w:bottom w:val="nil"/>
              <w:right w:val="nil"/>
            </w:tcBorders>
            <w:shd w:val="clear" w:color="auto" w:fill="auto"/>
            <w:noWrap/>
            <w:vAlign w:val="center"/>
            <w:hideMark/>
          </w:tcPr>
          <w:p w14:paraId="01A7D98F" w14:textId="291F8874"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Gupta et al. </w:t>
            </w:r>
            <w:r w:rsidR="000529E7">
              <w:rPr>
                <w:rFonts w:ascii="Times New Roman" w:eastAsia="Times New Roman" w:hAnsi="Times New Roman" w:cs="Times New Roman"/>
                <w:color w:val="000000"/>
                <w:sz w:val="13"/>
                <w:szCs w:val="13"/>
                <w:lang w:eastAsia="de-DE"/>
              </w:rPr>
              <w:fldChar w:fldCharType="begin"/>
            </w:r>
            <w:r w:rsidR="000529E7">
              <w:rPr>
                <w:rFonts w:ascii="Times New Roman" w:eastAsia="Times New Roman" w:hAnsi="Times New Roman" w:cs="Times New Roman"/>
                <w:color w:val="000000"/>
                <w:sz w:val="13"/>
                <w:szCs w:val="13"/>
                <w:lang w:eastAsia="de-DE"/>
              </w:rPr>
              <w:instrText xml:space="preserve"> ADDIN ZOTERO_ITEM CSL_CITATION {"citationID":"wuQs2nmn","properties":{"formattedCitation":"\\super 17\\nosupersub{}","plainCitation":"17","noteIndex":0},"citationItems":[{"id":3133,"uris":["http://zotero.org/users/local/4rfnQu81/items/NWT45VLQ"],"uri":["http://zotero.org/users/local/4rfnQu81/items/NWT45VLQ"],"itemData":{"id":3133,"type":"article-journal","abstract":"Neurologic complications of COVID-19 infection have been recently described and  include dizziness, headache, loss of taste and smell, stroke, and encephalopathy. Brain MRI in these patients have revealed various findings including ischemia, hemorrhage, inflammation, and demyelination. In this article, we report a case of critical illness-associated cerebral microbleeds identified on MRI in a patient with severe COVID-19 infection and discuss the potential etiologies of these neuroimaging findings.","container-title":"Clinical imaging","DOI":"10.1016/j.clinimag.2020.08.029","ISSN":"1873-4499 (Electronic)","language":"eng","note":"PMID: 32911311\npublisher-place: United States","page":"239-241","title":"Critical illness-associated cerebral microbleeds in severe COVID-19 infection.","volume":"68","author":[{"family":"Gupta","given":"Nidhi Azad"},{"family":"Lien","given":"Conway"},{"family":"Iv","given":"Michael"}],"issued":{"date-parts":[["2020",8]]}}}],"schema":"https://github.com/citation-style-language/schema/raw/master/csl-citation.json"} </w:instrText>
            </w:r>
            <w:r w:rsidR="000529E7">
              <w:rPr>
                <w:rFonts w:ascii="Times New Roman" w:eastAsia="Times New Roman" w:hAnsi="Times New Roman" w:cs="Times New Roman"/>
                <w:color w:val="000000"/>
                <w:sz w:val="13"/>
                <w:szCs w:val="13"/>
                <w:lang w:eastAsia="de-DE"/>
              </w:rPr>
              <w:fldChar w:fldCharType="separate"/>
            </w:r>
            <w:r w:rsidR="000529E7" w:rsidRPr="000529E7">
              <w:rPr>
                <w:rFonts w:ascii="Times New Roman" w:hAnsi="Times New Roman" w:cs="Times New Roman"/>
                <w:color w:val="000000"/>
                <w:sz w:val="13"/>
                <w:vertAlign w:val="superscript"/>
                <w:lang w:val="de-DE"/>
              </w:rPr>
              <w:t>17</w:t>
            </w:r>
            <w:r w:rsidR="000529E7">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1F51EAF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24AFB90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45B43B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C4080D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19C1F7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45</w:t>
            </w:r>
          </w:p>
        </w:tc>
        <w:tc>
          <w:tcPr>
            <w:tcW w:w="0" w:type="auto"/>
            <w:tcBorders>
              <w:top w:val="nil"/>
              <w:left w:val="nil"/>
              <w:bottom w:val="nil"/>
              <w:right w:val="nil"/>
            </w:tcBorders>
            <w:shd w:val="clear" w:color="auto" w:fill="auto"/>
            <w:noWrap/>
            <w:vAlign w:val="center"/>
            <w:hideMark/>
          </w:tcPr>
          <w:p w14:paraId="2D6F3E5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1FB6847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3804974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32D6F8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11BEF2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7B34B1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455997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2ED1C5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D65BCC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3070EF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0D5949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CB11DB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1CD172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3FDD7D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C4E631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63D541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9CF8FE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AD08EC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E0307F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5548E9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7EF931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CE9ED4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541CC6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r>
      <w:tr w:rsidR="00CE05CD" w:rsidRPr="00C336CB" w14:paraId="08E6AD3A" w14:textId="77777777" w:rsidTr="00C336CB">
        <w:trPr>
          <w:trHeight w:val="320"/>
        </w:trPr>
        <w:tc>
          <w:tcPr>
            <w:tcW w:w="0" w:type="auto"/>
            <w:tcBorders>
              <w:top w:val="nil"/>
              <w:left w:val="nil"/>
              <w:bottom w:val="nil"/>
              <w:right w:val="nil"/>
            </w:tcBorders>
            <w:shd w:val="clear" w:color="auto" w:fill="auto"/>
            <w:noWrap/>
            <w:vAlign w:val="center"/>
            <w:hideMark/>
          </w:tcPr>
          <w:p w14:paraId="14D1FBB9" w14:textId="081775C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Harrogate et al. </w:t>
            </w:r>
            <w:r w:rsidR="000529E7">
              <w:rPr>
                <w:rFonts w:ascii="Times New Roman" w:eastAsia="Times New Roman" w:hAnsi="Times New Roman" w:cs="Times New Roman"/>
                <w:color w:val="000000"/>
                <w:sz w:val="13"/>
                <w:szCs w:val="13"/>
                <w:lang w:eastAsia="de-DE"/>
              </w:rPr>
              <w:fldChar w:fldCharType="begin"/>
            </w:r>
            <w:r w:rsidR="000529E7">
              <w:rPr>
                <w:rFonts w:ascii="Times New Roman" w:eastAsia="Times New Roman" w:hAnsi="Times New Roman" w:cs="Times New Roman"/>
                <w:color w:val="000000"/>
                <w:sz w:val="13"/>
                <w:szCs w:val="13"/>
                <w:lang w:eastAsia="de-DE"/>
              </w:rPr>
              <w:instrText xml:space="preserve"> ADDIN ZOTERO_ITEM CSL_CITATION {"citationID":"nxC04lkS","properties":{"formattedCitation":"\\super 18\\nosupersub{}","plainCitation":"18","noteIndex":0},"citationItems":[{"id":97,"uris":["http://zotero.org/users/local/4rfnQu81/items/2QB67I6Y"],"uri":["http://zotero.org/users/local/4rfnQu81/items/2QB67I6Y"],"itemData":{"id":97,"type":"article-journal","abstract":"Coronavirus disease of 2019 (COVID-19) is associated with hypercoagulopathy, but haemorrhage, including spontaneous intracerebral parenchymal haemorrhage and diffuse petechial cerebral haemorrhage, has also been reported. We present two cases of nonaneurysmal subarachnoid haemorrhage (SAH) in patients with severe COVID-19. Careful review of neuroimaging for haemorrhagic complications of COVID-19 should be undertaken, particularly for those patients receiving enhanced prophylaxis for venous thromboembolism. Although likely to be a marker of severe disease, non-aneurysmal SAH can be associated with favourable outcome.","container-title":"Neuroradiology","DOI":"10.1007/s00234-020-02535-4","ISSN":"1432-1920 (Electronic)","language":"eng","note":"PMID: 32857213","page":"1–4","title":"Non-aneurysmal subarachnoid haemorrhage in COVID-19.","author":[{"family":"Harrogate","given":"Suzanne"},{"family":"Mortimer","given":"Alex"},{"family":"Burrows","given":"Lorna"},{"family":"Fiddes","given":"Barnaby"},{"family":"Thomas","given":"Ian"},{"family":"Rice","given":"Claire M"}],"issued":{"date-parts":[["2020",8]]}}}],"schema":"https://github.com/citation-style-language/schema/raw/master/csl-citation.json"} </w:instrText>
            </w:r>
            <w:r w:rsidR="000529E7">
              <w:rPr>
                <w:rFonts w:ascii="Times New Roman" w:eastAsia="Times New Roman" w:hAnsi="Times New Roman" w:cs="Times New Roman"/>
                <w:color w:val="000000"/>
                <w:sz w:val="13"/>
                <w:szCs w:val="13"/>
                <w:lang w:eastAsia="de-DE"/>
              </w:rPr>
              <w:fldChar w:fldCharType="separate"/>
            </w:r>
            <w:r w:rsidR="000529E7" w:rsidRPr="000529E7">
              <w:rPr>
                <w:rFonts w:ascii="Times New Roman" w:hAnsi="Times New Roman" w:cs="Times New Roman"/>
                <w:color w:val="000000"/>
                <w:sz w:val="13"/>
                <w:vertAlign w:val="superscript"/>
                <w:lang w:val="de-DE"/>
              </w:rPr>
              <w:t>18</w:t>
            </w:r>
            <w:r w:rsidR="000529E7">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56B2B39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20A050F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14FEF6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29FEEB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C95304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74</w:t>
            </w:r>
          </w:p>
        </w:tc>
        <w:tc>
          <w:tcPr>
            <w:tcW w:w="0" w:type="auto"/>
            <w:tcBorders>
              <w:top w:val="nil"/>
              <w:left w:val="nil"/>
              <w:bottom w:val="nil"/>
              <w:right w:val="nil"/>
            </w:tcBorders>
            <w:shd w:val="clear" w:color="auto" w:fill="auto"/>
            <w:noWrap/>
            <w:vAlign w:val="center"/>
            <w:hideMark/>
          </w:tcPr>
          <w:p w14:paraId="4269F92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7688DD9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7BAA6E3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453AF1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96FECB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5D9755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2772EF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150D76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5653E7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819912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7E1602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C33793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DBED94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DA3250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6D0777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68364E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9C38C0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DDF974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5BC25A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DFCAEA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1C672E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533B19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B317A6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60A040D0" w14:textId="77777777" w:rsidTr="00C336CB">
        <w:trPr>
          <w:trHeight w:val="320"/>
        </w:trPr>
        <w:tc>
          <w:tcPr>
            <w:tcW w:w="0" w:type="auto"/>
            <w:tcBorders>
              <w:top w:val="nil"/>
              <w:left w:val="nil"/>
              <w:bottom w:val="nil"/>
              <w:right w:val="nil"/>
            </w:tcBorders>
            <w:shd w:val="clear" w:color="auto" w:fill="auto"/>
            <w:noWrap/>
            <w:vAlign w:val="center"/>
            <w:hideMark/>
          </w:tcPr>
          <w:p w14:paraId="149035AE" w14:textId="51B1D179"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Harrogate et al. </w:t>
            </w:r>
            <w:r w:rsidR="000529E7">
              <w:rPr>
                <w:rFonts w:ascii="Times New Roman" w:eastAsia="Times New Roman" w:hAnsi="Times New Roman" w:cs="Times New Roman"/>
                <w:color w:val="000000"/>
                <w:sz w:val="13"/>
                <w:szCs w:val="13"/>
                <w:lang w:eastAsia="de-DE"/>
              </w:rPr>
              <w:fldChar w:fldCharType="begin"/>
            </w:r>
            <w:r w:rsidR="000529E7">
              <w:rPr>
                <w:rFonts w:ascii="Times New Roman" w:eastAsia="Times New Roman" w:hAnsi="Times New Roman" w:cs="Times New Roman"/>
                <w:color w:val="000000"/>
                <w:sz w:val="13"/>
                <w:szCs w:val="13"/>
                <w:lang w:eastAsia="de-DE"/>
              </w:rPr>
              <w:instrText xml:space="preserve"> ADDIN ZOTERO_ITEM CSL_CITATION {"citationID":"hFZ272EJ","properties":{"formattedCitation":"\\super 18\\nosupersub{}","plainCitation":"18","noteIndex":0},"citationItems":[{"id":97,"uris":["http://zotero.org/users/local/4rfnQu81/items/2QB67I6Y"],"uri":["http://zotero.org/users/local/4rfnQu81/items/2QB67I6Y"],"itemData":{"id":97,"type":"article-journal","abstract":"Coronavirus disease of 2019 (COVID-19) is associated with hypercoagulopathy, but haemorrhage, including spontaneous intracerebral parenchymal haemorrhage and diffuse petechial cerebral haemorrhage, has also been reported. We present two cases of nonaneurysmal subarachnoid haemorrhage (SAH) in patients with severe COVID-19. Careful review of neuroimaging for haemorrhagic complications of COVID-19 should be undertaken, particularly for those patients receiving enhanced prophylaxis for venous thromboembolism. Although likely to be a marker of severe disease, non-aneurysmal SAH can be associated with favourable outcome.","container-title":"Neuroradiology","DOI":"10.1007/s00234-020-02535-4","ISSN":"1432-1920 (Electronic)","language":"eng","note":"PMID: 32857213","page":"1–4","title":"Non-aneurysmal subarachnoid haemorrhage in COVID-19.","author":[{"family":"Harrogate","given":"Suzanne"},{"family":"Mortimer","given":"Alex"},{"family":"Burrows","given":"Lorna"},{"family":"Fiddes","given":"Barnaby"},{"family":"Thomas","given":"Ian"},{"family":"Rice","given":"Claire M"}],"issued":{"date-parts":[["2020",8]]}}}],"schema":"https://github.com/citation-style-language/schema/raw/master/csl-citation.json"} </w:instrText>
            </w:r>
            <w:r w:rsidR="000529E7">
              <w:rPr>
                <w:rFonts w:ascii="Times New Roman" w:eastAsia="Times New Roman" w:hAnsi="Times New Roman" w:cs="Times New Roman"/>
                <w:color w:val="000000"/>
                <w:sz w:val="13"/>
                <w:szCs w:val="13"/>
                <w:lang w:eastAsia="de-DE"/>
              </w:rPr>
              <w:fldChar w:fldCharType="separate"/>
            </w:r>
            <w:r w:rsidR="000529E7" w:rsidRPr="000529E7">
              <w:rPr>
                <w:rFonts w:ascii="Times New Roman" w:hAnsi="Times New Roman" w:cs="Times New Roman"/>
                <w:color w:val="000000"/>
                <w:sz w:val="13"/>
                <w:vertAlign w:val="superscript"/>
                <w:lang w:val="de-DE"/>
              </w:rPr>
              <w:t>18</w:t>
            </w:r>
            <w:r w:rsidR="000529E7">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7B68231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6517CD4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D2AEA0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2618C4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34E4E7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53</w:t>
            </w:r>
          </w:p>
        </w:tc>
        <w:tc>
          <w:tcPr>
            <w:tcW w:w="0" w:type="auto"/>
            <w:tcBorders>
              <w:top w:val="nil"/>
              <w:left w:val="nil"/>
              <w:bottom w:val="nil"/>
              <w:right w:val="nil"/>
            </w:tcBorders>
            <w:shd w:val="clear" w:color="auto" w:fill="auto"/>
            <w:noWrap/>
            <w:vAlign w:val="center"/>
            <w:hideMark/>
          </w:tcPr>
          <w:p w14:paraId="6E23FAB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755580F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6C416FB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5671C7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FBCC7F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8513A4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F35C24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C6B341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7BA8B2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A7962D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DD1756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79192B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6B7177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90C93B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28B98A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06B982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AB9026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69F363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4F09AC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D6F7FB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9846AC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801041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A07089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72F60627" w14:textId="77777777" w:rsidTr="00C336CB">
        <w:trPr>
          <w:trHeight w:val="320"/>
        </w:trPr>
        <w:tc>
          <w:tcPr>
            <w:tcW w:w="0" w:type="auto"/>
            <w:tcBorders>
              <w:top w:val="nil"/>
              <w:left w:val="nil"/>
              <w:bottom w:val="nil"/>
              <w:right w:val="nil"/>
            </w:tcBorders>
            <w:shd w:val="clear" w:color="auto" w:fill="auto"/>
            <w:noWrap/>
            <w:vAlign w:val="center"/>
            <w:hideMark/>
          </w:tcPr>
          <w:p w14:paraId="7EE34F24" w14:textId="7FD83D4F"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Heman-Ackah et al. </w:t>
            </w:r>
            <w:r w:rsidR="000529E7">
              <w:rPr>
                <w:rFonts w:ascii="Times New Roman" w:eastAsia="Times New Roman" w:hAnsi="Times New Roman" w:cs="Times New Roman"/>
                <w:color w:val="000000"/>
                <w:sz w:val="13"/>
                <w:szCs w:val="13"/>
                <w:lang w:eastAsia="de-DE"/>
              </w:rPr>
              <w:fldChar w:fldCharType="begin"/>
            </w:r>
            <w:r w:rsidR="000529E7">
              <w:rPr>
                <w:rFonts w:ascii="Times New Roman" w:eastAsia="Times New Roman" w:hAnsi="Times New Roman" w:cs="Times New Roman"/>
                <w:color w:val="000000"/>
                <w:sz w:val="13"/>
                <w:szCs w:val="13"/>
                <w:lang w:eastAsia="de-DE"/>
              </w:rPr>
              <w:instrText xml:space="preserve"> ADDIN ZOTERO_ITEM CSL_CITATION {"citationID":"KnM66vbj","properties":{"formattedCitation":"\\super 19\\nosupersub{}","plainCitation":"19","noteIndex":0},"citationItems":[{"id":62,"uris":["http://zotero.org/users/local/4rfnQu81/items/48WQMPGM"],"uri":["http://zotero.org/users/local/4rfnQu81/items/48WQMPGM"],"itemData":{"id":62,"type":"article-journal","abstract":"BACKGROUND AND IMPORTANCE: Extracorporeal membrane oxygenation (ECMO) represents a life-saving therapy in cases of refractory hypoxia and has been utilized in patients suffering from the most severe forms of coronavirus disease 2019 (COVID-19). A strikingly high mortality rate of 94% was described in early reports of patients with COVID-19 transitioned to ECMO. Later case reports and series demonstrating successful recovery from COVID-19 after ECMO have revived interest in this therapeutic modality, including the recent approval of ECMO for COVID-19 patients by the Food and Drug Administration (FDA). Here, we present the first reports of devastating intracranial hemorrhage as a complication of veno-venous (VV) ECMO in two COVID-19 patients. CLINICAL PRESENTATION: We performed a retrospective analysis of 2 cases of devastating intracranial hemorrhage in patients on VV-ECMO for the treatment of COVID-19. Collected data included clinical history, laboratory results, treatment, and review of all available imaging. Both patients demonstrated activated partial thromboplastin times (aPTT) within an appropriate therapeutic range. No risk factors that clearly predicted likelihood of this complication were identified. CONCLUSION: Understanding the complications of ECMO in this cohort and developing therapeutic algorithms to aid in optimal patient selection will be critical in the limited resource setting experienced as a result of global pandemic. We propose the use of head computed tomography (CT) to identify devastating neurological complications as early as possible, aiding in the resource allocation of ECMO machines to the most appropriately selected patients.","container-title":"Neurosurgery","DOI":"10.1093/neuros/nyaa198","ISSN":"15244040","issue":"2","note":"PMID: 32424429","page":"E147–E151","title":"Neurologically devastating intraparenchymal hemorrhage in COVID-19 patients on extracorporeal membrane oxygenation: A case series","volume":"87","author":[{"family":"Heman-Ackah","given":"Sabrina M."},{"family":"Su","given":"You Rong Sophie"},{"family":"Spadola","given":"Michael"},{"family":"Petrov","given":"Dmitriy"},{"family":"Chen","given":"H. Isaac"},{"family":"Schuster","given":"James"},{"family":"Lucas","given":"Timothy"}],"issued":{"date-parts":[["2020"]]}}}],"schema":"https://github.com/citation-style-language/schema/raw/master/csl-citation.json"} </w:instrText>
            </w:r>
            <w:r w:rsidR="000529E7">
              <w:rPr>
                <w:rFonts w:ascii="Times New Roman" w:eastAsia="Times New Roman" w:hAnsi="Times New Roman" w:cs="Times New Roman"/>
                <w:color w:val="000000"/>
                <w:sz w:val="13"/>
                <w:szCs w:val="13"/>
                <w:lang w:eastAsia="de-DE"/>
              </w:rPr>
              <w:fldChar w:fldCharType="separate"/>
            </w:r>
            <w:r w:rsidR="000529E7" w:rsidRPr="000529E7">
              <w:rPr>
                <w:rFonts w:ascii="Times New Roman" w:hAnsi="Times New Roman" w:cs="Times New Roman"/>
                <w:color w:val="000000"/>
                <w:sz w:val="13"/>
                <w:vertAlign w:val="superscript"/>
                <w:lang w:val="de-DE"/>
              </w:rPr>
              <w:t>19</w:t>
            </w:r>
            <w:r w:rsidR="000529E7">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7160014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0B1DDB8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37BC90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EDCA6A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1F13D1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58</w:t>
            </w:r>
          </w:p>
        </w:tc>
        <w:tc>
          <w:tcPr>
            <w:tcW w:w="0" w:type="auto"/>
            <w:tcBorders>
              <w:top w:val="nil"/>
              <w:left w:val="nil"/>
              <w:bottom w:val="nil"/>
              <w:right w:val="nil"/>
            </w:tcBorders>
            <w:shd w:val="clear" w:color="auto" w:fill="auto"/>
            <w:noWrap/>
            <w:vAlign w:val="center"/>
            <w:hideMark/>
          </w:tcPr>
          <w:p w14:paraId="5EC1639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3C164F3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3EEA46D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CABF5E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C0666C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CA2C14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ADDB5D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6957B9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FB2B66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60B8A5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3C81DE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F2FF42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DB6F9E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F9CE19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0862D5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685A51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01B385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F4CACB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B8A6C7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86F69B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538828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3F3589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99A8ED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r>
      <w:tr w:rsidR="00CE05CD" w:rsidRPr="00C336CB" w14:paraId="52B03F9F" w14:textId="77777777" w:rsidTr="00C336CB">
        <w:trPr>
          <w:trHeight w:val="320"/>
        </w:trPr>
        <w:tc>
          <w:tcPr>
            <w:tcW w:w="0" w:type="auto"/>
            <w:tcBorders>
              <w:top w:val="nil"/>
              <w:left w:val="nil"/>
              <w:bottom w:val="nil"/>
              <w:right w:val="nil"/>
            </w:tcBorders>
            <w:shd w:val="clear" w:color="auto" w:fill="auto"/>
            <w:noWrap/>
            <w:vAlign w:val="center"/>
            <w:hideMark/>
          </w:tcPr>
          <w:p w14:paraId="6356EC71" w14:textId="771944D9"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Heman-Ackah et al. </w:t>
            </w:r>
            <w:r w:rsidR="000529E7">
              <w:rPr>
                <w:rFonts w:ascii="Times New Roman" w:eastAsia="Times New Roman" w:hAnsi="Times New Roman" w:cs="Times New Roman"/>
                <w:color w:val="000000"/>
                <w:sz w:val="13"/>
                <w:szCs w:val="13"/>
                <w:lang w:eastAsia="de-DE"/>
              </w:rPr>
              <w:fldChar w:fldCharType="begin"/>
            </w:r>
            <w:r w:rsidR="000529E7">
              <w:rPr>
                <w:rFonts w:ascii="Times New Roman" w:eastAsia="Times New Roman" w:hAnsi="Times New Roman" w:cs="Times New Roman"/>
                <w:color w:val="000000"/>
                <w:sz w:val="13"/>
                <w:szCs w:val="13"/>
                <w:lang w:eastAsia="de-DE"/>
              </w:rPr>
              <w:instrText xml:space="preserve"> ADDIN ZOTERO_ITEM CSL_CITATION {"citationID":"OcCAIRiV","properties":{"formattedCitation":"\\super 19\\nosupersub{}","plainCitation":"19","noteIndex":0},"citationItems":[{"id":62,"uris":["http://zotero.org/users/local/4rfnQu81/items/48WQMPGM"],"uri":["http://zotero.org/users/local/4rfnQu81/items/48WQMPGM"],"itemData":{"id":62,"type":"article-journal","abstract":"BACKGROUND AND IMPORTANCE: Extracorporeal membrane oxygenation (ECMO) represents a life-saving therapy in cases of refractory hypoxia and has been utilized in patients suffering from the most severe forms of coronavirus disease 2019 (COVID-19). A strikingly high mortality rate of 94% was described in early reports of patients with COVID-19 transitioned to ECMO. Later case reports and series demonstrating successful recovery from COVID-19 after ECMO have revived interest in this therapeutic modality, including the recent approval of ECMO for COVID-19 patients by the Food and Drug Administration (FDA). Here, we present the first reports of devastating intracranial hemorrhage as a complication of veno-venous (VV) ECMO in two COVID-19 patients. CLINICAL PRESENTATION: We performed a retrospective analysis of 2 cases of devastating intracranial hemorrhage in patients on VV-ECMO for the treatment of COVID-19. Collected data included clinical history, laboratory results, treatment, and review of all available imaging. Both patients demonstrated activated partial thromboplastin times (aPTT) within an appropriate therapeutic range. No risk factors that clearly predicted likelihood of this complication were identified. CONCLUSION: Understanding the complications of ECMO in this cohort and developing therapeutic algorithms to aid in optimal patient selection will be critical in the limited resource setting experienced as a result of global pandemic. We propose the use of head computed tomography (CT) to identify devastating neurological complications as early as possible, aiding in the resource allocation of ECMO machines to the most appropriately selected patients.","container-title":"Neurosurgery","DOI":"10.1093/neuros/nyaa198","ISSN":"15244040","issue":"2","note":"PMID: 32424429","page":"E147–E151","title":"Neurologically devastating intraparenchymal hemorrhage in COVID-19 patients on extracorporeal membrane oxygenation: A case series","volume":"87","author":[{"family":"Heman-Ackah","given":"Sabrina M."},{"family":"Su","given":"You Rong Sophie"},{"family":"Spadola","given":"Michael"},{"family":"Petrov","given":"Dmitriy"},{"family":"Chen","given":"H. Isaac"},{"family":"Schuster","given":"James"},{"family":"Lucas","given":"Timothy"}],"issued":{"date-parts":[["2020"]]}}}],"schema":"https://github.com/citation-style-language/schema/raw/master/csl-citation.json"} </w:instrText>
            </w:r>
            <w:r w:rsidR="000529E7">
              <w:rPr>
                <w:rFonts w:ascii="Times New Roman" w:eastAsia="Times New Roman" w:hAnsi="Times New Roman" w:cs="Times New Roman"/>
                <w:color w:val="000000"/>
                <w:sz w:val="13"/>
                <w:szCs w:val="13"/>
                <w:lang w:eastAsia="de-DE"/>
              </w:rPr>
              <w:fldChar w:fldCharType="separate"/>
            </w:r>
            <w:r w:rsidR="000529E7" w:rsidRPr="000529E7">
              <w:rPr>
                <w:rFonts w:ascii="Times New Roman" w:hAnsi="Times New Roman" w:cs="Times New Roman"/>
                <w:color w:val="000000"/>
                <w:sz w:val="13"/>
                <w:vertAlign w:val="superscript"/>
                <w:lang w:val="de-DE"/>
              </w:rPr>
              <w:t>19</w:t>
            </w:r>
            <w:r w:rsidR="000529E7">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18B9A90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2595722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149973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F39F5C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D9708D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46</w:t>
            </w:r>
          </w:p>
        </w:tc>
        <w:tc>
          <w:tcPr>
            <w:tcW w:w="0" w:type="auto"/>
            <w:tcBorders>
              <w:top w:val="nil"/>
              <w:left w:val="nil"/>
              <w:bottom w:val="nil"/>
              <w:right w:val="nil"/>
            </w:tcBorders>
            <w:shd w:val="clear" w:color="auto" w:fill="auto"/>
            <w:noWrap/>
            <w:vAlign w:val="center"/>
            <w:hideMark/>
          </w:tcPr>
          <w:p w14:paraId="063B24B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25FCE0B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7146A57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E46111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10B1B0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2192D7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AF312F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A2B5F8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CFD8B8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5DF663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660CBC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A75966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C18182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36474F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FE8739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3A80AE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0B6201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5FA280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8DFC48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B82743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6B206C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6BBBA9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AF3188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r>
      <w:tr w:rsidR="00CE05CD" w:rsidRPr="00C336CB" w14:paraId="0A6412CC" w14:textId="77777777" w:rsidTr="00C336CB">
        <w:trPr>
          <w:trHeight w:val="320"/>
        </w:trPr>
        <w:tc>
          <w:tcPr>
            <w:tcW w:w="0" w:type="auto"/>
            <w:tcBorders>
              <w:top w:val="nil"/>
              <w:left w:val="nil"/>
              <w:bottom w:val="nil"/>
              <w:right w:val="nil"/>
            </w:tcBorders>
            <w:shd w:val="clear" w:color="auto" w:fill="auto"/>
            <w:noWrap/>
            <w:vAlign w:val="center"/>
            <w:hideMark/>
          </w:tcPr>
          <w:p w14:paraId="4E85983E" w14:textId="14834369"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Hemasian et al. </w:t>
            </w:r>
            <w:r w:rsidR="000529E7">
              <w:rPr>
                <w:rFonts w:ascii="Times New Roman" w:eastAsia="Times New Roman" w:hAnsi="Times New Roman" w:cs="Times New Roman"/>
                <w:color w:val="000000"/>
                <w:sz w:val="13"/>
                <w:szCs w:val="13"/>
                <w:lang w:eastAsia="de-DE"/>
              </w:rPr>
              <w:fldChar w:fldCharType="begin"/>
            </w:r>
            <w:r w:rsidR="000529E7">
              <w:rPr>
                <w:rFonts w:ascii="Times New Roman" w:eastAsia="Times New Roman" w:hAnsi="Times New Roman" w:cs="Times New Roman"/>
                <w:color w:val="000000"/>
                <w:sz w:val="13"/>
                <w:szCs w:val="13"/>
                <w:lang w:eastAsia="de-DE"/>
              </w:rPr>
              <w:instrText xml:space="preserve"> ADDIN ZOTERO_ITEM CSL_CITATION {"citationID":"BrOgJMfA","properties":{"formattedCitation":"\\super 20\\nosupersub{}","plainCitation":"20","noteIndex":0},"citationItems":[{"id":44,"uris":["http://zotero.org/users/local/4rfnQu81/items/R4W3JYQH"],"uri":["http://zotero.org/users/local/4rfnQu81/items/R4W3JYQH"],"itemData":{"id":44,"type":"article-journal","container-title":"Revue Neurologique","DOI":"10.1016/j.neurol.2020.04.013","ISSN":"00353787","issue":"6","note":"publisher: Elsevier Masson SAS\nPMID: 32414532","page":"521–523","title":"First case of Covid-19 presented with cerebral venous thrombosis: A rare and dreaded case","volume":"176","author":[{"family":"Hemasian","given":"H."},{"family":"Ansari","given":"B."}],"issued":{"date-parts":[["2020"]]}}}],"schema":"https://github.com/citation-style-language/schema/raw/master/csl-citation.json"} </w:instrText>
            </w:r>
            <w:r w:rsidR="000529E7">
              <w:rPr>
                <w:rFonts w:ascii="Times New Roman" w:eastAsia="Times New Roman" w:hAnsi="Times New Roman" w:cs="Times New Roman"/>
                <w:color w:val="000000"/>
                <w:sz w:val="13"/>
                <w:szCs w:val="13"/>
                <w:lang w:eastAsia="de-DE"/>
              </w:rPr>
              <w:fldChar w:fldCharType="separate"/>
            </w:r>
            <w:r w:rsidR="000529E7" w:rsidRPr="000529E7">
              <w:rPr>
                <w:rFonts w:ascii="Times New Roman" w:hAnsi="Times New Roman" w:cs="Times New Roman"/>
                <w:color w:val="000000"/>
                <w:sz w:val="13"/>
                <w:vertAlign w:val="superscript"/>
                <w:lang w:val="de-DE"/>
              </w:rPr>
              <w:t>20</w:t>
            </w:r>
            <w:r w:rsidR="000529E7">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762E686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6D68F8A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F17535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CE6020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EE7DDD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65</w:t>
            </w:r>
          </w:p>
        </w:tc>
        <w:tc>
          <w:tcPr>
            <w:tcW w:w="0" w:type="auto"/>
            <w:tcBorders>
              <w:top w:val="nil"/>
              <w:left w:val="nil"/>
              <w:bottom w:val="nil"/>
              <w:right w:val="nil"/>
            </w:tcBorders>
            <w:shd w:val="clear" w:color="auto" w:fill="auto"/>
            <w:noWrap/>
            <w:vAlign w:val="center"/>
            <w:hideMark/>
          </w:tcPr>
          <w:p w14:paraId="3037711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59F9E78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Uncomplicated</w:t>
            </w:r>
          </w:p>
        </w:tc>
        <w:tc>
          <w:tcPr>
            <w:tcW w:w="0" w:type="auto"/>
            <w:tcBorders>
              <w:top w:val="nil"/>
              <w:left w:val="nil"/>
              <w:bottom w:val="nil"/>
              <w:right w:val="nil"/>
            </w:tcBorders>
            <w:shd w:val="clear" w:color="auto" w:fill="auto"/>
            <w:noWrap/>
            <w:vAlign w:val="center"/>
            <w:hideMark/>
          </w:tcPr>
          <w:p w14:paraId="6334090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E4B02F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EBEC5F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7BE03C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FA2C75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2C773A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8ABEBD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6825BD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20AE3D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6D3453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212F27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BEDCFB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D46C10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E67F4B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523319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2337C3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C3274C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6B69B6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673D51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4C1DEB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C890D4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177CDCC1" w14:textId="77777777" w:rsidTr="00C336CB">
        <w:trPr>
          <w:trHeight w:val="320"/>
        </w:trPr>
        <w:tc>
          <w:tcPr>
            <w:tcW w:w="0" w:type="auto"/>
            <w:tcBorders>
              <w:top w:val="nil"/>
              <w:left w:val="nil"/>
              <w:bottom w:val="nil"/>
              <w:right w:val="nil"/>
            </w:tcBorders>
            <w:shd w:val="clear" w:color="auto" w:fill="auto"/>
            <w:noWrap/>
            <w:vAlign w:val="center"/>
            <w:hideMark/>
          </w:tcPr>
          <w:p w14:paraId="3C31D3B5" w14:textId="4DCACF1A"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Hernández-Fernández et al. </w:t>
            </w:r>
            <w:r w:rsidR="000529E7">
              <w:rPr>
                <w:rFonts w:ascii="Times New Roman" w:eastAsia="Times New Roman" w:hAnsi="Times New Roman" w:cs="Times New Roman"/>
                <w:color w:val="000000"/>
                <w:sz w:val="13"/>
                <w:szCs w:val="13"/>
                <w:lang w:eastAsia="de-DE"/>
              </w:rPr>
              <w:fldChar w:fldCharType="begin"/>
            </w:r>
            <w:r w:rsidR="000529E7">
              <w:rPr>
                <w:rFonts w:ascii="Times New Roman" w:eastAsia="Times New Roman" w:hAnsi="Times New Roman" w:cs="Times New Roman"/>
                <w:color w:val="000000"/>
                <w:sz w:val="13"/>
                <w:szCs w:val="13"/>
                <w:lang w:eastAsia="de-DE"/>
              </w:rPr>
              <w:instrText xml:space="preserve"> ADDIN ZOTERO_ITEM CSL_CITATION {"citationID":"IdgD5xuW","properties":{"formattedCitation":"\\super 21\\nosupersub{}","plainCitation":"21","noteIndex":0},"citationItems":[{"id":1606,"uris":["http://zotero.org/users/local/4rfnQu81/items/TQT9WFLN"],"uri":["http://zotero.org/users/local/4rfnQu81/items/TQT9WFLN"],"itemData":{"id":1606,"type":"article-journal","abstract":"Since the appearance of the first case of coronavirus disease 2019 (COVID-19) a pandemic has emerged affecting millions of individuals worldwide. Although the main clinical manifestations are respiratory, an increase in neurological conditions, specifically acute cerebrovascular disease, has been detected. We present cerebrovascular disease case incidence in hospitalized patients with SARS-CoV-2 infection. Patients were confirmed by microbiological/serological testing, or on chest CT semiology. Available data on co-morbidity, laboratory parameters, treatment administered, neuroimaging, neuropathological studies and clinical evolution during hospitalization, measured by the modified Rankin scale, were analysed. A bivariate study was also designed to identify differences between ischaemic and haemorrhagic subtypes. A statistical model of binary logistic regression and sensitivity analysis was designed to study the influence of independent variables over prognosis. In our centre, there were 1683 admissions of patients with COVID-19 over 50 days, of which 23 (1.4%) developed cerebrovascular disease. Within this group of patients, cerebral and chest CT scans were performed in all cases, and MRI in six (26.1%). Histological samples were obtained in 6/23 cases (two brain biopsies, and four arterial thrombi). Seventeen patients were classified as cerebral ischaemia (73.9%, with two arterial dissections), five as intracerebral haemorrhage (21.7%), and one leukoencephalopathy of posterior reversible encephalopathy type. Haemorrhagic patients had higher ferritin levels at the time of stroke (1554.3 versus 519.2, P = 0.004). Ischaemic strokes were unexpectedly frequent in the vertebrobasilar territory (6/17, 35.3%). In the haemorrhagic group, a characteristic radiological pattern was identified showing subarachnoid haemorrhage, parieto-occipital leukoencephalopathy, microbleeds and single or multiple focal haematomas. Brain biopsies performed showed signs of thrombotic microangiopathy and endothelial injury, with no evidence of vasculitis or necrotizing encephalitis. The functional prognosis during the hospital period was unfavourable in 73.9% (17/23 modified Rankin scale 4-6), and age was the main predictive variable (odds ratio = 1.5; 95% confidence interval 1.012-2.225; P = 0.043). Our series shows cerebrovascular disease incidence of 1.4% in patients with COVID-19 with high morbidity and mortality. We describe pathological and radiological data consistent with thrombotic microangiopathy caused by endotheliopathy with a haemorrhagic predisposition.","container-title":"Brain","DOI":"10.1093/brain/awaa239","ISSN":"14602156","issue":"10","note":"PMID: 32645151","page":"3089–3103","title":"Cerebrovascular disease in patients with COVID-19: Neuroimaging, histological and clinical description","volume":"143","author":[{"family":"Hernandez-Fernandez","given":"Francisco"},{"family":"Sandoval Valencia","given":"Hernan"},{"family":"Barbella-Aponte","given":"Rosa Angelica"},{"family":"Collado-Jimenez","given":"Rosa"},{"family":"Ayo-Martin","given":"Oscar"},{"family":"Barrena","given":"Cristina"},{"family":"Molina-Nuevo","given":"Juan David"},{"family":"Garcia-Garcia","given":"Jorge"},{"family":"Lozano-Setien","given":"Elena"},{"family":"Alcahut-Rodriguez","given":"Cristian"},{"family":"Martinez-Martin","given":"Alvaro"},{"family":"Sanchez-Lopez","given":"Antonio"},{"family":"Segura","given":"Tomas"}],"issued":{"date-parts":[["2020"]]}}}],"schema":"https://github.com/citation-style-language/schema/raw/master/csl-citation.json"} </w:instrText>
            </w:r>
            <w:r w:rsidR="000529E7">
              <w:rPr>
                <w:rFonts w:ascii="Times New Roman" w:eastAsia="Times New Roman" w:hAnsi="Times New Roman" w:cs="Times New Roman"/>
                <w:color w:val="000000"/>
                <w:sz w:val="13"/>
                <w:szCs w:val="13"/>
                <w:lang w:eastAsia="de-DE"/>
              </w:rPr>
              <w:fldChar w:fldCharType="separate"/>
            </w:r>
            <w:r w:rsidR="000529E7" w:rsidRPr="000529E7">
              <w:rPr>
                <w:rFonts w:ascii="Times New Roman" w:hAnsi="Times New Roman" w:cs="Times New Roman"/>
                <w:color w:val="000000"/>
                <w:sz w:val="13"/>
                <w:vertAlign w:val="superscript"/>
                <w:lang w:val="de-DE"/>
              </w:rPr>
              <w:t>21</w:t>
            </w:r>
            <w:r w:rsidR="000529E7">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5E93980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5F3D07A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35AB4A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9D2677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7D7AAB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51</w:t>
            </w:r>
          </w:p>
        </w:tc>
        <w:tc>
          <w:tcPr>
            <w:tcW w:w="0" w:type="auto"/>
            <w:tcBorders>
              <w:top w:val="nil"/>
              <w:left w:val="nil"/>
              <w:bottom w:val="nil"/>
              <w:right w:val="nil"/>
            </w:tcBorders>
            <w:shd w:val="clear" w:color="auto" w:fill="auto"/>
            <w:noWrap/>
            <w:vAlign w:val="center"/>
            <w:hideMark/>
          </w:tcPr>
          <w:p w14:paraId="57BD766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1A73A57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1A040A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BDCAF1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C34F0B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602CE7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4B81B2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5F6722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A86D50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1A66B1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867487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D54DC4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B931C6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5B4A2D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DD8A1E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AC6BA9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4F0C66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3F893A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244F13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9E5ACE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B2629E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222478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81FD4C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1315A92F" w14:textId="77777777" w:rsidTr="00C336CB">
        <w:trPr>
          <w:trHeight w:val="320"/>
        </w:trPr>
        <w:tc>
          <w:tcPr>
            <w:tcW w:w="0" w:type="auto"/>
            <w:tcBorders>
              <w:top w:val="nil"/>
              <w:left w:val="nil"/>
              <w:bottom w:val="nil"/>
              <w:right w:val="nil"/>
            </w:tcBorders>
            <w:shd w:val="clear" w:color="auto" w:fill="auto"/>
            <w:noWrap/>
            <w:vAlign w:val="center"/>
            <w:hideMark/>
          </w:tcPr>
          <w:p w14:paraId="2C2DA597" w14:textId="7CC61CC2"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Hernández-Fernández et al. </w:t>
            </w:r>
            <w:r w:rsidR="000529E7">
              <w:rPr>
                <w:rFonts w:ascii="Times New Roman" w:eastAsia="Times New Roman" w:hAnsi="Times New Roman" w:cs="Times New Roman"/>
                <w:color w:val="000000"/>
                <w:sz w:val="13"/>
                <w:szCs w:val="13"/>
                <w:lang w:eastAsia="de-DE"/>
              </w:rPr>
              <w:fldChar w:fldCharType="begin"/>
            </w:r>
            <w:r w:rsidR="000529E7">
              <w:rPr>
                <w:rFonts w:ascii="Times New Roman" w:eastAsia="Times New Roman" w:hAnsi="Times New Roman" w:cs="Times New Roman"/>
                <w:color w:val="000000"/>
                <w:sz w:val="13"/>
                <w:szCs w:val="13"/>
                <w:lang w:eastAsia="de-DE"/>
              </w:rPr>
              <w:instrText xml:space="preserve"> ADDIN ZOTERO_ITEM CSL_CITATION {"citationID":"U8drGU6N","properties":{"formattedCitation":"\\super 21\\nosupersub{}","plainCitation":"21","noteIndex":0},"citationItems":[{"id":1606,"uris":["http://zotero.org/users/local/4rfnQu81/items/TQT9WFLN"],"uri":["http://zotero.org/users/local/4rfnQu81/items/TQT9WFLN"],"itemData":{"id":1606,"type":"article-journal","abstract":"Since the appearance of the first case of coronavirus disease 2019 (COVID-19) a pandemic has emerged affecting millions of individuals worldwide. Although the main clinical manifestations are respiratory, an increase in neurological conditions, specifically acute cerebrovascular disease, has been detected. We present cerebrovascular disease case incidence in hospitalized patients with SARS-CoV-2 infection. Patients were confirmed by microbiological/serological testing, or on chest CT semiology. Available data on co-morbidity, laboratory parameters, treatment administered, neuroimaging, neuropathological studies and clinical evolution during hospitalization, measured by the modified Rankin scale, were analysed. A bivariate study was also designed to identify differences between ischaemic and haemorrhagic subtypes. A statistical model of binary logistic regression and sensitivity analysis was designed to study the influence of independent variables over prognosis. In our centre, there were 1683 admissions of patients with COVID-19 over 50 days, of which 23 (1.4%) developed cerebrovascular disease. Within this group of patients, cerebral and chest CT scans were performed in all cases, and MRI in six (26.1%). Histological samples were obtained in 6/23 cases (two brain biopsies, and four arterial thrombi). Seventeen patients were classified as cerebral ischaemia (73.9%, with two arterial dissections), five as intracerebral haemorrhage (21.7%), and one leukoencephalopathy of posterior reversible encephalopathy type. Haemorrhagic patients had higher ferritin levels at the time of stroke (1554.3 versus 519.2, P = 0.004). Ischaemic strokes were unexpectedly frequent in the vertebrobasilar territory (6/17, 35.3%). In the haemorrhagic group, a characteristic radiological pattern was identified showing subarachnoid haemorrhage, parieto-occipital leukoencephalopathy, microbleeds and single or multiple focal haematomas. Brain biopsies performed showed signs of thrombotic microangiopathy and endothelial injury, with no evidence of vasculitis or necrotizing encephalitis. The functional prognosis during the hospital period was unfavourable in 73.9% (17/23 modified Rankin scale 4-6), and age was the main predictive variable (odds ratio = 1.5; 95% confidence interval 1.012-2.225; P = 0.043). Our series shows cerebrovascular disease incidence of 1.4% in patients with COVID-19 with high morbidity and mortality. We describe pathological and radiological data consistent with thrombotic microangiopathy caused by endotheliopathy with a haemorrhagic predisposition.","container-title":"Brain","DOI":"10.1093/brain/awaa239","ISSN":"14602156","issue":"10","note":"PMID: 32645151","page":"3089–3103","title":"Cerebrovascular disease in patients with COVID-19: Neuroimaging, histological and clinical description","volume":"143","author":[{"family":"Hernandez-Fernandez","given":"Francisco"},{"family":"Sandoval Valencia","given":"Hernan"},{"family":"Barbella-Aponte","given":"Rosa Angelica"},{"family":"Collado-Jimenez","given":"Rosa"},{"family":"Ayo-Martin","given":"Oscar"},{"family":"Barrena","given":"Cristina"},{"family":"Molina-Nuevo","given":"Juan David"},{"family":"Garcia-Garcia","given":"Jorge"},{"family":"Lozano-Setien","given":"Elena"},{"family":"Alcahut-Rodriguez","given":"Cristian"},{"family":"Martinez-Martin","given":"Alvaro"},{"family":"Sanchez-Lopez","given":"Antonio"},{"family":"Segura","given":"Tomas"}],"issued":{"date-parts":[["2020"]]}}}],"schema":"https://github.com/citation-style-language/schema/raw/master/csl-citation.json"} </w:instrText>
            </w:r>
            <w:r w:rsidR="000529E7">
              <w:rPr>
                <w:rFonts w:ascii="Times New Roman" w:eastAsia="Times New Roman" w:hAnsi="Times New Roman" w:cs="Times New Roman"/>
                <w:color w:val="000000"/>
                <w:sz w:val="13"/>
                <w:szCs w:val="13"/>
                <w:lang w:eastAsia="de-DE"/>
              </w:rPr>
              <w:fldChar w:fldCharType="separate"/>
            </w:r>
            <w:r w:rsidR="000529E7" w:rsidRPr="000529E7">
              <w:rPr>
                <w:rFonts w:ascii="Times New Roman" w:hAnsi="Times New Roman" w:cs="Times New Roman"/>
                <w:color w:val="000000"/>
                <w:sz w:val="13"/>
                <w:vertAlign w:val="superscript"/>
                <w:lang w:val="en-US"/>
              </w:rPr>
              <w:t>21</w:t>
            </w:r>
            <w:r w:rsidR="000529E7">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6E3664A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37C0297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204A3E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710F30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047C45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69</w:t>
            </w:r>
          </w:p>
        </w:tc>
        <w:tc>
          <w:tcPr>
            <w:tcW w:w="0" w:type="auto"/>
            <w:tcBorders>
              <w:top w:val="nil"/>
              <w:left w:val="nil"/>
              <w:bottom w:val="nil"/>
              <w:right w:val="nil"/>
            </w:tcBorders>
            <w:shd w:val="clear" w:color="auto" w:fill="auto"/>
            <w:noWrap/>
            <w:vAlign w:val="center"/>
            <w:hideMark/>
          </w:tcPr>
          <w:p w14:paraId="2C43CF9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407F9E1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7AE1723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5E84E6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C1385F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4079E2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34A882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D55CEB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FE7B25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6B2BE5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23C71D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3E8DA7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712D7E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8F0D73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A7D11D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B22ACD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C4E7DD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A3F707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ECB1FC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18F3A9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EC75AF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0F8B03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F8CC76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1A5FEE21" w14:textId="77777777" w:rsidTr="00C336CB">
        <w:trPr>
          <w:trHeight w:val="320"/>
        </w:trPr>
        <w:tc>
          <w:tcPr>
            <w:tcW w:w="0" w:type="auto"/>
            <w:tcBorders>
              <w:top w:val="nil"/>
              <w:left w:val="nil"/>
              <w:bottom w:val="nil"/>
              <w:right w:val="nil"/>
            </w:tcBorders>
            <w:shd w:val="clear" w:color="auto" w:fill="auto"/>
            <w:noWrap/>
            <w:vAlign w:val="center"/>
            <w:hideMark/>
          </w:tcPr>
          <w:p w14:paraId="41083DED" w14:textId="352C7FF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Hernández-Fernández et al. </w:t>
            </w:r>
            <w:r w:rsidR="000529E7">
              <w:rPr>
                <w:rFonts w:ascii="Times New Roman" w:eastAsia="Times New Roman" w:hAnsi="Times New Roman" w:cs="Times New Roman"/>
                <w:color w:val="000000"/>
                <w:sz w:val="13"/>
                <w:szCs w:val="13"/>
                <w:lang w:eastAsia="de-DE"/>
              </w:rPr>
              <w:fldChar w:fldCharType="begin"/>
            </w:r>
            <w:r w:rsidR="000529E7">
              <w:rPr>
                <w:rFonts w:ascii="Times New Roman" w:eastAsia="Times New Roman" w:hAnsi="Times New Roman" w:cs="Times New Roman"/>
                <w:color w:val="000000"/>
                <w:sz w:val="13"/>
                <w:szCs w:val="13"/>
                <w:lang w:eastAsia="de-DE"/>
              </w:rPr>
              <w:instrText xml:space="preserve"> ADDIN ZOTERO_ITEM CSL_CITATION {"citationID":"YdtWdUuO","properties":{"formattedCitation":"\\super 21\\nosupersub{}","plainCitation":"21","noteIndex":0},"citationItems":[{"id":1606,"uris":["http://zotero.org/users/local/4rfnQu81/items/TQT9WFLN"],"uri":["http://zotero.org/users/local/4rfnQu81/items/TQT9WFLN"],"itemData":{"id":1606,"type":"article-journal","abstract":"Since the appearance of the first case of coronavirus disease 2019 (COVID-19) a pandemic has emerged affecting millions of individuals worldwide. Although the main clinical manifestations are respiratory, an increase in neurological conditions, specifically acute cerebrovascular disease, has been detected. We present cerebrovascular disease case incidence in hospitalized patients with SARS-CoV-2 infection. Patients were confirmed by microbiological/serological testing, or on chest CT semiology. Available data on co-morbidity, laboratory parameters, treatment administered, neuroimaging, neuropathological studies and clinical evolution during hospitalization, measured by the modified Rankin scale, were analysed. A bivariate study was also designed to identify differences between ischaemic and haemorrhagic subtypes. A statistical model of binary logistic regression and sensitivity analysis was designed to study the influence of independent variables over prognosis. In our centre, there were 1683 admissions of patients with COVID-19 over 50 days, of which 23 (1.4%) developed cerebrovascular disease. Within this group of patients, cerebral and chest CT scans were performed in all cases, and MRI in six (26.1%). Histological samples were obtained in 6/23 cases (two brain biopsies, and four arterial thrombi). Seventeen patients were classified as cerebral ischaemia (73.9%, with two arterial dissections), five as intracerebral haemorrhage (21.7%), and one leukoencephalopathy of posterior reversible encephalopathy type. Haemorrhagic patients had higher ferritin levels at the time of stroke (1554.3 versus 519.2, P = 0.004). Ischaemic strokes were unexpectedly frequent in the vertebrobasilar territory (6/17, 35.3%). In the haemorrhagic group, a characteristic radiological pattern was identified showing subarachnoid haemorrhage, parieto-occipital leukoencephalopathy, microbleeds and single or multiple focal haematomas. Brain biopsies performed showed signs of thrombotic microangiopathy and endothelial injury, with no evidence of vasculitis or necrotizing encephalitis. The functional prognosis during the hospital period was unfavourable in 73.9% (17/23 modified Rankin scale 4-6), and age was the main predictive variable (odds ratio = 1.5; 95% confidence interval 1.012-2.225; P = 0.043). Our series shows cerebrovascular disease incidence of 1.4% in patients with COVID-19 with high morbidity and mortality. We describe pathological and radiological data consistent with thrombotic microangiopathy caused by endotheliopathy with a haemorrhagic predisposition.","container-title":"Brain","DOI":"10.1093/brain/awaa239","ISSN":"14602156","issue":"10","note":"PMID: 32645151","page":"3089–3103","title":"Cerebrovascular disease in patients with COVID-19: Neuroimaging, histological and clinical description","volume":"143","author":[{"family":"Hernandez-Fernandez","given":"Francisco"},{"family":"Sandoval Valencia","given":"Hernan"},{"family":"Barbella-Aponte","given":"Rosa Angelica"},{"family":"Collado-Jimenez","given":"Rosa"},{"family":"Ayo-Martin","given":"Oscar"},{"family":"Barrena","given":"Cristina"},{"family":"Molina-Nuevo","given":"Juan David"},{"family":"Garcia-Garcia","given":"Jorge"},{"family":"Lozano-Setien","given":"Elena"},{"family":"Alcahut-Rodriguez","given":"Cristian"},{"family":"Martinez-Martin","given":"Alvaro"},{"family":"Sanchez-Lopez","given":"Antonio"},{"family":"Segura","given":"Tomas"}],"issued":{"date-parts":[["2020"]]}}}],"schema":"https://github.com/citation-style-language/schema/raw/master/csl-citation.json"} </w:instrText>
            </w:r>
            <w:r w:rsidR="000529E7">
              <w:rPr>
                <w:rFonts w:ascii="Times New Roman" w:eastAsia="Times New Roman" w:hAnsi="Times New Roman" w:cs="Times New Roman"/>
                <w:color w:val="000000"/>
                <w:sz w:val="13"/>
                <w:szCs w:val="13"/>
                <w:lang w:eastAsia="de-DE"/>
              </w:rPr>
              <w:fldChar w:fldCharType="separate"/>
            </w:r>
            <w:r w:rsidR="000529E7" w:rsidRPr="000529E7">
              <w:rPr>
                <w:rFonts w:ascii="Times New Roman" w:hAnsi="Times New Roman" w:cs="Times New Roman"/>
                <w:color w:val="000000"/>
                <w:sz w:val="13"/>
                <w:vertAlign w:val="superscript"/>
                <w:lang w:val="en-US"/>
              </w:rPr>
              <w:t>21</w:t>
            </w:r>
            <w:r w:rsidR="000529E7">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743C7C5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4F7C291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9415CC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B92119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DB8D37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61</w:t>
            </w:r>
          </w:p>
        </w:tc>
        <w:tc>
          <w:tcPr>
            <w:tcW w:w="0" w:type="auto"/>
            <w:tcBorders>
              <w:top w:val="nil"/>
              <w:left w:val="nil"/>
              <w:bottom w:val="nil"/>
              <w:right w:val="nil"/>
            </w:tcBorders>
            <w:shd w:val="clear" w:color="auto" w:fill="auto"/>
            <w:noWrap/>
            <w:vAlign w:val="center"/>
            <w:hideMark/>
          </w:tcPr>
          <w:p w14:paraId="3696979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4A42376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6955139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FDD23C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1B3662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A6301F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34E6C9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2A8C83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0163E1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0584A2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62084B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88F56B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DFD84B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1DA289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954124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94E1D7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4CC1DE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5A3834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CEF1CC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C2F885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68E0BC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265D40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7835C5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4D31FAAE" w14:textId="77777777" w:rsidTr="00C336CB">
        <w:trPr>
          <w:trHeight w:val="320"/>
        </w:trPr>
        <w:tc>
          <w:tcPr>
            <w:tcW w:w="0" w:type="auto"/>
            <w:tcBorders>
              <w:top w:val="nil"/>
              <w:left w:val="nil"/>
              <w:bottom w:val="nil"/>
              <w:right w:val="nil"/>
            </w:tcBorders>
            <w:shd w:val="clear" w:color="auto" w:fill="auto"/>
            <w:noWrap/>
            <w:vAlign w:val="center"/>
            <w:hideMark/>
          </w:tcPr>
          <w:p w14:paraId="6D3F1DC9" w14:textId="4725406A"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Hernández-Fernández et al. </w:t>
            </w:r>
            <w:r w:rsidR="000529E7">
              <w:rPr>
                <w:rFonts w:ascii="Times New Roman" w:eastAsia="Times New Roman" w:hAnsi="Times New Roman" w:cs="Times New Roman"/>
                <w:color w:val="000000"/>
                <w:sz w:val="13"/>
                <w:szCs w:val="13"/>
                <w:lang w:eastAsia="de-DE"/>
              </w:rPr>
              <w:fldChar w:fldCharType="begin"/>
            </w:r>
            <w:r w:rsidR="000529E7">
              <w:rPr>
                <w:rFonts w:ascii="Times New Roman" w:eastAsia="Times New Roman" w:hAnsi="Times New Roman" w:cs="Times New Roman"/>
                <w:color w:val="000000"/>
                <w:sz w:val="13"/>
                <w:szCs w:val="13"/>
                <w:lang w:eastAsia="de-DE"/>
              </w:rPr>
              <w:instrText xml:space="preserve"> ADDIN ZOTERO_ITEM CSL_CITATION {"citationID":"3p53uH8M","properties":{"formattedCitation":"\\super 21\\nosupersub{}","plainCitation":"21","noteIndex":0},"citationItems":[{"id":1606,"uris":["http://zotero.org/users/local/4rfnQu81/items/TQT9WFLN"],"uri":["http://zotero.org/users/local/4rfnQu81/items/TQT9WFLN"],"itemData":{"id":1606,"type":"article-journal","abstract":"Since the appearance of the first case of coronavirus disease 2019 (COVID-19) a pandemic has emerged affecting millions of individuals worldwide. Although the main clinical manifestations are respiratory, an increase in neurological conditions, specifically acute cerebrovascular disease, has been detected. We present cerebrovascular disease case incidence in hospitalized patients with SARS-CoV-2 infection. Patients were confirmed by microbiological/serological testing, or on chest CT semiology. Available data on co-morbidity, laboratory parameters, treatment administered, neuroimaging, neuropathological studies and clinical evolution during hospitalization, measured by the modified Rankin scale, were analysed. A bivariate study was also designed to identify differences between ischaemic and haemorrhagic subtypes. A statistical model of binary logistic regression and sensitivity analysis was designed to study the influence of independent variables over prognosis. In our centre, there were 1683 admissions of patients with COVID-19 over 50 days, of which 23 (1.4%) developed cerebrovascular disease. Within this group of patients, cerebral and chest CT scans were performed in all cases, and MRI in six (26.1%). Histological samples were obtained in 6/23 cases (two brain biopsies, and four arterial thrombi). Seventeen patients were classified as cerebral ischaemia (73.9%, with two arterial dissections), five as intracerebral haemorrhage (21.7%), and one leukoencephalopathy of posterior reversible encephalopathy type. Haemorrhagic patients had higher ferritin levels at the time of stroke (1554.3 versus 519.2, P = 0.004). Ischaemic strokes were unexpectedly frequent in the vertebrobasilar territory (6/17, 35.3%). In the haemorrhagic group, a characteristic radiological pattern was identified showing subarachnoid haemorrhage, parieto-occipital leukoencephalopathy, microbleeds and single or multiple focal haematomas. Brain biopsies performed showed signs of thrombotic microangiopathy and endothelial injury, with no evidence of vasculitis or necrotizing encephalitis. The functional prognosis during the hospital period was unfavourable in 73.9% (17/23 modified Rankin scale 4-6), and age was the main predictive variable (odds ratio = 1.5; 95% confidence interval 1.012-2.225; P = 0.043). Our series shows cerebrovascular disease incidence of 1.4% in patients with COVID-19 with high morbidity and mortality. We describe pathological and radiological data consistent with thrombotic microangiopathy caused by endotheliopathy with a haemorrhagic predisposition.","container-title":"Brain","DOI":"10.1093/brain/awaa239","ISSN":"14602156","issue":"10","note":"PMID: 32645151","page":"3089–3103","title":"Cerebrovascular disease in patients with COVID-19: Neuroimaging, histological and clinical description","volume":"143","author":[{"family":"Hernandez-Fernandez","given":"Francisco"},{"family":"Sandoval Valencia","given":"Hernan"},{"family":"Barbella-Aponte","given":"Rosa Angelica"},{"family":"Collado-Jimenez","given":"Rosa"},{"family":"Ayo-Martin","given":"Oscar"},{"family":"Barrena","given":"Cristina"},{"family":"Molina-Nuevo","given":"Juan David"},{"family":"Garcia-Garcia","given":"Jorge"},{"family":"Lozano-Setien","given":"Elena"},{"family":"Alcahut-Rodriguez","given":"Cristian"},{"family":"Martinez-Martin","given":"Alvaro"},{"family":"Sanchez-Lopez","given":"Antonio"},{"family":"Segura","given":"Tomas"}],"issued":{"date-parts":[["2020"]]}}}],"schema":"https://github.com/citation-style-language/schema/raw/master/csl-citation.json"} </w:instrText>
            </w:r>
            <w:r w:rsidR="000529E7">
              <w:rPr>
                <w:rFonts w:ascii="Times New Roman" w:eastAsia="Times New Roman" w:hAnsi="Times New Roman" w:cs="Times New Roman"/>
                <w:color w:val="000000"/>
                <w:sz w:val="13"/>
                <w:szCs w:val="13"/>
                <w:lang w:eastAsia="de-DE"/>
              </w:rPr>
              <w:fldChar w:fldCharType="separate"/>
            </w:r>
            <w:r w:rsidR="000529E7" w:rsidRPr="000529E7">
              <w:rPr>
                <w:rFonts w:ascii="Times New Roman" w:hAnsi="Times New Roman" w:cs="Times New Roman"/>
                <w:color w:val="000000"/>
                <w:sz w:val="13"/>
                <w:vertAlign w:val="superscript"/>
                <w:lang w:val="en-US"/>
              </w:rPr>
              <w:t>21</w:t>
            </w:r>
            <w:r w:rsidR="000529E7">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296691E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5EF7CAF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333531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3071A2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284307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64</w:t>
            </w:r>
          </w:p>
        </w:tc>
        <w:tc>
          <w:tcPr>
            <w:tcW w:w="0" w:type="auto"/>
            <w:tcBorders>
              <w:top w:val="nil"/>
              <w:left w:val="nil"/>
              <w:bottom w:val="nil"/>
              <w:right w:val="nil"/>
            </w:tcBorders>
            <w:shd w:val="clear" w:color="auto" w:fill="auto"/>
            <w:noWrap/>
            <w:vAlign w:val="center"/>
            <w:hideMark/>
          </w:tcPr>
          <w:p w14:paraId="2444830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73635AB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459B1D2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ABA4DE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84AECD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D6B97E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3AEE5B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7B04A5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11FEA4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06B925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9DADB3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C17C5B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7099C7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6C4025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89B2C5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400999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611E29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72FA54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9E4ABD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4A184D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372F4B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C23EA6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8E5236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629E4570" w14:textId="77777777" w:rsidTr="00C336CB">
        <w:trPr>
          <w:trHeight w:val="320"/>
        </w:trPr>
        <w:tc>
          <w:tcPr>
            <w:tcW w:w="0" w:type="auto"/>
            <w:tcBorders>
              <w:top w:val="nil"/>
              <w:left w:val="nil"/>
              <w:bottom w:val="nil"/>
              <w:right w:val="nil"/>
            </w:tcBorders>
            <w:shd w:val="clear" w:color="auto" w:fill="auto"/>
            <w:noWrap/>
            <w:vAlign w:val="center"/>
            <w:hideMark/>
          </w:tcPr>
          <w:p w14:paraId="116AB1B7" w14:textId="48A8ADA4"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Hernández-Fernández et al. </w:t>
            </w:r>
            <w:r w:rsidR="000529E7">
              <w:rPr>
                <w:rFonts w:ascii="Times New Roman" w:eastAsia="Times New Roman" w:hAnsi="Times New Roman" w:cs="Times New Roman"/>
                <w:color w:val="000000"/>
                <w:sz w:val="13"/>
                <w:szCs w:val="13"/>
                <w:lang w:eastAsia="de-DE"/>
              </w:rPr>
              <w:fldChar w:fldCharType="begin"/>
            </w:r>
            <w:r w:rsidR="000529E7">
              <w:rPr>
                <w:rFonts w:ascii="Times New Roman" w:eastAsia="Times New Roman" w:hAnsi="Times New Roman" w:cs="Times New Roman"/>
                <w:color w:val="000000"/>
                <w:sz w:val="13"/>
                <w:szCs w:val="13"/>
                <w:lang w:eastAsia="de-DE"/>
              </w:rPr>
              <w:instrText xml:space="preserve"> ADDIN ZOTERO_ITEM CSL_CITATION {"citationID":"1fP94PKR","properties":{"formattedCitation":"\\super 21\\nosupersub{}","plainCitation":"21","noteIndex":0},"citationItems":[{"id":1606,"uris":["http://zotero.org/users/local/4rfnQu81/items/TQT9WFLN"],"uri":["http://zotero.org/users/local/4rfnQu81/items/TQT9WFLN"],"itemData":{"id":1606,"type":"article-journal","abstract":"Since the appearance of the first case of coronavirus disease 2019 (COVID-19) a pandemic has emerged affecting millions of individuals worldwide. Although the main clinical manifestations are respiratory, an increase in neurological conditions, specifically acute cerebrovascular disease, has been detected. We present cerebrovascular disease case incidence in hospitalized patients with SARS-CoV-2 infection. Patients were confirmed by microbiological/serological testing, or on chest CT semiology. Available data on co-morbidity, laboratory parameters, treatment administered, neuroimaging, neuropathological studies and clinical evolution during hospitalization, measured by the modified Rankin scale, were analysed. A bivariate study was also designed to identify differences between ischaemic and haemorrhagic subtypes. A statistical model of binary logistic regression and sensitivity analysis was designed to study the influence of independent variables over prognosis. In our centre, there were 1683 admissions of patients with COVID-19 over 50 days, of which 23 (1.4%) developed cerebrovascular disease. Within this group of patients, cerebral and chest CT scans were performed in all cases, and MRI in six (26.1%). Histological samples were obtained in 6/23 cases (two brain biopsies, and four arterial thrombi). Seventeen patients were classified as cerebral ischaemia (73.9%, with two arterial dissections), five as intracerebral haemorrhage (21.7%), and one leukoencephalopathy of posterior reversible encephalopathy type. Haemorrhagic patients had higher ferritin levels at the time of stroke (1554.3 versus 519.2, P = 0.004). Ischaemic strokes were unexpectedly frequent in the vertebrobasilar territory (6/17, 35.3%). In the haemorrhagic group, a characteristic radiological pattern was identified showing subarachnoid haemorrhage, parieto-occipital leukoencephalopathy, microbleeds and single or multiple focal haematomas. Brain biopsies performed showed signs of thrombotic microangiopathy and endothelial injury, with no evidence of vasculitis or necrotizing encephalitis. The functional prognosis during the hospital period was unfavourable in 73.9% (17/23 modified Rankin scale 4-6), and age was the main predictive variable (odds ratio = 1.5; 95% confidence interval 1.012-2.225; P = 0.043). Our series shows cerebrovascular disease incidence of 1.4% in patients with COVID-19 with high morbidity and mortality. We describe pathological and radiological data consistent with thrombotic microangiopathy caused by endotheliopathy with a haemorrhagic predisposition.","container-title":"Brain","DOI":"10.1093/brain/awaa239","ISSN":"14602156","issue":"10","note":"PMID: 32645151","page":"3089–3103","title":"Cerebrovascular disease in patients with COVID-19: Neuroimaging, histological and clinical description","volume":"143","author":[{"family":"Hernandez-Fernandez","given":"Francisco"},{"family":"Sandoval Valencia","given":"Hernan"},{"family":"Barbella-Aponte","given":"Rosa Angelica"},{"family":"Collado-Jimenez","given":"Rosa"},{"family":"Ayo-Martin","given":"Oscar"},{"family":"Barrena","given":"Cristina"},{"family":"Molina-Nuevo","given":"Juan David"},{"family":"Garcia-Garcia","given":"Jorge"},{"family":"Lozano-Setien","given":"Elena"},{"family":"Alcahut-Rodriguez","given":"Cristian"},{"family":"Martinez-Martin","given":"Alvaro"},{"family":"Sanchez-Lopez","given":"Antonio"},{"family":"Segura","given":"Tomas"}],"issued":{"date-parts":[["2020"]]}}}],"schema":"https://github.com/citation-style-language/schema/raw/master/csl-citation.json"} </w:instrText>
            </w:r>
            <w:r w:rsidR="000529E7">
              <w:rPr>
                <w:rFonts w:ascii="Times New Roman" w:eastAsia="Times New Roman" w:hAnsi="Times New Roman" w:cs="Times New Roman"/>
                <w:color w:val="000000"/>
                <w:sz w:val="13"/>
                <w:szCs w:val="13"/>
                <w:lang w:eastAsia="de-DE"/>
              </w:rPr>
              <w:fldChar w:fldCharType="separate"/>
            </w:r>
            <w:r w:rsidR="000529E7" w:rsidRPr="000529E7">
              <w:rPr>
                <w:rFonts w:ascii="Times New Roman" w:hAnsi="Times New Roman" w:cs="Times New Roman"/>
                <w:color w:val="000000"/>
                <w:sz w:val="13"/>
                <w:vertAlign w:val="superscript"/>
                <w:lang w:val="en-US"/>
              </w:rPr>
              <w:t>21</w:t>
            </w:r>
            <w:r w:rsidR="000529E7">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45307E6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706E868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B2C5AC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FA2C3C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23D9A7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68</w:t>
            </w:r>
          </w:p>
        </w:tc>
        <w:tc>
          <w:tcPr>
            <w:tcW w:w="0" w:type="auto"/>
            <w:tcBorders>
              <w:top w:val="nil"/>
              <w:left w:val="nil"/>
              <w:bottom w:val="nil"/>
              <w:right w:val="nil"/>
            </w:tcBorders>
            <w:shd w:val="clear" w:color="auto" w:fill="auto"/>
            <w:noWrap/>
            <w:vAlign w:val="center"/>
            <w:hideMark/>
          </w:tcPr>
          <w:p w14:paraId="005A78C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29D9409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0E8ECA5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6F4BD9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61A828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20F519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0BAA73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3AD9EC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6B1392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7EB10A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FEA649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E22600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7CBD97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261B48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9571E8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E3AA3B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AA8782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C17538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5ED361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8400EF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C8A8C3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A330C0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3622D4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5DCDD370" w14:textId="77777777" w:rsidTr="00C336CB">
        <w:trPr>
          <w:trHeight w:val="320"/>
        </w:trPr>
        <w:tc>
          <w:tcPr>
            <w:tcW w:w="0" w:type="auto"/>
            <w:tcBorders>
              <w:top w:val="nil"/>
              <w:left w:val="nil"/>
              <w:bottom w:val="nil"/>
              <w:right w:val="nil"/>
            </w:tcBorders>
            <w:shd w:val="clear" w:color="auto" w:fill="auto"/>
            <w:noWrap/>
            <w:vAlign w:val="center"/>
            <w:hideMark/>
          </w:tcPr>
          <w:p w14:paraId="6CDAD013" w14:textId="79FFF943"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Hernández-Fernández et al. </w:t>
            </w:r>
            <w:r w:rsidR="000529E7">
              <w:rPr>
                <w:rFonts w:ascii="Times New Roman" w:eastAsia="Times New Roman" w:hAnsi="Times New Roman" w:cs="Times New Roman"/>
                <w:color w:val="000000"/>
                <w:sz w:val="13"/>
                <w:szCs w:val="13"/>
                <w:lang w:eastAsia="de-DE"/>
              </w:rPr>
              <w:fldChar w:fldCharType="begin"/>
            </w:r>
            <w:r w:rsidR="000529E7">
              <w:rPr>
                <w:rFonts w:ascii="Times New Roman" w:eastAsia="Times New Roman" w:hAnsi="Times New Roman" w:cs="Times New Roman"/>
                <w:color w:val="000000"/>
                <w:sz w:val="13"/>
                <w:szCs w:val="13"/>
                <w:lang w:eastAsia="de-DE"/>
              </w:rPr>
              <w:instrText xml:space="preserve"> ADDIN ZOTERO_ITEM CSL_CITATION {"citationID":"HXD1sLUY","properties":{"formattedCitation":"\\super 21\\nosupersub{}","plainCitation":"21","noteIndex":0},"citationItems":[{"id":1606,"uris":["http://zotero.org/users/local/4rfnQu81/items/TQT9WFLN"],"uri":["http://zotero.org/users/local/4rfnQu81/items/TQT9WFLN"],"itemData":{"id":1606,"type":"article-journal","abstract":"Since the appearance of the first case of coronavirus disease 2019 (COVID-19) a pandemic has emerged affecting millions of individuals worldwide. Although the main clinical manifestations are respiratory, an increase in neurological conditions, specifically acute cerebrovascular disease, has been detected. We present cerebrovascular disease case incidence in hospitalized patients with SARS-CoV-2 infection. Patients were confirmed by microbiological/serological testing, or on chest CT semiology. Available data on co-morbidity, laboratory parameters, treatment administered, neuroimaging, neuropathological studies and clinical evolution during hospitalization, measured by the modified Rankin scale, were analysed. A bivariate study was also designed to identify differences between ischaemic and haemorrhagic subtypes. A statistical model of binary logistic regression and sensitivity analysis was designed to study the influence of independent variables over prognosis. In our centre, there were 1683 admissions of patients with COVID-19 over 50 days, of which 23 (1.4%) developed cerebrovascular disease. Within this group of patients, cerebral and chest CT scans were performed in all cases, and MRI in six (26.1%). Histological samples were obtained in 6/23 cases (two brain biopsies, and four arterial thrombi). Seventeen patients were classified as cerebral ischaemia (73.9%, with two arterial dissections), five as intracerebral haemorrhage (21.7%), and one leukoencephalopathy of posterior reversible encephalopathy type. Haemorrhagic patients had higher ferritin levels at the time of stroke (1554.3 versus 519.2, P = 0.004). Ischaemic strokes were unexpectedly frequent in the vertebrobasilar territory (6/17, 35.3%). In the haemorrhagic group, a characteristic radiological pattern was identified showing subarachnoid haemorrhage, parieto-occipital leukoencephalopathy, microbleeds and single or multiple focal haematomas. Brain biopsies performed showed signs of thrombotic microangiopathy and endothelial injury, with no evidence of vasculitis or necrotizing encephalitis. The functional prognosis during the hospital period was unfavourable in 73.9% (17/23 modified Rankin scale 4-6), and age was the main predictive variable (odds ratio = 1.5; 95% confidence interval 1.012-2.225; P = 0.043). Our series shows cerebrovascular disease incidence of 1.4% in patients with COVID-19 with high morbidity and mortality. We describe pathological and radiological data consistent with thrombotic microangiopathy caused by endotheliopathy with a haemorrhagic predisposition.","container-title":"Brain","DOI":"10.1093/brain/awaa239","ISSN":"14602156","issue":"10","note":"PMID: 32645151","page":"3089–3103","title":"Cerebrovascular disease in patients with COVID-19: Neuroimaging, histological and clinical description","volume":"143","author":[{"family":"Hernandez-Fernandez","given":"Francisco"},{"family":"Sandoval Valencia","given":"Hernan"},{"family":"Barbella-Aponte","given":"Rosa Angelica"},{"family":"Collado-Jimenez","given":"Rosa"},{"family":"Ayo-Martin","given":"Oscar"},{"family":"Barrena","given":"Cristina"},{"family":"Molina-Nuevo","given":"Juan David"},{"family":"Garcia-Garcia","given":"Jorge"},{"family":"Lozano-Setien","given":"Elena"},{"family":"Alcahut-Rodriguez","given":"Cristian"},{"family":"Martinez-Martin","given":"Alvaro"},{"family":"Sanchez-Lopez","given":"Antonio"},{"family":"Segura","given":"Tomas"}],"issued":{"date-parts":[["2020"]]}}}],"schema":"https://github.com/citation-style-language/schema/raw/master/csl-citation.json"} </w:instrText>
            </w:r>
            <w:r w:rsidR="000529E7">
              <w:rPr>
                <w:rFonts w:ascii="Times New Roman" w:eastAsia="Times New Roman" w:hAnsi="Times New Roman" w:cs="Times New Roman"/>
                <w:color w:val="000000"/>
                <w:sz w:val="13"/>
                <w:szCs w:val="13"/>
                <w:lang w:eastAsia="de-DE"/>
              </w:rPr>
              <w:fldChar w:fldCharType="separate"/>
            </w:r>
            <w:r w:rsidR="000529E7" w:rsidRPr="00B92A51">
              <w:rPr>
                <w:rFonts w:ascii="Times New Roman" w:hAnsi="Times New Roman" w:cs="Times New Roman"/>
                <w:color w:val="000000"/>
                <w:sz w:val="13"/>
                <w:vertAlign w:val="superscript"/>
                <w:lang w:val="en-US"/>
              </w:rPr>
              <w:t>21</w:t>
            </w:r>
            <w:r w:rsidR="000529E7">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216D597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7B0D3DA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6034EA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7EDBAA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61F86C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281FA1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F6381D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777823B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6FFEA5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2CD0B8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F41102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E16035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D8AB94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DF1E9A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49E5D6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A71094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D7F08F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D86FF4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EFD59F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871DBA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30598D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8C49EB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A0A621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B621DB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E1ADE0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7C3B51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A07F0D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DAEBFF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28C5AB17" w14:textId="77777777" w:rsidTr="00C336CB">
        <w:trPr>
          <w:trHeight w:val="320"/>
        </w:trPr>
        <w:tc>
          <w:tcPr>
            <w:tcW w:w="0" w:type="auto"/>
            <w:tcBorders>
              <w:top w:val="nil"/>
              <w:left w:val="nil"/>
              <w:bottom w:val="nil"/>
              <w:right w:val="nil"/>
            </w:tcBorders>
            <w:shd w:val="clear" w:color="auto" w:fill="auto"/>
            <w:noWrap/>
            <w:vAlign w:val="center"/>
            <w:hideMark/>
          </w:tcPr>
          <w:p w14:paraId="3C3553DE" w14:textId="2748DFD1"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Khattar et al. </w:t>
            </w:r>
            <w:r w:rsidR="000529E7">
              <w:rPr>
                <w:rFonts w:ascii="Times New Roman" w:eastAsia="Times New Roman" w:hAnsi="Times New Roman" w:cs="Times New Roman"/>
                <w:color w:val="000000"/>
                <w:sz w:val="13"/>
                <w:szCs w:val="13"/>
                <w:lang w:eastAsia="de-DE"/>
              </w:rPr>
              <w:fldChar w:fldCharType="begin"/>
            </w:r>
            <w:r w:rsidR="000529E7">
              <w:rPr>
                <w:rFonts w:ascii="Times New Roman" w:eastAsia="Times New Roman" w:hAnsi="Times New Roman" w:cs="Times New Roman"/>
                <w:color w:val="000000"/>
                <w:sz w:val="13"/>
                <w:szCs w:val="13"/>
                <w:lang w:eastAsia="de-DE"/>
              </w:rPr>
              <w:instrText xml:space="preserve"> ADDIN ZOTERO_ITEM CSL_CITATION {"citationID":"qF1bFhw7","properties":{"formattedCitation":"\\super 22\\nosupersub{}","plainCitation":"22","noteIndex":0},"citationItems":[{"id":3112,"uris":["http://zotero.org/users/local/4rfnQu81/items/A285GLC3"],"uri":["http://zotero.org/users/local/4rfnQu81/items/A285GLC3"],"itemData":{"id":3112,"type":"article-journal","abstract":"COVID-19 patients are increasingly understood to develop multisystem manifestations,  including neurologic involvement. We report the case of a 42-year old COVID-19 positive patient with a fatal intracerebral hemorrhage (ICH). The patient presented with fever and dyspnea, requiring intubation due to medical complications. After prolonged sedation and anticoagulation, the patient suddenly developed bilaterally fixed and dilated pupils, caused by a right-sided intracranial hemorrhage with uncal herniation. The course of this case illustrates the delicate balance between hypercoagulability and coagulation factor depletion; especially in the intubated and sedated patient, in whom regular neurological assessments are impeded. As we expand our understanding of the neurological ramifications of COVID-19, clinicians need to be increasingly aware of the precarious coagulation balance.","container-title":"Interdisciplinary neurosurgery : Advanced techniques and case management","DOI":"10.1016/j.inat.2020.100878","ISSN":"2214-7519 (Print)","language":"eng","note":"PMID: 32837915\nCitation Key: Khattar2020a","page":"100878","title":"Intracranial hemorrhage in a young COVID-19 patient.","volume":"22","author":[{"family":"Khattar","given":"Nicolas K"},{"family":"Sharma","given":"Mayur"},{"family":"McCallum","given":"Abigail P"},{"family":"Oxford","given":"Brent G"},{"family":"Zeb","given":"Hassan"},{"family":"Suliman","given":"Sally A"},{"family":"Sieg","given":"Emily P"},{"family":"Mocco","given":"J"},{"family":"Neimat","given":"Joseph S"},{"family":"Zemmar","given":"Ajmal"}],"issued":{"date-parts":[["2020",12]]}}}],"schema":"https://github.com/citation-style-language/schema/raw/master/csl-citation.json"} </w:instrText>
            </w:r>
            <w:r w:rsidR="000529E7">
              <w:rPr>
                <w:rFonts w:ascii="Times New Roman" w:eastAsia="Times New Roman" w:hAnsi="Times New Roman" w:cs="Times New Roman"/>
                <w:color w:val="000000"/>
                <w:sz w:val="13"/>
                <w:szCs w:val="13"/>
                <w:lang w:eastAsia="de-DE"/>
              </w:rPr>
              <w:fldChar w:fldCharType="separate"/>
            </w:r>
            <w:r w:rsidR="000529E7" w:rsidRPr="000529E7">
              <w:rPr>
                <w:rFonts w:ascii="Times New Roman" w:hAnsi="Times New Roman" w:cs="Times New Roman"/>
                <w:color w:val="000000"/>
                <w:sz w:val="13"/>
                <w:vertAlign w:val="superscript"/>
                <w:lang w:val="de-DE"/>
              </w:rPr>
              <w:t>22</w:t>
            </w:r>
            <w:r w:rsidR="000529E7">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64DF3FD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63A207C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A115F3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77EBFD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4923C1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42</w:t>
            </w:r>
          </w:p>
        </w:tc>
        <w:tc>
          <w:tcPr>
            <w:tcW w:w="0" w:type="auto"/>
            <w:tcBorders>
              <w:top w:val="nil"/>
              <w:left w:val="nil"/>
              <w:bottom w:val="nil"/>
              <w:right w:val="nil"/>
            </w:tcBorders>
            <w:shd w:val="clear" w:color="auto" w:fill="auto"/>
            <w:noWrap/>
            <w:vAlign w:val="center"/>
            <w:hideMark/>
          </w:tcPr>
          <w:p w14:paraId="79177BB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14F315D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4C9ACA9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95A5CF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AAC66D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2F1FF0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8D2715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C53B5E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275625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C496E4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818841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F91431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2C6F12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51EBA1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6D6CCE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98019C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26AC3C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4E5C8A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E50090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F76771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EC4176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3C3C1E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7F1DCA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73B84821" w14:textId="77777777" w:rsidTr="00C336CB">
        <w:trPr>
          <w:trHeight w:val="320"/>
        </w:trPr>
        <w:tc>
          <w:tcPr>
            <w:tcW w:w="0" w:type="auto"/>
            <w:tcBorders>
              <w:top w:val="nil"/>
              <w:left w:val="nil"/>
              <w:bottom w:val="nil"/>
              <w:right w:val="nil"/>
            </w:tcBorders>
            <w:shd w:val="clear" w:color="auto" w:fill="auto"/>
            <w:noWrap/>
            <w:vAlign w:val="center"/>
            <w:hideMark/>
          </w:tcPr>
          <w:p w14:paraId="42414D73" w14:textId="30C82556"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Lévesque et al. </w:t>
            </w:r>
            <w:r w:rsidR="001404FA">
              <w:rPr>
                <w:rFonts w:ascii="Times New Roman" w:eastAsia="Times New Roman" w:hAnsi="Times New Roman" w:cs="Times New Roman"/>
                <w:color w:val="000000"/>
                <w:sz w:val="13"/>
                <w:szCs w:val="13"/>
                <w:lang w:eastAsia="de-DE"/>
              </w:rPr>
              <w:fldChar w:fldCharType="begin"/>
            </w:r>
            <w:r w:rsidR="001404FA">
              <w:rPr>
                <w:rFonts w:ascii="Times New Roman" w:eastAsia="Times New Roman" w:hAnsi="Times New Roman" w:cs="Times New Roman"/>
                <w:color w:val="000000"/>
                <w:sz w:val="13"/>
                <w:szCs w:val="13"/>
                <w:lang w:eastAsia="de-DE"/>
              </w:rPr>
              <w:instrText xml:space="preserve"> ADDIN ZOTERO_ITEM CSL_CITATION {"citationID":"TOerkE4W","properties":{"formattedCitation":"\\super 23\\nosupersub{}","plainCitation":"23","noteIndex":0},"citationItems":[{"id":68,"uris":["http://zotero.org/users/local/4rfnQu81/items/MJKR8HVB"],"uri":["http://zotero.org/users/local/4rfnQu81/items/MJKR8HVB"],"itemData":{"id":68,"type":"article-journal","abstract":"COVID-19 is a new disease with many undescribed clinical manifestations. We report herein a case of severe immune thrombocytopenic purpura (ITP) in a critical COVID-19 patient. A patient presented a severe episode of immune thrombocytopenia (&lt; 10 × 10(9)/L) 20 days after admission for a critical COVID-19. This thrombocytopenia was associated with a life-threatening bleeding. Response to first-line therapies was delayed as it took up to 13 days after initiation of intravenous immunoglobulin and high-dose dexamethasone to observe an increase in platelet count. COVID-19 may be associated with late presenting severe ITP. Such ITP may also be relatively resistant to first-line agents. Hematological manifestations of COVID-19, such as the ones associated with life-threatening bleeding, must be recognized.","container-title":"International journal of hematology","DOI":"10.1007/s12185-020-02931-9","ISSN":"1865-3774 (Electronic)","issue":"5","language":"eng","note":"PMID: 32613314","page":"746–750","title":"Severe immune thrombocytopenic purpura in critical COVID-19.","volume":"112","author":[{"family":"Lévesque","given":"Valérie"},{"family":"Millaire","given":"Émilie"},{"family":"Corsilli","given":"Daniel"},{"family":"Rioux-Massé","given":"Benjamin"},{"family":"Carrier","given":"François-Martin"}],"issued":{"date-parts":[["2020",11]]}}}],"schema":"https://github.com/citation-style-language/schema/raw/master/csl-citation.json"} </w:instrText>
            </w:r>
            <w:r w:rsidR="001404FA">
              <w:rPr>
                <w:rFonts w:ascii="Times New Roman" w:eastAsia="Times New Roman" w:hAnsi="Times New Roman" w:cs="Times New Roman"/>
                <w:color w:val="000000"/>
                <w:sz w:val="13"/>
                <w:szCs w:val="13"/>
                <w:lang w:eastAsia="de-DE"/>
              </w:rPr>
              <w:fldChar w:fldCharType="separate"/>
            </w:r>
            <w:r w:rsidR="001404FA" w:rsidRPr="001404FA">
              <w:rPr>
                <w:rFonts w:ascii="Times New Roman" w:hAnsi="Times New Roman" w:cs="Times New Roman"/>
                <w:color w:val="000000"/>
                <w:sz w:val="13"/>
                <w:vertAlign w:val="superscript"/>
                <w:lang w:val="de-DE"/>
              </w:rPr>
              <w:t>23</w:t>
            </w:r>
            <w:r w:rsidR="001404FA">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5E45022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18716A8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211031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1AFF30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60B287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53</w:t>
            </w:r>
          </w:p>
        </w:tc>
        <w:tc>
          <w:tcPr>
            <w:tcW w:w="0" w:type="auto"/>
            <w:tcBorders>
              <w:top w:val="nil"/>
              <w:left w:val="nil"/>
              <w:bottom w:val="nil"/>
              <w:right w:val="nil"/>
            </w:tcBorders>
            <w:shd w:val="clear" w:color="auto" w:fill="auto"/>
            <w:noWrap/>
            <w:vAlign w:val="center"/>
            <w:hideMark/>
          </w:tcPr>
          <w:p w14:paraId="751B22E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2D161BE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44396B0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9CB938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1E8884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0C0CF8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FE64FA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18B6D5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CEDDBF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C1BC81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0D86A9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97DA79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4929D4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7A77AD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F2054B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65F86D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9C4B81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AD6A62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7B17D5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F23260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2770B8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C01EED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13596A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342CFF5D" w14:textId="77777777" w:rsidTr="00C336CB">
        <w:trPr>
          <w:trHeight w:val="320"/>
        </w:trPr>
        <w:tc>
          <w:tcPr>
            <w:tcW w:w="0" w:type="auto"/>
            <w:tcBorders>
              <w:top w:val="nil"/>
              <w:left w:val="nil"/>
              <w:bottom w:val="nil"/>
              <w:right w:val="nil"/>
            </w:tcBorders>
            <w:shd w:val="clear" w:color="auto" w:fill="auto"/>
            <w:noWrap/>
            <w:vAlign w:val="center"/>
            <w:hideMark/>
          </w:tcPr>
          <w:p w14:paraId="7FB40236" w14:textId="3E36A97D"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Li et al. </w:t>
            </w:r>
            <w:r w:rsidR="001404FA">
              <w:rPr>
                <w:rFonts w:ascii="Times New Roman" w:eastAsia="Times New Roman" w:hAnsi="Times New Roman" w:cs="Times New Roman"/>
                <w:color w:val="000000"/>
                <w:sz w:val="13"/>
                <w:szCs w:val="13"/>
                <w:lang w:eastAsia="de-DE"/>
              </w:rPr>
              <w:fldChar w:fldCharType="begin"/>
            </w:r>
            <w:r w:rsidR="001404FA">
              <w:rPr>
                <w:rFonts w:ascii="Times New Roman" w:eastAsia="Times New Roman" w:hAnsi="Times New Roman" w:cs="Times New Roman"/>
                <w:color w:val="000000"/>
                <w:sz w:val="13"/>
                <w:szCs w:val="13"/>
                <w:lang w:eastAsia="de-DE"/>
              </w:rPr>
              <w:instrText xml:space="preserve"> ADDIN ZOTERO_ITEM CSL_CITATION {"citationID":"ND0tRysI","properties":{"formattedCitation":"\\super 24\\nosupersub{}","plainCitation":"24","noteIndex":0},"citationItems":[{"id":230,"uris":["http://zotero.org/users/local/4rfnQu81/items/PZNZDXYI"],"uri":["http://zotero.org/users/local/4rfnQu81/items/PZNZDXYI"],"itemData":{"id":230,"type":"article-journal","container-title":"Thrombosis Research","DOI":"10.1016/j.thromres.2020.05.050","ISSN":"18792472","issue":"May","note":"PMID: 32505080","page":"22–24","title":"A case of COVID-19 pneumonia with cerebral hemorrhage","volume":"193","author":[{"family":"Li","given":"Jingwen"},{"family":"Long","given":"Xi"},{"family":"Zhu","given":"Chunli"},{"family":"Hu","given":"Shaoping"},{"family":"Lin","given":"Zhicheng"},{"family":"Li","given":"Jinghong"},{"family":"Xiong","given":"Nian"}],"issued":{"date-parts":[["2020"]]}}}],"schema":"https://github.com/citation-style-language/schema/raw/master/csl-citation.json"} </w:instrText>
            </w:r>
            <w:r w:rsidR="001404FA">
              <w:rPr>
                <w:rFonts w:ascii="Times New Roman" w:eastAsia="Times New Roman" w:hAnsi="Times New Roman" w:cs="Times New Roman"/>
                <w:color w:val="000000"/>
                <w:sz w:val="13"/>
                <w:szCs w:val="13"/>
                <w:lang w:eastAsia="de-DE"/>
              </w:rPr>
              <w:fldChar w:fldCharType="separate"/>
            </w:r>
            <w:r w:rsidR="001404FA" w:rsidRPr="001404FA">
              <w:rPr>
                <w:rFonts w:ascii="Times New Roman" w:hAnsi="Times New Roman" w:cs="Times New Roman"/>
                <w:color w:val="000000"/>
                <w:sz w:val="13"/>
                <w:vertAlign w:val="superscript"/>
                <w:lang w:val="de-DE"/>
              </w:rPr>
              <w:t>24</w:t>
            </w:r>
            <w:r w:rsidR="001404FA">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37C5C4E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3920CD4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A700F6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80CEBB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2BBB5E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68</w:t>
            </w:r>
          </w:p>
        </w:tc>
        <w:tc>
          <w:tcPr>
            <w:tcW w:w="0" w:type="auto"/>
            <w:tcBorders>
              <w:top w:val="nil"/>
              <w:left w:val="nil"/>
              <w:bottom w:val="nil"/>
              <w:right w:val="nil"/>
            </w:tcBorders>
            <w:shd w:val="clear" w:color="auto" w:fill="auto"/>
            <w:noWrap/>
            <w:vAlign w:val="center"/>
            <w:hideMark/>
          </w:tcPr>
          <w:p w14:paraId="163D4FE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492E4E1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1076C30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724313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27FFC3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2FCAF6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2E1532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93F655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01E8D1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F16D1A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97656B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BE8F91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3A93FD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F02524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71B325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967884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3E2EC1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389382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23D0B2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AE2048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BD57B3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7E4358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8E692B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18ED2F54" w14:textId="77777777" w:rsidTr="00C336CB">
        <w:trPr>
          <w:trHeight w:val="320"/>
        </w:trPr>
        <w:tc>
          <w:tcPr>
            <w:tcW w:w="0" w:type="auto"/>
            <w:tcBorders>
              <w:top w:val="nil"/>
              <w:left w:val="nil"/>
              <w:bottom w:val="nil"/>
              <w:right w:val="nil"/>
            </w:tcBorders>
            <w:shd w:val="clear" w:color="auto" w:fill="auto"/>
            <w:noWrap/>
            <w:vAlign w:val="center"/>
            <w:hideMark/>
          </w:tcPr>
          <w:p w14:paraId="3D4D6C8D" w14:textId="6D0EAD59"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lastRenderedPageBreak/>
              <w:t xml:space="preserve">Montes-Ramirez et al. </w:t>
            </w:r>
            <w:r w:rsidR="001404FA">
              <w:rPr>
                <w:rFonts w:ascii="Times New Roman" w:eastAsia="Times New Roman" w:hAnsi="Times New Roman" w:cs="Times New Roman"/>
                <w:color w:val="000000"/>
                <w:sz w:val="13"/>
                <w:szCs w:val="13"/>
                <w:lang w:eastAsia="de-DE"/>
              </w:rPr>
              <w:fldChar w:fldCharType="begin"/>
            </w:r>
            <w:r w:rsidR="001404FA">
              <w:rPr>
                <w:rFonts w:ascii="Times New Roman" w:eastAsia="Times New Roman" w:hAnsi="Times New Roman" w:cs="Times New Roman"/>
                <w:color w:val="000000"/>
                <w:sz w:val="13"/>
                <w:szCs w:val="13"/>
                <w:lang w:eastAsia="de-DE"/>
              </w:rPr>
              <w:instrText xml:space="preserve"> ADDIN ZOTERO_ITEM CSL_CITATION {"citationID":"wna9U7P2","properties":{"formattedCitation":"\\super 25\\nosupersub{}","plainCitation":"25","noteIndex":0},"citationItems":[{"id":86,"uris":["http://zotero.org/users/local/4rfnQu81/items/GSUACXAF"],"uri":["http://zotero.org/users/local/4rfnQu81/items/GSUACXAF"],"itemData":{"id":86,"type":"article-journal","container-title":"International Journal of Gynecology and Obstetrics","DOI":"10.1002/ijgo.13399","ISSN":"18793479","issue":"3","note":"PMID: 32989729","page":"466–467","title":"COVID-19-associated diffuse leukoencephalopathy and cerebral microbleeds during puerperium","volume":"151","author":[{"family":"Montes-Ramirez","given":"Juan"},{"family":"Aquino-Lopez","given":"Edgar"}],"issued":{"date-parts":[["2020"]]}}}],"schema":"https://github.com/citation-style-language/schema/raw/master/csl-citation.json"} </w:instrText>
            </w:r>
            <w:r w:rsidR="001404FA">
              <w:rPr>
                <w:rFonts w:ascii="Times New Roman" w:eastAsia="Times New Roman" w:hAnsi="Times New Roman" w:cs="Times New Roman"/>
                <w:color w:val="000000"/>
                <w:sz w:val="13"/>
                <w:szCs w:val="13"/>
                <w:lang w:eastAsia="de-DE"/>
              </w:rPr>
              <w:fldChar w:fldCharType="separate"/>
            </w:r>
            <w:r w:rsidR="001404FA" w:rsidRPr="001404FA">
              <w:rPr>
                <w:rFonts w:ascii="Times New Roman" w:hAnsi="Times New Roman" w:cs="Times New Roman"/>
                <w:color w:val="000000"/>
                <w:sz w:val="13"/>
                <w:vertAlign w:val="superscript"/>
                <w:lang w:val="de-DE"/>
              </w:rPr>
              <w:t>25</w:t>
            </w:r>
            <w:r w:rsidR="001404FA">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5E4A27E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5DEA8C9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A210A8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09D85F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628C23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27</w:t>
            </w:r>
          </w:p>
        </w:tc>
        <w:tc>
          <w:tcPr>
            <w:tcW w:w="0" w:type="auto"/>
            <w:tcBorders>
              <w:top w:val="nil"/>
              <w:left w:val="nil"/>
              <w:bottom w:val="nil"/>
              <w:right w:val="nil"/>
            </w:tcBorders>
            <w:shd w:val="clear" w:color="auto" w:fill="auto"/>
            <w:noWrap/>
            <w:vAlign w:val="center"/>
            <w:hideMark/>
          </w:tcPr>
          <w:p w14:paraId="04AFE3B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6ABFC99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Recovery</w:t>
            </w:r>
          </w:p>
        </w:tc>
        <w:tc>
          <w:tcPr>
            <w:tcW w:w="0" w:type="auto"/>
            <w:tcBorders>
              <w:top w:val="nil"/>
              <w:left w:val="nil"/>
              <w:bottom w:val="nil"/>
              <w:right w:val="nil"/>
            </w:tcBorders>
            <w:shd w:val="clear" w:color="auto" w:fill="auto"/>
            <w:noWrap/>
            <w:vAlign w:val="center"/>
            <w:hideMark/>
          </w:tcPr>
          <w:p w14:paraId="5AA62F4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46F925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74D5F7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E53D52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1254E9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F443E9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821CA8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3633BD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0FB73B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991CC7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95E3E3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F8667E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24CD62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8C113D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224539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6A6975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008271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3D0725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EBEB33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4EF2A3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634426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088E61CC" w14:textId="77777777" w:rsidTr="00C336CB">
        <w:trPr>
          <w:trHeight w:val="320"/>
        </w:trPr>
        <w:tc>
          <w:tcPr>
            <w:tcW w:w="0" w:type="auto"/>
            <w:tcBorders>
              <w:top w:val="nil"/>
              <w:left w:val="nil"/>
              <w:bottom w:val="nil"/>
              <w:right w:val="nil"/>
            </w:tcBorders>
            <w:shd w:val="clear" w:color="auto" w:fill="auto"/>
            <w:noWrap/>
            <w:vAlign w:val="center"/>
            <w:hideMark/>
          </w:tcPr>
          <w:p w14:paraId="5E3D6635" w14:textId="1DB3BAD0"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Motoie et al. </w:t>
            </w:r>
            <w:r w:rsidR="001404FA">
              <w:rPr>
                <w:rFonts w:ascii="Times New Roman" w:eastAsia="Times New Roman" w:hAnsi="Times New Roman" w:cs="Times New Roman"/>
                <w:color w:val="000000"/>
                <w:sz w:val="13"/>
                <w:szCs w:val="13"/>
                <w:lang w:eastAsia="de-DE"/>
              </w:rPr>
              <w:fldChar w:fldCharType="begin"/>
            </w:r>
            <w:r w:rsidR="001404FA">
              <w:rPr>
                <w:rFonts w:ascii="Times New Roman" w:eastAsia="Times New Roman" w:hAnsi="Times New Roman" w:cs="Times New Roman"/>
                <w:color w:val="000000"/>
                <w:sz w:val="13"/>
                <w:szCs w:val="13"/>
                <w:lang w:eastAsia="de-DE"/>
              </w:rPr>
              <w:instrText xml:space="preserve"> ADDIN ZOTERO_ITEM CSL_CITATION {"citationID":"s3qRLTEK","properties":{"formattedCitation":"\\super 26\\nosupersub{}","plainCitation":"26","noteIndex":0},"citationItems":[{"id":119,"uris":["http://zotero.org/users/local/4rfnQu81/items/47U67ZA7"],"uri":["http://zotero.org/users/local/4rfnQu81/items/47U67ZA7"],"itemData":{"id":119,"type":"article-journal","abstract":"The relationship between coronavirus disease 2019 (COVID-19) and intracerebral hemorrhage remains unclear. We herein report a case of severe COVID-19 pneumonia complicated by multiple simultaneous intracerebral hemorrhages (MSICH). The patient died eight days after the episode of MSICH. No apparent coagulopathy was observed; however, extracorporeal membrane oxygenation and anticoagulation might have caused the occurrence of MSICH. Laboratory findings showed hypercoagulability, suggesting that thrombotic etiologies, such as sinus thrombosis or cerebral infarction, might also have caused MSICH. MSICH can occur as a fatal complication of COVID-19, and this should be considered when providing treatment.","container-title":"Internal medicine (Tokyo, Japan)","DOI":"10.2169/internalmedicine.5697-20","ISSN":"1349-7235 (Electronic)","issue":"20","language":"eng","note":"PMID: 32893231","page":"2597–2600","title":"Coronavirus Disease 2019 Complicated by Multiple Simultaneous Intracerebral Hemorrhages.","volume":"59","author":[{"family":"Motoie","given":"Ryota"},{"family":"Akai","given":"Masaya"},{"family":"Kitahara","given":"Takahiro"},{"family":"Imamura","given":"Hisaji"},{"family":"Tanabe","given":"Takeshi"},{"family":"Sarazawa","given":"Katsuhiko"},{"family":"Takano","given":"Seiichiro"},{"family":"Toda","given":"Hiroki"},{"family":"Komatsu","given":"Kazuto"}],"issued":{"date-parts":[["2020",10]]}}}],"schema":"https://github.com/citation-style-language/schema/raw/master/csl-citation.json"} </w:instrText>
            </w:r>
            <w:r w:rsidR="001404FA">
              <w:rPr>
                <w:rFonts w:ascii="Times New Roman" w:eastAsia="Times New Roman" w:hAnsi="Times New Roman" w:cs="Times New Roman"/>
                <w:color w:val="000000"/>
                <w:sz w:val="13"/>
                <w:szCs w:val="13"/>
                <w:lang w:eastAsia="de-DE"/>
              </w:rPr>
              <w:fldChar w:fldCharType="separate"/>
            </w:r>
            <w:r w:rsidR="001404FA" w:rsidRPr="001404FA">
              <w:rPr>
                <w:rFonts w:ascii="Times New Roman" w:hAnsi="Times New Roman" w:cs="Times New Roman"/>
                <w:color w:val="000000"/>
                <w:sz w:val="13"/>
                <w:vertAlign w:val="superscript"/>
                <w:lang w:val="de-DE"/>
              </w:rPr>
              <w:t>26</w:t>
            </w:r>
            <w:r w:rsidR="001404FA">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7486DE0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7500F6D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10B058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EDEE68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83E998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55</w:t>
            </w:r>
          </w:p>
        </w:tc>
        <w:tc>
          <w:tcPr>
            <w:tcW w:w="0" w:type="auto"/>
            <w:tcBorders>
              <w:top w:val="nil"/>
              <w:left w:val="nil"/>
              <w:bottom w:val="nil"/>
              <w:right w:val="nil"/>
            </w:tcBorders>
            <w:shd w:val="clear" w:color="auto" w:fill="auto"/>
            <w:noWrap/>
            <w:vAlign w:val="center"/>
            <w:hideMark/>
          </w:tcPr>
          <w:p w14:paraId="049439F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457F95F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4AA9D0A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FB70E1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CA40CE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C90BD1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7B2B86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E5A19B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19985E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9B1E10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811BC2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B6C12F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C21403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2A847D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CD87A6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7DD0BA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614C2A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57CA1B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953C40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D948B1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6A830C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D63B98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5D1403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r>
      <w:tr w:rsidR="00CE05CD" w:rsidRPr="00C336CB" w14:paraId="58AAFAFF" w14:textId="77777777" w:rsidTr="00C336CB">
        <w:trPr>
          <w:trHeight w:val="320"/>
        </w:trPr>
        <w:tc>
          <w:tcPr>
            <w:tcW w:w="0" w:type="auto"/>
            <w:tcBorders>
              <w:top w:val="nil"/>
              <w:left w:val="nil"/>
              <w:bottom w:val="nil"/>
              <w:right w:val="nil"/>
            </w:tcBorders>
            <w:shd w:val="clear" w:color="auto" w:fill="auto"/>
            <w:noWrap/>
            <w:vAlign w:val="center"/>
            <w:hideMark/>
          </w:tcPr>
          <w:p w14:paraId="594A7C84" w14:textId="710BC425"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r w:rsidR="001404FA">
              <w:rPr>
                <w:rFonts w:ascii="Times New Roman" w:eastAsia="Times New Roman" w:hAnsi="Times New Roman" w:cs="Times New Roman"/>
                <w:color w:val="000000"/>
                <w:sz w:val="13"/>
                <w:szCs w:val="13"/>
                <w:lang w:val="de-DE" w:eastAsia="de-DE"/>
              </w:rPr>
              <w:t>u</w:t>
            </w:r>
            <w:r w:rsidRPr="00C336CB">
              <w:rPr>
                <w:rFonts w:ascii="Times New Roman" w:eastAsia="Times New Roman" w:hAnsi="Times New Roman" w:cs="Times New Roman"/>
                <w:color w:val="000000"/>
                <w:sz w:val="13"/>
                <w:szCs w:val="13"/>
                <w:lang w:eastAsia="de-DE"/>
              </w:rPr>
              <w:t xml:space="preserve">hammad et al. </w:t>
            </w:r>
            <w:r w:rsidR="001404FA">
              <w:rPr>
                <w:rFonts w:ascii="Times New Roman" w:eastAsia="Times New Roman" w:hAnsi="Times New Roman" w:cs="Times New Roman"/>
                <w:color w:val="000000"/>
                <w:sz w:val="13"/>
                <w:szCs w:val="13"/>
                <w:lang w:eastAsia="de-DE"/>
              </w:rPr>
              <w:fldChar w:fldCharType="begin"/>
            </w:r>
            <w:r w:rsidR="001404FA">
              <w:rPr>
                <w:rFonts w:ascii="Times New Roman" w:eastAsia="Times New Roman" w:hAnsi="Times New Roman" w:cs="Times New Roman"/>
                <w:color w:val="000000"/>
                <w:sz w:val="13"/>
                <w:szCs w:val="13"/>
                <w:lang w:eastAsia="de-DE"/>
              </w:rPr>
              <w:instrText xml:space="preserve"> ADDIN ZOTERO_ITEM CSL_CITATION {"citationID":"5aRqVsUC","properties":{"formattedCitation":"\\super 27\\nosupersub{}","plainCitation":"27","noteIndex":0},"citationItems":[{"id":3109,"uris":["http://zotero.org/users/local/4rfnQu81/items/J823JCPK"],"uri":["http://zotero.org/users/local/4rfnQu81/items/J823JCPK"],"itemData":{"id":3109,"type":"article-journal","container-title":"Brain, behavior, and immunity","DOI":"10.1016/j.bbi.2020.05.015","ISSN":"1090-2139 (Electronic)","language":"eng","note":"PMID: 32387342\nCitation Key: Muhammad2020","page":"150-151","title":"Letter to editor: Severe brain haemorrhage and concomitant COVID-19 Infection: A  neurovascular complication of COVID-19.","volume":"87","author":[{"family":"Muhammad","given":"Sajjad"},{"family":"Petridis","given":"Athanasios"},{"family":"Cornelius","given":"Jan Frederick"},{"family":"Hänggi","given":"Daniel"}],"issued":{"date-parts":[["2020",7]]}}}],"schema":"https://github.com/citation-style-language/schema/raw/master/csl-citation.json"} </w:instrText>
            </w:r>
            <w:r w:rsidR="001404FA">
              <w:rPr>
                <w:rFonts w:ascii="Times New Roman" w:eastAsia="Times New Roman" w:hAnsi="Times New Roman" w:cs="Times New Roman"/>
                <w:color w:val="000000"/>
                <w:sz w:val="13"/>
                <w:szCs w:val="13"/>
                <w:lang w:eastAsia="de-DE"/>
              </w:rPr>
              <w:fldChar w:fldCharType="separate"/>
            </w:r>
            <w:r w:rsidR="001404FA" w:rsidRPr="001404FA">
              <w:rPr>
                <w:rFonts w:ascii="Times New Roman" w:hAnsi="Times New Roman" w:cs="Times New Roman"/>
                <w:color w:val="000000"/>
                <w:sz w:val="13"/>
                <w:vertAlign w:val="superscript"/>
                <w:lang w:val="de-DE"/>
              </w:rPr>
              <w:t>27</w:t>
            </w:r>
            <w:r w:rsidR="001404FA">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1997B0A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6B60518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923981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58F205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ED8B65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60</w:t>
            </w:r>
          </w:p>
        </w:tc>
        <w:tc>
          <w:tcPr>
            <w:tcW w:w="0" w:type="auto"/>
            <w:tcBorders>
              <w:top w:val="nil"/>
              <w:left w:val="nil"/>
              <w:bottom w:val="nil"/>
              <w:right w:val="nil"/>
            </w:tcBorders>
            <w:shd w:val="clear" w:color="auto" w:fill="auto"/>
            <w:noWrap/>
            <w:vAlign w:val="center"/>
            <w:hideMark/>
          </w:tcPr>
          <w:p w14:paraId="4AD7464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3FAFC72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Uncomplicated</w:t>
            </w:r>
          </w:p>
        </w:tc>
        <w:tc>
          <w:tcPr>
            <w:tcW w:w="0" w:type="auto"/>
            <w:tcBorders>
              <w:top w:val="nil"/>
              <w:left w:val="nil"/>
              <w:bottom w:val="nil"/>
              <w:right w:val="nil"/>
            </w:tcBorders>
            <w:shd w:val="clear" w:color="auto" w:fill="auto"/>
            <w:noWrap/>
            <w:vAlign w:val="center"/>
            <w:hideMark/>
          </w:tcPr>
          <w:p w14:paraId="5577968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7D5B85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D0CD30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008274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3D6CA8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2251FD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5438A2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B177DC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F40974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BF7644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CCF566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932A05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63EB57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EC4CAD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EA5379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352BE9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866E18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DE5D73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57F6D5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493950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CC9EEC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2A2D8B7C" w14:textId="77777777" w:rsidTr="00C336CB">
        <w:trPr>
          <w:trHeight w:val="320"/>
        </w:trPr>
        <w:tc>
          <w:tcPr>
            <w:tcW w:w="0" w:type="auto"/>
            <w:tcBorders>
              <w:top w:val="nil"/>
              <w:left w:val="nil"/>
              <w:bottom w:val="nil"/>
              <w:right w:val="nil"/>
            </w:tcBorders>
            <w:shd w:val="clear" w:color="auto" w:fill="auto"/>
            <w:noWrap/>
            <w:vAlign w:val="center"/>
            <w:hideMark/>
          </w:tcPr>
          <w:p w14:paraId="326BEE3E" w14:textId="07B85258"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Planinc et al. </w:t>
            </w:r>
            <w:r w:rsidR="001404FA">
              <w:rPr>
                <w:rFonts w:ascii="Times New Roman" w:eastAsia="Times New Roman" w:hAnsi="Times New Roman" w:cs="Times New Roman"/>
                <w:color w:val="000000"/>
                <w:sz w:val="13"/>
                <w:szCs w:val="13"/>
                <w:lang w:eastAsia="de-DE"/>
              </w:rPr>
              <w:fldChar w:fldCharType="begin"/>
            </w:r>
            <w:r w:rsidR="001404FA">
              <w:rPr>
                <w:rFonts w:ascii="Times New Roman" w:eastAsia="Times New Roman" w:hAnsi="Times New Roman" w:cs="Times New Roman"/>
                <w:color w:val="000000"/>
                <w:sz w:val="13"/>
                <w:szCs w:val="13"/>
                <w:lang w:eastAsia="de-DE"/>
              </w:rPr>
              <w:instrText xml:space="preserve"> ADDIN ZOTERO_ITEM CSL_CITATION {"citationID":"TknZCoIz","properties":{"formattedCitation":"\\super 28\\nosupersub{}","plainCitation":"28","noteIndex":0},"citationItems":[{"id":199,"uris":["http://zotero.org/users/local/4rfnQu81/items/VG6FBJUY"],"uri":["http://zotero.org/users/local/4rfnQu81/items/VG6FBJUY"],"itemData":{"id":199,"type":"article-journal","container-title":"British Journal of Hospital Medicine","DOI":"10.12968/hmed.2020.0366","ISSN":"17597390","issue":"8","note":"PMID: 32845754","page":"6–8","title":"Acute stroke showing cerebral infarcts and microbleeds in a 31-year-old man with covid-19 pneumonia","volume":"81","author":[{"family":"Planinc","given":"Domen"},{"family":"El-Rekaby","given":"Aktham"},{"family":"Sivakumar","given":"Ramachandran"},{"family":"Saksena","given":"Rajesh"},{"family":"Ngeh","given":"Joseph"}],"issued":{"date-parts":[["2020"]]}}}],"schema":"https://github.com/citation-style-language/schema/raw/master/csl-citation.json"} </w:instrText>
            </w:r>
            <w:r w:rsidR="001404FA">
              <w:rPr>
                <w:rFonts w:ascii="Times New Roman" w:eastAsia="Times New Roman" w:hAnsi="Times New Roman" w:cs="Times New Roman"/>
                <w:color w:val="000000"/>
                <w:sz w:val="13"/>
                <w:szCs w:val="13"/>
                <w:lang w:eastAsia="de-DE"/>
              </w:rPr>
              <w:fldChar w:fldCharType="separate"/>
            </w:r>
            <w:r w:rsidR="001404FA" w:rsidRPr="001404FA">
              <w:rPr>
                <w:rFonts w:ascii="Times New Roman" w:hAnsi="Times New Roman" w:cs="Times New Roman"/>
                <w:color w:val="000000"/>
                <w:sz w:val="13"/>
                <w:vertAlign w:val="superscript"/>
                <w:lang w:val="de-DE"/>
              </w:rPr>
              <w:t>28</w:t>
            </w:r>
            <w:r w:rsidR="001404FA">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719F7FA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0EF2618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39327F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F711EF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1BE140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31</w:t>
            </w:r>
          </w:p>
        </w:tc>
        <w:tc>
          <w:tcPr>
            <w:tcW w:w="0" w:type="auto"/>
            <w:tcBorders>
              <w:top w:val="nil"/>
              <w:left w:val="nil"/>
              <w:bottom w:val="nil"/>
              <w:right w:val="nil"/>
            </w:tcBorders>
            <w:shd w:val="clear" w:color="auto" w:fill="auto"/>
            <w:noWrap/>
            <w:vAlign w:val="center"/>
            <w:hideMark/>
          </w:tcPr>
          <w:p w14:paraId="2413BED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248C231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2F2A973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FF8413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1E9ECB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629E76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09EBDC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4E4061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ACB598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637805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A42744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2737AE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33E786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E9D359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01DFAE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930803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4B2715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CB3613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8A5347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4DA05E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B215ED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A4105F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B8FECF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1F93EECF" w14:textId="77777777" w:rsidTr="00C336CB">
        <w:trPr>
          <w:trHeight w:val="320"/>
        </w:trPr>
        <w:tc>
          <w:tcPr>
            <w:tcW w:w="0" w:type="auto"/>
            <w:tcBorders>
              <w:top w:val="nil"/>
              <w:left w:val="nil"/>
              <w:bottom w:val="nil"/>
              <w:right w:val="nil"/>
            </w:tcBorders>
            <w:shd w:val="clear" w:color="auto" w:fill="auto"/>
            <w:noWrap/>
            <w:vAlign w:val="center"/>
            <w:hideMark/>
          </w:tcPr>
          <w:p w14:paraId="304CE7E5" w14:textId="6005845B"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Shekhar et al. </w:t>
            </w:r>
            <w:r w:rsidR="001404FA">
              <w:rPr>
                <w:rFonts w:ascii="Times New Roman" w:eastAsia="Times New Roman" w:hAnsi="Times New Roman" w:cs="Times New Roman"/>
                <w:color w:val="000000"/>
                <w:sz w:val="13"/>
                <w:szCs w:val="13"/>
                <w:lang w:eastAsia="de-DE"/>
              </w:rPr>
              <w:fldChar w:fldCharType="begin"/>
            </w:r>
            <w:r w:rsidR="000E090B">
              <w:rPr>
                <w:rFonts w:ascii="Times New Roman" w:eastAsia="Times New Roman" w:hAnsi="Times New Roman" w:cs="Times New Roman"/>
                <w:color w:val="000000"/>
                <w:sz w:val="13"/>
                <w:szCs w:val="13"/>
                <w:lang w:eastAsia="de-DE"/>
              </w:rPr>
              <w:instrText xml:space="preserve"> ADDIN ZOTERO_ITEM CSL_CITATION {"citationID":"jLxrCBT1","properties":{"formattedCitation":"\\super 29\\nosupersub{}","plainCitation":"29","noteIndex":0},"citationItems":[{"id":196,"uris":["http://zotero.org/users/local/4rfnQu81/items/6RCE9UEN"],"uri":["http://zotero.org/users/local/4rfnQu81/items/6RCE9UEN"],"itemData":{"id":196,"type":"article-journal","abstract":"OBJECTIVE: To study the central nervous system (CNS) complications in patients with COVID-19 infection especially among Native American population in the current pandemic of severe acute respiratory syndrome virus (COVID-19). METHODS: Patients with confirmed COVID-19 infection at University of New Mexico hospital (UNMH) were screened for development of neurological complications during Feb 01 to April 29, 2020 via retrospective chart review. RESULTS: Total of 90 hospitalized patients were screened. Out of seven patients, majority were Native Americans females, and developed neurological complications including subarachnoid hemorrhage (SAH), Intraparenchymal hemorrhage (IPH), Ischemic stroke (IS) and seizure. All 7 patients required Intensive care unit (ICU) level of care. Patients who developed CNS complications other than seizure were females in the younger age group (4 patients, 38-58 years) with poor outcome. Out of 7, three developed subarachnoid hemorrhage, two developed ischemic infarction, and four developed seizure. Two patients with hemorrhagic complication expired during the course of hospitalization. All three patients with seizure were discharged to home. CONCLUSION: Patients with serious CNS complications secondary to COVID-19 infection were observed to be Native Americans. Patients who developed hemorrhagic or ischemic events were observed to have poor outcomes as compared to patients who developed seizures.","container-title":"Journal of stroke and cerebrovascular diseases : the official journal of National Stroke Association","DOI":"10.1016/j.jstrokecerebrovasdis.2020.105260","ISSN":"1532-8511 (Electronic)","issue":"12","language":"eng","note":"PMID: 32992176","page":"105260","title":"Neurological Complications Among Native Americans with COVID-19: Our Experience at a Tertiary Care Academic Hospital in the U.S.","volume":"29","author":[{"family":"Shekhar","given":"Rahul"},{"family":"Sheikh","given":"Abu Baker"},{"family":"Suriya","given":"Sajid S"},{"family":"Upadhyay","given":"Shubra"},{"family":"Zafar","given":"Atif"}],"issued":{"date-parts":[["2020",8]]}}}],"schema":"https://github.com/citation-style-language/schema/raw/master/csl-citation.json"} </w:instrText>
            </w:r>
            <w:r w:rsidR="001404FA">
              <w:rPr>
                <w:rFonts w:ascii="Times New Roman" w:eastAsia="Times New Roman" w:hAnsi="Times New Roman" w:cs="Times New Roman"/>
                <w:color w:val="000000"/>
                <w:sz w:val="13"/>
                <w:szCs w:val="13"/>
                <w:lang w:eastAsia="de-DE"/>
              </w:rPr>
              <w:fldChar w:fldCharType="separate"/>
            </w:r>
            <w:r w:rsidR="000E090B" w:rsidRPr="000E090B">
              <w:rPr>
                <w:rFonts w:ascii="Times New Roman" w:hAnsi="Times New Roman" w:cs="Times New Roman"/>
                <w:color w:val="000000"/>
                <w:sz w:val="13"/>
                <w:vertAlign w:val="superscript"/>
                <w:lang w:val="de-DE"/>
              </w:rPr>
              <w:t>29</w:t>
            </w:r>
            <w:r w:rsidR="001404FA">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1168F97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0337D3D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FC728D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6758C8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69C12A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38</w:t>
            </w:r>
          </w:p>
        </w:tc>
        <w:tc>
          <w:tcPr>
            <w:tcW w:w="0" w:type="auto"/>
            <w:tcBorders>
              <w:top w:val="nil"/>
              <w:left w:val="nil"/>
              <w:bottom w:val="nil"/>
              <w:right w:val="nil"/>
            </w:tcBorders>
            <w:shd w:val="clear" w:color="auto" w:fill="auto"/>
            <w:noWrap/>
            <w:vAlign w:val="center"/>
            <w:hideMark/>
          </w:tcPr>
          <w:p w14:paraId="6C841F5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23B3B09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3F8B46A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D2384A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6A42B9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32A346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5290B6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2A6C91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37DD91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DFF123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D6B8CC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205317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C47ADB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4E15A7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4587E9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1FD4E4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DB006E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506A0D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A5543C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41603C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B9CDFD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C44D59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7C2AD1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47712ED5" w14:textId="77777777" w:rsidTr="00C336CB">
        <w:trPr>
          <w:trHeight w:val="320"/>
        </w:trPr>
        <w:tc>
          <w:tcPr>
            <w:tcW w:w="0" w:type="auto"/>
            <w:tcBorders>
              <w:top w:val="nil"/>
              <w:left w:val="nil"/>
              <w:bottom w:val="nil"/>
              <w:right w:val="nil"/>
            </w:tcBorders>
            <w:shd w:val="clear" w:color="auto" w:fill="auto"/>
            <w:noWrap/>
            <w:vAlign w:val="center"/>
            <w:hideMark/>
          </w:tcPr>
          <w:p w14:paraId="093D3738" w14:textId="4322095A"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Shekhar et al. </w:t>
            </w:r>
            <w:r w:rsidR="000E090B">
              <w:rPr>
                <w:rFonts w:ascii="Times New Roman" w:eastAsia="Times New Roman" w:hAnsi="Times New Roman" w:cs="Times New Roman"/>
                <w:color w:val="000000"/>
                <w:sz w:val="13"/>
                <w:szCs w:val="13"/>
                <w:lang w:eastAsia="de-DE"/>
              </w:rPr>
              <w:fldChar w:fldCharType="begin"/>
            </w:r>
            <w:r w:rsidR="000E090B">
              <w:rPr>
                <w:rFonts w:ascii="Times New Roman" w:eastAsia="Times New Roman" w:hAnsi="Times New Roman" w:cs="Times New Roman"/>
                <w:color w:val="000000"/>
                <w:sz w:val="13"/>
                <w:szCs w:val="13"/>
                <w:lang w:eastAsia="de-DE"/>
              </w:rPr>
              <w:instrText xml:space="preserve"> ADDIN ZOTERO_ITEM CSL_CITATION {"citationID":"ReFc7l4L","properties":{"formattedCitation":"\\super 29\\nosupersub{}","plainCitation":"29","noteIndex":0},"citationItems":[{"id":196,"uris":["http://zotero.org/users/local/4rfnQu81/items/6RCE9UEN"],"uri":["http://zotero.org/users/local/4rfnQu81/items/6RCE9UEN"],"itemData":{"id":196,"type":"article-journal","abstract":"OBJECTIVE: To study the central nervous system (CNS) complications in patients with COVID-19 infection especially among Native American population in the current pandemic of severe acute respiratory syndrome virus (COVID-19). METHODS: Patients with confirmed COVID-19 infection at University of New Mexico hospital (UNMH) were screened for development of neurological complications during Feb 01 to April 29, 2020 via retrospective chart review. RESULTS: Total of 90 hospitalized patients were screened. Out of seven patients, majority were Native Americans females, and developed neurological complications including subarachnoid hemorrhage (SAH), Intraparenchymal hemorrhage (IPH), Ischemic stroke (IS) and seizure. All 7 patients required Intensive care unit (ICU) level of care. Patients who developed CNS complications other than seizure were females in the younger age group (4 patients, 38-58 years) with poor outcome. Out of 7, three developed subarachnoid hemorrhage, two developed ischemic infarction, and four developed seizure. Two patients with hemorrhagic complication expired during the course of hospitalization. All three patients with seizure were discharged to home. CONCLUSION: Patients with serious CNS complications secondary to COVID-19 infection were observed to be Native Americans. Patients who developed hemorrhagic or ischemic events were observed to have poor outcomes as compared to patients who developed seizures.","container-title":"Journal of stroke and cerebrovascular diseases : the official journal of National Stroke Association","DOI":"10.1016/j.jstrokecerebrovasdis.2020.105260","ISSN":"1532-8511 (Electronic)","issue":"12","language":"eng","note":"PMID: 32992176","page":"105260","title":"Neurological Complications Among Native Americans with COVID-19: Our Experience at a Tertiary Care Academic Hospital in the U.S.","volume":"29","author":[{"family":"Shekhar","given":"Rahul"},{"family":"Sheikh","given":"Abu Baker"},{"family":"Suriya","given":"Sajid S"},{"family":"Upadhyay","given":"Shubra"},{"family":"Zafar","given":"Atif"}],"issued":{"date-parts":[["2020",8]]}}}],"schema":"https://github.com/citation-style-language/schema/raw/master/csl-citation.json"} </w:instrText>
            </w:r>
            <w:r w:rsidR="000E090B">
              <w:rPr>
                <w:rFonts w:ascii="Times New Roman" w:eastAsia="Times New Roman" w:hAnsi="Times New Roman" w:cs="Times New Roman"/>
                <w:color w:val="000000"/>
                <w:sz w:val="13"/>
                <w:szCs w:val="13"/>
                <w:lang w:eastAsia="de-DE"/>
              </w:rPr>
              <w:fldChar w:fldCharType="separate"/>
            </w:r>
            <w:r w:rsidR="000E090B" w:rsidRPr="000E090B">
              <w:rPr>
                <w:rFonts w:ascii="Times New Roman" w:hAnsi="Times New Roman" w:cs="Times New Roman"/>
                <w:color w:val="000000"/>
                <w:sz w:val="13"/>
                <w:vertAlign w:val="superscript"/>
                <w:lang w:val="de-DE"/>
              </w:rPr>
              <w:t>29</w:t>
            </w:r>
            <w:r w:rsidR="000E090B">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0C7C25C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11C2133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D69041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0CEED0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D67028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47</w:t>
            </w:r>
          </w:p>
        </w:tc>
        <w:tc>
          <w:tcPr>
            <w:tcW w:w="0" w:type="auto"/>
            <w:tcBorders>
              <w:top w:val="nil"/>
              <w:left w:val="nil"/>
              <w:bottom w:val="nil"/>
              <w:right w:val="nil"/>
            </w:tcBorders>
            <w:shd w:val="clear" w:color="auto" w:fill="auto"/>
            <w:noWrap/>
            <w:vAlign w:val="center"/>
            <w:hideMark/>
          </w:tcPr>
          <w:p w14:paraId="33D7B8C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75D765D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636A6C2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4C4E56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0A2295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819B96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DEAEF2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8E658C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7E7C1E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107647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3A5C1A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9032C1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9C0257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B69D9F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6DA9D4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BCFDB5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01EAE2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40C4A0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6803D3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0BA396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33A1CD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771ECF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89D107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715E7A02" w14:textId="77777777" w:rsidTr="00C336CB">
        <w:trPr>
          <w:trHeight w:val="320"/>
        </w:trPr>
        <w:tc>
          <w:tcPr>
            <w:tcW w:w="0" w:type="auto"/>
            <w:tcBorders>
              <w:top w:val="nil"/>
              <w:left w:val="nil"/>
              <w:bottom w:val="nil"/>
              <w:right w:val="nil"/>
            </w:tcBorders>
            <w:shd w:val="clear" w:color="auto" w:fill="auto"/>
            <w:noWrap/>
            <w:vAlign w:val="center"/>
            <w:hideMark/>
          </w:tcPr>
          <w:p w14:paraId="5C1E8C26" w14:textId="2C03BC60"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Shekhar et al. </w:t>
            </w:r>
            <w:r w:rsidR="000E090B">
              <w:rPr>
                <w:rFonts w:ascii="Times New Roman" w:eastAsia="Times New Roman" w:hAnsi="Times New Roman" w:cs="Times New Roman"/>
                <w:color w:val="000000"/>
                <w:sz w:val="13"/>
                <w:szCs w:val="13"/>
                <w:lang w:eastAsia="de-DE"/>
              </w:rPr>
              <w:fldChar w:fldCharType="begin"/>
            </w:r>
            <w:r w:rsidR="000E090B">
              <w:rPr>
                <w:rFonts w:ascii="Times New Roman" w:eastAsia="Times New Roman" w:hAnsi="Times New Roman" w:cs="Times New Roman"/>
                <w:color w:val="000000"/>
                <w:sz w:val="13"/>
                <w:szCs w:val="13"/>
                <w:lang w:eastAsia="de-DE"/>
              </w:rPr>
              <w:instrText xml:space="preserve"> ADDIN ZOTERO_ITEM CSL_CITATION {"citationID":"pTDhmJ7m","properties":{"formattedCitation":"\\super 29\\nosupersub{}","plainCitation":"29","noteIndex":0},"citationItems":[{"id":196,"uris":["http://zotero.org/users/local/4rfnQu81/items/6RCE9UEN"],"uri":["http://zotero.org/users/local/4rfnQu81/items/6RCE9UEN"],"itemData":{"id":196,"type":"article-journal","abstract":"OBJECTIVE: To study the central nervous system (CNS) complications in patients with COVID-19 infection especially among Native American population in the current pandemic of severe acute respiratory syndrome virus (COVID-19). METHODS: Patients with confirmed COVID-19 infection at University of New Mexico hospital (UNMH) were screened for development of neurological complications during Feb 01 to April 29, 2020 via retrospective chart review. RESULTS: Total of 90 hospitalized patients were screened. Out of seven patients, majority were Native Americans females, and developed neurological complications including subarachnoid hemorrhage (SAH), Intraparenchymal hemorrhage (IPH), Ischemic stroke (IS) and seizure. All 7 patients required Intensive care unit (ICU) level of care. Patients who developed CNS complications other than seizure were females in the younger age group (4 patients, 38-58 years) with poor outcome. Out of 7, three developed subarachnoid hemorrhage, two developed ischemic infarction, and four developed seizure. Two patients with hemorrhagic complication expired during the course of hospitalization. All three patients with seizure were discharged to home. CONCLUSION: Patients with serious CNS complications secondary to COVID-19 infection were observed to be Native Americans. Patients who developed hemorrhagic or ischemic events were observed to have poor outcomes as compared to patients who developed seizures.","container-title":"Journal of stroke and cerebrovascular diseases : the official journal of National Stroke Association","DOI":"10.1016/j.jstrokecerebrovasdis.2020.105260","ISSN":"1532-8511 (Electronic)","issue":"12","language":"eng","note":"PMID: 32992176","page":"105260","title":"Neurological Complications Among Native Americans with COVID-19: Our Experience at a Tertiary Care Academic Hospital in the U.S.","volume":"29","author":[{"family":"Shekhar","given":"Rahul"},{"family":"Sheikh","given":"Abu Baker"},{"family":"Suriya","given":"Sajid S"},{"family":"Upadhyay","given":"Shubra"},{"family":"Zafar","given":"Atif"}],"issued":{"date-parts":[["2020",8]]}}}],"schema":"https://github.com/citation-style-language/schema/raw/master/csl-citation.json"} </w:instrText>
            </w:r>
            <w:r w:rsidR="000E090B">
              <w:rPr>
                <w:rFonts w:ascii="Times New Roman" w:eastAsia="Times New Roman" w:hAnsi="Times New Roman" w:cs="Times New Roman"/>
                <w:color w:val="000000"/>
                <w:sz w:val="13"/>
                <w:szCs w:val="13"/>
                <w:lang w:eastAsia="de-DE"/>
              </w:rPr>
              <w:fldChar w:fldCharType="separate"/>
            </w:r>
            <w:r w:rsidR="000E090B" w:rsidRPr="000E090B">
              <w:rPr>
                <w:rFonts w:ascii="Times New Roman" w:hAnsi="Times New Roman" w:cs="Times New Roman"/>
                <w:color w:val="000000"/>
                <w:sz w:val="13"/>
                <w:vertAlign w:val="superscript"/>
                <w:lang w:val="de-DE"/>
              </w:rPr>
              <w:t>29</w:t>
            </w:r>
            <w:r w:rsidR="000E090B">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1AF387C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0BAD1F2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B90318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5C890C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A6838B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58</w:t>
            </w:r>
          </w:p>
        </w:tc>
        <w:tc>
          <w:tcPr>
            <w:tcW w:w="0" w:type="auto"/>
            <w:tcBorders>
              <w:top w:val="nil"/>
              <w:left w:val="nil"/>
              <w:bottom w:val="nil"/>
              <w:right w:val="nil"/>
            </w:tcBorders>
            <w:shd w:val="clear" w:color="auto" w:fill="auto"/>
            <w:noWrap/>
            <w:vAlign w:val="center"/>
            <w:hideMark/>
          </w:tcPr>
          <w:p w14:paraId="3B54339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284D399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35A860F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79C427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0AE903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3DE942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CE6424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88A95A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79B45E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AD4EDB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5B0F7B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11C576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75243D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A0264A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8DB4B5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FE5C35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C84853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2F6DB2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341668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F06B48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F47E84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4A6816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2BDFF5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2A6222AB" w14:textId="77777777" w:rsidTr="00C336CB">
        <w:trPr>
          <w:trHeight w:val="320"/>
        </w:trPr>
        <w:tc>
          <w:tcPr>
            <w:tcW w:w="0" w:type="auto"/>
            <w:tcBorders>
              <w:top w:val="nil"/>
              <w:left w:val="nil"/>
              <w:bottom w:val="nil"/>
              <w:right w:val="nil"/>
            </w:tcBorders>
            <w:shd w:val="clear" w:color="auto" w:fill="auto"/>
            <w:noWrap/>
            <w:vAlign w:val="center"/>
            <w:hideMark/>
          </w:tcPr>
          <w:p w14:paraId="507B975C" w14:textId="786E61B1"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Shoskes et al. </w:t>
            </w:r>
            <w:r w:rsidR="000E090B">
              <w:rPr>
                <w:rFonts w:ascii="Times New Roman" w:eastAsia="Times New Roman" w:hAnsi="Times New Roman" w:cs="Times New Roman"/>
                <w:color w:val="000000"/>
                <w:sz w:val="13"/>
                <w:szCs w:val="13"/>
                <w:lang w:eastAsia="de-DE"/>
              </w:rPr>
              <w:fldChar w:fldCharType="begin"/>
            </w:r>
            <w:r w:rsidR="000E090B">
              <w:rPr>
                <w:rFonts w:ascii="Times New Roman" w:eastAsia="Times New Roman" w:hAnsi="Times New Roman" w:cs="Times New Roman"/>
                <w:color w:val="000000"/>
                <w:sz w:val="13"/>
                <w:szCs w:val="13"/>
                <w:lang w:eastAsia="de-DE"/>
              </w:rPr>
              <w:instrText xml:space="preserve"> ADDIN ZOTERO_ITEM CSL_CITATION {"citationID":"jkk9L70k","properties":{"formattedCitation":"\\super 29\\nosupersub{}","plainCitation":"29","noteIndex":0},"citationItems":[{"id":196,"uris":["http://zotero.org/users/local/4rfnQu81/items/6RCE9UEN"],"uri":["http://zotero.org/users/local/4rfnQu81/items/6RCE9UEN"],"itemData":{"id":196,"type":"article-journal","abstract":"OBJECTIVE: To study the central nervous system (CNS) complications in patients with COVID-19 infection especially among Native American population in the current pandemic of severe acute respiratory syndrome virus (COVID-19). METHODS: Patients with confirmed COVID-19 infection at University of New Mexico hospital (UNMH) were screened for development of neurological complications during Feb 01 to April 29, 2020 via retrospective chart review. RESULTS: Total of 90 hospitalized patients were screened. Out of seven patients, majority were Native Americans females, and developed neurological complications including subarachnoid hemorrhage (SAH), Intraparenchymal hemorrhage (IPH), Ischemic stroke (IS) and seizure. All 7 patients required Intensive care unit (ICU) level of care. Patients who developed CNS complications other than seizure were females in the younger age group (4 patients, 38-58 years) with poor outcome. Out of 7, three developed subarachnoid hemorrhage, two developed ischemic infarction, and four developed seizure. Two patients with hemorrhagic complication expired during the course of hospitalization. All three patients with seizure were discharged to home. CONCLUSION: Patients with serious CNS complications secondary to COVID-19 infection were observed to be Native Americans. Patients who developed hemorrhagic or ischemic events were observed to have poor outcomes as compared to patients who developed seizures.","container-title":"Journal of stroke and cerebrovascular diseases : the official journal of National Stroke Association","DOI":"10.1016/j.jstrokecerebrovasdis.2020.105260","ISSN":"1532-8511 (Electronic)","issue":"12","language":"eng","note":"PMID: 32992176","page":"105260","title":"Neurological Complications Among Native Americans with COVID-19: Our Experience at a Tertiary Care Academic Hospital in the U.S.","volume":"29","author":[{"family":"Shekhar","given":"Rahul"},{"family":"Sheikh","given":"Abu Baker"},{"family":"Suriya","given":"Sajid S"},{"family":"Upadhyay","given":"Shubra"},{"family":"Zafar","given":"Atif"}],"issued":{"date-parts":[["2020",8]]}}}],"schema":"https://github.com/citation-style-language/schema/raw/master/csl-citation.json"} </w:instrText>
            </w:r>
            <w:r w:rsidR="000E090B">
              <w:rPr>
                <w:rFonts w:ascii="Times New Roman" w:eastAsia="Times New Roman" w:hAnsi="Times New Roman" w:cs="Times New Roman"/>
                <w:color w:val="000000"/>
                <w:sz w:val="13"/>
                <w:szCs w:val="13"/>
                <w:lang w:eastAsia="de-DE"/>
              </w:rPr>
              <w:fldChar w:fldCharType="separate"/>
            </w:r>
            <w:r w:rsidR="000E090B" w:rsidRPr="000E090B">
              <w:rPr>
                <w:rFonts w:ascii="Times New Roman" w:hAnsi="Times New Roman" w:cs="Times New Roman"/>
                <w:color w:val="000000"/>
                <w:sz w:val="13"/>
                <w:vertAlign w:val="superscript"/>
                <w:lang w:val="de-DE"/>
              </w:rPr>
              <w:t>29</w:t>
            </w:r>
            <w:r w:rsidR="000E090B">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306A8F5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030A048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25C758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016792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9323F8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69</w:t>
            </w:r>
          </w:p>
        </w:tc>
        <w:tc>
          <w:tcPr>
            <w:tcW w:w="0" w:type="auto"/>
            <w:tcBorders>
              <w:top w:val="nil"/>
              <w:left w:val="nil"/>
              <w:bottom w:val="nil"/>
              <w:right w:val="nil"/>
            </w:tcBorders>
            <w:shd w:val="clear" w:color="auto" w:fill="auto"/>
            <w:noWrap/>
            <w:vAlign w:val="center"/>
            <w:hideMark/>
          </w:tcPr>
          <w:p w14:paraId="37BC1C0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468AEC7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5A9D669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376A4B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99B1C0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E90622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411A7C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45DD5E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EE3044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6274AE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C71E56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87B481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C89446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911865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05BCBE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CA9AF3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4B38C3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71840B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877F25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C99CEF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3A6039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2E4AF9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A3117B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4DF5CE7D" w14:textId="77777777" w:rsidTr="00C336CB">
        <w:trPr>
          <w:trHeight w:val="320"/>
        </w:trPr>
        <w:tc>
          <w:tcPr>
            <w:tcW w:w="0" w:type="auto"/>
            <w:tcBorders>
              <w:top w:val="nil"/>
              <w:left w:val="nil"/>
              <w:bottom w:val="nil"/>
              <w:right w:val="nil"/>
            </w:tcBorders>
            <w:shd w:val="clear" w:color="auto" w:fill="auto"/>
            <w:noWrap/>
            <w:vAlign w:val="center"/>
            <w:hideMark/>
          </w:tcPr>
          <w:p w14:paraId="11D8BA43" w14:textId="530A52C9"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Soldatelli et al. </w:t>
            </w:r>
            <w:r w:rsidR="000E090B">
              <w:rPr>
                <w:rFonts w:ascii="Times New Roman" w:eastAsia="Times New Roman" w:hAnsi="Times New Roman" w:cs="Times New Roman"/>
                <w:color w:val="000000"/>
                <w:sz w:val="13"/>
                <w:szCs w:val="13"/>
                <w:lang w:eastAsia="de-DE"/>
              </w:rPr>
              <w:fldChar w:fldCharType="begin"/>
            </w:r>
            <w:r w:rsidR="000E090B">
              <w:rPr>
                <w:rFonts w:ascii="Times New Roman" w:eastAsia="Times New Roman" w:hAnsi="Times New Roman" w:cs="Times New Roman"/>
                <w:color w:val="000000"/>
                <w:sz w:val="13"/>
                <w:szCs w:val="13"/>
                <w:lang w:eastAsia="de-DE"/>
              </w:rPr>
              <w:instrText xml:space="preserve"> ADDIN ZOTERO_ITEM CSL_CITATION {"citationID":"iJ3b4WUH","properties":{"formattedCitation":"\\super 30\\nosupersub{}","plainCitation":"30","noteIndex":0},"citationItems":[{"id":1,"uris":["http://zotero.org/users/local/4rfnQu81/items/UC9SNC33"],"uri":["http://zotero.org/users/local/4rfnQu81/items/UC9SNC33"],"itemData":{"id":1,"type":"article-journal","abstract":"Central nervous system involvement in severe acute respiratory syndrome caused by coronavirus disease 2019 (COVID-19) has increasingly been recognised in the literature, and possible mechanisms of neuroinvasion, neurotropism and neurovirulence have been described. Neurological signs have been described in 84% of COVID-19 intensive care unit patients, and haemostatic abnormalities in such patients may play an important role, with a broad spectrum of neuroimaging findings. This report describes the magnetic resonance imaging neurovascular findings in an acutely ill patient with COVID-19, including perfusion abnormalities depicted in the arterial spin labelling technique.","container-title":"The neuroradiology journal","DOI":"10.1177/1971400920941652","ISSN":"2385-1996 (Electronic)","issue":"5","language":"eng","note":"PMID: 32666873","page":"368–373","title":"Neurovascular and perfusion imaging findings in coronavirus disease 2019: Case report and literature review.","volume":"33","author":[{"family":"Soldatelli","given":"Matheus Dorigatti"},{"family":"Amaral","given":"Lázaro Faria","non-dropping-particle":"do"},{"family":"Veiga","given":"Viviane Cordeiro"},{"family":"Rojas","given":"Salomón Soriano Ordinola"},{"family":"Omar","given":"Samir"},{"family":"Marussi","given":"Victor Hugo Rocha"}],"issued":{"date-parts":[["2020",10]]}}}],"schema":"https://github.com/citation-style-language/schema/raw/master/csl-citation.json"} </w:instrText>
            </w:r>
            <w:r w:rsidR="000E090B">
              <w:rPr>
                <w:rFonts w:ascii="Times New Roman" w:eastAsia="Times New Roman" w:hAnsi="Times New Roman" w:cs="Times New Roman"/>
                <w:color w:val="000000"/>
                <w:sz w:val="13"/>
                <w:szCs w:val="13"/>
                <w:lang w:eastAsia="de-DE"/>
              </w:rPr>
              <w:fldChar w:fldCharType="separate"/>
            </w:r>
            <w:r w:rsidR="000E090B" w:rsidRPr="000E090B">
              <w:rPr>
                <w:rFonts w:ascii="Times New Roman" w:hAnsi="Times New Roman" w:cs="Times New Roman"/>
                <w:color w:val="000000"/>
                <w:sz w:val="13"/>
                <w:vertAlign w:val="superscript"/>
                <w:lang w:val="de-DE"/>
              </w:rPr>
              <w:t>30</w:t>
            </w:r>
            <w:r w:rsidR="000E090B">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426E626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1FC1B68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58419D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7E0C4F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4F132D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67</w:t>
            </w:r>
          </w:p>
        </w:tc>
        <w:tc>
          <w:tcPr>
            <w:tcW w:w="0" w:type="auto"/>
            <w:tcBorders>
              <w:top w:val="nil"/>
              <w:left w:val="nil"/>
              <w:bottom w:val="nil"/>
              <w:right w:val="nil"/>
            </w:tcBorders>
            <w:shd w:val="clear" w:color="auto" w:fill="auto"/>
            <w:noWrap/>
            <w:vAlign w:val="center"/>
            <w:hideMark/>
          </w:tcPr>
          <w:p w14:paraId="5438264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0921C9F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704DBD7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16AECB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E087BB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67E840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E9BE00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CED499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62C639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FF68EB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0CE1F6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E96B3D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67F072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241D27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233BF4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63EBCE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FE27C4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EC79C9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AD042E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2A341C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C2043E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CDA5E2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05B829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5988D976" w14:textId="77777777" w:rsidTr="00C336CB">
        <w:trPr>
          <w:trHeight w:val="320"/>
        </w:trPr>
        <w:tc>
          <w:tcPr>
            <w:tcW w:w="0" w:type="auto"/>
            <w:tcBorders>
              <w:top w:val="nil"/>
              <w:left w:val="nil"/>
              <w:bottom w:val="nil"/>
              <w:right w:val="nil"/>
            </w:tcBorders>
            <w:shd w:val="clear" w:color="auto" w:fill="auto"/>
            <w:noWrap/>
            <w:vAlign w:val="center"/>
            <w:hideMark/>
          </w:tcPr>
          <w:p w14:paraId="69FF64A7" w14:textId="518B9CA6"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Thu et al. </w:t>
            </w:r>
            <w:r w:rsidR="000E090B">
              <w:rPr>
                <w:rFonts w:ascii="Times New Roman" w:eastAsia="Times New Roman" w:hAnsi="Times New Roman" w:cs="Times New Roman"/>
                <w:color w:val="000000"/>
                <w:sz w:val="13"/>
                <w:szCs w:val="13"/>
                <w:lang w:eastAsia="de-DE"/>
              </w:rPr>
              <w:fldChar w:fldCharType="begin"/>
            </w:r>
            <w:r w:rsidR="000E090B">
              <w:rPr>
                <w:rFonts w:ascii="Times New Roman" w:eastAsia="Times New Roman" w:hAnsi="Times New Roman" w:cs="Times New Roman"/>
                <w:color w:val="000000"/>
                <w:sz w:val="13"/>
                <w:szCs w:val="13"/>
                <w:lang w:eastAsia="de-DE"/>
              </w:rPr>
              <w:instrText xml:space="preserve"> ADDIN ZOTERO_ITEM CSL_CITATION {"citationID":"ahK38LTr","properties":{"formattedCitation":"\\super 31\\nosupersub{}","plainCitation":"31","noteIndex":0},"citationItems":[{"id":154,"uris":["http://zotero.org/users/local/4rfnQu81/items/AIVUMRYE"],"uri":["http://zotero.org/users/local/4rfnQu81/items/AIVUMRYE"],"itemData":{"id":154,"type":"article-journal","abstract":"Since the outbreak with novel corona virus in December 2019, a myriad of different neurological manifestations in patients with COVID-19 infection have been reported. We present a case of non-traumatic intracranial hemorrhage in the olfactory gyrus in a patient who tested positive for SARS-COV-2. The area of hemorrhage is not a common location for spontaneous hemorrhage. Given that loss of smell is considered a relatively common symptom of this pandemic, it is an intriguing association of COVID-19 and olfactory gyrus ICH for neurotropism of SARS-CoV2 for olfactory bulb and glia cells through nasal mucosa. Future studies will need to elucidate the exact mechanism of anosmia from COVID-19 and potential mechanisms leading to ICH.","container-title":"Journal of Clinical Neuroscience","DOI":"10.1016/j.jocn.2020.07.033","ISSN":"15322653","note":"publisher: Elsevier Ltd\nPMID: 33070912","page":"275–276","title":"Olfactory gyrus intracerebral hemorrhage in a patient with COVID-19 infection","volume":"79","author":[{"family":"Thu","given":"Sai Si"},{"family":"Matin","given":"Nassim"},{"family":"Levine","given":"Steven R."}],"issued":{"date-parts":[["2020"]]}}}],"schema":"https://github.com/citation-style-language/schema/raw/master/csl-citation.json"} </w:instrText>
            </w:r>
            <w:r w:rsidR="000E090B">
              <w:rPr>
                <w:rFonts w:ascii="Times New Roman" w:eastAsia="Times New Roman" w:hAnsi="Times New Roman" w:cs="Times New Roman"/>
                <w:color w:val="000000"/>
                <w:sz w:val="13"/>
                <w:szCs w:val="13"/>
                <w:lang w:eastAsia="de-DE"/>
              </w:rPr>
              <w:fldChar w:fldCharType="separate"/>
            </w:r>
            <w:r w:rsidR="000E090B" w:rsidRPr="000E090B">
              <w:rPr>
                <w:rFonts w:ascii="Times New Roman" w:hAnsi="Times New Roman" w:cs="Times New Roman"/>
                <w:color w:val="000000"/>
                <w:sz w:val="13"/>
                <w:vertAlign w:val="superscript"/>
                <w:lang w:val="de-DE"/>
              </w:rPr>
              <w:t>31</w:t>
            </w:r>
            <w:r w:rsidR="000E090B">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05C5534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7E199BB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778C20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EB7957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3EE3F7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72</w:t>
            </w:r>
          </w:p>
        </w:tc>
        <w:tc>
          <w:tcPr>
            <w:tcW w:w="0" w:type="auto"/>
            <w:tcBorders>
              <w:top w:val="nil"/>
              <w:left w:val="nil"/>
              <w:bottom w:val="nil"/>
              <w:right w:val="nil"/>
            </w:tcBorders>
            <w:shd w:val="clear" w:color="auto" w:fill="auto"/>
            <w:noWrap/>
            <w:vAlign w:val="center"/>
            <w:hideMark/>
          </w:tcPr>
          <w:p w14:paraId="760673E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7099486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Uncomplicated</w:t>
            </w:r>
          </w:p>
        </w:tc>
        <w:tc>
          <w:tcPr>
            <w:tcW w:w="0" w:type="auto"/>
            <w:tcBorders>
              <w:top w:val="nil"/>
              <w:left w:val="nil"/>
              <w:bottom w:val="nil"/>
              <w:right w:val="nil"/>
            </w:tcBorders>
            <w:shd w:val="clear" w:color="auto" w:fill="auto"/>
            <w:noWrap/>
            <w:vAlign w:val="center"/>
            <w:hideMark/>
          </w:tcPr>
          <w:p w14:paraId="437C397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FB5692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D904F6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443899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E018DB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CA7747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F2C974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CB578A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8E29F7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90CA1A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4A23C3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EEDCF5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4374A7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831851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ECC6BF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357F3E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034855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9ED0D3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620B4F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FCA8A1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81FAC6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3EAAF1B8" w14:textId="77777777" w:rsidTr="00C336CB">
        <w:trPr>
          <w:trHeight w:val="320"/>
        </w:trPr>
        <w:tc>
          <w:tcPr>
            <w:tcW w:w="0" w:type="auto"/>
            <w:tcBorders>
              <w:top w:val="nil"/>
              <w:left w:val="nil"/>
              <w:bottom w:val="nil"/>
              <w:right w:val="nil"/>
            </w:tcBorders>
            <w:shd w:val="clear" w:color="auto" w:fill="auto"/>
            <w:noWrap/>
            <w:vAlign w:val="center"/>
            <w:hideMark/>
          </w:tcPr>
          <w:p w14:paraId="720B681E" w14:textId="0FC4A6FB"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Usman et al. </w:t>
            </w:r>
            <w:r w:rsidR="000E090B">
              <w:rPr>
                <w:rFonts w:ascii="Times New Roman" w:eastAsia="Times New Roman" w:hAnsi="Times New Roman" w:cs="Times New Roman"/>
                <w:color w:val="000000"/>
                <w:sz w:val="13"/>
                <w:szCs w:val="13"/>
                <w:lang w:eastAsia="de-DE"/>
              </w:rPr>
              <w:fldChar w:fldCharType="begin"/>
            </w:r>
            <w:r w:rsidR="000E090B">
              <w:rPr>
                <w:rFonts w:ascii="Times New Roman" w:eastAsia="Times New Roman" w:hAnsi="Times New Roman" w:cs="Times New Roman"/>
                <w:color w:val="000000"/>
                <w:sz w:val="13"/>
                <w:szCs w:val="13"/>
                <w:lang w:eastAsia="de-DE"/>
              </w:rPr>
              <w:instrText xml:space="preserve"> ADDIN ZOTERO_ITEM CSL_CITATION {"citationID":"cdjDhjcG","properties":{"formattedCitation":"\\super 32\\nosupersub{}","plainCitation":"32","noteIndex":0},"citationItems":[{"id":171,"uris":["http://zotero.org/users/local/4rfnQu81/items/PQ4724H5"],"uri":["http://zotero.org/users/local/4rfnQu81/items/PQ4724H5"],"itemData":{"id":171,"type":"article-journal","abstract":"OBJECTIVE: Anticoagulation may be a challenge in coronavirus disease 2019 (COVID-19) extracorporeal membrane oxygenation due to endothelial injury and dysregulation of coagulation, which may increase the risk of thrombotic and bleeding complications. This report was created to describe the authors' single institutional experience, with emphasis on the high rate of intracranial hemorrhage for the first 10 patients with COVID-19 placed on venovenous extracorporeal membrane oxygenation (VV ECMO). DESIGN: Case series, retrospective analysis. SETTING: Single institution. PARTICIPANTS: Ten patients. INTERVENTIONS: None. MEASUREMENTS AND MAIN RESULTS: Patient characteristics, mortality, stroke rate, and length of stay data were collected in all patients. In addition, laboratory values of D-dimer and C-reactive protein and standard measurements of prothrombin and activated partial thromboplastin time were collected on all patients. Ten patients, each confirmed with COVID-19 via reverse transcription-polymerase chain reaction, were supported on VV ECMO for acute respiratory distress syndrome (ARDS) for a mean duration of 9.4 ± 7 days. Four of 10 patients had hemorrhagic strokes, 3 of which resulted in death. At 30 days after initiation of VV ECMO, a total of 7 survivors included 6 patients discharged from the hospital and 1 patient who remained in the intensive care unit. CONCLUSIONS: In this small study of 10 patients, intracranial hemorrhage was a common complication, resulting in a high rate of death. The authors urge caution in the anticoagulation management of VV ECMO for patients with severe ARDS and COVID-19 patients. Close monitoring of all hematologic parameters is recommended during ECMO support while awaiting larger, multicenter studies to examine the best practice.","container-title":"Journal of cardiothoracic and vascular anesthesia","DOI":"10.1053/j.jvca.2020.07.063","ISSN":"1532-8422 (Electronic)","issue":"11","language":"eng","note":"PMID: 32828653","page":"3006–3012","title":"A Case Series of Devastating Intracranial Hemorrhage During Venovenous Extracorporeal Membrane Oxygenation for COVID-19.","volume":"34","author":[{"family":"Usman","given":"Asad Ali"},{"family":"Han","given":"Jason"},{"family":"Acker","given":"Andrew"},{"family":"Olia","given":"Salim E"},{"family":"Bermudez","given":"Christian"},{"family":"Cucchiara","given":"Brett"},{"family":"Mikkelsen","given":"Mark E"},{"family":"Wald","given":"Joyce"},{"family":"Mackay","given":"Emily"},{"family":"Szeto","given":"Wilson"},{"family":"Vernick","given":"William J"},{"family":"Gutsche","given":"Jacob T"}],"issued":{"date-parts":[["2020",11]]}}}],"schema":"https://github.com/citation-style-language/schema/raw/master/csl-citation.json"} </w:instrText>
            </w:r>
            <w:r w:rsidR="000E090B">
              <w:rPr>
                <w:rFonts w:ascii="Times New Roman" w:eastAsia="Times New Roman" w:hAnsi="Times New Roman" w:cs="Times New Roman"/>
                <w:color w:val="000000"/>
                <w:sz w:val="13"/>
                <w:szCs w:val="13"/>
                <w:lang w:eastAsia="de-DE"/>
              </w:rPr>
              <w:fldChar w:fldCharType="separate"/>
            </w:r>
            <w:r w:rsidR="000E090B" w:rsidRPr="000E090B">
              <w:rPr>
                <w:rFonts w:ascii="Times New Roman" w:hAnsi="Times New Roman" w:cs="Times New Roman"/>
                <w:color w:val="000000"/>
                <w:sz w:val="13"/>
                <w:vertAlign w:val="superscript"/>
                <w:lang w:val="de-DE"/>
              </w:rPr>
              <w:t>32</w:t>
            </w:r>
            <w:r w:rsidR="000E090B">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3AA6487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18363FD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43CE43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F0AFCA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38B45D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54</w:t>
            </w:r>
          </w:p>
        </w:tc>
        <w:tc>
          <w:tcPr>
            <w:tcW w:w="0" w:type="auto"/>
            <w:tcBorders>
              <w:top w:val="nil"/>
              <w:left w:val="nil"/>
              <w:bottom w:val="nil"/>
              <w:right w:val="nil"/>
            </w:tcBorders>
            <w:shd w:val="clear" w:color="auto" w:fill="auto"/>
            <w:noWrap/>
            <w:vAlign w:val="center"/>
            <w:hideMark/>
          </w:tcPr>
          <w:p w14:paraId="51034BA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0679495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7600418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2DE186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D5C05B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E53D11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08A26A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EF94B0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CBF2EA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D6D3C4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2AEE6A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AD48E8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76CD1C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4B84EC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DB3FF6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D596EE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B006A0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9EFC39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E3045A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CED464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5ACE7A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53EF84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BC7D87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3D45BC29" w14:textId="77777777" w:rsidTr="00C336CB">
        <w:trPr>
          <w:trHeight w:val="320"/>
        </w:trPr>
        <w:tc>
          <w:tcPr>
            <w:tcW w:w="0" w:type="auto"/>
            <w:tcBorders>
              <w:top w:val="nil"/>
              <w:left w:val="nil"/>
              <w:bottom w:val="nil"/>
              <w:right w:val="nil"/>
            </w:tcBorders>
            <w:shd w:val="clear" w:color="auto" w:fill="auto"/>
            <w:noWrap/>
            <w:vAlign w:val="center"/>
            <w:hideMark/>
          </w:tcPr>
          <w:p w14:paraId="3F08005A" w14:textId="7EAB1FA6"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Usman et al. </w:t>
            </w:r>
            <w:r w:rsidR="000E090B">
              <w:rPr>
                <w:rFonts w:ascii="Times New Roman" w:eastAsia="Times New Roman" w:hAnsi="Times New Roman" w:cs="Times New Roman"/>
                <w:color w:val="000000"/>
                <w:sz w:val="13"/>
                <w:szCs w:val="13"/>
                <w:lang w:eastAsia="de-DE"/>
              </w:rPr>
              <w:fldChar w:fldCharType="begin"/>
            </w:r>
            <w:r w:rsidR="000E090B">
              <w:rPr>
                <w:rFonts w:ascii="Times New Roman" w:eastAsia="Times New Roman" w:hAnsi="Times New Roman" w:cs="Times New Roman"/>
                <w:color w:val="000000"/>
                <w:sz w:val="13"/>
                <w:szCs w:val="13"/>
                <w:lang w:eastAsia="de-DE"/>
              </w:rPr>
              <w:instrText xml:space="preserve"> ADDIN ZOTERO_ITEM CSL_CITATION {"citationID":"gtZ6kQGH","properties":{"formattedCitation":"\\super 32\\nosupersub{}","plainCitation":"32","noteIndex":0},"citationItems":[{"id":171,"uris":["http://zotero.org/users/local/4rfnQu81/items/PQ4724H5"],"uri":["http://zotero.org/users/local/4rfnQu81/items/PQ4724H5"],"itemData":{"id":171,"type":"article-journal","abstract":"OBJECTIVE: Anticoagulation may be a challenge in coronavirus disease 2019 (COVID-19) extracorporeal membrane oxygenation due to endothelial injury and dysregulation of coagulation, which may increase the risk of thrombotic and bleeding complications. This report was created to describe the authors' single institutional experience, with emphasis on the high rate of intracranial hemorrhage for the first 10 patients with COVID-19 placed on venovenous extracorporeal membrane oxygenation (VV ECMO). DESIGN: Case series, retrospective analysis. SETTING: Single institution. PARTICIPANTS: Ten patients. INTERVENTIONS: None. MEASUREMENTS AND MAIN RESULTS: Patient characteristics, mortality, stroke rate, and length of stay data were collected in all patients. In addition, laboratory values of D-dimer and C-reactive protein and standard measurements of prothrombin and activated partial thromboplastin time were collected on all patients. Ten patients, each confirmed with COVID-19 via reverse transcription-polymerase chain reaction, were supported on VV ECMO for acute respiratory distress syndrome (ARDS) for a mean duration of 9.4 ± 7 days. Four of 10 patients had hemorrhagic strokes, 3 of which resulted in death. At 30 days after initiation of VV ECMO, a total of 7 survivors included 6 patients discharged from the hospital and 1 patient who remained in the intensive care unit. CONCLUSIONS: In this small study of 10 patients, intracranial hemorrhage was a common complication, resulting in a high rate of death. The authors urge caution in the anticoagulation management of VV ECMO for patients with severe ARDS and COVID-19 patients. Close monitoring of all hematologic parameters is recommended during ECMO support while awaiting larger, multicenter studies to examine the best practice.","container-title":"Journal of cardiothoracic and vascular anesthesia","DOI":"10.1053/j.jvca.2020.07.063","ISSN":"1532-8422 (Electronic)","issue":"11","language":"eng","note":"PMID: 32828653","page":"3006–3012","title":"A Case Series of Devastating Intracranial Hemorrhage During Venovenous Extracorporeal Membrane Oxygenation for COVID-19.","volume":"34","author":[{"family":"Usman","given":"Asad Ali"},{"family":"Han","given":"Jason"},{"family":"Acker","given":"Andrew"},{"family":"Olia","given":"Salim E"},{"family":"Bermudez","given":"Christian"},{"family":"Cucchiara","given":"Brett"},{"family":"Mikkelsen","given":"Mark E"},{"family":"Wald","given":"Joyce"},{"family":"Mackay","given":"Emily"},{"family":"Szeto","given":"Wilson"},{"family":"Vernick","given":"William J"},{"family":"Gutsche","given":"Jacob T"}],"issued":{"date-parts":[["2020",11]]}}}],"schema":"https://github.com/citation-style-language/schema/raw/master/csl-citation.json"} </w:instrText>
            </w:r>
            <w:r w:rsidR="000E090B">
              <w:rPr>
                <w:rFonts w:ascii="Times New Roman" w:eastAsia="Times New Roman" w:hAnsi="Times New Roman" w:cs="Times New Roman"/>
                <w:color w:val="000000"/>
                <w:sz w:val="13"/>
                <w:szCs w:val="13"/>
                <w:lang w:eastAsia="de-DE"/>
              </w:rPr>
              <w:fldChar w:fldCharType="separate"/>
            </w:r>
            <w:r w:rsidR="000E090B" w:rsidRPr="000E090B">
              <w:rPr>
                <w:rFonts w:ascii="Times New Roman" w:hAnsi="Times New Roman" w:cs="Times New Roman"/>
                <w:color w:val="000000"/>
                <w:sz w:val="13"/>
                <w:vertAlign w:val="superscript"/>
                <w:lang w:val="de-DE"/>
              </w:rPr>
              <w:t>32</w:t>
            </w:r>
            <w:r w:rsidR="000E090B">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310254B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41799A8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12AB61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E976F6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299E2B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54</w:t>
            </w:r>
          </w:p>
        </w:tc>
        <w:tc>
          <w:tcPr>
            <w:tcW w:w="0" w:type="auto"/>
            <w:tcBorders>
              <w:top w:val="nil"/>
              <w:left w:val="nil"/>
              <w:bottom w:val="nil"/>
              <w:right w:val="nil"/>
            </w:tcBorders>
            <w:shd w:val="clear" w:color="auto" w:fill="auto"/>
            <w:noWrap/>
            <w:vAlign w:val="center"/>
            <w:hideMark/>
          </w:tcPr>
          <w:p w14:paraId="449A681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7297C7E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43DD577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D723D7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2ABC22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2447BE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851508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28B83E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D4F9FC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2B1D9A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BF8C51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1AF191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5628E9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1057E7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AD170E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FE40C7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ABE982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CDF099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38003B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11BEBE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7360E5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FD1824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37F2FF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07BE2B44" w14:textId="77777777" w:rsidTr="00C336CB">
        <w:trPr>
          <w:trHeight w:val="320"/>
        </w:trPr>
        <w:tc>
          <w:tcPr>
            <w:tcW w:w="0" w:type="auto"/>
            <w:tcBorders>
              <w:top w:val="nil"/>
              <w:left w:val="nil"/>
              <w:bottom w:val="nil"/>
              <w:right w:val="nil"/>
            </w:tcBorders>
            <w:shd w:val="clear" w:color="auto" w:fill="auto"/>
            <w:noWrap/>
            <w:vAlign w:val="center"/>
            <w:hideMark/>
          </w:tcPr>
          <w:p w14:paraId="37504231" w14:textId="46290881"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Usman et al. </w:t>
            </w:r>
            <w:r w:rsidR="000E090B">
              <w:rPr>
                <w:rFonts w:ascii="Times New Roman" w:eastAsia="Times New Roman" w:hAnsi="Times New Roman" w:cs="Times New Roman"/>
                <w:color w:val="000000"/>
                <w:sz w:val="13"/>
                <w:szCs w:val="13"/>
                <w:lang w:eastAsia="de-DE"/>
              </w:rPr>
              <w:fldChar w:fldCharType="begin"/>
            </w:r>
            <w:r w:rsidR="000E090B">
              <w:rPr>
                <w:rFonts w:ascii="Times New Roman" w:eastAsia="Times New Roman" w:hAnsi="Times New Roman" w:cs="Times New Roman"/>
                <w:color w:val="000000"/>
                <w:sz w:val="13"/>
                <w:szCs w:val="13"/>
                <w:lang w:eastAsia="de-DE"/>
              </w:rPr>
              <w:instrText xml:space="preserve"> ADDIN ZOTERO_ITEM CSL_CITATION {"citationID":"KjBiArWi","properties":{"formattedCitation":"\\super 32\\nosupersub{}","plainCitation":"32","noteIndex":0},"citationItems":[{"id":171,"uris":["http://zotero.org/users/local/4rfnQu81/items/PQ4724H5"],"uri":["http://zotero.org/users/local/4rfnQu81/items/PQ4724H5"],"itemData":{"id":171,"type":"article-journal","abstract":"OBJECTIVE: Anticoagulation may be a challenge in coronavirus disease 2019 (COVID-19) extracorporeal membrane oxygenation due to endothelial injury and dysregulation of coagulation, which may increase the risk of thrombotic and bleeding complications. This report was created to describe the authors' single institutional experience, with emphasis on the high rate of intracranial hemorrhage for the first 10 patients with COVID-19 placed on venovenous extracorporeal membrane oxygenation (VV ECMO). DESIGN: Case series, retrospective analysis. SETTING: Single institution. PARTICIPANTS: Ten patients. INTERVENTIONS: None. MEASUREMENTS AND MAIN RESULTS: Patient characteristics, mortality, stroke rate, and length of stay data were collected in all patients. In addition, laboratory values of D-dimer and C-reactive protein and standard measurements of prothrombin and activated partial thromboplastin time were collected on all patients. Ten patients, each confirmed with COVID-19 via reverse transcription-polymerase chain reaction, were supported on VV ECMO for acute respiratory distress syndrome (ARDS) for a mean duration of 9.4 ± 7 days. Four of 10 patients had hemorrhagic strokes, 3 of which resulted in death. At 30 days after initiation of VV ECMO, a total of 7 survivors included 6 patients discharged from the hospital and 1 patient who remained in the intensive care unit. CONCLUSIONS: In this small study of 10 patients, intracranial hemorrhage was a common complication, resulting in a high rate of death. The authors urge caution in the anticoagulation management of VV ECMO for patients with severe ARDS and COVID-19 patients. Close monitoring of all hematologic parameters is recommended during ECMO support while awaiting larger, multicenter studies to examine the best practice.","container-title":"Journal of cardiothoracic and vascular anesthesia","DOI":"10.1053/j.jvca.2020.07.063","ISSN":"1532-8422 (Electronic)","issue":"11","language":"eng","note":"PMID: 32828653","page":"3006–3012","title":"A Case Series of Devastating Intracranial Hemorrhage During Venovenous Extracorporeal Membrane Oxygenation for COVID-19.","volume":"34","author":[{"family":"Usman","given":"Asad Ali"},{"family":"Han","given":"Jason"},{"family":"Acker","given":"Andrew"},{"family":"Olia","given":"Salim E"},{"family":"Bermudez","given":"Christian"},{"family":"Cucchiara","given":"Brett"},{"family":"Mikkelsen","given":"Mark E"},{"family":"Wald","given":"Joyce"},{"family":"Mackay","given":"Emily"},{"family":"Szeto","given":"Wilson"},{"family":"Vernick","given":"William J"},{"family":"Gutsche","given":"Jacob T"}],"issued":{"date-parts":[["2020",11]]}}}],"schema":"https://github.com/citation-style-language/schema/raw/master/csl-citation.json"} </w:instrText>
            </w:r>
            <w:r w:rsidR="000E090B">
              <w:rPr>
                <w:rFonts w:ascii="Times New Roman" w:eastAsia="Times New Roman" w:hAnsi="Times New Roman" w:cs="Times New Roman"/>
                <w:color w:val="000000"/>
                <w:sz w:val="13"/>
                <w:szCs w:val="13"/>
                <w:lang w:eastAsia="de-DE"/>
              </w:rPr>
              <w:fldChar w:fldCharType="separate"/>
            </w:r>
            <w:r w:rsidR="000E090B" w:rsidRPr="000E090B">
              <w:rPr>
                <w:rFonts w:ascii="Times New Roman" w:hAnsi="Times New Roman" w:cs="Times New Roman"/>
                <w:color w:val="000000"/>
                <w:sz w:val="13"/>
                <w:vertAlign w:val="superscript"/>
                <w:lang w:val="de-DE"/>
              </w:rPr>
              <w:t>32</w:t>
            </w:r>
            <w:r w:rsidR="000E090B">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1D082EB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5DF4DEF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619DA2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8D30E1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3D169B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54</w:t>
            </w:r>
          </w:p>
        </w:tc>
        <w:tc>
          <w:tcPr>
            <w:tcW w:w="0" w:type="auto"/>
            <w:tcBorders>
              <w:top w:val="nil"/>
              <w:left w:val="nil"/>
              <w:bottom w:val="nil"/>
              <w:right w:val="nil"/>
            </w:tcBorders>
            <w:shd w:val="clear" w:color="auto" w:fill="auto"/>
            <w:noWrap/>
            <w:vAlign w:val="center"/>
            <w:hideMark/>
          </w:tcPr>
          <w:p w14:paraId="23D1830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379B519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5C960FB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3E5644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244C34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3031E5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9B0541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C95BCE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77CFAF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0B53BD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3C553B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42863B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C859EE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D2E95D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F37CF6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B1C318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3A5E29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DF271C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903BE9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FB3F59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5E1349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BAB481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4F88B6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0AA69D7C" w14:textId="77777777" w:rsidTr="00C336CB">
        <w:trPr>
          <w:trHeight w:val="320"/>
        </w:trPr>
        <w:tc>
          <w:tcPr>
            <w:tcW w:w="0" w:type="auto"/>
            <w:tcBorders>
              <w:top w:val="nil"/>
              <w:left w:val="nil"/>
              <w:bottom w:val="nil"/>
              <w:right w:val="nil"/>
            </w:tcBorders>
            <w:shd w:val="clear" w:color="auto" w:fill="auto"/>
            <w:noWrap/>
            <w:vAlign w:val="center"/>
            <w:hideMark/>
          </w:tcPr>
          <w:p w14:paraId="258E87D4" w14:textId="12E7847F"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Usman et al. </w:t>
            </w:r>
            <w:r w:rsidR="000E090B">
              <w:rPr>
                <w:rFonts w:ascii="Times New Roman" w:eastAsia="Times New Roman" w:hAnsi="Times New Roman" w:cs="Times New Roman"/>
                <w:color w:val="000000"/>
                <w:sz w:val="13"/>
                <w:szCs w:val="13"/>
                <w:lang w:eastAsia="de-DE"/>
              </w:rPr>
              <w:fldChar w:fldCharType="begin"/>
            </w:r>
            <w:r w:rsidR="000E090B">
              <w:rPr>
                <w:rFonts w:ascii="Times New Roman" w:eastAsia="Times New Roman" w:hAnsi="Times New Roman" w:cs="Times New Roman"/>
                <w:color w:val="000000"/>
                <w:sz w:val="13"/>
                <w:szCs w:val="13"/>
                <w:lang w:eastAsia="de-DE"/>
              </w:rPr>
              <w:instrText xml:space="preserve"> ADDIN ZOTERO_ITEM CSL_CITATION {"citationID":"GBzolNUA","properties":{"formattedCitation":"\\super 32\\nosupersub{}","plainCitation":"32","noteIndex":0},"citationItems":[{"id":171,"uris":["http://zotero.org/users/local/4rfnQu81/items/PQ4724H5"],"uri":["http://zotero.org/users/local/4rfnQu81/items/PQ4724H5"],"itemData":{"id":171,"type":"article-journal","abstract":"OBJECTIVE: Anticoagulation may be a challenge in coronavirus disease 2019 (COVID-19) extracorporeal membrane oxygenation due to endothelial injury and dysregulation of coagulation, which may increase the risk of thrombotic and bleeding complications. This report was created to describe the authors' single institutional experience, with emphasis on the high rate of intracranial hemorrhage for the first 10 patients with COVID-19 placed on venovenous extracorporeal membrane oxygenation (VV ECMO). DESIGN: Case series, retrospective analysis. SETTING: Single institution. PARTICIPANTS: Ten patients. INTERVENTIONS: None. MEASUREMENTS AND MAIN RESULTS: Patient characteristics, mortality, stroke rate, and length of stay data were collected in all patients. In addition, laboratory values of D-dimer and C-reactive protein and standard measurements of prothrombin and activated partial thromboplastin time were collected on all patients. Ten patients, each confirmed with COVID-19 via reverse transcription-polymerase chain reaction, were supported on VV ECMO for acute respiratory distress syndrome (ARDS) for a mean duration of 9.4 ± 7 days. Four of 10 patients had hemorrhagic strokes, 3 of which resulted in death. At 30 days after initiation of VV ECMO, a total of 7 survivors included 6 patients discharged from the hospital and 1 patient who remained in the intensive care unit. CONCLUSIONS: In this small study of 10 patients, intracranial hemorrhage was a common complication, resulting in a high rate of death. The authors urge caution in the anticoagulation management of VV ECMO for patients with severe ARDS and COVID-19 patients. Close monitoring of all hematologic parameters is recommended during ECMO support while awaiting larger, multicenter studies to examine the best practice.","container-title":"Journal of cardiothoracic and vascular anesthesia","DOI":"10.1053/j.jvca.2020.07.063","ISSN":"1532-8422 (Electronic)","issue":"11","language":"eng","note":"PMID: 32828653","page":"3006–3012","title":"A Case Series of Devastating Intracranial Hemorrhage During Venovenous Extracorporeal Membrane Oxygenation for COVID-19.","volume":"34","author":[{"family":"Usman","given":"Asad Ali"},{"family":"Han","given":"Jason"},{"family":"Acker","given":"Andrew"},{"family":"Olia","given":"Salim E"},{"family":"Bermudez","given":"Christian"},{"family":"Cucchiara","given":"Brett"},{"family":"Mikkelsen","given":"Mark E"},{"family":"Wald","given":"Joyce"},{"family":"Mackay","given":"Emily"},{"family":"Szeto","given":"Wilson"},{"family":"Vernick","given":"William J"},{"family":"Gutsche","given":"Jacob T"}],"issued":{"date-parts":[["2020",11]]}}}],"schema":"https://github.com/citation-style-language/schema/raw/master/csl-citation.json"} </w:instrText>
            </w:r>
            <w:r w:rsidR="000E090B">
              <w:rPr>
                <w:rFonts w:ascii="Times New Roman" w:eastAsia="Times New Roman" w:hAnsi="Times New Roman" w:cs="Times New Roman"/>
                <w:color w:val="000000"/>
                <w:sz w:val="13"/>
                <w:szCs w:val="13"/>
                <w:lang w:eastAsia="de-DE"/>
              </w:rPr>
              <w:fldChar w:fldCharType="separate"/>
            </w:r>
            <w:r w:rsidR="000E090B" w:rsidRPr="000E090B">
              <w:rPr>
                <w:rFonts w:ascii="Times New Roman" w:hAnsi="Times New Roman" w:cs="Times New Roman"/>
                <w:color w:val="000000"/>
                <w:sz w:val="13"/>
                <w:vertAlign w:val="superscript"/>
                <w:lang w:val="de-DE"/>
              </w:rPr>
              <w:t>32</w:t>
            </w:r>
            <w:r w:rsidR="000E090B">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67FD855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03F2273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BD7281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829122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AA962D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54</w:t>
            </w:r>
          </w:p>
        </w:tc>
        <w:tc>
          <w:tcPr>
            <w:tcW w:w="0" w:type="auto"/>
            <w:tcBorders>
              <w:top w:val="nil"/>
              <w:left w:val="nil"/>
              <w:bottom w:val="nil"/>
              <w:right w:val="nil"/>
            </w:tcBorders>
            <w:shd w:val="clear" w:color="auto" w:fill="auto"/>
            <w:noWrap/>
            <w:vAlign w:val="center"/>
            <w:hideMark/>
          </w:tcPr>
          <w:p w14:paraId="3F42A12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7A2E6D4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62240C0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BEE0F2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6C753B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7E4189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490CCD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20E7E5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1109DB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57FBA2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015D60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0C1365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F4E995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55DC87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9E0750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2F6EB7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5B4A84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EA8500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A1425F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202535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E4346A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5FA7B0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54E2D1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2148C055" w14:textId="77777777" w:rsidTr="00C336CB">
        <w:trPr>
          <w:trHeight w:val="340"/>
        </w:trPr>
        <w:tc>
          <w:tcPr>
            <w:tcW w:w="0" w:type="auto"/>
            <w:tcBorders>
              <w:top w:val="nil"/>
              <w:left w:val="nil"/>
              <w:bottom w:val="nil"/>
              <w:right w:val="nil"/>
            </w:tcBorders>
            <w:shd w:val="clear" w:color="auto" w:fill="auto"/>
            <w:noWrap/>
            <w:vAlign w:val="center"/>
            <w:hideMark/>
          </w:tcPr>
          <w:p w14:paraId="34F466E1" w14:textId="25901745"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Vattoth et al. </w:t>
            </w:r>
            <w:r w:rsidR="000E090B">
              <w:rPr>
                <w:rFonts w:ascii="Times New Roman" w:eastAsia="Times New Roman" w:hAnsi="Times New Roman" w:cs="Times New Roman"/>
                <w:color w:val="000000"/>
                <w:sz w:val="13"/>
                <w:szCs w:val="13"/>
                <w:lang w:eastAsia="de-DE"/>
              </w:rPr>
              <w:fldChar w:fldCharType="begin"/>
            </w:r>
            <w:r w:rsidR="000E090B">
              <w:rPr>
                <w:rFonts w:ascii="Times New Roman" w:eastAsia="Times New Roman" w:hAnsi="Times New Roman" w:cs="Times New Roman"/>
                <w:color w:val="000000"/>
                <w:sz w:val="13"/>
                <w:szCs w:val="13"/>
                <w:lang w:eastAsia="de-DE"/>
              </w:rPr>
              <w:instrText xml:space="preserve"> ADDIN ZOTERO_ITEM CSL_CITATION {"citationID":"LiOPRL3R","properties":{"formattedCitation":"\\super 33\\nosupersub{}","plainCitation":"33","noteIndex":0},"citationItems":[{"id":113,"uris":["http://zotero.org/users/local/4rfnQu81/items/AF8HHIA5"],"uri":["http://zotero.org/users/local/4rfnQu81/items/AF8HHIA5"],"itemData":{"id":113,"type":"article-journal","abstract":"We are reporting the imaging findings of the rare entity of critical illness-associated cerebral microbleeds in a COVID-19-positive 66-year-old woman with hypoxic respiratory failure, who was eventually intubated and ventilated. Multiple scattered cerebral microhaemorrhages diffusely distributed in the juxtacortical white matter and internal capsule region, sparing the deep and periventricular white matter, basal ganglia, thalami and cortex were seen, which is a unique imaging finding in critically ill patients with respiratory failure and hypoxemia requiring mechanical ventilation. The mechanism underlying these microhaemorrhages relates to the endpoint of critical illness, rather than a specific underlying disease.","container-title":"The neuroradiology journal","DOI":"10.1177/1971400920939229","ISSN":"2385-1996 (Electronic)","issue":"5","language":"eng","note":"PMID: 32757827","page":"374–376","title":"Critical illness-associated cerebral microbleeds in COVID-19.","volume":"33","author":[{"family":"Vattoth","given":"Surjith"},{"family":"Abdelhady","given":"Mohamed"},{"family":"Alsoub","given":"Hussam"},{"family":"Own","given":"Ahmed"},{"family":"Elsotouhy","given":"Ahmed"}],"issued":{"date-parts":[["2020",10]]}}}],"schema":"https://github.com/citation-style-language/schema/raw/master/csl-citation.json"} </w:instrText>
            </w:r>
            <w:r w:rsidR="000E090B">
              <w:rPr>
                <w:rFonts w:ascii="Times New Roman" w:eastAsia="Times New Roman" w:hAnsi="Times New Roman" w:cs="Times New Roman"/>
                <w:color w:val="000000"/>
                <w:sz w:val="13"/>
                <w:szCs w:val="13"/>
                <w:lang w:eastAsia="de-DE"/>
              </w:rPr>
              <w:fldChar w:fldCharType="separate"/>
            </w:r>
            <w:r w:rsidR="000E090B" w:rsidRPr="000E090B">
              <w:rPr>
                <w:rFonts w:ascii="Times New Roman" w:hAnsi="Times New Roman" w:cs="Times New Roman"/>
                <w:color w:val="000000"/>
                <w:sz w:val="13"/>
                <w:vertAlign w:val="superscript"/>
                <w:lang w:val="de-DE"/>
              </w:rPr>
              <w:t>33</w:t>
            </w:r>
            <w:r w:rsidR="000E090B">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1F1B8E7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7F365FE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40ACD0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D678B5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859324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66</w:t>
            </w:r>
          </w:p>
        </w:tc>
        <w:tc>
          <w:tcPr>
            <w:tcW w:w="0" w:type="auto"/>
            <w:tcBorders>
              <w:top w:val="nil"/>
              <w:left w:val="nil"/>
              <w:bottom w:val="nil"/>
              <w:right w:val="nil"/>
            </w:tcBorders>
            <w:shd w:val="clear" w:color="auto" w:fill="auto"/>
            <w:noWrap/>
            <w:vAlign w:val="center"/>
            <w:hideMark/>
          </w:tcPr>
          <w:p w14:paraId="70EA343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63E30AA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181DC59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932593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B96977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B3E427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E88C7F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06B33E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BB400F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395AC7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007306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ED9601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4496AA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F8CE63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B681D7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43EA65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27FF7C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25057A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F40099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6BC1DB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9CC0AE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3CC416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DF6BAD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30C60DA8" w14:textId="77777777" w:rsidTr="00C336CB">
        <w:trPr>
          <w:trHeight w:val="320"/>
        </w:trPr>
        <w:tc>
          <w:tcPr>
            <w:tcW w:w="0" w:type="auto"/>
            <w:tcBorders>
              <w:top w:val="nil"/>
              <w:left w:val="nil"/>
              <w:bottom w:val="nil"/>
              <w:right w:val="nil"/>
            </w:tcBorders>
            <w:shd w:val="clear" w:color="auto" w:fill="auto"/>
            <w:noWrap/>
            <w:vAlign w:val="center"/>
            <w:hideMark/>
          </w:tcPr>
          <w:p w14:paraId="7F0749FA" w14:textId="4C10B4FC"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Vu et al. </w:t>
            </w:r>
            <w:r w:rsidR="000E090B">
              <w:rPr>
                <w:rFonts w:ascii="Times New Roman" w:eastAsia="Times New Roman" w:hAnsi="Times New Roman" w:cs="Times New Roman"/>
                <w:color w:val="000000"/>
                <w:sz w:val="13"/>
                <w:szCs w:val="13"/>
                <w:lang w:eastAsia="de-DE"/>
              </w:rPr>
              <w:fldChar w:fldCharType="begin"/>
            </w:r>
            <w:r w:rsidR="000E090B">
              <w:rPr>
                <w:rFonts w:ascii="Times New Roman" w:eastAsia="Times New Roman" w:hAnsi="Times New Roman" w:cs="Times New Roman"/>
                <w:color w:val="000000"/>
                <w:sz w:val="13"/>
                <w:szCs w:val="13"/>
                <w:lang w:eastAsia="de-DE"/>
              </w:rPr>
              <w:instrText xml:space="preserve"> ADDIN ZOTERO_ITEM CSL_CITATION {"citationID":"GzsrbvPD","properties":{"formattedCitation":"\\super 34\\nosupersub{}","plainCitation":"34","noteIndex":0},"citationItems":[{"id":165,"uris":["http://zotero.org/users/local/4rfnQu81/items/DFSPSXQD"],"uri":["http://zotero.org/users/local/4rfnQu81/items/DFSPSXQD"],"itemData":{"id":165,"type":"article-journal","abstract":"PURPOSE: Coronavirus disease 2019 (COVID-19) is caused by a novel strain of coronavirus named severe acute respiratory syndrome coronavirus 2 (SARS-CoV-2) that has quickly spread around the globe. Health care facilities in the USA currently do not have an adequate supply of COVID-19 tests to meet the growing demand. Imaging findings for COVID-19 are non-specific but include pulmonary parenchymal ground-glass opacities in a predominantly basal and peripheral distribution. METHODS: Three patients were imaged for non-respiratory-related symptoms with a portion of the lungs in the imaged field. RESULTS: Each patient had suspicious imaging findings for COVID-19, prompting the interpreting radiologist to suggest testing for COVID-19. All 3 patients turned out to be infected with COVID-19, and one patient is the first reported case of the coincident presentation of COVID-19 and an intraparenchymal hemorrhage. CONCLUSION: Using imaging characteristics of COVID-19 on abdominal or neck CT when a portion of the lungs is included, patients not initially suspected of COVID-19 infection can be quarantined earlier to limit exposure to others.","container-title":"Emergency radiology","DOI":"10.1007/s10140-020-01775-4","ISSN":"1438-1435 (Electronic)","issue":"3","language":"eng","note":"PMID: 32285222","page":"229–232","title":"Three unsuspected CT diagnoses of COVID-19.","volume":"27","author":[{"family":"Vu","given":"David"},{"family":"Ruggiero","given":"Maryanne"},{"family":"Choi","given":"Woo Sung"},{"family":"Masri","given":"Daniel"},{"family":"Flyer","given":"Mark"},{"family":"Shyknevsky","given":"Inna"},{"family":"Stein","given":"Evan G"}],"issued":{"date-parts":[["2020",6]]}}}],"schema":"https://github.com/citation-style-language/schema/raw/master/csl-citation.json"} </w:instrText>
            </w:r>
            <w:r w:rsidR="000E090B">
              <w:rPr>
                <w:rFonts w:ascii="Times New Roman" w:eastAsia="Times New Roman" w:hAnsi="Times New Roman" w:cs="Times New Roman"/>
                <w:color w:val="000000"/>
                <w:sz w:val="13"/>
                <w:szCs w:val="13"/>
                <w:lang w:eastAsia="de-DE"/>
              </w:rPr>
              <w:fldChar w:fldCharType="separate"/>
            </w:r>
            <w:r w:rsidR="000E090B" w:rsidRPr="000E090B">
              <w:rPr>
                <w:rFonts w:ascii="Times New Roman" w:hAnsi="Times New Roman" w:cs="Times New Roman"/>
                <w:color w:val="000000"/>
                <w:sz w:val="13"/>
                <w:vertAlign w:val="superscript"/>
                <w:lang w:val="de-DE"/>
              </w:rPr>
              <w:t>34</w:t>
            </w:r>
            <w:r w:rsidR="000E090B">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55ADF88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0E2329E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60C6AB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5671E3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FFDEF5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30</w:t>
            </w:r>
          </w:p>
        </w:tc>
        <w:tc>
          <w:tcPr>
            <w:tcW w:w="0" w:type="auto"/>
            <w:tcBorders>
              <w:top w:val="nil"/>
              <w:left w:val="nil"/>
              <w:bottom w:val="nil"/>
              <w:right w:val="nil"/>
            </w:tcBorders>
            <w:shd w:val="clear" w:color="auto" w:fill="auto"/>
            <w:noWrap/>
            <w:vAlign w:val="center"/>
            <w:hideMark/>
          </w:tcPr>
          <w:p w14:paraId="7BD345D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732AA77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Uncomplicated</w:t>
            </w:r>
          </w:p>
        </w:tc>
        <w:tc>
          <w:tcPr>
            <w:tcW w:w="0" w:type="auto"/>
            <w:tcBorders>
              <w:top w:val="nil"/>
              <w:left w:val="nil"/>
              <w:bottom w:val="nil"/>
              <w:right w:val="nil"/>
            </w:tcBorders>
            <w:shd w:val="clear" w:color="auto" w:fill="auto"/>
            <w:noWrap/>
            <w:vAlign w:val="center"/>
            <w:hideMark/>
          </w:tcPr>
          <w:p w14:paraId="466744C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2C6DB0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1CCF5E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F037E4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40F8FC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40CA5E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445877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A6B373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E317E3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BC4B46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44A209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AD067C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829A53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0B5099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C3E16C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4FC0B0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4411E9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13F15C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C32DFA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6BB3FF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891E46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0089FE63" w14:textId="77777777" w:rsidTr="00C336CB">
        <w:trPr>
          <w:trHeight w:val="320"/>
        </w:trPr>
        <w:tc>
          <w:tcPr>
            <w:tcW w:w="0" w:type="auto"/>
            <w:tcBorders>
              <w:top w:val="nil"/>
              <w:left w:val="nil"/>
              <w:bottom w:val="nil"/>
              <w:right w:val="nil"/>
            </w:tcBorders>
            <w:shd w:val="clear" w:color="auto" w:fill="auto"/>
            <w:noWrap/>
            <w:vAlign w:val="center"/>
            <w:hideMark/>
          </w:tcPr>
          <w:p w14:paraId="3906B41B" w14:textId="0E986EA0"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Wee et al. </w:t>
            </w:r>
            <w:r w:rsidR="000E090B">
              <w:rPr>
                <w:rFonts w:ascii="Times New Roman" w:eastAsia="Times New Roman" w:hAnsi="Times New Roman" w:cs="Times New Roman"/>
                <w:color w:val="000000"/>
                <w:sz w:val="13"/>
                <w:szCs w:val="13"/>
                <w:lang w:eastAsia="de-DE"/>
              </w:rPr>
              <w:fldChar w:fldCharType="begin"/>
            </w:r>
            <w:r w:rsidR="000E090B">
              <w:rPr>
                <w:rFonts w:ascii="Times New Roman" w:eastAsia="Times New Roman" w:hAnsi="Times New Roman" w:cs="Times New Roman"/>
                <w:color w:val="000000"/>
                <w:sz w:val="13"/>
                <w:szCs w:val="13"/>
                <w:lang w:eastAsia="de-DE"/>
              </w:rPr>
              <w:instrText xml:space="preserve"> ADDIN ZOTERO_ITEM CSL_CITATION {"citationID":"wN1OrsER","properties":{"formattedCitation":"\\super 35\\nosupersub{}","plainCitation":"35","noteIndex":0},"citationItems":[{"id":132,"uris":["http://zotero.org/users/local/4rfnQu81/items/UK26R4MD"],"uri":["http://zotero.org/users/local/4rfnQu81/items/UK26R4MD"],"itemData":{"id":132,"type":"article-journal","container-title":"American Journal of Neuroradiology","DOI":"10.3174/ajnr.A6672","ISSN":"1936959X","issue":"9","note":"PMID: 32554426","page":"E76–E77","title":"CT Fluid-blood levels in COVID-19 intracranial hemorrhage","volume":"41","author":[{"family":"Wee","given":"N. K."},{"family":"Fan","given":"E. B."},{"family":"Lee","given":"K. C.H."},{"family":"Chia","given":"Y. W."},{"family":"Lim","given":"T. C.C."}],"issued":{"date-parts":[["2020"]]}}}],"schema":"https://github.com/citation-style-language/schema/raw/master/csl-citation.json"} </w:instrText>
            </w:r>
            <w:r w:rsidR="000E090B">
              <w:rPr>
                <w:rFonts w:ascii="Times New Roman" w:eastAsia="Times New Roman" w:hAnsi="Times New Roman" w:cs="Times New Roman"/>
                <w:color w:val="000000"/>
                <w:sz w:val="13"/>
                <w:szCs w:val="13"/>
                <w:lang w:eastAsia="de-DE"/>
              </w:rPr>
              <w:fldChar w:fldCharType="separate"/>
            </w:r>
            <w:r w:rsidR="000E090B" w:rsidRPr="000E090B">
              <w:rPr>
                <w:rFonts w:ascii="Times New Roman" w:hAnsi="Times New Roman" w:cs="Times New Roman"/>
                <w:color w:val="000000"/>
                <w:sz w:val="13"/>
                <w:vertAlign w:val="superscript"/>
                <w:lang w:val="de-DE"/>
              </w:rPr>
              <w:t>35</w:t>
            </w:r>
            <w:r w:rsidR="000E090B">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513853F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78FAE52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C35031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8C597E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F61320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64</w:t>
            </w:r>
          </w:p>
        </w:tc>
        <w:tc>
          <w:tcPr>
            <w:tcW w:w="0" w:type="auto"/>
            <w:tcBorders>
              <w:top w:val="nil"/>
              <w:left w:val="nil"/>
              <w:bottom w:val="nil"/>
              <w:right w:val="nil"/>
            </w:tcBorders>
            <w:shd w:val="clear" w:color="auto" w:fill="auto"/>
            <w:noWrap/>
            <w:vAlign w:val="center"/>
            <w:hideMark/>
          </w:tcPr>
          <w:p w14:paraId="0EC886A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3DE2FEF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485C80C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FC548D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E87D47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BEFB9B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6B3A5E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4F13AD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56BC18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1EBDC9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07B4FF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5B6D9B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2CC3E4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07D944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CAEAFB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497578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D06507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6494DA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533EB0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3CB9D8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567B3F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66FD5B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B67605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r>
      <w:tr w:rsidR="00CE05CD" w:rsidRPr="00C336CB" w14:paraId="3785E200" w14:textId="77777777" w:rsidTr="00C336CB">
        <w:trPr>
          <w:trHeight w:val="320"/>
        </w:trPr>
        <w:tc>
          <w:tcPr>
            <w:tcW w:w="0" w:type="auto"/>
            <w:tcBorders>
              <w:top w:val="nil"/>
              <w:left w:val="nil"/>
              <w:bottom w:val="nil"/>
              <w:right w:val="nil"/>
            </w:tcBorders>
            <w:shd w:val="clear" w:color="auto" w:fill="auto"/>
            <w:noWrap/>
            <w:vAlign w:val="center"/>
            <w:hideMark/>
          </w:tcPr>
          <w:p w14:paraId="48F0DD01" w14:textId="74597414" w:rsidR="00C336CB" w:rsidRPr="00C336CB" w:rsidRDefault="000E090B" w:rsidP="00C336CB">
            <w:pPr>
              <w:rPr>
                <w:rFonts w:ascii="Times New Roman" w:eastAsia="Times New Roman" w:hAnsi="Times New Roman" w:cs="Times New Roman"/>
                <w:color w:val="000000"/>
                <w:sz w:val="13"/>
                <w:szCs w:val="13"/>
                <w:lang w:eastAsia="de-DE"/>
              </w:rPr>
            </w:pPr>
            <w:r w:rsidRPr="000E090B">
              <w:rPr>
                <w:rFonts w:ascii="Times New Roman" w:eastAsia="Times New Roman" w:hAnsi="Times New Roman" w:cs="Times New Roman"/>
                <w:color w:val="000000"/>
                <w:sz w:val="13"/>
                <w:szCs w:val="13"/>
                <w:lang w:eastAsia="de-DE"/>
              </w:rPr>
              <w:t>Zulfiqar</w:t>
            </w:r>
            <w:r w:rsidR="00C336CB" w:rsidRPr="00C336CB">
              <w:rPr>
                <w:rFonts w:ascii="Times New Roman" w:eastAsia="Times New Roman" w:hAnsi="Times New Roman" w:cs="Times New Roman"/>
                <w:color w:val="000000"/>
                <w:sz w:val="13"/>
                <w:szCs w:val="13"/>
                <w:lang w:eastAsia="de-DE"/>
              </w:rPr>
              <w:t xml:space="preserve"> et al. </w:t>
            </w:r>
            <w:r>
              <w:rPr>
                <w:rFonts w:ascii="Times New Roman" w:eastAsia="Times New Roman" w:hAnsi="Times New Roman" w:cs="Times New Roman"/>
                <w:color w:val="000000"/>
                <w:sz w:val="13"/>
                <w:szCs w:val="13"/>
                <w:lang w:eastAsia="de-DE"/>
              </w:rPr>
              <w:fldChar w:fldCharType="begin"/>
            </w:r>
            <w:r>
              <w:rPr>
                <w:rFonts w:ascii="Times New Roman" w:eastAsia="Times New Roman" w:hAnsi="Times New Roman" w:cs="Times New Roman"/>
                <w:color w:val="000000"/>
                <w:sz w:val="13"/>
                <w:szCs w:val="13"/>
                <w:lang w:eastAsia="de-DE"/>
              </w:rPr>
              <w:instrText xml:space="preserve"> ADDIN ZOTERO_TEMP </w:instrText>
            </w:r>
            <w:r>
              <w:rPr>
                <w:rFonts w:ascii="Times New Roman" w:eastAsia="Times New Roman" w:hAnsi="Times New Roman" w:cs="Times New Roman"/>
                <w:color w:val="000000"/>
                <w:sz w:val="13"/>
                <w:szCs w:val="13"/>
                <w:lang w:eastAsia="de-DE"/>
              </w:rPr>
              <w:fldChar w:fldCharType="separate"/>
            </w:r>
            <w:r>
              <w:rPr>
                <w:rFonts w:ascii="Times New Roman" w:eastAsia="Times New Roman" w:hAnsi="Times New Roman" w:cs="Times New Roman"/>
                <w:noProof/>
                <w:color w:val="000000"/>
                <w:sz w:val="13"/>
                <w:szCs w:val="13"/>
                <w:lang w:eastAsia="de-DE"/>
              </w:rPr>
              <w:t xml:space="preserve"> </w:t>
            </w:r>
            <w:r>
              <w:rPr>
                <w:rFonts w:ascii="Times New Roman" w:eastAsia="Times New Roman" w:hAnsi="Times New Roman" w:cs="Times New Roman"/>
                <w:color w:val="000000"/>
                <w:sz w:val="13"/>
                <w:szCs w:val="13"/>
                <w:lang w:eastAsia="de-DE"/>
              </w:rPr>
              <w:fldChar w:fldCharType="end"/>
            </w:r>
            <w:r>
              <w:rPr>
                <w:rFonts w:ascii="Times New Roman" w:eastAsia="Times New Roman" w:hAnsi="Times New Roman" w:cs="Times New Roman"/>
                <w:color w:val="000000"/>
                <w:sz w:val="13"/>
                <w:szCs w:val="13"/>
                <w:lang w:eastAsia="de-DE"/>
              </w:rPr>
              <w:fldChar w:fldCharType="begin"/>
            </w:r>
            <w:r>
              <w:rPr>
                <w:rFonts w:ascii="Times New Roman" w:eastAsia="Times New Roman" w:hAnsi="Times New Roman" w:cs="Times New Roman"/>
                <w:color w:val="000000"/>
                <w:sz w:val="13"/>
                <w:szCs w:val="13"/>
                <w:lang w:eastAsia="de-DE"/>
              </w:rPr>
              <w:instrText xml:space="preserve"> ADDIN ZOTERO_ITEM CSL_CITATION {"citationID":"9sv1dMY4","properties":{"formattedCitation":"\\super 36\\nosupersub{}","plainCitation":"36","noteIndex":0},"citationItems":[{"id":115,"uris":["http://zotero.org/users/local/4rfnQu81/items/QBLKZJBK"],"uri":["http://zotero.org/users/local/4rfnQu81/items/QBLKZJBK"],"itemData":{"id":115,"type":"article-journal","abstract":"We described three COVID-19-infected patients with profound immune thrombocytopenia causing haemorrhagic mucocutaneous complications. We conclude that an immune mechanism was responsible as common causes were excluded. Since corticoids were considered harmful in the circumstances, the patients were successfully treated with intravenous immunoglobulins without later relapse. LEARNING POINTS The severity of haemorrhagic syndrome is not correlated with the severity of COVID-19 infection.Thrombocytopenia in mild COVID-19 infection seems to have an autoimmune mechanism.Intravenous immunoglobulins (1 g/kg) should be the first line of treatment.","container-title":"New England Journal of Medicine","DOI":"10.1056/nejmc2010472","ISSN":"0028-4793","issue":"18","note":"PMID: 32665935","page":"e43","title":"Immune Thrombocytopenic Purpura in a Patient with Covid-19","volume":"382","author":[{"family":"Zulfiqar","given":"Abrar-Ahmad"},{"family":"Lorenzo-Villalba","given":"Noël"},{"family":"Hassler","given":"Patrick"},{"family":"Andrès","given":"Emmanuel"}],"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E090B">
              <w:rPr>
                <w:rFonts w:ascii="Times New Roman" w:hAnsi="Times New Roman" w:cs="Times New Roman"/>
                <w:color w:val="000000"/>
                <w:sz w:val="13"/>
                <w:vertAlign w:val="superscript"/>
                <w:lang w:val="de-DE"/>
              </w:rPr>
              <w:t>36</w:t>
            </w:r>
            <w:r>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5B5B3C5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5625C34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1C111B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6D1B00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55A39B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65</w:t>
            </w:r>
          </w:p>
        </w:tc>
        <w:tc>
          <w:tcPr>
            <w:tcW w:w="0" w:type="auto"/>
            <w:tcBorders>
              <w:top w:val="nil"/>
              <w:left w:val="nil"/>
              <w:bottom w:val="nil"/>
              <w:right w:val="nil"/>
            </w:tcBorders>
            <w:shd w:val="clear" w:color="auto" w:fill="auto"/>
            <w:noWrap/>
            <w:vAlign w:val="center"/>
            <w:hideMark/>
          </w:tcPr>
          <w:p w14:paraId="4164C4B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51DAC8B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Complicated</w:t>
            </w:r>
          </w:p>
        </w:tc>
        <w:tc>
          <w:tcPr>
            <w:tcW w:w="0" w:type="auto"/>
            <w:tcBorders>
              <w:top w:val="nil"/>
              <w:left w:val="nil"/>
              <w:bottom w:val="nil"/>
              <w:right w:val="nil"/>
            </w:tcBorders>
            <w:shd w:val="clear" w:color="auto" w:fill="auto"/>
            <w:noWrap/>
            <w:vAlign w:val="center"/>
            <w:hideMark/>
          </w:tcPr>
          <w:p w14:paraId="5153DFF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9C3D06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81E2EA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8F0512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66502A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C23AC3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F91A06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0C2754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F1A7FB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6A31FB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B03D12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C7B5E6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3E210F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2B1319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2C741B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1320D7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83B2FE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1A86D3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572530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DE75BE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FBC8CA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39C29ACC" w14:textId="77777777" w:rsidTr="00C336CB">
        <w:trPr>
          <w:trHeight w:val="320"/>
        </w:trPr>
        <w:tc>
          <w:tcPr>
            <w:tcW w:w="0" w:type="auto"/>
            <w:tcBorders>
              <w:top w:val="nil"/>
              <w:left w:val="nil"/>
              <w:bottom w:val="nil"/>
              <w:right w:val="nil"/>
            </w:tcBorders>
            <w:shd w:val="clear" w:color="auto" w:fill="auto"/>
            <w:noWrap/>
            <w:vAlign w:val="center"/>
            <w:hideMark/>
          </w:tcPr>
          <w:p w14:paraId="263BEDEC" w14:textId="2F070938"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Sharifi-Razavi et al. </w:t>
            </w:r>
            <w:r w:rsidR="000E090B">
              <w:rPr>
                <w:rFonts w:ascii="Times New Roman" w:eastAsia="Times New Roman" w:hAnsi="Times New Roman" w:cs="Times New Roman"/>
                <w:color w:val="000000"/>
                <w:sz w:val="13"/>
                <w:szCs w:val="13"/>
                <w:lang w:eastAsia="de-DE"/>
              </w:rPr>
              <w:fldChar w:fldCharType="begin"/>
            </w:r>
            <w:r w:rsidR="000E090B">
              <w:rPr>
                <w:rFonts w:ascii="Times New Roman" w:eastAsia="Times New Roman" w:hAnsi="Times New Roman" w:cs="Times New Roman"/>
                <w:color w:val="000000"/>
                <w:sz w:val="13"/>
                <w:szCs w:val="13"/>
                <w:lang w:eastAsia="de-DE"/>
              </w:rPr>
              <w:instrText xml:space="preserve"> ADDIN ZOTERO_ITEM CSL_CITATION {"citationID":"P70ggNDn","properties":{"formattedCitation":"\\super 37\\nosupersub{}","plainCitation":"37","noteIndex":0},"citationItems":[{"id":91,"uris":["http://zotero.org/users/local/4rfnQu81/items/56SIX5VZ"],"uri":["http://zotero.org/users/local/4rfnQu81/items/56SIX5VZ"],"itemData":{"id":91,"type":"article-journal","abstract":"Pneumonia appears to be the most common manifestation of coronavirus disease 2019 (COVID-19), but some extrapulmonary involvement, such as gastrointestinal, cardiac and renal, has been reported. The limited clinical data about the virus's behavior to date, especially extrapulmonary symptoms, suggest that we should be aware of the possibility of initial cerebrovascular manifestations of COVID-19.","container-title":"New Microbes and New Infections","DOI":"10.1016/j.nmni.2020.100669","ISSN":"20522975","note":"PMID: 32322398","title":"COVID-19 and intracerebral haemorrhage: causative or coincidental?","volume":"35","author":[{"family":"Sharifi-Razavi","given":"A."},{"family":"Karimi","given":"N."},{"family":"Rouhani","given":"N."}],"issued":{"date-parts":[["2020"]]}}}],"schema":"https://github.com/citation-style-language/schema/raw/master/csl-citation.json"} </w:instrText>
            </w:r>
            <w:r w:rsidR="000E090B">
              <w:rPr>
                <w:rFonts w:ascii="Times New Roman" w:eastAsia="Times New Roman" w:hAnsi="Times New Roman" w:cs="Times New Roman"/>
                <w:color w:val="000000"/>
                <w:sz w:val="13"/>
                <w:szCs w:val="13"/>
                <w:lang w:eastAsia="de-DE"/>
              </w:rPr>
              <w:fldChar w:fldCharType="separate"/>
            </w:r>
            <w:r w:rsidR="000E090B" w:rsidRPr="000E090B">
              <w:rPr>
                <w:rFonts w:ascii="Times New Roman" w:hAnsi="Times New Roman" w:cs="Times New Roman"/>
                <w:color w:val="000000"/>
                <w:sz w:val="13"/>
                <w:vertAlign w:val="superscript"/>
                <w:lang w:val="de-DE"/>
              </w:rPr>
              <w:t>37</w:t>
            </w:r>
            <w:r w:rsidR="000E090B">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64233AF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369B0E5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58136C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91F6C1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581F17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79</w:t>
            </w:r>
          </w:p>
        </w:tc>
        <w:tc>
          <w:tcPr>
            <w:tcW w:w="0" w:type="auto"/>
            <w:tcBorders>
              <w:top w:val="nil"/>
              <w:left w:val="nil"/>
              <w:bottom w:val="nil"/>
              <w:right w:val="nil"/>
            </w:tcBorders>
            <w:shd w:val="clear" w:color="auto" w:fill="auto"/>
            <w:noWrap/>
            <w:vAlign w:val="center"/>
            <w:hideMark/>
          </w:tcPr>
          <w:p w14:paraId="25183C1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2DC709F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Complicated</w:t>
            </w:r>
          </w:p>
        </w:tc>
        <w:tc>
          <w:tcPr>
            <w:tcW w:w="0" w:type="auto"/>
            <w:tcBorders>
              <w:top w:val="nil"/>
              <w:left w:val="nil"/>
              <w:bottom w:val="nil"/>
              <w:right w:val="nil"/>
            </w:tcBorders>
            <w:shd w:val="clear" w:color="auto" w:fill="auto"/>
            <w:noWrap/>
            <w:vAlign w:val="center"/>
            <w:hideMark/>
          </w:tcPr>
          <w:p w14:paraId="47D7068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F21434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A1FC2E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F85014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C8E766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060379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6405E5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E70E17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B86659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DF5016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B432C9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B11D5C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641F23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AF58B5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8F0136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D260FB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834E40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01BA0A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EEEF98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0E7F8E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E45753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2EF2E66A" w14:textId="77777777" w:rsidTr="00C336CB">
        <w:trPr>
          <w:trHeight w:val="320"/>
        </w:trPr>
        <w:tc>
          <w:tcPr>
            <w:tcW w:w="0" w:type="auto"/>
            <w:tcBorders>
              <w:top w:val="nil"/>
              <w:left w:val="nil"/>
              <w:bottom w:val="nil"/>
              <w:right w:val="nil"/>
            </w:tcBorders>
            <w:shd w:val="clear" w:color="auto" w:fill="auto"/>
            <w:noWrap/>
            <w:vAlign w:val="center"/>
            <w:hideMark/>
          </w:tcPr>
          <w:p w14:paraId="79B95EC5" w14:textId="3BF97279"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Rustemi et al. </w:t>
            </w:r>
            <w:r w:rsidR="000E090B">
              <w:rPr>
                <w:rFonts w:ascii="Times New Roman" w:eastAsia="Times New Roman" w:hAnsi="Times New Roman" w:cs="Times New Roman"/>
                <w:color w:val="000000"/>
                <w:sz w:val="13"/>
                <w:szCs w:val="13"/>
                <w:lang w:eastAsia="de-DE"/>
              </w:rPr>
              <w:fldChar w:fldCharType="begin"/>
            </w:r>
            <w:r w:rsidR="000E090B">
              <w:rPr>
                <w:rFonts w:ascii="Times New Roman" w:eastAsia="Times New Roman" w:hAnsi="Times New Roman" w:cs="Times New Roman"/>
                <w:color w:val="000000"/>
                <w:sz w:val="13"/>
                <w:szCs w:val="13"/>
                <w:lang w:eastAsia="de-DE"/>
              </w:rPr>
              <w:instrText xml:space="preserve"> ADDIN ZOTERO_ITEM CSL_CITATION {"citationID":"D5z46ufl","properties":{"formattedCitation":"\\super 38\\nosupersub{}","plainCitation":"38","noteIndex":0},"citationItems":[{"id":58,"uris":["http://zotero.org/users/local/4rfnQu81/items/XJIGWBLZ"],"uri":["http://zotero.org/users/local/4rfnQu81/items/XJIGWBLZ"],"itemData":{"id":58,"type":"article-journal","container-title":"British Journal of Neurosurgery","DOI":"10.1080/02688697.2020.1787343","ISSN":"1360046X","issue":"0","note":"publisher: Taylor &amp; Francis\nPMID: 32614633","page":"1–2","title":"Aneurysmal subarachnoid hemorrhage in a SARS-CoV-2 positive testing: casual or causal?","volume":"0","author":[{"family":"Rustemi","given":"Oriela"},{"family":"Raneri","given":"Fabio"},{"family":"Iannucci","given":"Giuseppe"},{"family":"Volpin","given":"Lorenzo"},{"family":"Segna","given":"Alessandro"}],"issued":{"date-parts":[["2020"]]}}}],"schema":"https://github.com/citation-style-language/schema/raw/master/csl-citation.json"} </w:instrText>
            </w:r>
            <w:r w:rsidR="000E090B">
              <w:rPr>
                <w:rFonts w:ascii="Times New Roman" w:eastAsia="Times New Roman" w:hAnsi="Times New Roman" w:cs="Times New Roman"/>
                <w:color w:val="000000"/>
                <w:sz w:val="13"/>
                <w:szCs w:val="13"/>
                <w:lang w:eastAsia="de-DE"/>
              </w:rPr>
              <w:fldChar w:fldCharType="separate"/>
            </w:r>
            <w:r w:rsidR="000E090B" w:rsidRPr="000E090B">
              <w:rPr>
                <w:rFonts w:ascii="Times New Roman" w:hAnsi="Times New Roman" w:cs="Times New Roman"/>
                <w:color w:val="000000"/>
                <w:sz w:val="13"/>
                <w:vertAlign w:val="superscript"/>
                <w:lang w:val="de-DE"/>
              </w:rPr>
              <w:t>38</w:t>
            </w:r>
            <w:r w:rsidR="000E090B">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5775A38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570F448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FC53B7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C86720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CD1933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68</w:t>
            </w:r>
          </w:p>
        </w:tc>
        <w:tc>
          <w:tcPr>
            <w:tcW w:w="0" w:type="auto"/>
            <w:tcBorders>
              <w:top w:val="nil"/>
              <w:left w:val="nil"/>
              <w:bottom w:val="nil"/>
              <w:right w:val="nil"/>
            </w:tcBorders>
            <w:shd w:val="clear" w:color="auto" w:fill="auto"/>
            <w:noWrap/>
            <w:vAlign w:val="center"/>
            <w:hideMark/>
          </w:tcPr>
          <w:p w14:paraId="6F099DE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5EFBFA4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Uncomplicated</w:t>
            </w:r>
          </w:p>
        </w:tc>
        <w:tc>
          <w:tcPr>
            <w:tcW w:w="0" w:type="auto"/>
            <w:tcBorders>
              <w:top w:val="nil"/>
              <w:left w:val="nil"/>
              <w:bottom w:val="nil"/>
              <w:right w:val="nil"/>
            </w:tcBorders>
            <w:shd w:val="clear" w:color="auto" w:fill="auto"/>
            <w:noWrap/>
            <w:vAlign w:val="center"/>
            <w:hideMark/>
          </w:tcPr>
          <w:p w14:paraId="03BDD27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43FA9B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95EE22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8175BC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329623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5A9F8A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4B3FCC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7F42E7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DA64C9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FD5F94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EC8F55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E787DF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F846C1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63319E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175764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24766F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845340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1E88E8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1B1FB6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40570F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FCB541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37235D77" w14:textId="77777777" w:rsidTr="00C336CB">
        <w:trPr>
          <w:trHeight w:val="320"/>
        </w:trPr>
        <w:tc>
          <w:tcPr>
            <w:tcW w:w="0" w:type="auto"/>
            <w:tcBorders>
              <w:top w:val="nil"/>
              <w:left w:val="nil"/>
              <w:bottom w:val="nil"/>
              <w:right w:val="nil"/>
            </w:tcBorders>
            <w:shd w:val="clear" w:color="auto" w:fill="auto"/>
            <w:noWrap/>
            <w:vAlign w:val="center"/>
            <w:hideMark/>
          </w:tcPr>
          <w:p w14:paraId="377E4BD9" w14:textId="5C82D250"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Batcik et al. </w:t>
            </w:r>
            <w:r w:rsidR="000E090B">
              <w:rPr>
                <w:rFonts w:ascii="Times New Roman" w:eastAsia="Times New Roman" w:hAnsi="Times New Roman" w:cs="Times New Roman"/>
                <w:color w:val="000000"/>
                <w:sz w:val="13"/>
                <w:szCs w:val="13"/>
                <w:lang w:eastAsia="de-DE"/>
              </w:rPr>
              <w:fldChar w:fldCharType="begin"/>
            </w:r>
            <w:r w:rsidR="000E090B">
              <w:rPr>
                <w:rFonts w:ascii="Times New Roman" w:eastAsia="Times New Roman" w:hAnsi="Times New Roman" w:cs="Times New Roman"/>
                <w:color w:val="000000"/>
                <w:sz w:val="13"/>
                <w:szCs w:val="13"/>
                <w:lang w:eastAsia="de-DE"/>
              </w:rPr>
              <w:instrText xml:space="preserve"> ADDIN ZOTERO_ITEM CSL_CITATION {"citationID":"lLoASRJs","properties":{"formattedCitation":"\\super 39\\nosupersub{}","plainCitation":"39","noteIndex":0},"citationItems":[{"id":3544,"uris":["http://zotero.org/users/local/4rfnQu81/items/PH84DYZ8"],"uri":["http://zotero.org/users/local/4rfnQu81/items/PH84DYZ8"],"itemData":{"id":3544,"type":"article-journal","abstract":"In the medical literature, some case reports on the association of the COVID-19 infection and occurrence of spontaneous subarachnoid hemorrhage (SAH)have been reported Aim of the present paper is to search the causes of this association The diagnosis of COVID-19 was based on the real-time reverse-transcription polymerase chain reaction (PCR) test and computed tomography (CT) of the chest. There were four patients, whose median ages were 46,758, ranged 36–54 years). In conclusion, Spontaneous SAH can occur in the early and late course of COVID-19 infection. Its early recognition of the patient with spontaneous SAH is imperative.","container-title":"Clinical Neurology and Neurosurgery","language":"en","page":"4","source":"Zotero","title":"COVID-19 infection produces subarachnoid hemorrhage; acting now to understand its cause: A short communication","author":[{"family":"Batcik","given":"Osman Ersegun"},{"family":"Kanat","given":"Ayhan"},{"family":"Cankay","given":"Tuba Uyar"},{"family":"Ozturk","given":"Gulsah"},{"family":"Kazancıoglu","given":"Leyla"},{"family":"Kazdal","given":"Hizir"},{"family":"Gundogdu","given":"Hasan"},{"family":"Ozdemir","given":"Bulent"},{"family":"Bahceci","given":"Ilkay"},{"family":"Kostakoglu","given":"Ugur"},{"family":"Batcik","given":"Sule"},{"family":"Gundogdu","given":"Omer"},{"family":"Sevilgen","given":"Gokcen"}],"issued":{"date-parts":[["2021"]]}}}],"schema":"https://github.com/citation-style-language/schema/raw/master/csl-citation.json"} </w:instrText>
            </w:r>
            <w:r w:rsidR="000E090B">
              <w:rPr>
                <w:rFonts w:ascii="Times New Roman" w:eastAsia="Times New Roman" w:hAnsi="Times New Roman" w:cs="Times New Roman"/>
                <w:color w:val="000000"/>
                <w:sz w:val="13"/>
                <w:szCs w:val="13"/>
                <w:lang w:eastAsia="de-DE"/>
              </w:rPr>
              <w:fldChar w:fldCharType="separate"/>
            </w:r>
            <w:r w:rsidR="000E090B" w:rsidRPr="000E090B">
              <w:rPr>
                <w:rFonts w:ascii="Times New Roman" w:hAnsi="Times New Roman" w:cs="Times New Roman"/>
                <w:color w:val="000000"/>
                <w:sz w:val="13"/>
                <w:vertAlign w:val="superscript"/>
                <w:lang w:val="de-DE"/>
              </w:rPr>
              <w:t>39</w:t>
            </w:r>
            <w:r w:rsidR="000E090B">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0330876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2021</w:t>
            </w:r>
          </w:p>
        </w:tc>
        <w:tc>
          <w:tcPr>
            <w:tcW w:w="0" w:type="auto"/>
            <w:tcBorders>
              <w:top w:val="nil"/>
              <w:left w:val="nil"/>
              <w:bottom w:val="nil"/>
              <w:right w:val="nil"/>
            </w:tcBorders>
            <w:shd w:val="clear" w:color="auto" w:fill="auto"/>
            <w:noWrap/>
            <w:vAlign w:val="center"/>
            <w:hideMark/>
          </w:tcPr>
          <w:p w14:paraId="77C7E79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B0B7B6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289BAD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8D0B7B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52</w:t>
            </w:r>
          </w:p>
        </w:tc>
        <w:tc>
          <w:tcPr>
            <w:tcW w:w="0" w:type="auto"/>
            <w:tcBorders>
              <w:top w:val="nil"/>
              <w:left w:val="nil"/>
              <w:bottom w:val="nil"/>
              <w:right w:val="nil"/>
            </w:tcBorders>
            <w:shd w:val="clear" w:color="auto" w:fill="auto"/>
            <w:noWrap/>
            <w:vAlign w:val="center"/>
            <w:hideMark/>
          </w:tcPr>
          <w:p w14:paraId="0A24045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22C7BE9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63E8B00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0B4F2D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8D4680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7A803F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3AC639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77530F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5E3FB1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623DA1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872D4F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860C01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2B5898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9698D6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161A8D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A9626F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D612DF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42E35F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BD907E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0110FD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99AA78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D19540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FBAACE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692B31CE" w14:textId="77777777" w:rsidTr="00C336CB">
        <w:trPr>
          <w:trHeight w:val="320"/>
        </w:trPr>
        <w:tc>
          <w:tcPr>
            <w:tcW w:w="0" w:type="auto"/>
            <w:tcBorders>
              <w:top w:val="nil"/>
              <w:left w:val="nil"/>
              <w:bottom w:val="nil"/>
              <w:right w:val="nil"/>
            </w:tcBorders>
            <w:shd w:val="clear" w:color="auto" w:fill="auto"/>
            <w:noWrap/>
            <w:vAlign w:val="center"/>
            <w:hideMark/>
          </w:tcPr>
          <w:p w14:paraId="62C57F09" w14:textId="3F619FC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Batcik et al. </w:t>
            </w:r>
            <w:r w:rsidR="000E090B">
              <w:rPr>
                <w:rFonts w:ascii="Times New Roman" w:eastAsia="Times New Roman" w:hAnsi="Times New Roman" w:cs="Times New Roman"/>
                <w:color w:val="000000"/>
                <w:sz w:val="13"/>
                <w:szCs w:val="13"/>
                <w:lang w:eastAsia="de-DE"/>
              </w:rPr>
              <w:fldChar w:fldCharType="begin"/>
            </w:r>
            <w:r w:rsidR="000E090B">
              <w:rPr>
                <w:rFonts w:ascii="Times New Roman" w:eastAsia="Times New Roman" w:hAnsi="Times New Roman" w:cs="Times New Roman"/>
                <w:color w:val="000000"/>
                <w:sz w:val="13"/>
                <w:szCs w:val="13"/>
                <w:lang w:eastAsia="de-DE"/>
              </w:rPr>
              <w:instrText xml:space="preserve"> ADDIN ZOTERO_ITEM CSL_CITATION {"citationID":"I1iPdCEx","properties":{"formattedCitation":"\\super 39\\nosupersub{}","plainCitation":"39","noteIndex":0},"citationItems":[{"id":3544,"uris":["http://zotero.org/users/local/4rfnQu81/items/PH84DYZ8"],"uri":["http://zotero.org/users/local/4rfnQu81/items/PH84DYZ8"],"itemData":{"id":3544,"type":"article-journal","abstract":"In the medical literature, some case reports on the association of the COVID-19 infection and occurrence of spontaneous subarachnoid hemorrhage (SAH)have been reported Aim of the present paper is to search the causes of this association The diagnosis of COVID-19 was based on the real-time reverse-transcription polymerase chain reaction (PCR) test and computed tomography (CT) of the chest. There were four patients, whose median ages were 46,758, ranged 36–54 years). In conclusion, Spontaneous SAH can occur in the early and late course of COVID-19 infection. Its early recognition of the patient with spontaneous SAH is imperative.","container-title":"Clinical Neurology and Neurosurgery","language":"en","page":"4","source":"Zotero","title":"COVID-19 infection produces subarachnoid hemorrhage; acting now to understand its cause: A short communication","author":[{"family":"Batcik","given":"Osman Ersegun"},{"family":"Kanat","given":"Ayhan"},{"family":"Cankay","given":"Tuba Uyar"},{"family":"Ozturk","given":"Gulsah"},{"family":"Kazancıoglu","given":"Leyla"},{"family":"Kazdal","given":"Hizir"},{"family":"Gundogdu","given":"Hasan"},{"family":"Ozdemir","given":"Bulent"},{"family":"Bahceci","given":"Ilkay"},{"family":"Kostakoglu","given":"Ugur"},{"family":"Batcik","given":"Sule"},{"family":"Gundogdu","given":"Omer"},{"family":"Sevilgen","given":"Gokcen"}],"issued":{"date-parts":[["2021"]]}}}],"schema":"https://github.com/citation-style-language/schema/raw/master/csl-citation.json"} </w:instrText>
            </w:r>
            <w:r w:rsidR="000E090B">
              <w:rPr>
                <w:rFonts w:ascii="Times New Roman" w:eastAsia="Times New Roman" w:hAnsi="Times New Roman" w:cs="Times New Roman"/>
                <w:color w:val="000000"/>
                <w:sz w:val="13"/>
                <w:szCs w:val="13"/>
                <w:lang w:eastAsia="de-DE"/>
              </w:rPr>
              <w:fldChar w:fldCharType="separate"/>
            </w:r>
            <w:r w:rsidR="000E090B" w:rsidRPr="000E090B">
              <w:rPr>
                <w:rFonts w:ascii="Times New Roman" w:hAnsi="Times New Roman" w:cs="Times New Roman"/>
                <w:color w:val="000000"/>
                <w:sz w:val="13"/>
                <w:vertAlign w:val="superscript"/>
                <w:lang w:val="de-DE"/>
              </w:rPr>
              <w:t>39</w:t>
            </w:r>
            <w:r w:rsidR="000E090B">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4DA7702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2021</w:t>
            </w:r>
          </w:p>
        </w:tc>
        <w:tc>
          <w:tcPr>
            <w:tcW w:w="0" w:type="auto"/>
            <w:tcBorders>
              <w:top w:val="nil"/>
              <w:left w:val="nil"/>
              <w:bottom w:val="nil"/>
              <w:right w:val="nil"/>
            </w:tcBorders>
            <w:shd w:val="clear" w:color="auto" w:fill="auto"/>
            <w:noWrap/>
            <w:vAlign w:val="center"/>
            <w:hideMark/>
          </w:tcPr>
          <w:p w14:paraId="2B8794D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B65C6D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A88D0B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DBBA3F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54</w:t>
            </w:r>
          </w:p>
        </w:tc>
        <w:tc>
          <w:tcPr>
            <w:tcW w:w="0" w:type="auto"/>
            <w:tcBorders>
              <w:top w:val="nil"/>
              <w:left w:val="nil"/>
              <w:bottom w:val="nil"/>
              <w:right w:val="nil"/>
            </w:tcBorders>
            <w:shd w:val="clear" w:color="auto" w:fill="auto"/>
            <w:noWrap/>
            <w:vAlign w:val="center"/>
            <w:hideMark/>
          </w:tcPr>
          <w:p w14:paraId="328E305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13E266B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6F8BF2F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6F3EDA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6F1F5D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B720E5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19C8DB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DF4D62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4C7A27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9B1112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8EB5E5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88F9F7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8E4E92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0D23A7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C1AB0C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6FC237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1EAA63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1F8499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D2C71E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D19DC3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4231B0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1CFBF2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9E5AB3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6A5175AE" w14:textId="77777777" w:rsidTr="00C336CB">
        <w:trPr>
          <w:trHeight w:val="320"/>
        </w:trPr>
        <w:tc>
          <w:tcPr>
            <w:tcW w:w="0" w:type="auto"/>
            <w:tcBorders>
              <w:top w:val="nil"/>
              <w:left w:val="nil"/>
              <w:bottom w:val="nil"/>
              <w:right w:val="nil"/>
            </w:tcBorders>
            <w:shd w:val="clear" w:color="auto" w:fill="auto"/>
            <w:noWrap/>
            <w:vAlign w:val="center"/>
            <w:hideMark/>
          </w:tcPr>
          <w:p w14:paraId="39229DBA" w14:textId="748BE776"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Batcik et al. </w:t>
            </w:r>
            <w:r w:rsidR="000E090B">
              <w:rPr>
                <w:rFonts w:ascii="Times New Roman" w:eastAsia="Times New Roman" w:hAnsi="Times New Roman" w:cs="Times New Roman"/>
                <w:color w:val="000000"/>
                <w:sz w:val="13"/>
                <w:szCs w:val="13"/>
                <w:lang w:eastAsia="de-DE"/>
              </w:rPr>
              <w:fldChar w:fldCharType="begin"/>
            </w:r>
            <w:r w:rsidR="000E090B">
              <w:rPr>
                <w:rFonts w:ascii="Times New Roman" w:eastAsia="Times New Roman" w:hAnsi="Times New Roman" w:cs="Times New Roman"/>
                <w:color w:val="000000"/>
                <w:sz w:val="13"/>
                <w:szCs w:val="13"/>
                <w:lang w:eastAsia="de-DE"/>
              </w:rPr>
              <w:instrText xml:space="preserve"> ADDIN ZOTERO_ITEM CSL_CITATION {"citationID":"g8GCbC0g","properties":{"formattedCitation":"\\super 39\\nosupersub{}","plainCitation":"39","noteIndex":0},"citationItems":[{"id":3544,"uris":["http://zotero.org/users/local/4rfnQu81/items/PH84DYZ8"],"uri":["http://zotero.org/users/local/4rfnQu81/items/PH84DYZ8"],"itemData":{"id":3544,"type":"article-journal","abstract":"In the medical literature, some case reports on the association of the COVID-19 infection and occurrence of spontaneous subarachnoid hemorrhage (SAH)have been reported Aim of the present paper is to search the causes of this association The diagnosis of COVID-19 was based on the real-time reverse-transcription polymerase chain reaction (PCR) test and computed tomography (CT) of the chest. There were four patients, whose median ages were 46,758, ranged 36–54 years). In conclusion, Spontaneous SAH can occur in the early and late course of COVID-19 infection. Its early recognition of the patient with spontaneous SAH is imperative.","container-title":"Clinical Neurology and Neurosurgery","language":"en","page":"4","source":"Zotero","title":"COVID-19 infection produces subarachnoid hemorrhage; acting now to understand its cause: A short communication","author":[{"family":"Batcik","given":"Osman Ersegun"},{"family":"Kanat","given":"Ayhan"},{"family":"Cankay","given":"Tuba Uyar"},{"family":"Ozturk","given":"Gulsah"},{"family":"Kazancıoglu","given":"Leyla"},{"family":"Kazdal","given":"Hizir"},{"family":"Gundogdu","given":"Hasan"},{"family":"Ozdemir","given":"Bulent"},{"family":"Bahceci","given":"Ilkay"},{"family":"Kostakoglu","given":"Ugur"},{"family":"Batcik","given":"Sule"},{"family":"Gundogdu","given":"Omer"},{"family":"Sevilgen","given":"Gokcen"}],"issued":{"date-parts":[["2021"]]}}}],"schema":"https://github.com/citation-style-language/schema/raw/master/csl-citation.json"} </w:instrText>
            </w:r>
            <w:r w:rsidR="000E090B">
              <w:rPr>
                <w:rFonts w:ascii="Times New Roman" w:eastAsia="Times New Roman" w:hAnsi="Times New Roman" w:cs="Times New Roman"/>
                <w:color w:val="000000"/>
                <w:sz w:val="13"/>
                <w:szCs w:val="13"/>
                <w:lang w:eastAsia="de-DE"/>
              </w:rPr>
              <w:fldChar w:fldCharType="separate"/>
            </w:r>
            <w:r w:rsidR="000E090B" w:rsidRPr="000E090B">
              <w:rPr>
                <w:rFonts w:ascii="Times New Roman" w:hAnsi="Times New Roman" w:cs="Times New Roman"/>
                <w:color w:val="000000"/>
                <w:sz w:val="13"/>
                <w:vertAlign w:val="superscript"/>
                <w:lang w:val="de-DE"/>
              </w:rPr>
              <w:t>39</w:t>
            </w:r>
            <w:r w:rsidR="000E090B">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0009C60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2021</w:t>
            </w:r>
          </w:p>
        </w:tc>
        <w:tc>
          <w:tcPr>
            <w:tcW w:w="0" w:type="auto"/>
            <w:tcBorders>
              <w:top w:val="nil"/>
              <w:left w:val="nil"/>
              <w:bottom w:val="nil"/>
              <w:right w:val="nil"/>
            </w:tcBorders>
            <w:shd w:val="clear" w:color="auto" w:fill="auto"/>
            <w:noWrap/>
            <w:vAlign w:val="center"/>
            <w:hideMark/>
          </w:tcPr>
          <w:p w14:paraId="11FE019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890911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D1A270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F58878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36</w:t>
            </w:r>
          </w:p>
        </w:tc>
        <w:tc>
          <w:tcPr>
            <w:tcW w:w="0" w:type="auto"/>
            <w:tcBorders>
              <w:top w:val="nil"/>
              <w:left w:val="nil"/>
              <w:bottom w:val="nil"/>
              <w:right w:val="nil"/>
            </w:tcBorders>
            <w:shd w:val="clear" w:color="auto" w:fill="auto"/>
            <w:noWrap/>
            <w:vAlign w:val="center"/>
            <w:hideMark/>
          </w:tcPr>
          <w:p w14:paraId="7254C25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38AFDA6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Uncomplicated</w:t>
            </w:r>
          </w:p>
        </w:tc>
        <w:tc>
          <w:tcPr>
            <w:tcW w:w="0" w:type="auto"/>
            <w:tcBorders>
              <w:top w:val="nil"/>
              <w:left w:val="nil"/>
              <w:bottom w:val="nil"/>
              <w:right w:val="nil"/>
            </w:tcBorders>
            <w:shd w:val="clear" w:color="auto" w:fill="auto"/>
            <w:noWrap/>
            <w:vAlign w:val="center"/>
            <w:hideMark/>
          </w:tcPr>
          <w:p w14:paraId="4D5A326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84D625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BC2FFF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2E2AEC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D58C2E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13A800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C4F1B9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1E1169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32B757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54555C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FF98CE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3A0A99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5967D3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94F6B4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6D3154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AE4FFA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E301A2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66859C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C4A158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12949F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806714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030E7319" w14:textId="77777777" w:rsidTr="00C336CB">
        <w:trPr>
          <w:trHeight w:val="320"/>
        </w:trPr>
        <w:tc>
          <w:tcPr>
            <w:tcW w:w="0" w:type="auto"/>
            <w:tcBorders>
              <w:top w:val="nil"/>
              <w:left w:val="nil"/>
              <w:bottom w:val="nil"/>
              <w:right w:val="nil"/>
            </w:tcBorders>
            <w:shd w:val="clear" w:color="auto" w:fill="auto"/>
            <w:noWrap/>
            <w:vAlign w:val="center"/>
            <w:hideMark/>
          </w:tcPr>
          <w:p w14:paraId="521C7CA9" w14:textId="56311BB5" w:rsidR="00C336CB" w:rsidRPr="00C336CB" w:rsidRDefault="000E090B" w:rsidP="00C336CB">
            <w:pPr>
              <w:rPr>
                <w:rFonts w:ascii="Times New Roman" w:eastAsia="Times New Roman" w:hAnsi="Times New Roman" w:cs="Times New Roman"/>
                <w:color w:val="000000"/>
                <w:sz w:val="13"/>
                <w:szCs w:val="13"/>
                <w:lang w:eastAsia="de-DE"/>
              </w:rPr>
            </w:pPr>
            <w:r w:rsidRPr="000E090B">
              <w:rPr>
                <w:rFonts w:ascii="Times New Roman" w:eastAsia="Times New Roman" w:hAnsi="Times New Roman" w:cs="Times New Roman"/>
                <w:color w:val="000000"/>
                <w:sz w:val="13"/>
                <w:szCs w:val="13"/>
                <w:lang w:eastAsia="de-DE"/>
              </w:rPr>
              <w:t>Cezar-Junior</w:t>
            </w:r>
            <w:r w:rsidR="00C336CB" w:rsidRPr="00C336CB">
              <w:rPr>
                <w:rFonts w:ascii="Times New Roman" w:eastAsia="Times New Roman" w:hAnsi="Times New Roman" w:cs="Times New Roman"/>
                <w:color w:val="000000"/>
                <w:sz w:val="13"/>
                <w:szCs w:val="13"/>
                <w:lang w:eastAsia="de-DE"/>
              </w:rPr>
              <w:t xml:space="preserve"> et al. </w:t>
            </w:r>
            <w:r>
              <w:rPr>
                <w:rFonts w:ascii="Times New Roman" w:eastAsia="Times New Roman" w:hAnsi="Times New Roman" w:cs="Times New Roman"/>
                <w:color w:val="000000"/>
                <w:sz w:val="13"/>
                <w:szCs w:val="13"/>
                <w:lang w:eastAsia="de-DE"/>
              </w:rPr>
              <w:fldChar w:fldCharType="begin"/>
            </w:r>
            <w:r>
              <w:rPr>
                <w:rFonts w:ascii="Times New Roman" w:eastAsia="Times New Roman" w:hAnsi="Times New Roman" w:cs="Times New Roman"/>
                <w:color w:val="000000"/>
                <w:sz w:val="13"/>
                <w:szCs w:val="13"/>
                <w:lang w:eastAsia="de-DE"/>
              </w:rPr>
              <w:instrText xml:space="preserve"> ADDIN ZOTERO_ITEM CSL_CITATION {"citationID":"MsHmCtrm","properties":{"formattedCitation":"\\super 40\\nosupersub{}","plainCitation":"40","noteIndex":0},"citationItems":[{"id":152,"uris":["http://zotero.org/users/local/4rfnQu81/items/7RA5LIJK"],"uri":["http://zotero.org/users/local/4rfnQu81/items/7RA5LIJK"],"itemData":{"id":152,"type":"article-journal","abstract":"Some evidences suggest the involvement of the central nervous system in patients infected with SARS-CoV-2. We aim to analyze possible associations between coronavirus disease 2019 (COVID-19) pandemic and spontaneous subarachnoid hemorrhage (SAH), in a comprehensive neurological center. We conducted a retrospective case series of 4 patients infected by COVID-19, who developed spontaneous SAH. Clinical data were extracted from electronic medical records. Between March 24, 2020, and May 22, 2020, 4 cases (3 females; 1 male) of SAH were identified in patients infected with SARS-CoV-2, in a comprehensive neurological center in Brazil. The median age was 55.25 years (range 36-71). COVID-19-related pneumonia was severe in 3 out of 4 cases, and all patients required critical care support during hospitalization. The patients developed Fisher grade III and IV SAH. Digital subtraction angiography (DSA) was performed in 3 of the 4 patients. However, in only 1 case, an aneurysm was identified. Inflammatory blood tests were elevated in all cases, with an average D-dimer of 2336 mg/L and mean C-reactive protein (CRP) of 3835 mg/dl The outcome was poor in the majority of the patients, with 1 death (25%); 2 (50%) remained severely neurologically affected (mRS:4); and 1 (25%) had slight disability (mRS:2). This study shows a series of 4 rare cases of SHA associated with COVID-19. The possible mechanisms underlying the involvement of SARSCoV-2 and SHA is yet to be fully understood. Therefore, SHA should be included in severe neurological manifestations in patients infected by this virus. Abbreviations: AVM = arteriovenous malformations, CNS = nentral nervous system, COVID-19 = coronavirus disease 2019, EVD = external ventricular drain, ICA = internal carotid artery, IHSDH = Interhemispheric Subdural Hemorrhage, mRS = modified Rankin Scale, n.v. = normal value, SAH = Subarachnoide Hemorrhage, WHO = World Health Organization.","container-title":"Medicine","DOI":"10.1097/md.0000000000023862","ISSN":"0025-7974","issue":"51","note":"ISBN: 0000000000","page":"e23862","title":"Subarachnoid hemorrhage and COVID-19","volume":"99","author":[{"family":"Cezar-Junior","given":"Auricelio Batista"},{"family":"Faquini","given":"Igor Vilela"},{"family":"Silva","given":"José Laercio Junior"},{"family":"Carvalho Junior","given":"Eduardo Vieira","non-dropping-particle":"de"},{"family":"Lemos","given":"Luiz Euripedes Almondes Santana"},{"family":"Freire Filho","given":"João Batista Monte"},{"family":"Lira Filho","given":"Hetevaldo Tavares","non-dropping-particle":"de"},{"family":"Pontes","given":"Erton Cesar de Albuquerque"},{"family":"Almeida","given":"Nivaldo Sena"},{"family":"Azevedo-Filho","given":"Hildo Rocha Cirne"}],"issued":{"date-parts":[["2020"]]}}}],"schema":"https://github.com/citation-style-language/schema/raw/master/csl-citation.json"}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E090B">
              <w:rPr>
                <w:rFonts w:ascii="Times New Roman" w:hAnsi="Times New Roman" w:cs="Times New Roman"/>
                <w:color w:val="000000"/>
                <w:sz w:val="13"/>
                <w:vertAlign w:val="superscript"/>
              </w:rPr>
              <w:t>40</w:t>
            </w:r>
            <w:r>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29E7412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27BC36C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A8DA16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6756F4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23A59F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36</w:t>
            </w:r>
          </w:p>
        </w:tc>
        <w:tc>
          <w:tcPr>
            <w:tcW w:w="0" w:type="auto"/>
            <w:tcBorders>
              <w:top w:val="nil"/>
              <w:left w:val="nil"/>
              <w:bottom w:val="nil"/>
              <w:right w:val="nil"/>
            </w:tcBorders>
            <w:shd w:val="clear" w:color="auto" w:fill="auto"/>
            <w:noWrap/>
            <w:vAlign w:val="center"/>
            <w:hideMark/>
          </w:tcPr>
          <w:p w14:paraId="1399756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0138C34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Uncomplicated</w:t>
            </w:r>
          </w:p>
        </w:tc>
        <w:tc>
          <w:tcPr>
            <w:tcW w:w="0" w:type="auto"/>
            <w:tcBorders>
              <w:top w:val="nil"/>
              <w:left w:val="nil"/>
              <w:bottom w:val="nil"/>
              <w:right w:val="nil"/>
            </w:tcBorders>
            <w:shd w:val="clear" w:color="auto" w:fill="auto"/>
            <w:noWrap/>
            <w:vAlign w:val="center"/>
            <w:hideMark/>
          </w:tcPr>
          <w:p w14:paraId="79A7B49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1C7B0C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4D51F2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F18EDB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A654BF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B1F460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9CF30F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C96888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600E5E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B81C67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CA75F0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BF5784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314AC8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B2BF51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06532D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55D472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67EF77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FE92DE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F93F42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A0A5D3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AA64FF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6E34FE13" w14:textId="77777777" w:rsidTr="00C336CB">
        <w:trPr>
          <w:trHeight w:val="320"/>
        </w:trPr>
        <w:tc>
          <w:tcPr>
            <w:tcW w:w="0" w:type="auto"/>
            <w:tcBorders>
              <w:top w:val="nil"/>
              <w:left w:val="nil"/>
              <w:bottom w:val="nil"/>
              <w:right w:val="nil"/>
            </w:tcBorders>
            <w:shd w:val="clear" w:color="auto" w:fill="auto"/>
            <w:noWrap/>
            <w:vAlign w:val="center"/>
            <w:hideMark/>
          </w:tcPr>
          <w:p w14:paraId="5C624A31" w14:textId="2AD1A163" w:rsidR="00C336CB" w:rsidRPr="00C336CB" w:rsidRDefault="000E090B" w:rsidP="00C336CB">
            <w:pPr>
              <w:rPr>
                <w:rFonts w:ascii="Times New Roman" w:eastAsia="Times New Roman" w:hAnsi="Times New Roman" w:cs="Times New Roman"/>
                <w:color w:val="000000"/>
                <w:sz w:val="13"/>
                <w:szCs w:val="13"/>
                <w:lang w:eastAsia="de-DE"/>
              </w:rPr>
            </w:pPr>
            <w:r w:rsidRPr="000E090B">
              <w:rPr>
                <w:rFonts w:ascii="Times New Roman" w:eastAsia="Times New Roman" w:hAnsi="Times New Roman" w:cs="Times New Roman"/>
                <w:color w:val="000000"/>
                <w:sz w:val="13"/>
                <w:szCs w:val="13"/>
                <w:lang w:eastAsia="de-DE"/>
              </w:rPr>
              <w:t>Cezar-Junior</w:t>
            </w:r>
            <w:r w:rsidRPr="00C336CB">
              <w:rPr>
                <w:rFonts w:ascii="Times New Roman" w:eastAsia="Times New Roman" w:hAnsi="Times New Roman" w:cs="Times New Roman"/>
                <w:color w:val="000000"/>
                <w:sz w:val="13"/>
                <w:szCs w:val="13"/>
                <w:lang w:eastAsia="de-DE"/>
              </w:rPr>
              <w:t xml:space="preserve"> et al. </w:t>
            </w:r>
            <w:r>
              <w:rPr>
                <w:rFonts w:ascii="Times New Roman" w:eastAsia="Times New Roman" w:hAnsi="Times New Roman" w:cs="Times New Roman"/>
                <w:color w:val="000000"/>
                <w:sz w:val="13"/>
                <w:szCs w:val="13"/>
                <w:lang w:eastAsia="de-DE"/>
              </w:rPr>
              <w:fldChar w:fldCharType="begin"/>
            </w:r>
            <w:r>
              <w:rPr>
                <w:rFonts w:ascii="Times New Roman" w:eastAsia="Times New Roman" w:hAnsi="Times New Roman" w:cs="Times New Roman"/>
                <w:color w:val="000000"/>
                <w:sz w:val="13"/>
                <w:szCs w:val="13"/>
                <w:lang w:eastAsia="de-DE"/>
              </w:rPr>
              <w:instrText xml:space="preserve"> ADDIN ZOTERO_ITEM CSL_CITATION {"citationID":"sKXlNWN0","properties":{"formattedCitation":"\\super 40\\nosupersub{}","plainCitation":"40","noteIndex":0},"citationItems":[{"id":152,"uris":["http://zotero.org/users/local/4rfnQu81/items/7RA5LIJK"],"uri":["http://zotero.org/users/local/4rfnQu81/items/7RA5LIJK"],"itemData":{"id":152,"type":"article-journal","abstract":"Some evidences suggest the involvement of the central nervous system in patients infected with SARS-CoV-2. We aim to analyze possible associations between coronavirus disease 2019 (COVID-19) pandemic and spontaneous subarachnoid hemorrhage (SAH), in a comprehensive neurological center. We conducted a retrospective case series of 4 patients infected by COVID-19, who developed spontaneous SAH. Clinical data were extracted from electronic medical records. Between March 24, 2020, and May 22, 2020, 4 cases (3 females; 1 male) of SAH were identified in patients infected with SARS-CoV-2, in a comprehensive neurological center in Brazil. The median age was 55.25 years (range 36-71). COVID-19-related pneumonia was severe in 3 out of 4 cases, and all patients required critical care support during hospitalization. The patients developed Fisher grade III and IV SAH. Digital subtraction angiography (DSA) was performed in 3 of the 4 patients. However, in only 1 case, an aneurysm was identified. Inflammatory blood tests were elevated in all cases, with an average D-dimer of 2336 mg/L and mean C-reactive protein (CRP) of 3835 mg/dl The outcome was poor in the majority of the patients, with 1 death (25%); 2 (50%) remained severely neurologically affected (mRS:4); and 1 (25%) had slight disability (mRS:2). This study shows a series of 4 rare cases of SHA associated with COVID-19. The possible mechanisms underlying the involvement of SARSCoV-2 and SHA is yet to be fully understood. Therefore, SHA should be included in severe neurological manifestations in patients infected by this virus. Abbreviations: AVM = arteriovenous malformations, CNS = nentral nervous system, COVID-19 = coronavirus disease 2019, EVD = external ventricular drain, ICA = internal carotid artery, IHSDH = Interhemispheric Subdural Hemorrhage, mRS = modified Rankin Scale, n.v. = normal value, SAH = Subarachnoide Hemorrhage, WHO = World Health Organization.","container-title":"Medicine","DOI":"10.1097/md.0000000000023862","ISSN":"0025-7974","issue":"51","note":"ISBN: 0000000000","page":"e23862","title":"Subarachnoid hemorrhage and COVID-19","volume":"99","author":[{"family":"Cezar-Junior","given":"Auricelio Batista"},{"family":"Faquini","given":"Igor Vilela"},{"family":"Silva","given":"José Laercio Junior"},{"family":"Carvalho Junior","given":"Eduardo Vieira","non-dropping-particle":"de"},{"family":"Lemos","given":"Luiz Euripedes Almondes Santana"},{"family":"Freire Filho","given":"João Batista Monte"},{"family":"Lira Filho","given":"Hetevaldo Tavares","non-dropping-particle":"de"},{"family":"Pontes","given":"Erton Cesar de Albuquerque"},{"family":"Almeida","given":"Nivaldo Sena"},{"family":"Azevedo-Filho","given":"Hildo Rocha Cirne"}],"issued":{"date-parts":[["2020"]]}}}],"schema":"https://github.com/citation-style-language/schema/raw/master/csl-citation.json"}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E090B">
              <w:rPr>
                <w:rFonts w:ascii="Times New Roman" w:hAnsi="Times New Roman" w:cs="Times New Roman"/>
                <w:color w:val="000000"/>
                <w:sz w:val="13"/>
                <w:vertAlign w:val="superscript"/>
              </w:rPr>
              <w:t>40</w:t>
            </w:r>
            <w:r>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41C517E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41333BE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58D18B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0F995C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1F475D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53</w:t>
            </w:r>
          </w:p>
        </w:tc>
        <w:tc>
          <w:tcPr>
            <w:tcW w:w="0" w:type="auto"/>
            <w:tcBorders>
              <w:top w:val="nil"/>
              <w:left w:val="nil"/>
              <w:bottom w:val="nil"/>
              <w:right w:val="nil"/>
            </w:tcBorders>
            <w:shd w:val="clear" w:color="auto" w:fill="auto"/>
            <w:noWrap/>
            <w:vAlign w:val="center"/>
            <w:hideMark/>
          </w:tcPr>
          <w:p w14:paraId="0A5ABFD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567F183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Complicated</w:t>
            </w:r>
          </w:p>
        </w:tc>
        <w:tc>
          <w:tcPr>
            <w:tcW w:w="0" w:type="auto"/>
            <w:tcBorders>
              <w:top w:val="nil"/>
              <w:left w:val="nil"/>
              <w:bottom w:val="nil"/>
              <w:right w:val="nil"/>
            </w:tcBorders>
            <w:shd w:val="clear" w:color="auto" w:fill="auto"/>
            <w:noWrap/>
            <w:vAlign w:val="center"/>
            <w:hideMark/>
          </w:tcPr>
          <w:p w14:paraId="64D0BFC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75A58A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0073E2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0E84F4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B376E2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88AA47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9D352B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B187A1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5108EC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741907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95076A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EE4D8E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C61255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5E3B47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B8ECB9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025269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C46345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C51C98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8AC885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DF87FE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15071A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7FABF720" w14:textId="77777777" w:rsidTr="00C336CB">
        <w:trPr>
          <w:trHeight w:val="320"/>
        </w:trPr>
        <w:tc>
          <w:tcPr>
            <w:tcW w:w="0" w:type="auto"/>
            <w:tcBorders>
              <w:top w:val="nil"/>
              <w:left w:val="nil"/>
              <w:bottom w:val="nil"/>
              <w:right w:val="nil"/>
            </w:tcBorders>
            <w:shd w:val="clear" w:color="auto" w:fill="auto"/>
            <w:noWrap/>
            <w:vAlign w:val="center"/>
            <w:hideMark/>
          </w:tcPr>
          <w:p w14:paraId="02041CC9" w14:textId="0E761085" w:rsidR="00C336CB" w:rsidRPr="00C336CB" w:rsidRDefault="000E090B" w:rsidP="00C336CB">
            <w:pPr>
              <w:rPr>
                <w:rFonts w:ascii="Times New Roman" w:eastAsia="Times New Roman" w:hAnsi="Times New Roman" w:cs="Times New Roman"/>
                <w:color w:val="000000"/>
                <w:sz w:val="13"/>
                <w:szCs w:val="13"/>
                <w:lang w:eastAsia="de-DE"/>
              </w:rPr>
            </w:pPr>
            <w:r w:rsidRPr="000E090B">
              <w:rPr>
                <w:rFonts w:ascii="Times New Roman" w:eastAsia="Times New Roman" w:hAnsi="Times New Roman" w:cs="Times New Roman"/>
                <w:color w:val="000000"/>
                <w:sz w:val="13"/>
                <w:szCs w:val="13"/>
                <w:lang w:eastAsia="de-DE"/>
              </w:rPr>
              <w:t>Cezar-Junior</w:t>
            </w:r>
            <w:r w:rsidRPr="00C336CB">
              <w:rPr>
                <w:rFonts w:ascii="Times New Roman" w:eastAsia="Times New Roman" w:hAnsi="Times New Roman" w:cs="Times New Roman"/>
                <w:color w:val="000000"/>
                <w:sz w:val="13"/>
                <w:szCs w:val="13"/>
                <w:lang w:eastAsia="de-DE"/>
              </w:rPr>
              <w:t xml:space="preserve"> et al. </w:t>
            </w:r>
            <w:r>
              <w:rPr>
                <w:rFonts w:ascii="Times New Roman" w:eastAsia="Times New Roman" w:hAnsi="Times New Roman" w:cs="Times New Roman"/>
                <w:color w:val="000000"/>
                <w:sz w:val="13"/>
                <w:szCs w:val="13"/>
                <w:lang w:eastAsia="de-DE"/>
              </w:rPr>
              <w:fldChar w:fldCharType="begin"/>
            </w:r>
            <w:r>
              <w:rPr>
                <w:rFonts w:ascii="Times New Roman" w:eastAsia="Times New Roman" w:hAnsi="Times New Roman" w:cs="Times New Roman"/>
                <w:color w:val="000000"/>
                <w:sz w:val="13"/>
                <w:szCs w:val="13"/>
                <w:lang w:eastAsia="de-DE"/>
              </w:rPr>
              <w:instrText xml:space="preserve"> ADDIN ZOTERO_ITEM CSL_CITATION {"citationID":"YLffUwLs","properties":{"formattedCitation":"\\super 40\\nosupersub{}","plainCitation":"40","noteIndex":0},"citationItems":[{"id":152,"uris":["http://zotero.org/users/local/4rfnQu81/items/7RA5LIJK"],"uri":["http://zotero.org/users/local/4rfnQu81/items/7RA5LIJK"],"itemData":{"id":152,"type":"article-journal","abstract":"Some evidences suggest the involvement of the central nervous system in patients infected with SARS-CoV-2. We aim to analyze possible associations between coronavirus disease 2019 (COVID-19) pandemic and spontaneous subarachnoid hemorrhage (SAH), in a comprehensive neurological center. We conducted a retrospective case series of 4 patients infected by COVID-19, who developed spontaneous SAH. Clinical data were extracted from electronic medical records. Between March 24, 2020, and May 22, 2020, 4 cases (3 females; 1 male) of SAH were identified in patients infected with SARS-CoV-2, in a comprehensive neurological center in Brazil. The median age was 55.25 years (range 36-71). COVID-19-related pneumonia was severe in 3 out of 4 cases, and all patients required critical care support during hospitalization. The patients developed Fisher grade III and IV SAH. Digital subtraction angiography (DSA) was performed in 3 of the 4 patients. However, in only 1 case, an aneurysm was identified. Inflammatory blood tests were elevated in all cases, with an average D-dimer of 2336 mg/L and mean C-reactive protein (CRP) of 3835 mg/dl The outcome was poor in the majority of the patients, with 1 death (25%); 2 (50%) remained severely neurologically affected (mRS:4); and 1 (25%) had slight disability (mRS:2). This study shows a series of 4 rare cases of SHA associated with COVID-19. The possible mechanisms underlying the involvement of SARSCoV-2 and SHA is yet to be fully understood. Therefore, SHA should be included in severe neurological manifestations in patients infected by this virus. Abbreviations: AVM = arteriovenous malformations, CNS = nentral nervous system, COVID-19 = coronavirus disease 2019, EVD = external ventricular drain, ICA = internal carotid artery, IHSDH = Interhemispheric Subdural Hemorrhage, mRS = modified Rankin Scale, n.v. = normal value, SAH = Subarachnoide Hemorrhage, WHO = World Health Organization.","container-title":"Medicine","DOI":"10.1097/md.0000000000023862","ISSN":"0025-7974","issue":"51","note":"ISBN: 0000000000","page":"e23862","title":"Subarachnoid hemorrhage and COVID-19","volume":"99","author":[{"family":"Cezar-Junior","given":"Auricelio Batista"},{"family":"Faquini","given":"Igor Vilela"},{"family":"Silva","given":"José Laercio Junior"},{"family":"Carvalho Junior","given":"Eduardo Vieira","non-dropping-particle":"de"},{"family":"Lemos","given":"Luiz Euripedes Almondes Santana"},{"family":"Freire Filho","given":"João Batista Monte"},{"family":"Lira Filho","given":"Hetevaldo Tavares","non-dropping-particle":"de"},{"family":"Pontes","given":"Erton Cesar de Albuquerque"},{"family":"Almeida","given":"Nivaldo Sena"},{"family":"Azevedo-Filho","given":"Hildo Rocha Cirne"}],"issued":{"date-parts":[["2020"]]}}}],"schema":"https://github.com/citation-style-language/schema/raw/master/csl-citation.json"}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E090B">
              <w:rPr>
                <w:rFonts w:ascii="Times New Roman" w:hAnsi="Times New Roman" w:cs="Times New Roman"/>
                <w:color w:val="000000"/>
                <w:sz w:val="13"/>
                <w:vertAlign w:val="superscript"/>
              </w:rPr>
              <w:t>40</w:t>
            </w:r>
            <w:r>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72D1047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57A6157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9924FE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D10D47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9B3E13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61</w:t>
            </w:r>
          </w:p>
        </w:tc>
        <w:tc>
          <w:tcPr>
            <w:tcW w:w="0" w:type="auto"/>
            <w:tcBorders>
              <w:top w:val="nil"/>
              <w:left w:val="nil"/>
              <w:bottom w:val="nil"/>
              <w:right w:val="nil"/>
            </w:tcBorders>
            <w:shd w:val="clear" w:color="auto" w:fill="auto"/>
            <w:noWrap/>
            <w:vAlign w:val="center"/>
            <w:hideMark/>
          </w:tcPr>
          <w:p w14:paraId="74D43B8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0CFD3CA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Complicated</w:t>
            </w:r>
          </w:p>
        </w:tc>
        <w:tc>
          <w:tcPr>
            <w:tcW w:w="0" w:type="auto"/>
            <w:tcBorders>
              <w:top w:val="nil"/>
              <w:left w:val="nil"/>
              <w:bottom w:val="nil"/>
              <w:right w:val="nil"/>
            </w:tcBorders>
            <w:shd w:val="clear" w:color="auto" w:fill="auto"/>
            <w:noWrap/>
            <w:vAlign w:val="center"/>
            <w:hideMark/>
          </w:tcPr>
          <w:p w14:paraId="6A0CC7E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75ED99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CCD5CE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D72D45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9495BE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E56C91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26E397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99FABE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D937C3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E102D2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DA12AB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AF006D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54362F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5375C3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7D896D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B1EDA0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99EC29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A9BED5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AED6F0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1C88D5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5E35F3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63835ACE" w14:textId="77777777" w:rsidTr="00C336CB">
        <w:trPr>
          <w:trHeight w:val="320"/>
        </w:trPr>
        <w:tc>
          <w:tcPr>
            <w:tcW w:w="0" w:type="auto"/>
            <w:tcBorders>
              <w:top w:val="nil"/>
              <w:left w:val="nil"/>
              <w:bottom w:val="nil"/>
              <w:right w:val="nil"/>
            </w:tcBorders>
            <w:shd w:val="clear" w:color="auto" w:fill="auto"/>
            <w:noWrap/>
            <w:vAlign w:val="center"/>
            <w:hideMark/>
          </w:tcPr>
          <w:p w14:paraId="03347898" w14:textId="12F0099A" w:rsidR="00C336CB" w:rsidRPr="00C336CB" w:rsidRDefault="000E090B" w:rsidP="00C336CB">
            <w:pPr>
              <w:rPr>
                <w:rFonts w:ascii="Times New Roman" w:eastAsia="Times New Roman" w:hAnsi="Times New Roman" w:cs="Times New Roman"/>
                <w:color w:val="000000"/>
                <w:sz w:val="13"/>
                <w:szCs w:val="13"/>
                <w:lang w:eastAsia="de-DE"/>
              </w:rPr>
            </w:pPr>
            <w:r w:rsidRPr="000E090B">
              <w:rPr>
                <w:rFonts w:ascii="Times New Roman" w:eastAsia="Times New Roman" w:hAnsi="Times New Roman" w:cs="Times New Roman"/>
                <w:color w:val="000000"/>
                <w:sz w:val="13"/>
                <w:szCs w:val="13"/>
                <w:lang w:eastAsia="de-DE"/>
              </w:rPr>
              <w:t>Cezar-Junior</w:t>
            </w:r>
            <w:r w:rsidRPr="00C336CB">
              <w:rPr>
                <w:rFonts w:ascii="Times New Roman" w:eastAsia="Times New Roman" w:hAnsi="Times New Roman" w:cs="Times New Roman"/>
                <w:color w:val="000000"/>
                <w:sz w:val="13"/>
                <w:szCs w:val="13"/>
                <w:lang w:eastAsia="de-DE"/>
              </w:rPr>
              <w:t xml:space="preserve"> et al. </w:t>
            </w:r>
            <w:r>
              <w:rPr>
                <w:rFonts w:ascii="Times New Roman" w:eastAsia="Times New Roman" w:hAnsi="Times New Roman" w:cs="Times New Roman"/>
                <w:color w:val="000000"/>
                <w:sz w:val="13"/>
                <w:szCs w:val="13"/>
                <w:lang w:eastAsia="de-DE"/>
              </w:rPr>
              <w:fldChar w:fldCharType="begin"/>
            </w:r>
            <w:r>
              <w:rPr>
                <w:rFonts w:ascii="Times New Roman" w:eastAsia="Times New Roman" w:hAnsi="Times New Roman" w:cs="Times New Roman"/>
                <w:color w:val="000000"/>
                <w:sz w:val="13"/>
                <w:szCs w:val="13"/>
                <w:lang w:eastAsia="de-DE"/>
              </w:rPr>
              <w:instrText xml:space="preserve"> ADDIN ZOTERO_ITEM CSL_CITATION {"citationID":"nDuFF5rE","properties":{"formattedCitation":"\\super 40\\nosupersub{}","plainCitation":"40","noteIndex":0},"citationItems":[{"id":152,"uris":["http://zotero.org/users/local/4rfnQu81/items/7RA5LIJK"],"uri":["http://zotero.org/users/local/4rfnQu81/items/7RA5LIJK"],"itemData":{"id":152,"type":"article-journal","abstract":"Some evidences suggest the involvement of the central nervous system in patients infected with SARS-CoV-2. We aim to analyze possible associations between coronavirus disease 2019 (COVID-19) pandemic and spontaneous subarachnoid hemorrhage (SAH), in a comprehensive neurological center. We conducted a retrospective case series of 4 patients infected by COVID-19, who developed spontaneous SAH. Clinical data were extracted from electronic medical records. Between March 24, 2020, and May 22, 2020, 4 cases (3 females; 1 male) of SAH were identified in patients infected with SARS-CoV-2, in a comprehensive neurological center in Brazil. The median age was 55.25 years (range 36-71). COVID-19-related pneumonia was severe in 3 out of 4 cases, and all patients required critical care support during hospitalization. The patients developed Fisher grade III and IV SAH. Digital subtraction angiography (DSA) was performed in 3 of the 4 patients. However, in only 1 case, an aneurysm was identified. Inflammatory blood tests were elevated in all cases, with an average D-dimer of 2336 mg/L and mean C-reactive protein (CRP) of 3835 mg/dl The outcome was poor in the majority of the patients, with 1 death (25%); 2 (50%) remained severely neurologically affected (mRS:4); and 1 (25%) had slight disability (mRS:2). This study shows a series of 4 rare cases of SHA associated with COVID-19. The possible mechanisms underlying the involvement of SARSCoV-2 and SHA is yet to be fully understood. Therefore, SHA should be included in severe neurological manifestations in patients infected by this virus. Abbreviations: AVM = arteriovenous malformations, CNS = nentral nervous system, COVID-19 = coronavirus disease 2019, EVD = external ventricular drain, ICA = internal carotid artery, IHSDH = Interhemispheric Subdural Hemorrhage, mRS = modified Rankin Scale, n.v. = normal value, SAH = Subarachnoide Hemorrhage, WHO = World Health Organization.","container-title":"Medicine","DOI":"10.1097/md.0000000000023862","ISSN":"0025-7974","issue":"51","note":"ISBN: 0000000000","page":"e23862","title":"Subarachnoid hemorrhage and COVID-19","volume":"99","author":[{"family":"Cezar-Junior","given":"Auricelio Batista"},{"family":"Faquini","given":"Igor Vilela"},{"family":"Silva","given":"José Laercio Junior"},{"family":"Carvalho Junior","given":"Eduardo Vieira","non-dropping-particle":"de"},{"family":"Lemos","given":"Luiz Euripedes Almondes Santana"},{"family":"Freire Filho","given":"João Batista Monte"},{"family":"Lira Filho","given":"Hetevaldo Tavares","non-dropping-particle":"de"},{"family":"Pontes","given":"Erton Cesar de Albuquerque"},{"family":"Almeida","given":"Nivaldo Sena"},{"family":"Azevedo-Filho","given":"Hildo Rocha Cirne"}],"issued":{"date-parts":[["2020"]]}}}],"schema":"https://github.com/citation-style-language/schema/raw/master/csl-citation.json"}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E090B">
              <w:rPr>
                <w:rFonts w:ascii="Times New Roman" w:hAnsi="Times New Roman" w:cs="Times New Roman"/>
                <w:color w:val="000000"/>
                <w:sz w:val="13"/>
                <w:vertAlign w:val="superscript"/>
              </w:rPr>
              <w:t>40</w:t>
            </w:r>
            <w:r>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0F031D5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058935F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BE8781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0549E2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944A2E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71</w:t>
            </w:r>
          </w:p>
        </w:tc>
        <w:tc>
          <w:tcPr>
            <w:tcW w:w="0" w:type="auto"/>
            <w:tcBorders>
              <w:top w:val="nil"/>
              <w:left w:val="nil"/>
              <w:bottom w:val="nil"/>
              <w:right w:val="nil"/>
            </w:tcBorders>
            <w:shd w:val="clear" w:color="auto" w:fill="auto"/>
            <w:noWrap/>
            <w:vAlign w:val="center"/>
            <w:hideMark/>
          </w:tcPr>
          <w:p w14:paraId="092B26A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5775C1B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Complicated</w:t>
            </w:r>
          </w:p>
        </w:tc>
        <w:tc>
          <w:tcPr>
            <w:tcW w:w="0" w:type="auto"/>
            <w:tcBorders>
              <w:top w:val="nil"/>
              <w:left w:val="nil"/>
              <w:bottom w:val="nil"/>
              <w:right w:val="nil"/>
            </w:tcBorders>
            <w:shd w:val="clear" w:color="auto" w:fill="auto"/>
            <w:noWrap/>
            <w:vAlign w:val="center"/>
            <w:hideMark/>
          </w:tcPr>
          <w:p w14:paraId="5B961B9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8AC747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AFC336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84C9EC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E751B1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D9CAAB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E4E811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4BBB2F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FCE670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C527C0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36E3E7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75F2E1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978713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C9D0A2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F9C321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63AA31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28F005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30E08B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C7123E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B7B437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2D70D7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1E087725" w14:textId="77777777" w:rsidTr="00C336CB">
        <w:trPr>
          <w:trHeight w:val="320"/>
        </w:trPr>
        <w:tc>
          <w:tcPr>
            <w:tcW w:w="0" w:type="auto"/>
            <w:tcBorders>
              <w:top w:val="nil"/>
              <w:left w:val="nil"/>
              <w:bottom w:val="nil"/>
              <w:right w:val="nil"/>
            </w:tcBorders>
            <w:shd w:val="clear" w:color="auto" w:fill="auto"/>
            <w:noWrap/>
            <w:vAlign w:val="center"/>
            <w:hideMark/>
          </w:tcPr>
          <w:p w14:paraId="413F6CFF" w14:textId="65457312"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Fayed et al. </w:t>
            </w:r>
            <w:r w:rsidR="000E090B">
              <w:rPr>
                <w:rFonts w:ascii="Times New Roman" w:eastAsia="Times New Roman" w:hAnsi="Times New Roman" w:cs="Times New Roman"/>
                <w:color w:val="000000"/>
                <w:sz w:val="13"/>
                <w:szCs w:val="13"/>
                <w:lang w:eastAsia="de-DE"/>
              </w:rPr>
              <w:fldChar w:fldCharType="begin"/>
            </w:r>
            <w:r w:rsidR="000E090B">
              <w:rPr>
                <w:rFonts w:ascii="Times New Roman" w:eastAsia="Times New Roman" w:hAnsi="Times New Roman" w:cs="Times New Roman"/>
                <w:color w:val="000000"/>
                <w:sz w:val="13"/>
                <w:szCs w:val="13"/>
                <w:lang w:eastAsia="de-DE"/>
              </w:rPr>
              <w:instrText xml:space="preserve"> ADDIN ZOTERO_ITEM CSL_CITATION {"citationID":"pSgmjcih","properties":{"formattedCitation":"\\super 41\\nosupersub{}","plainCitation":"41","noteIndex":0},"citationItems":[{"id":3541,"uris":["http://zotero.org/users/local/4rfnQu81/items/YXQZLCF6"],"uri":["http://zotero.org/users/local/4rfnQu81/items/YXQZLCF6"],"itemData":{"id":3541,"type":"article-journal","abstract":"In this study, we report three cases of spontaneous intracranial hemorrhage in patients who were initially hospitalized at our tertiary care center in Washington, DC with symptoms of COVID-19. Severe acute respiratory syndrome coronavirus 2 (SARS-CoV-2) infection was diagnosed in all three patients, who were critically ill, requiring intubation and ventilatory support. During their protracted hospitalizations, subsequent imaging disclosed intracranial hemorrhages, including intracerebral and subarachnoid hemorrhages, in the context of anticoagulation and coagulopathy. We believe this is related to the tropism of SARS-CoV-2 to the endothelial lining of the cerebral vasculature via their angiotensin-converting enzyme (ACE) II receptors. Given our ﬁndings, we advocate heightened vigilance for intracerebral hemorrhage events, and scanning when practicable, in COVID-19 patients which have prolonged ventilatory support and depressed neurologic examinations.","container-title":"Journal of Clinical Neuroscience","language":"en","page":"5","source":"Zotero","title":"Intracranial hemorrhage in critically ill patients hospitalized for","author":[{"family":"Fayed","given":"Islam"},{"family":"Pivazyan","given":"Gnel"},{"family":"Conte","given":"Anthony G"},{"family":"Chang","given":"Jason"},{"family":"Mai","given":"Jeffrey C"}],"issued":{"date-parts":[["2020"]]}}}],"schema":"https://github.com/citation-style-language/schema/raw/master/csl-citation.json"} </w:instrText>
            </w:r>
            <w:r w:rsidR="000E090B">
              <w:rPr>
                <w:rFonts w:ascii="Times New Roman" w:eastAsia="Times New Roman" w:hAnsi="Times New Roman" w:cs="Times New Roman"/>
                <w:color w:val="000000"/>
                <w:sz w:val="13"/>
                <w:szCs w:val="13"/>
                <w:lang w:eastAsia="de-DE"/>
              </w:rPr>
              <w:fldChar w:fldCharType="separate"/>
            </w:r>
            <w:r w:rsidR="000E090B" w:rsidRPr="000E090B">
              <w:rPr>
                <w:rFonts w:ascii="Times New Roman" w:hAnsi="Times New Roman" w:cs="Times New Roman"/>
                <w:color w:val="000000"/>
                <w:sz w:val="13"/>
                <w:vertAlign w:val="superscript"/>
                <w:lang w:val="de-DE"/>
              </w:rPr>
              <w:t>41</w:t>
            </w:r>
            <w:r w:rsidR="000E090B">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39455C8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34FADA5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6962F4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AA0156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A60DD4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57</w:t>
            </w:r>
          </w:p>
        </w:tc>
        <w:tc>
          <w:tcPr>
            <w:tcW w:w="0" w:type="auto"/>
            <w:tcBorders>
              <w:top w:val="nil"/>
              <w:left w:val="nil"/>
              <w:bottom w:val="nil"/>
              <w:right w:val="nil"/>
            </w:tcBorders>
            <w:shd w:val="clear" w:color="auto" w:fill="auto"/>
            <w:noWrap/>
            <w:vAlign w:val="center"/>
            <w:hideMark/>
          </w:tcPr>
          <w:p w14:paraId="411547E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6875413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7553A6F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538E5E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2D80A1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506BE1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EB632C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EC689E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1A64BB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3B2DC8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FC22FD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7B1E40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E86D99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656039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CD3B4B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0C948B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4F78C1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7C53E1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4ECEBD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020D3B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6665B2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FC310C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96779F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0EDDC366" w14:textId="77777777" w:rsidTr="00C336CB">
        <w:trPr>
          <w:trHeight w:val="320"/>
        </w:trPr>
        <w:tc>
          <w:tcPr>
            <w:tcW w:w="0" w:type="auto"/>
            <w:tcBorders>
              <w:top w:val="nil"/>
              <w:left w:val="nil"/>
              <w:bottom w:val="nil"/>
              <w:right w:val="nil"/>
            </w:tcBorders>
            <w:shd w:val="clear" w:color="auto" w:fill="auto"/>
            <w:noWrap/>
            <w:vAlign w:val="center"/>
            <w:hideMark/>
          </w:tcPr>
          <w:p w14:paraId="45CF8C20" w14:textId="39D5D93A"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lastRenderedPageBreak/>
              <w:t xml:space="preserve">Fayed et al. </w:t>
            </w:r>
            <w:r w:rsidR="000E090B">
              <w:rPr>
                <w:rFonts w:ascii="Times New Roman" w:eastAsia="Times New Roman" w:hAnsi="Times New Roman" w:cs="Times New Roman"/>
                <w:color w:val="000000"/>
                <w:sz w:val="13"/>
                <w:szCs w:val="13"/>
                <w:lang w:eastAsia="de-DE"/>
              </w:rPr>
              <w:fldChar w:fldCharType="begin"/>
            </w:r>
            <w:r w:rsidR="000E090B">
              <w:rPr>
                <w:rFonts w:ascii="Times New Roman" w:eastAsia="Times New Roman" w:hAnsi="Times New Roman" w:cs="Times New Roman"/>
                <w:color w:val="000000"/>
                <w:sz w:val="13"/>
                <w:szCs w:val="13"/>
                <w:lang w:eastAsia="de-DE"/>
              </w:rPr>
              <w:instrText xml:space="preserve"> ADDIN ZOTERO_ITEM CSL_CITATION {"citationID":"yqPXPGlT","properties":{"formattedCitation":"\\super 41\\nosupersub{}","plainCitation":"41","noteIndex":0},"citationItems":[{"id":3541,"uris":["http://zotero.org/users/local/4rfnQu81/items/YXQZLCF6"],"uri":["http://zotero.org/users/local/4rfnQu81/items/YXQZLCF6"],"itemData":{"id":3541,"type":"article-journal","abstract":"In this study, we report three cases of spontaneous intracranial hemorrhage in patients who were initially hospitalized at our tertiary care center in Washington, DC with symptoms of COVID-19. Severe acute respiratory syndrome coronavirus 2 (SARS-CoV-2) infection was diagnosed in all three patients, who were critically ill, requiring intubation and ventilatory support. During their protracted hospitalizations, subsequent imaging disclosed intracranial hemorrhages, including intracerebral and subarachnoid hemorrhages, in the context of anticoagulation and coagulopathy. We believe this is related to the tropism of SARS-CoV-2 to the endothelial lining of the cerebral vasculature via their angiotensin-converting enzyme (ACE) II receptors. Given our ﬁndings, we advocate heightened vigilance for intracerebral hemorrhage events, and scanning when practicable, in COVID-19 patients which have prolonged ventilatory support and depressed neurologic examinations.","container-title":"Journal of Clinical Neuroscience","language":"en","page":"5","source":"Zotero","title":"Intracranial hemorrhage in critically ill patients hospitalized for","author":[{"family":"Fayed","given":"Islam"},{"family":"Pivazyan","given":"Gnel"},{"family":"Conte","given":"Anthony G"},{"family":"Chang","given":"Jason"},{"family":"Mai","given":"Jeffrey C"}],"issued":{"date-parts":[["2020"]]}}}],"schema":"https://github.com/citation-style-language/schema/raw/master/csl-citation.json"} </w:instrText>
            </w:r>
            <w:r w:rsidR="000E090B">
              <w:rPr>
                <w:rFonts w:ascii="Times New Roman" w:eastAsia="Times New Roman" w:hAnsi="Times New Roman" w:cs="Times New Roman"/>
                <w:color w:val="000000"/>
                <w:sz w:val="13"/>
                <w:szCs w:val="13"/>
                <w:lang w:eastAsia="de-DE"/>
              </w:rPr>
              <w:fldChar w:fldCharType="separate"/>
            </w:r>
            <w:r w:rsidR="000E090B" w:rsidRPr="000E090B">
              <w:rPr>
                <w:rFonts w:ascii="Times New Roman" w:hAnsi="Times New Roman" w:cs="Times New Roman"/>
                <w:color w:val="000000"/>
                <w:sz w:val="13"/>
                <w:vertAlign w:val="superscript"/>
                <w:lang w:val="de-DE"/>
              </w:rPr>
              <w:t>41</w:t>
            </w:r>
            <w:r w:rsidR="000E090B">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463F7E9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0CE948D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C9B567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E50D33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DC3E9F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54</w:t>
            </w:r>
          </w:p>
        </w:tc>
        <w:tc>
          <w:tcPr>
            <w:tcW w:w="0" w:type="auto"/>
            <w:tcBorders>
              <w:top w:val="nil"/>
              <w:left w:val="nil"/>
              <w:bottom w:val="nil"/>
              <w:right w:val="nil"/>
            </w:tcBorders>
            <w:shd w:val="clear" w:color="auto" w:fill="auto"/>
            <w:noWrap/>
            <w:vAlign w:val="center"/>
            <w:hideMark/>
          </w:tcPr>
          <w:p w14:paraId="7FF4057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4F82AAC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62DE7A9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C110A8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4CEC96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C11F3E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7C78DB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D9444F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C26033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955D56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CE9BA3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D9AE23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9E473C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C3B5EE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CB5BA0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2AEC27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567F95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0D681C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03CDDE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A1A76A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447EA3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5F14D9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53AA59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4E5520E0" w14:textId="77777777" w:rsidTr="00C336CB">
        <w:trPr>
          <w:trHeight w:val="320"/>
        </w:trPr>
        <w:tc>
          <w:tcPr>
            <w:tcW w:w="0" w:type="auto"/>
            <w:tcBorders>
              <w:top w:val="nil"/>
              <w:left w:val="nil"/>
              <w:bottom w:val="nil"/>
              <w:right w:val="nil"/>
            </w:tcBorders>
            <w:shd w:val="clear" w:color="auto" w:fill="auto"/>
            <w:noWrap/>
            <w:vAlign w:val="center"/>
            <w:hideMark/>
          </w:tcPr>
          <w:p w14:paraId="6C9DC8F7" w14:textId="1201A95A"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Fayed et al. </w:t>
            </w:r>
            <w:r w:rsidR="000E090B">
              <w:rPr>
                <w:rFonts w:ascii="Times New Roman" w:eastAsia="Times New Roman" w:hAnsi="Times New Roman" w:cs="Times New Roman"/>
                <w:color w:val="000000"/>
                <w:sz w:val="13"/>
                <w:szCs w:val="13"/>
                <w:lang w:eastAsia="de-DE"/>
              </w:rPr>
              <w:fldChar w:fldCharType="begin"/>
            </w:r>
            <w:r w:rsidR="000E090B">
              <w:rPr>
                <w:rFonts w:ascii="Times New Roman" w:eastAsia="Times New Roman" w:hAnsi="Times New Roman" w:cs="Times New Roman"/>
                <w:color w:val="000000"/>
                <w:sz w:val="13"/>
                <w:szCs w:val="13"/>
                <w:lang w:eastAsia="de-DE"/>
              </w:rPr>
              <w:instrText xml:space="preserve"> ADDIN ZOTERO_ITEM CSL_CITATION {"citationID":"7PmXGlfQ","properties":{"formattedCitation":"\\super 41\\nosupersub{}","plainCitation":"41","noteIndex":0},"citationItems":[{"id":3541,"uris":["http://zotero.org/users/local/4rfnQu81/items/YXQZLCF6"],"uri":["http://zotero.org/users/local/4rfnQu81/items/YXQZLCF6"],"itemData":{"id":3541,"type":"article-journal","abstract":"In this study, we report three cases of spontaneous intracranial hemorrhage in patients who were initially hospitalized at our tertiary care center in Washington, DC with symptoms of COVID-19. Severe acute respiratory syndrome coronavirus 2 (SARS-CoV-2) infection was diagnosed in all three patients, who were critically ill, requiring intubation and ventilatory support. During their protracted hospitalizations, subsequent imaging disclosed intracranial hemorrhages, including intracerebral and subarachnoid hemorrhages, in the context of anticoagulation and coagulopathy. We believe this is related to the tropism of SARS-CoV-2 to the endothelial lining of the cerebral vasculature via their angiotensin-converting enzyme (ACE) II receptors. Given our ﬁndings, we advocate heightened vigilance for intracerebral hemorrhage events, and scanning when practicable, in COVID-19 patients which have prolonged ventilatory support and depressed neurologic examinations.","container-title":"Journal of Clinical Neuroscience","language":"en","page":"5","source":"Zotero","title":"Intracranial hemorrhage in critically ill patients hospitalized for","author":[{"family":"Fayed","given":"Islam"},{"family":"Pivazyan","given":"Gnel"},{"family":"Conte","given":"Anthony G"},{"family":"Chang","given":"Jason"},{"family":"Mai","given":"Jeffrey C"}],"issued":{"date-parts":[["2020"]]}}}],"schema":"https://github.com/citation-style-language/schema/raw/master/csl-citation.json"} </w:instrText>
            </w:r>
            <w:r w:rsidR="000E090B">
              <w:rPr>
                <w:rFonts w:ascii="Times New Roman" w:eastAsia="Times New Roman" w:hAnsi="Times New Roman" w:cs="Times New Roman"/>
                <w:color w:val="000000"/>
                <w:sz w:val="13"/>
                <w:szCs w:val="13"/>
                <w:lang w:eastAsia="de-DE"/>
              </w:rPr>
              <w:fldChar w:fldCharType="separate"/>
            </w:r>
            <w:r w:rsidR="000E090B" w:rsidRPr="000E090B">
              <w:rPr>
                <w:rFonts w:ascii="Times New Roman" w:hAnsi="Times New Roman" w:cs="Times New Roman"/>
                <w:color w:val="000000"/>
                <w:sz w:val="13"/>
                <w:vertAlign w:val="superscript"/>
                <w:lang w:val="de-DE"/>
              </w:rPr>
              <w:t>41</w:t>
            </w:r>
            <w:r w:rsidR="000E090B">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7C338C4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609AB82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A97509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9FC637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2808A3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71</w:t>
            </w:r>
          </w:p>
        </w:tc>
        <w:tc>
          <w:tcPr>
            <w:tcW w:w="0" w:type="auto"/>
            <w:tcBorders>
              <w:top w:val="nil"/>
              <w:left w:val="nil"/>
              <w:bottom w:val="nil"/>
              <w:right w:val="nil"/>
            </w:tcBorders>
            <w:shd w:val="clear" w:color="auto" w:fill="auto"/>
            <w:noWrap/>
            <w:vAlign w:val="center"/>
            <w:hideMark/>
          </w:tcPr>
          <w:p w14:paraId="0842825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7A8E5BA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425FFE8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7B42C2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60DB27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684A6B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9FBD33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CE34CB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7039B0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05ED6A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15E65B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D71FB0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8B7D63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FA1EF4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265FEF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DF41B9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8D2FDA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159669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DC1FC9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604BE4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F042F7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E9EA0C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689FDD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394C65D0" w14:textId="77777777" w:rsidTr="00C336CB">
        <w:trPr>
          <w:trHeight w:val="320"/>
        </w:trPr>
        <w:tc>
          <w:tcPr>
            <w:tcW w:w="0" w:type="auto"/>
            <w:tcBorders>
              <w:top w:val="nil"/>
              <w:left w:val="nil"/>
              <w:bottom w:val="nil"/>
              <w:right w:val="nil"/>
            </w:tcBorders>
            <w:shd w:val="clear" w:color="auto" w:fill="auto"/>
            <w:noWrap/>
            <w:vAlign w:val="center"/>
            <w:hideMark/>
          </w:tcPr>
          <w:p w14:paraId="32DAFFD3" w14:textId="51FC7ABF"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Gosh et al. </w:t>
            </w:r>
            <w:r w:rsidR="000E090B">
              <w:rPr>
                <w:rFonts w:ascii="Times New Roman" w:eastAsia="Times New Roman" w:hAnsi="Times New Roman" w:cs="Times New Roman"/>
                <w:color w:val="000000"/>
                <w:sz w:val="13"/>
                <w:szCs w:val="13"/>
                <w:lang w:eastAsia="de-DE"/>
              </w:rPr>
              <w:fldChar w:fldCharType="begin"/>
            </w:r>
            <w:r w:rsidR="000E090B">
              <w:rPr>
                <w:rFonts w:ascii="Times New Roman" w:eastAsia="Times New Roman" w:hAnsi="Times New Roman" w:cs="Times New Roman"/>
                <w:color w:val="000000"/>
                <w:sz w:val="13"/>
                <w:szCs w:val="13"/>
                <w:lang w:eastAsia="de-DE"/>
              </w:rPr>
              <w:instrText xml:space="preserve"> ADDIN ZOTERO_ITEM CSL_CITATION {"citationID":"PhQJ8f0p","properties":{"formattedCitation":"\\super 42\\nosupersub{}","plainCitation":"42","noteIndex":0},"citationItems":[{"id":3589,"uris":["http://zotero.org/users/local/4rfnQu81/items/Z8WW963E"],"uri":["http://zotero.org/users/local/4rfnQu81/items/Z8WW963E"],"itemData":{"id":3589,"type":"article-journal","container-title":"The Canadian Journal of Neurological Sciences. Le Journal Canadien Des Sciences Neurologiques","DOI":"10.1017/cjn.2020.117","ISSN":"0317-1671","issue":"6","journalAbbreviation":"Can J Neurol Sci","language":"eng","note":"PMID: 32493536\nPMCID: PMC7327161","page":"849-851","source":"PubMed","title":"COVID-19 Presenting With Thalamic Hemorrhage Unmasking Moyamoya Angiopathy","volume":"47","author":[{"family":"Ghosh","given":"Ritwik"},{"family":"Dubey","given":"Souvik"},{"family":"Kanti Ray","given":"Biman"},{"family":"Chatterjee","given":"Subhankar"},{"family":"Benito-León","given":"Julián"}],"issued":{"date-parts":[["2020",11]]}}}],"schema":"https://github.com/citation-style-language/schema/raw/master/csl-citation.json"} </w:instrText>
            </w:r>
            <w:r w:rsidR="000E090B">
              <w:rPr>
                <w:rFonts w:ascii="Times New Roman" w:eastAsia="Times New Roman" w:hAnsi="Times New Roman" w:cs="Times New Roman"/>
                <w:color w:val="000000"/>
                <w:sz w:val="13"/>
                <w:szCs w:val="13"/>
                <w:lang w:eastAsia="de-DE"/>
              </w:rPr>
              <w:fldChar w:fldCharType="separate"/>
            </w:r>
            <w:r w:rsidR="000E090B" w:rsidRPr="000E090B">
              <w:rPr>
                <w:rFonts w:ascii="Times New Roman" w:hAnsi="Times New Roman" w:cs="Times New Roman"/>
                <w:color w:val="000000"/>
                <w:sz w:val="13"/>
                <w:vertAlign w:val="superscript"/>
                <w:lang w:val="de-DE"/>
              </w:rPr>
              <w:t>42</w:t>
            </w:r>
            <w:r w:rsidR="000E090B">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1695225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725216A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23CCCD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18BB78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80C012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19</w:t>
            </w:r>
          </w:p>
        </w:tc>
        <w:tc>
          <w:tcPr>
            <w:tcW w:w="0" w:type="auto"/>
            <w:tcBorders>
              <w:top w:val="nil"/>
              <w:left w:val="nil"/>
              <w:bottom w:val="nil"/>
              <w:right w:val="nil"/>
            </w:tcBorders>
            <w:shd w:val="clear" w:color="auto" w:fill="auto"/>
            <w:noWrap/>
            <w:vAlign w:val="center"/>
            <w:hideMark/>
          </w:tcPr>
          <w:p w14:paraId="2F94B92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778F711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Uncomplicated</w:t>
            </w:r>
          </w:p>
        </w:tc>
        <w:tc>
          <w:tcPr>
            <w:tcW w:w="0" w:type="auto"/>
            <w:tcBorders>
              <w:top w:val="nil"/>
              <w:left w:val="nil"/>
              <w:bottom w:val="nil"/>
              <w:right w:val="nil"/>
            </w:tcBorders>
            <w:shd w:val="clear" w:color="auto" w:fill="auto"/>
            <w:noWrap/>
            <w:vAlign w:val="center"/>
            <w:hideMark/>
          </w:tcPr>
          <w:p w14:paraId="54F194F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2EC578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FE72F7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315868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BD6EB1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F06C45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1A6899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CF9D6E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7B61C5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06AB0F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814C34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F93A3A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DFA0DF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CF7985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19B73D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3B7776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06BF5F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8C7FF3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B97A05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2EE6FD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0453CD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5325669F" w14:textId="77777777" w:rsidTr="00C336CB">
        <w:trPr>
          <w:trHeight w:val="320"/>
        </w:trPr>
        <w:tc>
          <w:tcPr>
            <w:tcW w:w="0" w:type="auto"/>
            <w:tcBorders>
              <w:top w:val="nil"/>
              <w:left w:val="nil"/>
              <w:bottom w:val="nil"/>
              <w:right w:val="nil"/>
            </w:tcBorders>
            <w:shd w:val="clear" w:color="auto" w:fill="auto"/>
            <w:noWrap/>
            <w:vAlign w:val="center"/>
            <w:hideMark/>
          </w:tcPr>
          <w:p w14:paraId="42EAA698" w14:textId="7282E3DC"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Haroon et al. </w:t>
            </w:r>
            <w:r w:rsidR="000E090B">
              <w:rPr>
                <w:rFonts w:ascii="Times New Roman" w:eastAsia="Times New Roman" w:hAnsi="Times New Roman" w:cs="Times New Roman"/>
                <w:color w:val="000000"/>
                <w:sz w:val="13"/>
                <w:szCs w:val="13"/>
                <w:lang w:eastAsia="de-DE"/>
              </w:rPr>
              <w:fldChar w:fldCharType="begin"/>
            </w:r>
            <w:r w:rsidR="000E090B">
              <w:rPr>
                <w:rFonts w:ascii="Times New Roman" w:eastAsia="Times New Roman" w:hAnsi="Times New Roman" w:cs="Times New Roman"/>
                <w:color w:val="000000"/>
                <w:sz w:val="13"/>
                <w:szCs w:val="13"/>
                <w:lang w:eastAsia="de-DE"/>
              </w:rPr>
              <w:instrText xml:space="preserve"> ADDIN ZOTERO_ITEM CSL_CITATION {"citationID":"GIOQzEIX","properties":{"formattedCitation":"\\super 43\\nosupersub{}","plainCitation":"43","noteIndex":0},"citationItems":[{"id":76,"uris":["http://zotero.org/users/local/4rfnQu81/items/WSFTPZPJ"],"uri":["http://zotero.org/users/local/4rfnQu81/items/WSFTPZPJ"],"itemData":{"id":76,"type":"article-journal","abstract":"Coronavirus disease 2019 (COVID-19) is a viral illness caused by the novel severe acute respiratory syndrome coronavirus 2 (SARS-CoV-2). There is worldwide emerging evidence of multisystem involvement including different neurological manifestations in COVID-19 patients. As a result, healthcare systems worldwide are not only experiencing diagnostic but also therapeutic and prognostic challenges with COVID-19-related complications. Cerebral microbleeds and leukoencephalopathy have been described in COVID-19 patients; although the mechanism remains unknown, possibilities include endotheliitis with thrombotic microangiopathy, excessive inflammation, prolonged respiratory failure, and hypoxemia. We describe here the clinical, radiological, and laboratory findings as well as the 90-day outcome of a 72-year-old gentleman who presented with severe SARS-CoV-2 infection, leading to diffuse cerebral microhemorrhages and ischemic infarct causing severe morbidity. He was tested positive for COVID-19 confirmed by reverse transcriptase polymerase chain reaction.","container-title":"Case Reports in Neurology","DOI":"10.1159/000512322","ISSN":"1662680X","page":"373–377","title":"Multiple Microbleeds: A Serious Neurological Manifestation in a Critically Ill COVID-19 Patient","volume":"3050","author":[{"family":"Haroon","given":"Khawaja Hassan"},{"family":"Patro","given":"Satya Narayana"},{"family":"Hussain","given":"Suhail"},{"family":"Zafar","given":"Abdulaziz"},{"family":"Muhammad","given":"Ahmad"}],"issued":{"date-parts":[["2020"]]}}}],"schema":"https://github.com/citation-style-language/schema/raw/master/csl-citation.json"} </w:instrText>
            </w:r>
            <w:r w:rsidR="000E090B">
              <w:rPr>
                <w:rFonts w:ascii="Times New Roman" w:eastAsia="Times New Roman" w:hAnsi="Times New Roman" w:cs="Times New Roman"/>
                <w:color w:val="000000"/>
                <w:sz w:val="13"/>
                <w:szCs w:val="13"/>
                <w:lang w:eastAsia="de-DE"/>
              </w:rPr>
              <w:fldChar w:fldCharType="separate"/>
            </w:r>
            <w:r w:rsidR="000E090B" w:rsidRPr="000E090B">
              <w:rPr>
                <w:rFonts w:ascii="Times New Roman" w:hAnsi="Times New Roman" w:cs="Times New Roman"/>
                <w:color w:val="000000"/>
                <w:sz w:val="13"/>
                <w:vertAlign w:val="superscript"/>
                <w:lang w:val="de-DE"/>
              </w:rPr>
              <w:t>43</w:t>
            </w:r>
            <w:r w:rsidR="000E090B">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3F05DA6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5E9787D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64228D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32526E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353511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71</w:t>
            </w:r>
          </w:p>
        </w:tc>
        <w:tc>
          <w:tcPr>
            <w:tcW w:w="0" w:type="auto"/>
            <w:tcBorders>
              <w:top w:val="nil"/>
              <w:left w:val="nil"/>
              <w:bottom w:val="nil"/>
              <w:right w:val="nil"/>
            </w:tcBorders>
            <w:shd w:val="clear" w:color="auto" w:fill="auto"/>
            <w:noWrap/>
            <w:vAlign w:val="center"/>
            <w:hideMark/>
          </w:tcPr>
          <w:p w14:paraId="4E5B27B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1A0F661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5BCBFBD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B8A04A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8E183C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E899F4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0B0E1F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CD9221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0FD74A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671935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E2D8A6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423748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F3B049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62CC82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F06BD1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0919F3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D958B6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D11850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429F1C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82E3A9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08A62A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7F7C2E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6FC61F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5C2CDDA6" w14:textId="77777777" w:rsidTr="00C336CB">
        <w:trPr>
          <w:trHeight w:val="340"/>
        </w:trPr>
        <w:tc>
          <w:tcPr>
            <w:tcW w:w="0" w:type="auto"/>
            <w:tcBorders>
              <w:top w:val="nil"/>
              <w:left w:val="nil"/>
              <w:bottom w:val="nil"/>
              <w:right w:val="nil"/>
            </w:tcBorders>
            <w:shd w:val="clear" w:color="auto" w:fill="auto"/>
            <w:noWrap/>
            <w:vAlign w:val="center"/>
            <w:hideMark/>
          </w:tcPr>
          <w:p w14:paraId="5CDEBA8D" w14:textId="49A61686"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Mousa-Ibrahim et al.</w:t>
            </w:r>
            <w:r w:rsidR="000E090B">
              <w:rPr>
                <w:rFonts w:ascii="Times New Roman" w:eastAsia="Times New Roman" w:hAnsi="Times New Roman" w:cs="Times New Roman"/>
                <w:color w:val="000000"/>
                <w:sz w:val="13"/>
                <w:szCs w:val="13"/>
                <w:lang w:eastAsia="de-DE"/>
              </w:rPr>
              <w:fldChar w:fldCharType="begin"/>
            </w:r>
            <w:r w:rsidR="000E090B">
              <w:rPr>
                <w:rFonts w:ascii="Times New Roman" w:eastAsia="Times New Roman" w:hAnsi="Times New Roman" w:cs="Times New Roman"/>
                <w:color w:val="000000"/>
                <w:sz w:val="13"/>
                <w:szCs w:val="13"/>
                <w:lang w:eastAsia="de-DE"/>
              </w:rPr>
              <w:instrText xml:space="preserve"> ADDIN ZOTERO_ITEM CSL_CITATION {"citationID":"0SxtRpHl","properties":{"formattedCitation":"\\super 44\\nosupersub{}","plainCitation":"44","noteIndex":0},"citationItems":[{"id":3538,"uris":["http://zotero.org/users/local/4rfnQu81/items/ZS7SKB5K"],"uri":["http://zotero.org/users/local/4rfnQu81/items/ZS7SKB5K"],"itemData":{"id":3538,"type":"article-journal","language":"en","page":"8","source":"Zotero","title":"Intracranial Hemorrhage in Hospitalized SARS-CoV-2 Patients: A Case Series","author":[{"family":"Mousa-Ibrahim","given":"Fady"},{"family":"Berg","given":"Stephanie"},{"family":"OdTPDetola","given":"Oluwatobi"},{"family":"Teitcher","given":"Michael"},{"family":"Ruland","given":"Sean"}]}}],"schema":"https://github.com/citation-style-language/schema/raw/master/csl-citation.json"} </w:instrText>
            </w:r>
            <w:r w:rsidR="000E090B">
              <w:rPr>
                <w:rFonts w:ascii="Times New Roman" w:eastAsia="Times New Roman" w:hAnsi="Times New Roman" w:cs="Times New Roman"/>
                <w:color w:val="000000"/>
                <w:sz w:val="13"/>
                <w:szCs w:val="13"/>
                <w:lang w:eastAsia="de-DE"/>
              </w:rPr>
              <w:fldChar w:fldCharType="separate"/>
            </w:r>
            <w:r w:rsidR="000E090B" w:rsidRPr="000E090B">
              <w:rPr>
                <w:rFonts w:ascii="Times New Roman" w:hAnsi="Times New Roman" w:cs="Times New Roman"/>
                <w:color w:val="000000"/>
                <w:sz w:val="13"/>
                <w:vertAlign w:val="superscript"/>
                <w:lang w:val="de-DE"/>
              </w:rPr>
              <w:t>44</w:t>
            </w:r>
            <w:r w:rsidR="000E090B">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67A7A1E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24FA8C8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AEE1C0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BB6954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689C95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54</w:t>
            </w:r>
          </w:p>
        </w:tc>
        <w:tc>
          <w:tcPr>
            <w:tcW w:w="0" w:type="auto"/>
            <w:tcBorders>
              <w:top w:val="nil"/>
              <w:left w:val="nil"/>
              <w:bottom w:val="nil"/>
              <w:right w:val="nil"/>
            </w:tcBorders>
            <w:shd w:val="clear" w:color="auto" w:fill="auto"/>
            <w:noWrap/>
            <w:vAlign w:val="center"/>
            <w:hideMark/>
          </w:tcPr>
          <w:p w14:paraId="6EFDF4C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1FA579C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2A3C786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CE4672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1562B8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1D14E6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5B8EC1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2468DD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7BD511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4DDD31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CF75E5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8E9F7C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2D4846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7DE788A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3673565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01C3833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448CF53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6EA8604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4C835D9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66AA27D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28C6857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2FA3E4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53512A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7C9B7F26" w14:textId="77777777" w:rsidTr="00C336CB">
        <w:trPr>
          <w:trHeight w:val="320"/>
        </w:trPr>
        <w:tc>
          <w:tcPr>
            <w:tcW w:w="0" w:type="auto"/>
            <w:tcBorders>
              <w:top w:val="nil"/>
              <w:left w:val="nil"/>
              <w:bottom w:val="nil"/>
              <w:right w:val="nil"/>
            </w:tcBorders>
            <w:shd w:val="clear" w:color="auto" w:fill="auto"/>
            <w:noWrap/>
            <w:vAlign w:val="center"/>
            <w:hideMark/>
          </w:tcPr>
          <w:p w14:paraId="40401953" w14:textId="67533FF4"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Mousa-Ibrahim et al.</w:t>
            </w:r>
            <w:r w:rsidR="000E090B">
              <w:rPr>
                <w:rFonts w:ascii="Times New Roman" w:eastAsia="Times New Roman" w:hAnsi="Times New Roman" w:cs="Times New Roman"/>
                <w:color w:val="000000"/>
                <w:sz w:val="13"/>
                <w:szCs w:val="13"/>
                <w:lang w:eastAsia="de-DE"/>
              </w:rPr>
              <w:t xml:space="preserve"> </w:t>
            </w:r>
            <w:r w:rsidR="000E090B">
              <w:rPr>
                <w:rFonts w:ascii="Times New Roman" w:eastAsia="Times New Roman" w:hAnsi="Times New Roman" w:cs="Times New Roman"/>
                <w:color w:val="000000"/>
                <w:sz w:val="13"/>
                <w:szCs w:val="13"/>
                <w:lang w:eastAsia="de-DE"/>
              </w:rPr>
              <w:fldChar w:fldCharType="begin"/>
            </w:r>
            <w:r w:rsidR="000E090B">
              <w:rPr>
                <w:rFonts w:ascii="Times New Roman" w:eastAsia="Times New Roman" w:hAnsi="Times New Roman" w:cs="Times New Roman"/>
                <w:color w:val="000000"/>
                <w:sz w:val="13"/>
                <w:szCs w:val="13"/>
                <w:lang w:eastAsia="de-DE"/>
              </w:rPr>
              <w:instrText xml:space="preserve"> ADDIN ZOTERO_ITEM CSL_CITATION {"citationID":"u4foiv1N","properties":{"formattedCitation":"\\super 44\\nosupersub{}","plainCitation":"44","noteIndex":0},"citationItems":[{"id":3538,"uris":["http://zotero.org/users/local/4rfnQu81/items/ZS7SKB5K"],"uri":["http://zotero.org/users/local/4rfnQu81/items/ZS7SKB5K"],"itemData":{"id":3538,"type":"article-journal","language":"en","page":"8","source":"Zotero","title":"Intracranial Hemorrhage in Hospitalized SARS-CoV-2 Patients: A Case Series","author":[{"family":"Mousa-Ibrahim","given":"Fady"},{"family":"Berg","given":"Stephanie"},{"family":"OdTPDetola","given":"Oluwatobi"},{"family":"Teitcher","given":"Michael"},{"family":"Ruland","given":"Sean"}]}}],"schema":"https://github.com/citation-style-language/schema/raw/master/csl-citation.json"} </w:instrText>
            </w:r>
            <w:r w:rsidR="000E090B">
              <w:rPr>
                <w:rFonts w:ascii="Times New Roman" w:eastAsia="Times New Roman" w:hAnsi="Times New Roman" w:cs="Times New Roman"/>
                <w:color w:val="000000"/>
                <w:sz w:val="13"/>
                <w:szCs w:val="13"/>
                <w:lang w:eastAsia="de-DE"/>
              </w:rPr>
              <w:fldChar w:fldCharType="separate"/>
            </w:r>
            <w:r w:rsidR="000E090B" w:rsidRPr="000E090B">
              <w:rPr>
                <w:rFonts w:ascii="Times New Roman" w:hAnsi="Times New Roman" w:cs="Times New Roman"/>
                <w:color w:val="000000"/>
                <w:sz w:val="13"/>
                <w:vertAlign w:val="superscript"/>
                <w:lang w:val="de-DE"/>
              </w:rPr>
              <w:t>44</w:t>
            </w:r>
            <w:r w:rsidR="000E090B">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76184DD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1D6EC59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D9DEF6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EF6A7F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797D07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68</w:t>
            </w:r>
          </w:p>
        </w:tc>
        <w:tc>
          <w:tcPr>
            <w:tcW w:w="0" w:type="auto"/>
            <w:tcBorders>
              <w:top w:val="nil"/>
              <w:left w:val="nil"/>
              <w:bottom w:val="nil"/>
              <w:right w:val="nil"/>
            </w:tcBorders>
            <w:shd w:val="clear" w:color="auto" w:fill="auto"/>
            <w:noWrap/>
            <w:vAlign w:val="center"/>
            <w:hideMark/>
          </w:tcPr>
          <w:p w14:paraId="6624E4D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306C82E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4DE757A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F1A52D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FE8221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771E55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777173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EC1603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B94ADF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1E1C47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D3B529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7DB3AC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06A9D5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521E8A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0E7C37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64254F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9C1F6F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12B87B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E03581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15762E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07A8ED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8C5994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F9713B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46FA89FE" w14:textId="77777777" w:rsidTr="00C336CB">
        <w:trPr>
          <w:trHeight w:val="340"/>
        </w:trPr>
        <w:tc>
          <w:tcPr>
            <w:tcW w:w="0" w:type="auto"/>
            <w:tcBorders>
              <w:top w:val="nil"/>
              <w:left w:val="nil"/>
              <w:bottom w:val="nil"/>
              <w:right w:val="nil"/>
            </w:tcBorders>
            <w:shd w:val="clear" w:color="auto" w:fill="auto"/>
            <w:noWrap/>
            <w:vAlign w:val="center"/>
            <w:hideMark/>
          </w:tcPr>
          <w:p w14:paraId="7469CEC9" w14:textId="1894A294"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Mousa-Ibrahim et al.</w:t>
            </w:r>
            <w:r w:rsidR="000E090B">
              <w:rPr>
                <w:rFonts w:ascii="Times New Roman" w:eastAsia="Times New Roman" w:hAnsi="Times New Roman" w:cs="Times New Roman"/>
                <w:color w:val="000000"/>
                <w:sz w:val="13"/>
                <w:szCs w:val="13"/>
                <w:lang w:eastAsia="de-DE"/>
              </w:rPr>
              <w:t xml:space="preserve"> </w:t>
            </w:r>
            <w:r w:rsidR="000E090B">
              <w:rPr>
                <w:rFonts w:ascii="Times New Roman" w:eastAsia="Times New Roman" w:hAnsi="Times New Roman" w:cs="Times New Roman"/>
                <w:color w:val="000000"/>
                <w:sz w:val="13"/>
                <w:szCs w:val="13"/>
                <w:lang w:eastAsia="de-DE"/>
              </w:rPr>
              <w:fldChar w:fldCharType="begin"/>
            </w:r>
            <w:r w:rsidR="000E090B">
              <w:rPr>
                <w:rFonts w:ascii="Times New Roman" w:eastAsia="Times New Roman" w:hAnsi="Times New Roman" w:cs="Times New Roman"/>
                <w:color w:val="000000"/>
                <w:sz w:val="13"/>
                <w:szCs w:val="13"/>
                <w:lang w:eastAsia="de-DE"/>
              </w:rPr>
              <w:instrText xml:space="preserve"> ADDIN ZOTERO_ITEM CSL_CITATION {"citationID":"20u6at8J","properties":{"formattedCitation":"\\super 44\\nosupersub{}","plainCitation":"44","noteIndex":0},"citationItems":[{"id":3538,"uris":["http://zotero.org/users/local/4rfnQu81/items/ZS7SKB5K"],"uri":["http://zotero.org/users/local/4rfnQu81/items/ZS7SKB5K"],"itemData":{"id":3538,"type":"article-journal","language":"en","page":"8","source":"Zotero","title":"Intracranial Hemorrhage in Hospitalized SARS-CoV-2 Patients: A Case Series","author":[{"family":"Mousa-Ibrahim","given":"Fady"},{"family":"Berg","given":"Stephanie"},{"family":"OdTPDetola","given":"Oluwatobi"},{"family":"Teitcher","given":"Michael"},{"family":"Ruland","given":"Sean"}]}}],"schema":"https://github.com/citation-style-language/schema/raw/master/csl-citation.json"} </w:instrText>
            </w:r>
            <w:r w:rsidR="000E090B">
              <w:rPr>
                <w:rFonts w:ascii="Times New Roman" w:eastAsia="Times New Roman" w:hAnsi="Times New Roman" w:cs="Times New Roman"/>
                <w:color w:val="000000"/>
                <w:sz w:val="13"/>
                <w:szCs w:val="13"/>
                <w:lang w:eastAsia="de-DE"/>
              </w:rPr>
              <w:fldChar w:fldCharType="separate"/>
            </w:r>
            <w:r w:rsidR="000E090B" w:rsidRPr="000E090B">
              <w:rPr>
                <w:rFonts w:ascii="Times New Roman" w:hAnsi="Times New Roman" w:cs="Times New Roman"/>
                <w:color w:val="000000"/>
                <w:sz w:val="13"/>
                <w:vertAlign w:val="superscript"/>
                <w:lang w:val="de-DE"/>
              </w:rPr>
              <w:t>44</w:t>
            </w:r>
            <w:r w:rsidR="000E090B">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1A2EEA2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14D8F09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192D3A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8CF999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F443ED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76</w:t>
            </w:r>
          </w:p>
        </w:tc>
        <w:tc>
          <w:tcPr>
            <w:tcW w:w="0" w:type="auto"/>
            <w:tcBorders>
              <w:top w:val="nil"/>
              <w:left w:val="nil"/>
              <w:bottom w:val="nil"/>
              <w:right w:val="nil"/>
            </w:tcBorders>
            <w:shd w:val="clear" w:color="auto" w:fill="auto"/>
            <w:noWrap/>
            <w:vAlign w:val="center"/>
            <w:hideMark/>
          </w:tcPr>
          <w:p w14:paraId="682AFFF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54AB76D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50FBA99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1A6E81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B2398F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FAF51C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3E145A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439724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AE1F57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993CB9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5F68AD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E39474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6703B3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4A9CB7A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793F23B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064A025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60489BF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5C9372A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1FA30F9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4D991AC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05A4E36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1B4356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972054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69C0995C" w14:textId="77777777" w:rsidTr="00C336CB">
        <w:trPr>
          <w:trHeight w:val="320"/>
        </w:trPr>
        <w:tc>
          <w:tcPr>
            <w:tcW w:w="0" w:type="auto"/>
            <w:tcBorders>
              <w:top w:val="nil"/>
              <w:left w:val="nil"/>
              <w:bottom w:val="nil"/>
              <w:right w:val="nil"/>
            </w:tcBorders>
            <w:shd w:val="clear" w:color="auto" w:fill="auto"/>
            <w:noWrap/>
            <w:vAlign w:val="center"/>
            <w:hideMark/>
          </w:tcPr>
          <w:p w14:paraId="148CA7D9" w14:textId="78DE250B"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Mousa-Ibrahim et al.</w:t>
            </w:r>
            <w:r w:rsidR="000E090B">
              <w:rPr>
                <w:rFonts w:ascii="Times New Roman" w:eastAsia="Times New Roman" w:hAnsi="Times New Roman" w:cs="Times New Roman"/>
                <w:color w:val="000000"/>
                <w:sz w:val="13"/>
                <w:szCs w:val="13"/>
                <w:lang w:eastAsia="de-DE"/>
              </w:rPr>
              <w:t xml:space="preserve"> </w:t>
            </w:r>
            <w:r w:rsidR="000E090B">
              <w:rPr>
                <w:rFonts w:ascii="Times New Roman" w:eastAsia="Times New Roman" w:hAnsi="Times New Roman" w:cs="Times New Roman"/>
                <w:color w:val="000000"/>
                <w:sz w:val="13"/>
                <w:szCs w:val="13"/>
                <w:lang w:eastAsia="de-DE"/>
              </w:rPr>
              <w:fldChar w:fldCharType="begin"/>
            </w:r>
            <w:r w:rsidR="000E090B">
              <w:rPr>
                <w:rFonts w:ascii="Times New Roman" w:eastAsia="Times New Roman" w:hAnsi="Times New Roman" w:cs="Times New Roman"/>
                <w:color w:val="000000"/>
                <w:sz w:val="13"/>
                <w:szCs w:val="13"/>
                <w:lang w:eastAsia="de-DE"/>
              </w:rPr>
              <w:instrText xml:space="preserve"> ADDIN ZOTERO_ITEM CSL_CITATION {"citationID":"mcfbITg0","properties":{"formattedCitation":"\\super 44\\nosupersub{}","plainCitation":"44","noteIndex":0},"citationItems":[{"id":3538,"uris":["http://zotero.org/users/local/4rfnQu81/items/ZS7SKB5K"],"uri":["http://zotero.org/users/local/4rfnQu81/items/ZS7SKB5K"],"itemData":{"id":3538,"type":"article-journal","language":"en","page":"8","source":"Zotero","title":"Intracranial Hemorrhage in Hospitalized SARS-CoV-2 Patients: A Case Series","author":[{"family":"Mousa-Ibrahim","given":"Fady"},{"family":"Berg","given":"Stephanie"},{"family":"OdTPDetola","given":"Oluwatobi"},{"family":"Teitcher","given":"Michael"},{"family":"Ruland","given":"Sean"}]}}],"schema":"https://github.com/citation-style-language/schema/raw/master/csl-citation.json"} </w:instrText>
            </w:r>
            <w:r w:rsidR="000E090B">
              <w:rPr>
                <w:rFonts w:ascii="Times New Roman" w:eastAsia="Times New Roman" w:hAnsi="Times New Roman" w:cs="Times New Roman"/>
                <w:color w:val="000000"/>
                <w:sz w:val="13"/>
                <w:szCs w:val="13"/>
                <w:lang w:eastAsia="de-DE"/>
              </w:rPr>
              <w:fldChar w:fldCharType="separate"/>
            </w:r>
            <w:r w:rsidR="000E090B" w:rsidRPr="000E090B">
              <w:rPr>
                <w:rFonts w:ascii="Times New Roman" w:hAnsi="Times New Roman" w:cs="Times New Roman"/>
                <w:color w:val="000000"/>
                <w:sz w:val="13"/>
                <w:vertAlign w:val="superscript"/>
                <w:lang w:val="de-DE"/>
              </w:rPr>
              <w:t>44</w:t>
            </w:r>
            <w:r w:rsidR="000E090B">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730FE9C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4487544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6B7EB8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8D2559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82A04E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71</w:t>
            </w:r>
          </w:p>
        </w:tc>
        <w:tc>
          <w:tcPr>
            <w:tcW w:w="0" w:type="auto"/>
            <w:tcBorders>
              <w:top w:val="nil"/>
              <w:left w:val="nil"/>
              <w:bottom w:val="nil"/>
              <w:right w:val="nil"/>
            </w:tcBorders>
            <w:shd w:val="clear" w:color="auto" w:fill="auto"/>
            <w:noWrap/>
            <w:vAlign w:val="center"/>
            <w:hideMark/>
          </w:tcPr>
          <w:p w14:paraId="6F0BE31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3613F83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37274B5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982739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C99550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15FBA0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071234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F63D24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386EC6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A28C40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8F4FD6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9A9855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76C8A2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9FC113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62C72B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239E89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29CCA7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410EAE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80FD94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30EAE3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53F3E4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64483F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D870BE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5BCDCEEF" w14:textId="77777777" w:rsidTr="00C336CB">
        <w:trPr>
          <w:trHeight w:val="340"/>
        </w:trPr>
        <w:tc>
          <w:tcPr>
            <w:tcW w:w="0" w:type="auto"/>
            <w:tcBorders>
              <w:top w:val="nil"/>
              <w:left w:val="nil"/>
              <w:bottom w:val="nil"/>
              <w:right w:val="nil"/>
            </w:tcBorders>
            <w:shd w:val="clear" w:color="auto" w:fill="auto"/>
            <w:noWrap/>
            <w:vAlign w:val="center"/>
            <w:hideMark/>
          </w:tcPr>
          <w:p w14:paraId="1CC850A7" w14:textId="0E16707D"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Mousa-Ibrahim et al.</w:t>
            </w:r>
            <w:r w:rsidR="000E090B">
              <w:rPr>
                <w:rFonts w:ascii="Times New Roman" w:eastAsia="Times New Roman" w:hAnsi="Times New Roman" w:cs="Times New Roman"/>
                <w:color w:val="000000"/>
                <w:sz w:val="13"/>
                <w:szCs w:val="13"/>
                <w:lang w:eastAsia="de-DE"/>
              </w:rPr>
              <w:t xml:space="preserve"> </w:t>
            </w:r>
            <w:r w:rsidR="000E090B">
              <w:rPr>
                <w:rFonts w:ascii="Times New Roman" w:eastAsia="Times New Roman" w:hAnsi="Times New Roman" w:cs="Times New Roman"/>
                <w:color w:val="000000"/>
                <w:sz w:val="13"/>
                <w:szCs w:val="13"/>
                <w:lang w:eastAsia="de-DE"/>
              </w:rPr>
              <w:fldChar w:fldCharType="begin"/>
            </w:r>
            <w:r w:rsidR="000E090B">
              <w:rPr>
                <w:rFonts w:ascii="Times New Roman" w:eastAsia="Times New Roman" w:hAnsi="Times New Roman" w:cs="Times New Roman"/>
                <w:color w:val="000000"/>
                <w:sz w:val="13"/>
                <w:szCs w:val="13"/>
                <w:lang w:eastAsia="de-DE"/>
              </w:rPr>
              <w:instrText xml:space="preserve"> ADDIN ZOTERO_ITEM CSL_CITATION {"citationID":"OvOrIqVa","properties":{"formattedCitation":"\\super 44\\nosupersub{}","plainCitation":"44","noteIndex":0},"citationItems":[{"id":3538,"uris":["http://zotero.org/users/local/4rfnQu81/items/ZS7SKB5K"],"uri":["http://zotero.org/users/local/4rfnQu81/items/ZS7SKB5K"],"itemData":{"id":3538,"type":"article-journal","language":"en","page":"8","source":"Zotero","title":"Intracranial Hemorrhage in Hospitalized SARS-CoV-2 Patients: A Case Series","author":[{"family":"Mousa-Ibrahim","given":"Fady"},{"family":"Berg","given":"Stephanie"},{"family":"OdTPDetola","given":"Oluwatobi"},{"family":"Teitcher","given":"Michael"},{"family":"Ruland","given":"Sean"}]}}],"schema":"https://github.com/citation-style-language/schema/raw/master/csl-citation.json"} </w:instrText>
            </w:r>
            <w:r w:rsidR="000E090B">
              <w:rPr>
                <w:rFonts w:ascii="Times New Roman" w:eastAsia="Times New Roman" w:hAnsi="Times New Roman" w:cs="Times New Roman"/>
                <w:color w:val="000000"/>
                <w:sz w:val="13"/>
                <w:szCs w:val="13"/>
                <w:lang w:eastAsia="de-DE"/>
              </w:rPr>
              <w:fldChar w:fldCharType="separate"/>
            </w:r>
            <w:r w:rsidR="000E090B" w:rsidRPr="000E090B">
              <w:rPr>
                <w:rFonts w:ascii="Times New Roman" w:hAnsi="Times New Roman" w:cs="Times New Roman"/>
                <w:color w:val="000000"/>
                <w:sz w:val="13"/>
                <w:vertAlign w:val="superscript"/>
                <w:lang w:val="de-DE"/>
              </w:rPr>
              <w:t>44</w:t>
            </w:r>
            <w:r w:rsidR="000E090B">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4BCAD9F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401843D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DEEDBD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F75311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DE9BCD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79</w:t>
            </w:r>
          </w:p>
        </w:tc>
        <w:tc>
          <w:tcPr>
            <w:tcW w:w="0" w:type="auto"/>
            <w:tcBorders>
              <w:top w:val="nil"/>
              <w:left w:val="nil"/>
              <w:bottom w:val="nil"/>
              <w:right w:val="nil"/>
            </w:tcBorders>
            <w:shd w:val="clear" w:color="auto" w:fill="auto"/>
            <w:noWrap/>
            <w:vAlign w:val="center"/>
            <w:hideMark/>
          </w:tcPr>
          <w:p w14:paraId="6AFE4A6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3878A05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06AC047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0353C4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55635D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75CBFA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C31C3E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C36863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2C8808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0F818A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8D7B07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598A1B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B819C7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665C3BA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7B6A296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32C307D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7F0FCE2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1C64268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4926CEC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70D86C6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39C4AF9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99243B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B3DE03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63C265DB" w14:textId="77777777" w:rsidTr="00C336CB">
        <w:trPr>
          <w:trHeight w:val="320"/>
        </w:trPr>
        <w:tc>
          <w:tcPr>
            <w:tcW w:w="0" w:type="auto"/>
            <w:tcBorders>
              <w:top w:val="nil"/>
              <w:left w:val="nil"/>
              <w:bottom w:val="nil"/>
              <w:right w:val="nil"/>
            </w:tcBorders>
            <w:shd w:val="clear" w:color="auto" w:fill="auto"/>
            <w:noWrap/>
            <w:vAlign w:val="center"/>
            <w:hideMark/>
          </w:tcPr>
          <w:p w14:paraId="01888251" w14:textId="415B34C1"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Mousa-Ibrahim et al.</w:t>
            </w:r>
            <w:r w:rsidR="000E090B">
              <w:rPr>
                <w:rFonts w:ascii="Times New Roman" w:eastAsia="Times New Roman" w:hAnsi="Times New Roman" w:cs="Times New Roman"/>
                <w:color w:val="000000"/>
                <w:sz w:val="13"/>
                <w:szCs w:val="13"/>
                <w:lang w:eastAsia="de-DE"/>
              </w:rPr>
              <w:t xml:space="preserve"> </w:t>
            </w:r>
            <w:r w:rsidR="000E090B">
              <w:rPr>
                <w:rFonts w:ascii="Times New Roman" w:eastAsia="Times New Roman" w:hAnsi="Times New Roman" w:cs="Times New Roman"/>
                <w:color w:val="000000"/>
                <w:sz w:val="13"/>
                <w:szCs w:val="13"/>
                <w:lang w:eastAsia="de-DE"/>
              </w:rPr>
              <w:fldChar w:fldCharType="begin"/>
            </w:r>
            <w:r w:rsidR="000E090B">
              <w:rPr>
                <w:rFonts w:ascii="Times New Roman" w:eastAsia="Times New Roman" w:hAnsi="Times New Roman" w:cs="Times New Roman"/>
                <w:color w:val="000000"/>
                <w:sz w:val="13"/>
                <w:szCs w:val="13"/>
                <w:lang w:eastAsia="de-DE"/>
              </w:rPr>
              <w:instrText xml:space="preserve"> ADDIN ZOTERO_ITEM CSL_CITATION {"citationID":"3mu1bY4Z","properties":{"formattedCitation":"\\super 44\\nosupersub{}","plainCitation":"44","noteIndex":0},"citationItems":[{"id":3538,"uris":["http://zotero.org/users/local/4rfnQu81/items/ZS7SKB5K"],"uri":["http://zotero.org/users/local/4rfnQu81/items/ZS7SKB5K"],"itemData":{"id":3538,"type":"article-journal","language":"en","page":"8","source":"Zotero","title":"Intracranial Hemorrhage in Hospitalized SARS-CoV-2 Patients: A Case Series","author":[{"family":"Mousa-Ibrahim","given":"Fady"},{"family":"Berg","given":"Stephanie"},{"family":"OdTPDetola","given":"Oluwatobi"},{"family":"Teitcher","given":"Michael"},{"family":"Ruland","given":"Sean"}]}}],"schema":"https://github.com/citation-style-language/schema/raw/master/csl-citation.json"} </w:instrText>
            </w:r>
            <w:r w:rsidR="000E090B">
              <w:rPr>
                <w:rFonts w:ascii="Times New Roman" w:eastAsia="Times New Roman" w:hAnsi="Times New Roman" w:cs="Times New Roman"/>
                <w:color w:val="000000"/>
                <w:sz w:val="13"/>
                <w:szCs w:val="13"/>
                <w:lang w:eastAsia="de-DE"/>
              </w:rPr>
              <w:fldChar w:fldCharType="separate"/>
            </w:r>
            <w:r w:rsidR="000E090B" w:rsidRPr="000E090B">
              <w:rPr>
                <w:rFonts w:ascii="Times New Roman" w:hAnsi="Times New Roman" w:cs="Times New Roman"/>
                <w:color w:val="000000"/>
                <w:sz w:val="13"/>
                <w:vertAlign w:val="superscript"/>
                <w:lang w:val="de-DE"/>
              </w:rPr>
              <w:t>44</w:t>
            </w:r>
            <w:r w:rsidR="000E090B">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6CFC089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1BE22DF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F097EF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A59CD8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22FC76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63</w:t>
            </w:r>
          </w:p>
        </w:tc>
        <w:tc>
          <w:tcPr>
            <w:tcW w:w="0" w:type="auto"/>
            <w:tcBorders>
              <w:top w:val="nil"/>
              <w:left w:val="nil"/>
              <w:bottom w:val="nil"/>
              <w:right w:val="nil"/>
            </w:tcBorders>
            <w:shd w:val="clear" w:color="auto" w:fill="auto"/>
            <w:noWrap/>
            <w:vAlign w:val="center"/>
            <w:hideMark/>
          </w:tcPr>
          <w:p w14:paraId="1E00CBA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1F9273D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5073616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56C021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B98C7C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F3509B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0C284F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173457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E3C519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B1442E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357D21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B248AD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3EF079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402E92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EB7209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26AD74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7D20AD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FF60B6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D215F9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45CFB8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E2A0B1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DF828E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4450A1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1962D4A2" w14:textId="77777777" w:rsidTr="00C336CB">
        <w:trPr>
          <w:trHeight w:val="340"/>
        </w:trPr>
        <w:tc>
          <w:tcPr>
            <w:tcW w:w="0" w:type="auto"/>
            <w:tcBorders>
              <w:top w:val="nil"/>
              <w:left w:val="nil"/>
              <w:bottom w:val="nil"/>
              <w:right w:val="nil"/>
            </w:tcBorders>
            <w:shd w:val="clear" w:color="auto" w:fill="auto"/>
            <w:noWrap/>
            <w:vAlign w:val="center"/>
            <w:hideMark/>
          </w:tcPr>
          <w:p w14:paraId="33CA6072" w14:textId="71DC7D49"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Nicolas-Jilwan et al. </w:t>
            </w:r>
            <w:r w:rsidR="000E090B">
              <w:rPr>
                <w:rFonts w:ascii="Times New Roman" w:eastAsia="Times New Roman" w:hAnsi="Times New Roman" w:cs="Times New Roman"/>
                <w:color w:val="000000"/>
                <w:sz w:val="13"/>
                <w:szCs w:val="13"/>
                <w:lang w:eastAsia="de-DE"/>
              </w:rPr>
              <w:fldChar w:fldCharType="begin"/>
            </w:r>
            <w:r w:rsidR="000E090B">
              <w:rPr>
                <w:rFonts w:ascii="Times New Roman" w:eastAsia="Times New Roman" w:hAnsi="Times New Roman" w:cs="Times New Roman"/>
                <w:color w:val="000000"/>
                <w:sz w:val="13"/>
                <w:szCs w:val="13"/>
                <w:lang w:eastAsia="de-DE"/>
              </w:rPr>
              <w:instrText xml:space="preserve"> ADDIN ZOTERO_ITEM CSL_CITATION {"citationID":"GkXU6y9F","properties":{"formattedCitation":"\\super 45\\nosupersub{}","plainCitation":"45","noteIndex":0},"citationItems":[{"id":56,"uris":["http://zotero.org/users/local/4rfnQu81/items/CP9QLHPV"],"uri":["http://zotero.org/users/local/4rfnQu81/items/CP9QLHPV"],"itemData":{"id":56,"type":"article-journal","abstract":"A wide range of neurological complications of coronavirus disease 2019 (COVID-19) is increasingly recognised. Although the majority of these remain ischaemic and haemorrhagic events, various disorders are being reported. In particular, several cases of diffuse acute leukoencephalopathy have been observed in critically ill patients with COVID-19 disease. We report the case of a 59-year-old man with multiple comorbidities and severe COVID-19 pneumonia who developed a diffuse leukoencephalopathy with microhaemorrhages and extensive associated white matter necrosis. Although this is the first documented case of extensive COVID-19-associated white matter necrosis, we highlight the relatively constant features of this injury similar to previously reported cases, including symmetrical involvement of the supratentorial white matter, sparing of the peripheral subcortical regions except in the precentral gyri, frequently associated microhaemorrhages, relative sparing of the deep gray matter structures and infratentorial structures, and lack of enhancement.","container-title":"Neuroradiology Journal","DOI":"10.1177/1971400920959324","ISSN":"19714009","issue":"6","note":"ISBN: 1971400920\nPMID: 32928038","page":"528–531","title":"Diffuse necrotising leukoencephalopathy with microhaemorrhages in a patient with severe COVID-19 disease","volume":"33","author":[{"family":"Nicolas-Jilwan","given":"Manal"},{"family":"Almaghrabi","given":"Reem Saad"}],"issued":{"date-parts":[["2020"]]}}}],"schema":"https://github.com/citation-style-language/schema/raw/master/csl-citation.json"} </w:instrText>
            </w:r>
            <w:r w:rsidR="000E090B">
              <w:rPr>
                <w:rFonts w:ascii="Times New Roman" w:eastAsia="Times New Roman" w:hAnsi="Times New Roman" w:cs="Times New Roman"/>
                <w:color w:val="000000"/>
                <w:sz w:val="13"/>
                <w:szCs w:val="13"/>
                <w:lang w:eastAsia="de-DE"/>
              </w:rPr>
              <w:fldChar w:fldCharType="separate"/>
            </w:r>
            <w:r w:rsidR="000E090B" w:rsidRPr="000E090B">
              <w:rPr>
                <w:rFonts w:ascii="Times New Roman" w:hAnsi="Times New Roman" w:cs="Times New Roman"/>
                <w:color w:val="000000"/>
                <w:sz w:val="13"/>
                <w:vertAlign w:val="superscript"/>
                <w:lang w:val="de-DE"/>
              </w:rPr>
              <w:t>45</w:t>
            </w:r>
            <w:r w:rsidR="000E090B">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75E2BFB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16E2BD0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37BA49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96715C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2BAEE4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59</w:t>
            </w:r>
          </w:p>
        </w:tc>
        <w:tc>
          <w:tcPr>
            <w:tcW w:w="0" w:type="auto"/>
            <w:tcBorders>
              <w:top w:val="nil"/>
              <w:left w:val="nil"/>
              <w:bottom w:val="nil"/>
              <w:right w:val="nil"/>
            </w:tcBorders>
            <w:shd w:val="clear" w:color="auto" w:fill="auto"/>
            <w:noWrap/>
            <w:vAlign w:val="center"/>
            <w:hideMark/>
          </w:tcPr>
          <w:p w14:paraId="6853C6B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70FC8CF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23B9AC9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51DE47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6D235A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961C0C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62E76F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F96397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128823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A188A7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A84D53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4F38A1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E05BDF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4D569C1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0EAF81B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7E0F1A8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24795B8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5EB808A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5530CFA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4C9A089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4C49408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13E796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4C43AE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0C1F4D34" w14:textId="77777777" w:rsidTr="00C336CB">
        <w:trPr>
          <w:trHeight w:val="320"/>
        </w:trPr>
        <w:tc>
          <w:tcPr>
            <w:tcW w:w="0" w:type="auto"/>
            <w:tcBorders>
              <w:top w:val="nil"/>
              <w:left w:val="nil"/>
              <w:bottom w:val="nil"/>
              <w:right w:val="nil"/>
            </w:tcBorders>
            <w:shd w:val="clear" w:color="auto" w:fill="auto"/>
            <w:noWrap/>
            <w:vAlign w:val="center"/>
            <w:hideMark/>
          </w:tcPr>
          <w:p w14:paraId="7F840D9C" w14:textId="16A8C678" w:rsidR="00C336CB" w:rsidRPr="00C336CB" w:rsidRDefault="003C407A" w:rsidP="00C336CB">
            <w:pPr>
              <w:rPr>
                <w:rFonts w:ascii="Times New Roman" w:eastAsia="Times New Roman" w:hAnsi="Times New Roman" w:cs="Times New Roman"/>
                <w:color w:val="000000"/>
                <w:sz w:val="13"/>
                <w:szCs w:val="13"/>
                <w:lang w:eastAsia="de-DE"/>
              </w:rPr>
            </w:pPr>
            <w:r w:rsidRPr="003C407A">
              <w:rPr>
                <w:rFonts w:ascii="Times New Roman" w:eastAsia="Times New Roman" w:hAnsi="Times New Roman" w:cs="Times New Roman"/>
                <w:color w:val="000000"/>
                <w:sz w:val="13"/>
                <w:szCs w:val="13"/>
                <w:lang w:eastAsia="de-DE"/>
              </w:rPr>
              <w:t>Ordinola</w:t>
            </w:r>
            <w:r w:rsidR="00C336CB" w:rsidRPr="00C336CB">
              <w:rPr>
                <w:rFonts w:ascii="Times New Roman" w:eastAsia="Times New Roman" w:hAnsi="Times New Roman" w:cs="Times New Roman"/>
                <w:color w:val="000000"/>
                <w:sz w:val="13"/>
                <w:szCs w:val="13"/>
                <w:lang w:eastAsia="de-DE"/>
              </w:rPr>
              <w:t xml:space="preserve"> et al. </w:t>
            </w:r>
            <w:r>
              <w:rPr>
                <w:rFonts w:ascii="Times New Roman" w:eastAsia="Times New Roman" w:hAnsi="Times New Roman" w:cs="Times New Roman"/>
                <w:color w:val="000000"/>
                <w:sz w:val="13"/>
                <w:szCs w:val="13"/>
                <w:lang w:eastAsia="de-DE"/>
              </w:rPr>
              <w:fldChar w:fldCharType="begin"/>
            </w:r>
            <w:r>
              <w:rPr>
                <w:rFonts w:ascii="Times New Roman" w:eastAsia="Times New Roman" w:hAnsi="Times New Roman" w:cs="Times New Roman"/>
                <w:color w:val="000000"/>
                <w:sz w:val="13"/>
                <w:szCs w:val="13"/>
                <w:lang w:eastAsia="de-DE"/>
              </w:rPr>
              <w:instrText xml:space="preserve"> ADDIN ZOTERO_ITEM CSL_CITATION {"citationID":"2DQ7Zu5M","properties":{"formattedCitation":"\\super 46\\nosupersub{}","plainCitation":"46","noteIndex":0},"citationItems":[{"id":50,"uris":["http://zotero.org/users/local/4rfnQu81/items/5EUTVLCK"],"uri":["http://zotero.org/users/local/4rfnQu81/items/5EUTVLCK"],"itemData":{"id":50,"type":"article-journal","container-title":"Revista Brasileira de terapia intensiva","DOI":"10.5935/0103-507X.20200098","ISSN":"19824335","issue":"4","note":"PMID: 33470362","page":"603–605","title":"Hemorragia cerebral durante fase ativa de infecção por SARS-CoV-2 em paciente com angiopatia amiloide: relato de caso","volume":"32","author":[{"family":"Ordinola","given":"Amanda Ayako Minemura"},{"family":"Osmar","given":"Samir Sari"},{"family":"Marussi","given":"Victor Hugo Rocha"},{"family":"Rojas","given":"Salomón Soriano Ordinola"},{"family":"Baeta","given":"Alex Machado"},{"family":"Chaddad Neto","given":"Feres Eduardo"},{"family":"Veiga","given":"Viviane Cordeiro"}],"issued":{"date-parts":[["2020"]]}}}],"schema":"https://github.com/citation-style-language/schema/raw/master/csl-citation.json"}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3C407A">
              <w:rPr>
                <w:rFonts w:ascii="Times New Roman" w:hAnsi="Times New Roman" w:cs="Times New Roman"/>
                <w:color w:val="000000"/>
                <w:sz w:val="13"/>
                <w:vertAlign w:val="superscript"/>
                <w:lang w:val="de-DE"/>
              </w:rPr>
              <w:t>46</w:t>
            </w:r>
            <w:r>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080B13C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2C03A2A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2847C5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FA3305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2820A1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88</w:t>
            </w:r>
          </w:p>
        </w:tc>
        <w:tc>
          <w:tcPr>
            <w:tcW w:w="0" w:type="auto"/>
            <w:tcBorders>
              <w:top w:val="nil"/>
              <w:left w:val="nil"/>
              <w:bottom w:val="nil"/>
              <w:right w:val="nil"/>
            </w:tcBorders>
            <w:shd w:val="clear" w:color="auto" w:fill="auto"/>
            <w:noWrap/>
            <w:vAlign w:val="center"/>
            <w:hideMark/>
          </w:tcPr>
          <w:p w14:paraId="11C9ECB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0A8A486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Uncomplicated</w:t>
            </w:r>
          </w:p>
        </w:tc>
        <w:tc>
          <w:tcPr>
            <w:tcW w:w="0" w:type="auto"/>
            <w:tcBorders>
              <w:top w:val="nil"/>
              <w:left w:val="nil"/>
              <w:bottom w:val="nil"/>
              <w:right w:val="nil"/>
            </w:tcBorders>
            <w:shd w:val="clear" w:color="auto" w:fill="auto"/>
            <w:noWrap/>
            <w:vAlign w:val="center"/>
            <w:hideMark/>
          </w:tcPr>
          <w:p w14:paraId="7609365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A75AE8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FB5102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038F72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46EE83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DCE62C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1B0A1D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03DB9B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B0B01B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04EA27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3BB087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941A72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6B5A9C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23F1CB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A3EA2F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FFF37A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D05B0B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E585FA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F5A4C2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6276C3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1709A3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6AA465AF" w14:textId="77777777" w:rsidTr="00C336CB">
        <w:trPr>
          <w:trHeight w:val="340"/>
        </w:trPr>
        <w:tc>
          <w:tcPr>
            <w:tcW w:w="0" w:type="auto"/>
            <w:tcBorders>
              <w:top w:val="nil"/>
              <w:left w:val="nil"/>
              <w:bottom w:val="nil"/>
              <w:right w:val="nil"/>
            </w:tcBorders>
            <w:shd w:val="clear" w:color="auto" w:fill="auto"/>
            <w:noWrap/>
            <w:vAlign w:val="center"/>
            <w:hideMark/>
          </w:tcPr>
          <w:p w14:paraId="27E169BB" w14:textId="7C8223EA"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Pavlov et al. </w:t>
            </w:r>
            <w:r w:rsidR="003C407A">
              <w:rPr>
                <w:rFonts w:ascii="Times New Roman" w:eastAsia="Times New Roman" w:hAnsi="Times New Roman" w:cs="Times New Roman"/>
                <w:color w:val="000000"/>
                <w:sz w:val="13"/>
                <w:szCs w:val="13"/>
                <w:lang w:eastAsia="de-DE"/>
              </w:rPr>
              <w:fldChar w:fldCharType="begin"/>
            </w:r>
            <w:r w:rsidR="003C407A">
              <w:rPr>
                <w:rFonts w:ascii="Times New Roman" w:eastAsia="Times New Roman" w:hAnsi="Times New Roman" w:cs="Times New Roman"/>
                <w:color w:val="000000"/>
                <w:sz w:val="13"/>
                <w:szCs w:val="13"/>
                <w:lang w:eastAsia="de-DE"/>
              </w:rPr>
              <w:instrText xml:space="preserve"> ADDIN ZOTERO_ITEM CSL_CITATION {"citationID":"W4SIiUfz","properties":{"formattedCitation":"\\super 47\\nosupersub{}","plainCitation":"47","noteIndex":0},"citationItems":[{"id":1596,"uris":["http://zotero.org/users/local/4rfnQu81/items/AZXQVBJ7"],"uri":["http://zotero.org/users/local/4rfnQu81/items/AZXQVBJ7"],"itemData":{"id":1596,"type":"article-journal","abstract":"Intracerebral hemorrhage (ICH) is a common and severe neurological disorder and is associated with high rates of mortality and morbidity. ICH is associated with old age and underlying conditions such as hypertension and diabetes mellitus. The COVID-19 pandemic is associated with neurological symptoms and complications including ICH. For instance, the mechanisms by which COVID-19 may contribute to hemorrhagic stroke may include both depletion of angiotensin converting enzyme 2 (ACE2) receptor and overactive immune response. In this study, we herein report three patients (0.25%) out of 1200 admissions with COVID-19 to our center between 1 May and August 4, 2020, who developed ICH. In addition, we will briefly discuss the possible pathophysiological mechanisms of COVID-19 infection in patients with ICH.","container-title":"Frontiers in Aging Neuroscience","DOI":"10.3389/fnagi.2020.600172","ISSN":"1663-4365","issue":"October","page":"1–6","title":"COVID-19-Related Intracerebral Hemorrhage","volume":"12","author":[{"family":"Pavlov","given":"Valentin"},{"family":"Beylerli","given":"Ozal"},{"family":"Gareev","given":"Ilgiz"},{"family":"Torres Solis","given":"Luis Fernando"},{"family":"Solís Herrera","given":"Arturo"},{"family":"Aliev","given":"Gjumrakch"}],"issued":{"date-parts":[["2020",10]]}}}],"schema":"https://github.com/citation-style-language/schema/raw/master/csl-citation.json"} </w:instrText>
            </w:r>
            <w:r w:rsidR="003C407A">
              <w:rPr>
                <w:rFonts w:ascii="Times New Roman" w:eastAsia="Times New Roman" w:hAnsi="Times New Roman" w:cs="Times New Roman"/>
                <w:color w:val="000000"/>
                <w:sz w:val="13"/>
                <w:szCs w:val="13"/>
                <w:lang w:eastAsia="de-DE"/>
              </w:rPr>
              <w:fldChar w:fldCharType="separate"/>
            </w:r>
            <w:r w:rsidR="003C407A" w:rsidRPr="003C407A">
              <w:rPr>
                <w:rFonts w:ascii="Times New Roman" w:hAnsi="Times New Roman" w:cs="Times New Roman"/>
                <w:color w:val="000000"/>
                <w:sz w:val="13"/>
                <w:vertAlign w:val="superscript"/>
                <w:lang w:val="de-DE"/>
              </w:rPr>
              <w:t>47</w:t>
            </w:r>
            <w:r w:rsidR="003C407A">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0DA1FA5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1A0E639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50EFB8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AD4774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3F0EE0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56</w:t>
            </w:r>
          </w:p>
        </w:tc>
        <w:tc>
          <w:tcPr>
            <w:tcW w:w="0" w:type="auto"/>
            <w:tcBorders>
              <w:top w:val="nil"/>
              <w:left w:val="nil"/>
              <w:bottom w:val="nil"/>
              <w:right w:val="nil"/>
            </w:tcBorders>
            <w:shd w:val="clear" w:color="auto" w:fill="auto"/>
            <w:noWrap/>
            <w:vAlign w:val="center"/>
            <w:hideMark/>
          </w:tcPr>
          <w:p w14:paraId="2CE9745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13200A1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4F30C75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D5C0F0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FBA334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54DDE3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751EF0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D4B57E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E77FE8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C6C511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26ED2B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09692B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B87675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5493A3C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3EFE23B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36AC0B7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014025E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14FBC53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19C8EFA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4C9F7D0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1D8C481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9B5F0D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3E5768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7B1A1107" w14:textId="77777777" w:rsidTr="00C336CB">
        <w:trPr>
          <w:trHeight w:val="320"/>
        </w:trPr>
        <w:tc>
          <w:tcPr>
            <w:tcW w:w="0" w:type="auto"/>
            <w:tcBorders>
              <w:top w:val="nil"/>
              <w:left w:val="nil"/>
              <w:bottom w:val="nil"/>
              <w:right w:val="nil"/>
            </w:tcBorders>
            <w:shd w:val="clear" w:color="auto" w:fill="auto"/>
            <w:noWrap/>
            <w:vAlign w:val="center"/>
            <w:hideMark/>
          </w:tcPr>
          <w:p w14:paraId="3FDDEA54" w14:textId="29755060"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Pavlov et al. </w:t>
            </w:r>
            <w:r w:rsidR="003C407A">
              <w:rPr>
                <w:rFonts w:ascii="Times New Roman" w:eastAsia="Times New Roman" w:hAnsi="Times New Roman" w:cs="Times New Roman"/>
                <w:color w:val="000000"/>
                <w:sz w:val="13"/>
                <w:szCs w:val="13"/>
                <w:lang w:eastAsia="de-DE"/>
              </w:rPr>
              <w:fldChar w:fldCharType="begin"/>
            </w:r>
            <w:r w:rsidR="003C407A">
              <w:rPr>
                <w:rFonts w:ascii="Times New Roman" w:eastAsia="Times New Roman" w:hAnsi="Times New Roman" w:cs="Times New Roman"/>
                <w:color w:val="000000"/>
                <w:sz w:val="13"/>
                <w:szCs w:val="13"/>
                <w:lang w:eastAsia="de-DE"/>
              </w:rPr>
              <w:instrText xml:space="preserve"> ADDIN ZOTERO_ITEM CSL_CITATION {"citationID":"vF1XdDUl","properties":{"formattedCitation":"\\super 47\\nosupersub{}","plainCitation":"47","noteIndex":0},"citationItems":[{"id":1596,"uris":["http://zotero.org/users/local/4rfnQu81/items/AZXQVBJ7"],"uri":["http://zotero.org/users/local/4rfnQu81/items/AZXQVBJ7"],"itemData":{"id":1596,"type":"article-journal","abstract":"Intracerebral hemorrhage (ICH) is a common and severe neurological disorder and is associated with high rates of mortality and morbidity. ICH is associated with old age and underlying conditions such as hypertension and diabetes mellitus. The COVID-19 pandemic is associated with neurological symptoms and complications including ICH. For instance, the mechanisms by which COVID-19 may contribute to hemorrhagic stroke may include both depletion of angiotensin converting enzyme 2 (ACE2) receptor and overactive immune response. In this study, we herein report three patients (0.25%) out of 1200 admissions with COVID-19 to our center between 1 May and August 4, 2020, who developed ICH. In addition, we will briefly discuss the possible pathophysiological mechanisms of COVID-19 infection in patients with ICH.","container-title":"Frontiers in Aging Neuroscience","DOI":"10.3389/fnagi.2020.600172","ISSN":"1663-4365","issue":"October","page":"1–6","title":"COVID-19-Related Intracerebral Hemorrhage","volume":"12","author":[{"family":"Pavlov","given":"Valentin"},{"family":"Beylerli","given":"Ozal"},{"family":"Gareev","given":"Ilgiz"},{"family":"Torres Solis","given":"Luis Fernando"},{"family":"Solís Herrera","given":"Arturo"},{"family":"Aliev","given":"Gjumrakch"}],"issued":{"date-parts":[["2020",10]]}}}],"schema":"https://github.com/citation-style-language/schema/raw/master/csl-citation.json"} </w:instrText>
            </w:r>
            <w:r w:rsidR="003C407A">
              <w:rPr>
                <w:rFonts w:ascii="Times New Roman" w:eastAsia="Times New Roman" w:hAnsi="Times New Roman" w:cs="Times New Roman"/>
                <w:color w:val="000000"/>
                <w:sz w:val="13"/>
                <w:szCs w:val="13"/>
                <w:lang w:eastAsia="de-DE"/>
              </w:rPr>
              <w:fldChar w:fldCharType="separate"/>
            </w:r>
            <w:r w:rsidR="003C407A" w:rsidRPr="003C407A">
              <w:rPr>
                <w:rFonts w:ascii="Times New Roman" w:hAnsi="Times New Roman" w:cs="Times New Roman"/>
                <w:color w:val="000000"/>
                <w:sz w:val="13"/>
                <w:vertAlign w:val="superscript"/>
                <w:lang w:val="de-DE"/>
              </w:rPr>
              <w:t>47</w:t>
            </w:r>
            <w:r w:rsidR="003C407A">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3F7366B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493952C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729684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A91FFF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E14E1C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64</w:t>
            </w:r>
          </w:p>
        </w:tc>
        <w:tc>
          <w:tcPr>
            <w:tcW w:w="0" w:type="auto"/>
            <w:tcBorders>
              <w:top w:val="nil"/>
              <w:left w:val="nil"/>
              <w:bottom w:val="nil"/>
              <w:right w:val="nil"/>
            </w:tcBorders>
            <w:shd w:val="clear" w:color="auto" w:fill="auto"/>
            <w:noWrap/>
            <w:vAlign w:val="center"/>
            <w:hideMark/>
          </w:tcPr>
          <w:p w14:paraId="622724C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12B9CB3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7CB4F0C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48654F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077656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F7AAF3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0A06F7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5E1726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4EE1C5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DC2813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9E2D5C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E2FBD6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8822CA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4F6DAE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D38B58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39894D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F93010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59B4C6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1CDC8C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E9B71B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C65B4D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4D7B3F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220AB9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0B180028" w14:textId="77777777" w:rsidTr="00C336CB">
        <w:trPr>
          <w:trHeight w:val="340"/>
        </w:trPr>
        <w:tc>
          <w:tcPr>
            <w:tcW w:w="0" w:type="auto"/>
            <w:tcBorders>
              <w:top w:val="nil"/>
              <w:left w:val="nil"/>
              <w:bottom w:val="nil"/>
              <w:right w:val="nil"/>
            </w:tcBorders>
            <w:shd w:val="clear" w:color="auto" w:fill="auto"/>
            <w:noWrap/>
            <w:vAlign w:val="center"/>
            <w:hideMark/>
          </w:tcPr>
          <w:p w14:paraId="320C3D1E" w14:textId="0AC2367A"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Pavlov et al. </w:t>
            </w:r>
            <w:r w:rsidR="003C407A">
              <w:rPr>
                <w:rFonts w:ascii="Times New Roman" w:eastAsia="Times New Roman" w:hAnsi="Times New Roman" w:cs="Times New Roman"/>
                <w:color w:val="000000"/>
                <w:sz w:val="13"/>
                <w:szCs w:val="13"/>
                <w:lang w:eastAsia="de-DE"/>
              </w:rPr>
              <w:fldChar w:fldCharType="begin"/>
            </w:r>
            <w:r w:rsidR="003C407A">
              <w:rPr>
                <w:rFonts w:ascii="Times New Roman" w:eastAsia="Times New Roman" w:hAnsi="Times New Roman" w:cs="Times New Roman"/>
                <w:color w:val="000000"/>
                <w:sz w:val="13"/>
                <w:szCs w:val="13"/>
                <w:lang w:eastAsia="de-DE"/>
              </w:rPr>
              <w:instrText xml:space="preserve"> ADDIN ZOTERO_ITEM CSL_CITATION {"citationID":"8cWF1qus","properties":{"formattedCitation":"\\super 47\\nosupersub{}","plainCitation":"47","noteIndex":0},"citationItems":[{"id":1596,"uris":["http://zotero.org/users/local/4rfnQu81/items/AZXQVBJ7"],"uri":["http://zotero.org/users/local/4rfnQu81/items/AZXQVBJ7"],"itemData":{"id":1596,"type":"article-journal","abstract":"Intracerebral hemorrhage (ICH) is a common and severe neurological disorder and is associated with high rates of mortality and morbidity. ICH is associated with old age and underlying conditions such as hypertension and diabetes mellitus. The COVID-19 pandemic is associated with neurological symptoms and complications including ICH. For instance, the mechanisms by which COVID-19 may contribute to hemorrhagic stroke may include both depletion of angiotensin converting enzyme 2 (ACE2) receptor and overactive immune response. In this study, we herein report three patients (0.25%) out of 1200 admissions with COVID-19 to our center between 1 May and August 4, 2020, who developed ICH. In addition, we will briefly discuss the possible pathophysiological mechanisms of COVID-19 infection in patients with ICH.","container-title":"Frontiers in Aging Neuroscience","DOI":"10.3389/fnagi.2020.600172","ISSN":"1663-4365","issue":"October","page":"1–6","title":"COVID-19-Related Intracerebral Hemorrhage","volume":"12","author":[{"family":"Pavlov","given":"Valentin"},{"family":"Beylerli","given":"Ozal"},{"family":"Gareev","given":"Ilgiz"},{"family":"Torres Solis","given":"Luis Fernando"},{"family":"Solís Herrera","given":"Arturo"},{"family":"Aliev","given":"Gjumrakch"}],"issued":{"date-parts":[["2020",10]]}}}],"schema":"https://github.com/citation-style-language/schema/raw/master/csl-citation.json"} </w:instrText>
            </w:r>
            <w:r w:rsidR="003C407A">
              <w:rPr>
                <w:rFonts w:ascii="Times New Roman" w:eastAsia="Times New Roman" w:hAnsi="Times New Roman" w:cs="Times New Roman"/>
                <w:color w:val="000000"/>
                <w:sz w:val="13"/>
                <w:szCs w:val="13"/>
                <w:lang w:eastAsia="de-DE"/>
              </w:rPr>
              <w:fldChar w:fldCharType="separate"/>
            </w:r>
            <w:r w:rsidR="003C407A" w:rsidRPr="003C407A">
              <w:rPr>
                <w:rFonts w:ascii="Times New Roman" w:hAnsi="Times New Roman" w:cs="Times New Roman"/>
                <w:color w:val="000000"/>
                <w:sz w:val="13"/>
                <w:vertAlign w:val="superscript"/>
                <w:lang w:val="de-DE"/>
              </w:rPr>
              <w:t>47</w:t>
            </w:r>
            <w:r w:rsidR="003C407A">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1A91803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5AF183E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E5EAD7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131283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5E1719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60</w:t>
            </w:r>
          </w:p>
        </w:tc>
        <w:tc>
          <w:tcPr>
            <w:tcW w:w="0" w:type="auto"/>
            <w:tcBorders>
              <w:top w:val="nil"/>
              <w:left w:val="nil"/>
              <w:bottom w:val="nil"/>
              <w:right w:val="nil"/>
            </w:tcBorders>
            <w:shd w:val="clear" w:color="auto" w:fill="auto"/>
            <w:noWrap/>
            <w:vAlign w:val="center"/>
            <w:hideMark/>
          </w:tcPr>
          <w:p w14:paraId="54D0A2D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6304409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352FA27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F77E05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4E5EC7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3ACF46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D28301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9C8B55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3E1E18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B9531A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59FF14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3F7D71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603137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1F0FEB4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40C2754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7F195D1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0B14F55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3E1547F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51760F5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3937632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1CE4CF1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0E9E7C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86E3E4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62DE6D7F" w14:textId="77777777" w:rsidTr="00C336CB">
        <w:trPr>
          <w:trHeight w:val="320"/>
        </w:trPr>
        <w:tc>
          <w:tcPr>
            <w:tcW w:w="0" w:type="auto"/>
            <w:tcBorders>
              <w:top w:val="nil"/>
              <w:left w:val="nil"/>
              <w:bottom w:val="nil"/>
              <w:right w:val="nil"/>
            </w:tcBorders>
            <w:shd w:val="clear" w:color="auto" w:fill="auto"/>
            <w:noWrap/>
            <w:vAlign w:val="center"/>
            <w:hideMark/>
          </w:tcPr>
          <w:p w14:paraId="32CAB275" w14:textId="5E48A360"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Tristán-Samaniego et al. </w:t>
            </w:r>
            <w:r w:rsidR="003C407A">
              <w:rPr>
                <w:rFonts w:ascii="Times New Roman" w:eastAsia="Times New Roman" w:hAnsi="Times New Roman" w:cs="Times New Roman"/>
                <w:color w:val="000000"/>
                <w:sz w:val="13"/>
                <w:szCs w:val="13"/>
                <w:lang w:eastAsia="de-DE"/>
              </w:rPr>
              <w:fldChar w:fldCharType="begin"/>
            </w:r>
            <w:r w:rsidR="003C407A">
              <w:rPr>
                <w:rFonts w:ascii="Times New Roman" w:eastAsia="Times New Roman" w:hAnsi="Times New Roman" w:cs="Times New Roman"/>
                <w:color w:val="000000"/>
                <w:sz w:val="13"/>
                <w:szCs w:val="13"/>
                <w:lang w:eastAsia="de-DE"/>
              </w:rPr>
              <w:instrText xml:space="preserve"> ADDIN ZOTERO_ITEM CSL_CITATION {"citationID":"ed0H2nWy","properties":{"formattedCitation":"\\super 48\\nosupersub{}","plainCitation":"48","noteIndex":0},"citationItems":[{"id":3535,"uris":["http://zotero.org/users/local/4rfnQu81/items/ALKF53VL"],"uri":["http://zotero.org/users/local/4rfnQu81/items/ALKF53VL"],"itemData":{"id":3535,"type":"article-journal","abstract":"Background: The complications of coronavirus disease 2019 (COVID-19), the clinical entity caused by the severe acute respiratory syndrome coronavirus 2 (SARS-CoV-2), are not limited to the respiratory system. Leukoencephalopathy with microbleeds is increasingly seen in patients with COVID-19. New information is needed to delineate better the clinical implications of this infectious disease.","language":"en","page":"6","source":"Zotero","title":"COVID-19-related diffuse posthypoxic leukoencephalopathy and microbleeds masquerades as acute necrot","author":[{"family":"Tristán-Samaniego","given":"Dioselina Panamá"},{"family":"Chiquete","given":"Erwin"},{"family":"Treviño","given":"Irene"},{"family":"Rubalcava-Ortega","given":"Johnatan"},{"family":"Higuera-Calleja","given":"Jesús Antonio"},{"family":"Espinoza-Alvarado","given":"Lissett"},{"family":"Barrera-Vargas","given":"Ana"},{"family":"González-Duarte","given":"Alejandra"},{"family":"Vega-Boada","given":"Felipe"},{"family":"Cantú","given":"Carlos"}]}}],"schema":"https://github.com/citation-style-language/schema/raw/master/csl-citation.json"} </w:instrText>
            </w:r>
            <w:r w:rsidR="003C407A">
              <w:rPr>
                <w:rFonts w:ascii="Times New Roman" w:eastAsia="Times New Roman" w:hAnsi="Times New Roman" w:cs="Times New Roman"/>
                <w:color w:val="000000"/>
                <w:sz w:val="13"/>
                <w:szCs w:val="13"/>
                <w:lang w:eastAsia="de-DE"/>
              </w:rPr>
              <w:fldChar w:fldCharType="separate"/>
            </w:r>
            <w:r w:rsidR="003C407A" w:rsidRPr="003C407A">
              <w:rPr>
                <w:rFonts w:ascii="Times New Roman" w:hAnsi="Times New Roman" w:cs="Times New Roman"/>
                <w:color w:val="000000"/>
                <w:sz w:val="13"/>
                <w:vertAlign w:val="superscript"/>
                <w:lang w:val="de-DE"/>
              </w:rPr>
              <w:t>48</w:t>
            </w:r>
            <w:r w:rsidR="003C407A">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252D07A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4B8A45C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2A426D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E737C8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F7DCA4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46</w:t>
            </w:r>
          </w:p>
        </w:tc>
        <w:tc>
          <w:tcPr>
            <w:tcW w:w="0" w:type="auto"/>
            <w:tcBorders>
              <w:top w:val="nil"/>
              <w:left w:val="nil"/>
              <w:bottom w:val="nil"/>
              <w:right w:val="nil"/>
            </w:tcBorders>
            <w:shd w:val="clear" w:color="auto" w:fill="auto"/>
            <w:noWrap/>
            <w:vAlign w:val="center"/>
            <w:hideMark/>
          </w:tcPr>
          <w:p w14:paraId="47C68B5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26DD732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1898AA5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3CBA46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66E99E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C12D2E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93223F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39B77C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E4DEEA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ECA01D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6B6832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2D16EE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797FBD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CA641B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1343A6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BB0BC2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630373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2C2C7D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578756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93D513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0610EB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67F09C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2A6FC1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418ADA39" w14:textId="77777777" w:rsidTr="00C336CB">
        <w:trPr>
          <w:trHeight w:val="340"/>
        </w:trPr>
        <w:tc>
          <w:tcPr>
            <w:tcW w:w="0" w:type="auto"/>
            <w:tcBorders>
              <w:top w:val="nil"/>
              <w:left w:val="nil"/>
              <w:bottom w:val="nil"/>
              <w:right w:val="nil"/>
            </w:tcBorders>
            <w:shd w:val="clear" w:color="auto" w:fill="auto"/>
            <w:noWrap/>
            <w:vAlign w:val="center"/>
            <w:hideMark/>
          </w:tcPr>
          <w:p w14:paraId="0A1B846C" w14:textId="4A95B962"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Daneshi et al. </w:t>
            </w:r>
            <w:r w:rsidR="003C407A">
              <w:rPr>
                <w:rFonts w:ascii="Times New Roman" w:eastAsia="Times New Roman" w:hAnsi="Times New Roman" w:cs="Times New Roman"/>
                <w:color w:val="000000"/>
                <w:sz w:val="13"/>
                <w:szCs w:val="13"/>
                <w:lang w:eastAsia="de-DE"/>
              </w:rPr>
              <w:fldChar w:fldCharType="begin"/>
            </w:r>
            <w:r w:rsidR="003C407A">
              <w:rPr>
                <w:rFonts w:ascii="Times New Roman" w:eastAsia="Times New Roman" w:hAnsi="Times New Roman" w:cs="Times New Roman"/>
                <w:color w:val="000000"/>
                <w:sz w:val="13"/>
                <w:szCs w:val="13"/>
                <w:lang w:eastAsia="de-DE"/>
              </w:rPr>
              <w:instrText xml:space="preserve"> ADDIN ZOTERO_ITEM CSL_CITATION {"citationID":"PM1677Lx","properties":{"formattedCitation":"\\super 49\\nosupersub{}","plainCitation":"49","noteIndex":0},"citationItems":[{"id":1590,"uris":["http://zotero.org/users/local/4rfnQu81/items/VFWKMFCX"],"uri":["http://zotero.org/users/local/4rfnQu81/items/VFWKMFCX"],"itemData":{"id":1590,"type":"article-journal","abstract":"Introduction: Recently, weeks after the COVID-19 prevalence, there were reports of brain involvement and neurologic presentations in the COVID-19. Case presentation: We present five cases of COVID-19 and cerebrovascular events. A 34-year-old woman with IVH and ischemic stroke. A 60-year-old man with multiple small hemorrhagic foci and mild IVH in the occipital horn. A 63-year-old woman with large left parietooccipital intracerebral hemorrhage (ICH) and IVH. A 56-year-old man with left hemispheric and midbrain ICH, lateral ventricular IVH, and hydrocephalus. A 85-year-old woman with right parietal hemorrhagic infarct. The coagulation profile was normal in all of them. The chest CT scan showed the typical ground-glass appearance of COVID-19. Conclusions: Recently, there were reports of brain involvement and neurologic presentations in the COVID-19. These reports and the present study necessitate the aimed and designed studies with emphasis on neurologic presentations in COVID-19 patients to illustrate the exact effects of coronavirus-2 on the central nervous system.","container-title":"British Journal of Neurosurgery","DOI":"10.1080/02688697.2020.1861433","ISSN":"1360046X","issue":"0","note":"publisher: Taylor &amp; Francis","page":"1–6","title":"SARS coronavirus 2 and central nervous system manifestations: causation, relation, or coexistence? a case series study and literature review","volume":"0","author":[{"family":"Daneshi","given":"Seyed Abdolhadi"},{"family":"Taheri","given":"Morteza"},{"family":"Fattahi","given":"Arash"}],"issued":{"date-parts":[["2020"]]}}}],"schema":"https://github.com/citation-style-language/schema/raw/master/csl-citation.json"} </w:instrText>
            </w:r>
            <w:r w:rsidR="003C407A">
              <w:rPr>
                <w:rFonts w:ascii="Times New Roman" w:eastAsia="Times New Roman" w:hAnsi="Times New Roman" w:cs="Times New Roman"/>
                <w:color w:val="000000"/>
                <w:sz w:val="13"/>
                <w:szCs w:val="13"/>
                <w:lang w:eastAsia="de-DE"/>
              </w:rPr>
              <w:fldChar w:fldCharType="separate"/>
            </w:r>
            <w:r w:rsidR="003C407A" w:rsidRPr="003C407A">
              <w:rPr>
                <w:rFonts w:ascii="Times New Roman" w:hAnsi="Times New Roman" w:cs="Times New Roman"/>
                <w:color w:val="000000"/>
                <w:sz w:val="13"/>
                <w:vertAlign w:val="superscript"/>
                <w:lang w:val="de-DE"/>
              </w:rPr>
              <w:t>49</w:t>
            </w:r>
            <w:r w:rsidR="003C407A">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5CB3CA3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7860CB6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4676C0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EA84B7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963146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34</w:t>
            </w:r>
          </w:p>
        </w:tc>
        <w:tc>
          <w:tcPr>
            <w:tcW w:w="0" w:type="auto"/>
            <w:tcBorders>
              <w:top w:val="nil"/>
              <w:left w:val="nil"/>
              <w:bottom w:val="nil"/>
              <w:right w:val="nil"/>
            </w:tcBorders>
            <w:shd w:val="clear" w:color="auto" w:fill="auto"/>
            <w:noWrap/>
            <w:vAlign w:val="center"/>
            <w:hideMark/>
          </w:tcPr>
          <w:p w14:paraId="0912920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2879E66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Uncomplicated</w:t>
            </w:r>
          </w:p>
        </w:tc>
        <w:tc>
          <w:tcPr>
            <w:tcW w:w="0" w:type="auto"/>
            <w:tcBorders>
              <w:top w:val="nil"/>
              <w:left w:val="nil"/>
              <w:bottom w:val="nil"/>
              <w:right w:val="nil"/>
            </w:tcBorders>
            <w:shd w:val="clear" w:color="auto" w:fill="auto"/>
            <w:noWrap/>
            <w:vAlign w:val="center"/>
            <w:hideMark/>
          </w:tcPr>
          <w:p w14:paraId="6787A8B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A5F9AD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0C5073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1B1ED1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1E27D9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8F85CE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B10BDF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C559C5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B5B217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21F17F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DE61FE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40622F2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11B8471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658BCEE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3F8CC7A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16D384A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4B946BE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17FC857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4D97F19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91B971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27FABB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04D32833" w14:textId="77777777" w:rsidTr="00C336CB">
        <w:trPr>
          <w:trHeight w:val="320"/>
        </w:trPr>
        <w:tc>
          <w:tcPr>
            <w:tcW w:w="0" w:type="auto"/>
            <w:tcBorders>
              <w:top w:val="nil"/>
              <w:left w:val="nil"/>
              <w:bottom w:val="nil"/>
              <w:right w:val="nil"/>
            </w:tcBorders>
            <w:shd w:val="clear" w:color="auto" w:fill="auto"/>
            <w:noWrap/>
            <w:vAlign w:val="center"/>
            <w:hideMark/>
          </w:tcPr>
          <w:p w14:paraId="06E298B9" w14:textId="220FDE63"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Daneshi et al. </w:t>
            </w:r>
            <w:r w:rsidR="003C407A">
              <w:rPr>
                <w:rFonts w:ascii="Times New Roman" w:eastAsia="Times New Roman" w:hAnsi="Times New Roman" w:cs="Times New Roman"/>
                <w:color w:val="000000"/>
                <w:sz w:val="13"/>
                <w:szCs w:val="13"/>
                <w:lang w:eastAsia="de-DE"/>
              </w:rPr>
              <w:fldChar w:fldCharType="begin"/>
            </w:r>
            <w:r w:rsidR="003C407A">
              <w:rPr>
                <w:rFonts w:ascii="Times New Roman" w:eastAsia="Times New Roman" w:hAnsi="Times New Roman" w:cs="Times New Roman"/>
                <w:color w:val="000000"/>
                <w:sz w:val="13"/>
                <w:szCs w:val="13"/>
                <w:lang w:eastAsia="de-DE"/>
              </w:rPr>
              <w:instrText xml:space="preserve"> ADDIN ZOTERO_ITEM CSL_CITATION {"citationID":"f688S70Z","properties":{"formattedCitation":"\\super 49\\nosupersub{}","plainCitation":"49","noteIndex":0},"citationItems":[{"id":1590,"uris":["http://zotero.org/users/local/4rfnQu81/items/VFWKMFCX"],"uri":["http://zotero.org/users/local/4rfnQu81/items/VFWKMFCX"],"itemData":{"id":1590,"type":"article-journal","abstract":"Introduction: Recently, weeks after the COVID-19 prevalence, there were reports of brain involvement and neurologic presentations in the COVID-19. Case presentation: We present five cases of COVID-19 and cerebrovascular events. A 34-year-old woman with IVH and ischemic stroke. A 60-year-old man with multiple small hemorrhagic foci and mild IVH in the occipital horn. A 63-year-old woman with large left parietooccipital intracerebral hemorrhage (ICH) and IVH. A 56-year-old man with left hemispheric and midbrain ICH, lateral ventricular IVH, and hydrocephalus. A 85-year-old woman with right parietal hemorrhagic infarct. The coagulation profile was normal in all of them. The chest CT scan showed the typical ground-glass appearance of COVID-19. Conclusions: Recently, there were reports of brain involvement and neurologic presentations in the COVID-19. These reports and the present study necessitate the aimed and designed studies with emphasis on neurologic presentations in COVID-19 patients to illustrate the exact effects of coronavirus-2 on the central nervous system.","container-title":"British Journal of Neurosurgery","DOI":"10.1080/02688697.2020.1861433","ISSN":"1360046X","issue":"0","note":"publisher: Taylor &amp; Francis","page":"1–6","title":"SARS coronavirus 2 and central nervous system manifestations: causation, relation, or coexistence? a case series study and literature review","volume":"0","author":[{"family":"Daneshi","given":"Seyed Abdolhadi"},{"family":"Taheri","given":"Morteza"},{"family":"Fattahi","given":"Arash"}],"issued":{"date-parts":[["2020"]]}}}],"schema":"https://github.com/citation-style-language/schema/raw/master/csl-citation.json"} </w:instrText>
            </w:r>
            <w:r w:rsidR="003C407A">
              <w:rPr>
                <w:rFonts w:ascii="Times New Roman" w:eastAsia="Times New Roman" w:hAnsi="Times New Roman" w:cs="Times New Roman"/>
                <w:color w:val="000000"/>
                <w:sz w:val="13"/>
                <w:szCs w:val="13"/>
                <w:lang w:eastAsia="de-DE"/>
              </w:rPr>
              <w:fldChar w:fldCharType="separate"/>
            </w:r>
            <w:r w:rsidR="003C407A" w:rsidRPr="003C407A">
              <w:rPr>
                <w:rFonts w:ascii="Times New Roman" w:hAnsi="Times New Roman" w:cs="Times New Roman"/>
                <w:color w:val="000000"/>
                <w:sz w:val="13"/>
                <w:vertAlign w:val="superscript"/>
                <w:lang w:val="de-DE"/>
              </w:rPr>
              <w:t>49</w:t>
            </w:r>
            <w:r w:rsidR="003C407A">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3E09A6C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13501BA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340A23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19BF0B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66DB8E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60</w:t>
            </w:r>
          </w:p>
        </w:tc>
        <w:tc>
          <w:tcPr>
            <w:tcW w:w="0" w:type="auto"/>
            <w:tcBorders>
              <w:top w:val="nil"/>
              <w:left w:val="nil"/>
              <w:bottom w:val="nil"/>
              <w:right w:val="nil"/>
            </w:tcBorders>
            <w:shd w:val="clear" w:color="auto" w:fill="auto"/>
            <w:noWrap/>
            <w:vAlign w:val="center"/>
            <w:hideMark/>
          </w:tcPr>
          <w:p w14:paraId="2A5B576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0D34C9F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Uncomplicated</w:t>
            </w:r>
          </w:p>
        </w:tc>
        <w:tc>
          <w:tcPr>
            <w:tcW w:w="0" w:type="auto"/>
            <w:tcBorders>
              <w:top w:val="nil"/>
              <w:left w:val="nil"/>
              <w:bottom w:val="nil"/>
              <w:right w:val="nil"/>
            </w:tcBorders>
            <w:shd w:val="clear" w:color="auto" w:fill="auto"/>
            <w:noWrap/>
            <w:vAlign w:val="center"/>
            <w:hideMark/>
          </w:tcPr>
          <w:p w14:paraId="3D34970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5934F1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F4D49B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311EC0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19A01F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C497C8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A3C0CA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CBF58C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3BDEE3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8695E1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D4C9B6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EF3D8F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BD6C43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9320EA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069F29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B8B77D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0818B2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4C394B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E2CB92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4C8A98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11C39A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2EDB1620" w14:textId="77777777" w:rsidTr="00C336CB">
        <w:trPr>
          <w:trHeight w:val="320"/>
        </w:trPr>
        <w:tc>
          <w:tcPr>
            <w:tcW w:w="0" w:type="auto"/>
            <w:tcBorders>
              <w:top w:val="nil"/>
              <w:left w:val="nil"/>
              <w:bottom w:val="nil"/>
              <w:right w:val="nil"/>
            </w:tcBorders>
            <w:shd w:val="clear" w:color="auto" w:fill="auto"/>
            <w:noWrap/>
            <w:vAlign w:val="center"/>
            <w:hideMark/>
          </w:tcPr>
          <w:p w14:paraId="33B9EB78" w14:textId="0AC36B2F"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Daneshi et al. </w:t>
            </w:r>
            <w:r w:rsidR="003C407A">
              <w:rPr>
                <w:rFonts w:ascii="Times New Roman" w:eastAsia="Times New Roman" w:hAnsi="Times New Roman" w:cs="Times New Roman"/>
                <w:color w:val="000000"/>
                <w:sz w:val="13"/>
                <w:szCs w:val="13"/>
                <w:lang w:eastAsia="de-DE"/>
              </w:rPr>
              <w:fldChar w:fldCharType="begin"/>
            </w:r>
            <w:r w:rsidR="003C407A">
              <w:rPr>
                <w:rFonts w:ascii="Times New Roman" w:eastAsia="Times New Roman" w:hAnsi="Times New Roman" w:cs="Times New Roman"/>
                <w:color w:val="000000"/>
                <w:sz w:val="13"/>
                <w:szCs w:val="13"/>
                <w:lang w:eastAsia="de-DE"/>
              </w:rPr>
              <w:instrText xml:space="preserve"> ADDIN ZOTERO_ITEM CSL_CITATION {"citationID":"bIHpymkm","properties":{"formattedCitation":"\\super 49\\nosupersub{}","plainCitation":"49","noteIndex":0},"citationItems":[{"id":1590,"uris":["http://zotero.org/users/local/4rfnQu81/items/VFWKMFCX"],"uri":["http://zotero.org/users/local/4rfnQu81/items/VFWKMFCX"],"itemData":{"id":1590,"type":"article-journal","abstract":"Introduction: Recently, weeks after the COVID-19 prevalence, there were reports of brain involvement and neurologic presentations in the COVID-19. Case presentation: We present five cases of COVID-19 and cerebrovascular events. A 34-year-old woman with IVH and ischemic stroke. A 60-year-old man with multiple small hemorrhagic foci and mild IVH in the occipital horn. A 63-year-old woman with large left parietooccipital intracerebral hemorrhage (ICH) and IVH. A 56-year-old man with left hemispheric and midbrain ICH, lateral ventricular IVH, and hydrocephalus. A 85-year-old woman with right parietal hemorrhagic infarct. The coagulation profile was normal in all of them. The chest CT scan showed the typical ground-glass appearance of COVID-19. Conclusions: Recently, there were reports of brain involvement and neurologic presentations in the COVID-19. These reports and the present study necessitate the aimed and designed studies with emphasis on neurologic presentations in COVID-19 patients to illustrate the exact effects of coronavirus-2 on the central nervous system.","container-title":"British Journal of Neurosurgery","DOI":"10.1080/02688697.2020.1861433","ISSN":"1360046X","issue":"0","note":"publisher: Taylor &amp; Francis","page":"1–6","title":"SARS coronavirus 2 and central nervous system manifestations: causation, relation, or coexistence? a case series study and literature review","volume":"0","author":[{"family":"Daneshi","given":"Seyed Abdolhadi"},{"family":"Taheri","given":"Morteza"},{"family":"Fattahi","given":"Arash"}],"issued":{"date-parts":[["2020"]]}}}],"schema":"https://github.com/citation-style-language/schema/raw/master/csl-citation.json"} </w:instrText>
            </w:r>
            <w:r w:rsidR="003C407A">
              <w:rPr>
                <w:rFonts w:ascii="Times New Roman" w:eastAsia="Times New Roman" w:hAnsi="Times New Roman" w:cs="Times New Roman"/>
                <w:color w:val="000000"/>
                <w:sz w:val="13"/>
                <w:szCs w:val="13"/>
                <w:lang w:eastAsia="de-DE"/>
              </w:rPr>
              <w:fldChar w:fldCharType="separate"/>
            </w:r>
            <w:r w:rsidR="003C407A" w:rsidRPr="003C407A">
              <w:rPr>
                <w:rFonts w:ascii="Times New Roman" w:hAnsi="Times New Roman" w:cs="Times New Roman"/>
                <w:color w:val="000000"/>
                <w:sz w:val="13"/>
                <w:vertAlign w:val="superscript"/>
                <w:lang w:val="de-DE"/>
              </w:rPr>
              <w:t>49</w:t>
            </w:r>
            <w:r w:rsidR="003C407A">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7E8B243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3AFA73E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53E52C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2FB0DB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449E26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63</w:t>
            </w:r>
          </w:p>
        </w:tc>
        <w:tc>
          <w:tcPr>
            <w:tcW w:w="0" w:type="auto"/>
            <w:tcBorders>
              <w:top w:val="nil"/>
              <w:left w:val="nil"/>
              <w:bottom w:val="nil"/>
              <w:right w:val="nil"/>
            </w:tcBorders>
            <w:shd w:val="clear" w:color="auto" w:fill="auto"/>
            <w:noWrap/>
            <w:vAlign w:val="center"/>
            <w:hideMark/>
          </w:tcPr>
          <w:p w14:paraId="017F306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076FE47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Uncomplicated</w:t>
            </w:r>
          </w:p>
        </w:tc>
        <w:tc>
          <w:tcPr>
            <w:tcW w:w="0" w:type="auto"/>
            <w:tcBorders>
              <w:top w:val="nil"/>
              <w:left w:val="nil"/>
              <w:bottom w:val="nil"/>
              <w:right w:val="nil"/>
            </w:tcBorders>
            <w:shd w:val="clear" w:color="auto" w:fill="auto"/>
            <w:noWrap/>
            <w:vAlign w:val="center"/>
            <w:hideMark/>
          </w:tcPr>
          <w:p w14:paraId="6A9C59E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B330DB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0A1E63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E09C9C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88EFCE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088544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915EA1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8C2DE2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6D08D6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9CD741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9EBA83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0A21F1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68FF45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B9DD43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0E458F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336D58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9AA59E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749010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6B8AC1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5AF3D6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ED2AD9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242CF080" w14:textId="77777777" w:rsidTr="00C336CB">
        <w:trPr>
          <w:trHeight w:val="320"/>
        </w:trPr>
        <w:tc>
          <w:tcPr>
            <w:tcW w:w="0" w:type="auto"/>
            <w:tcBorders>
              <w:top w:val="nil"/>
              <w:left w:val="nil"/>
              <w:bottom w:val="nil"/>
              <w:right w:val="nil"/>
            </w:tcBorders>
            <w:shd w:val="clear" w:color="auto" w:fill="auto"/>
            <w:noWrap/>
            <w:vAlign w:val="center"/>
            <w:hideMark/>
          </w:tcPr>
          <w:p w14:paraId="25EC839F" w14:textId="2F371F51"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Daneshi et al. </w:t>
            </w:r>
            <w:r w:rsidR="003C407A">
              <w:rPr>
                <w:rFonts w:ascii="Times New Roman" w:eastAsia="Times New Roman" w:hAnsi="Times New Roman" w:cs="Times New Roman"/>
                <w:color w:val="000000"/>
                <w:sz w:val="13"/>
                <w:szCs w:val="13"/>
                <w:lang w:eastAsia="de-DE"/>
              </w:rPr>
              <w:fldChar w:fldCharType="begin"/>
            </w:r>
            <w:r w:rsidR="003C407A">
              <w:rPr>
                <w:rFonts w:ascii="Times New Roman" w:eastAsia="Times New Roman" w:hAnsi="Times New Roman" w:cs="Times New Roman"/>
                <w:color w:val="000000"/>
                <w:sz w:val="13"/>
                <w:szCs w:val="13"/>
                <w:lang w:eastAsia="de-DE"/>
              </w:rPr>
              <w:instrText xml:space="preserve"> ADDIN ZOTERO_ITEM CSL_CITATION {"citationID":"64CIO5hv","properties":{"formattedCitation":"\\super 49\\nosupersub{}","plainCitation":"49","noteIndex":0},"citationItems":[{"id":1590,"uris":["http://zotero.org/users/local/4rfnQu81/items/VFWKMFCX"],"uri":["http://zotero.org/users/local/4rfnQu81/items/VFWKMFCX"],"itemData":{"id":1590,"type":"article-journal","abstract":"Introduction: Recently, weeks after the COVID-19 prevalence, there were reports of brain involvement and neurologic presentations in the COVID-19. Case presentation: We present five cases of COVID-19 and cerebrovascular events. A 34-year-old woman with IVH and ischemic stroke. A 60-year-old man with multiple small hemorrhagic foci and mild IVH in the occipital horn. A 63-year-old woman with large left parietooccipital intracerebral hemorrhage (ICH) and IVH. A 56-year-old man with left hemispheric and midbrain ICH, lateral ventricular IVH, and hydrocephalus. A 85-year-old woman with right parietal hemorrhagic infarct. The coagulation profile was normal in all of them. The chest CT scan showed the typical ground-glass appearance of COVID-19. Conclusions: Recently, there were reports of brain involvement and neurologic presentations in the COVID-19. These reports and the present study necessitate the aimed and designed studies with emphasis on neurologic presentations in COVID-19 patients to illustrate the exact effects of coronavirus-2 on the central nervous system.","container-title":"British Journal of Neurosurgery","DOI":"10.1080/02688697.2020.1861433","ISSN":"1360046X","issue":"0","note":"publisher: Taylor &amp; Francis","page":"1–6","title":"SARS coronavirus 2 and central nervous system manifestations: causation, relation, or coexistence? a case series study and literature review","volume":"0","author":[{"family":"Daneshi","given":"Seyed Abdolhadi"},{"family":"Taheri","given":"Morteza"},{"family":"Fattahi","given":"Arash"}],"issued":{"date-parts":[["2020"]]}}}],"schema":"https://github.com/citation-style-language/schema/raw/master/csl-citation.json"} </w:instrText>
            </w:r>
            <w:r w:rsidR="003C407A">
              <w:rPr>
                <w:rFonts w:ascii="Times New Roman" w:eastAsia="Times New Roman" w:hAnsi="Times New Roman" w:cs="Times New Roman"/>
                <w:color w:val="000000"/>
                <w:sz w:val="13"/>
                <w:szCs w:val="13"/>
                <w:lang w:eastAsia="de-DE"/>
              </w:rPr>
              <w:fldChar w:fldCharType="separate"/>
            </w:r>
            <w:r w:rsidR="003C407A" w:rsidRPr="003C407A">
              <w:rPr>
                <w:rFonts w:ascii="Times New Roman" w:hAnsi="Times New Roman" w:cs="Times New Roman"/>
                <w:color w:val="000000"/>
                <w:sz w:val="13"/>
                <w:vertAlign w:val="superscript"/>
                <w:lang w:val="de-DE"/>
              </w:rPr>
              <w:t>49</w:t>
            </w:r>
            <w:r w:rsidR="003C407A">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7D8234D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0732F4C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8E53EC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DA5180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1979AE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85</w:t>
            </w:r>
          </w:p>
        </w:tc>
        <w:tc>
          <w:tcPr>
            <w:tcW w:w="0" w:type="auto"/>
            <w:tcBorders>
              <w:top w:val="nil"/>
              <w:left w:val="nil"/>
              <w:bottom w:val="nil"/>
              <w:right w:val="nil"/>
            </w:tcBorders>
            <w:shd w:val="clear" w:color="auto" w:fill="auto"/>
            <w:noWrap/>
            <w:vAlign w:val="center"/>
            <w:hideMark/>
          </w:tcPr>
          <w:p w14:paraId="101FAD3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2A453AD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CEF7A3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A2F57B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545880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78098B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B6F56F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968C55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3681CA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C2048B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D93C0E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85CE90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F64ED2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DEB378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3BD223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9D63CF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AEED22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70057D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336A5C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2819E0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1974B6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43398D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A7C1AD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7CCBAE88" w14:textId="77777777" w:rsidTr="00C336CB">
        <w:trPr>
          <w:trHeight w:val="320"/>
        </w:trPr>
        <w:tc>
          <w:tcPr>
            <w:tcW w:w="0" w:type="auto"/>
            <w:tcBorders>
              <w:top w:val="nil"/>
              <w:left w:val="nil"/>
              <w:bottom w:val="nil"/>
              <w:right w:val="nil"/>
            </w:tcBorders>
            <w:shd w:val="clear" w:color="auto" w:fill="auto"/>
            <w:noWrap/>
            <w:vAlign w:val="center"/>
            <w:hideMark/>
          </w:tcPr>
          <w:p w14:paraId="6B132E25" w14:textId="6AED1A16"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Daneshi et al. </w:t>
            </w:r>
            <w:r w:rsidR="003C407A">
              <w:rPr>
                <w:rFonts w:ascii="Times New Roman" w:eastAsia="Times New Roman" w:hAnsi="Times New Roman" w:cs="Times New Roman"/>
                <w:color w:val="000000"/>
                <w:sz w:val="13"/>
                <w:szCs w:val="13"/>
                <w:lang w:eastAsia="de-DE"/>
              </w:rPr>
              <w:fldChar w:fldCharType="begin"/>
            </w:r>
            <w:r w:rsidR="003C407A">
              <w:rPr>
                <w:rFonts w:ascii="Times New Roman" w:eastAsia="Times New Roman" w:hAnsi="Times New Roman" w:cs="Times New Roman"/>
                <w:color w:val="000000"/>
                <w:sz w:val="13"/>
                <w:szCs w:val="13"/>
                <w:lang w:eastAsia="de-DE"/>
              </w:rPr>
              <w:instrText xml:space="preserve"> ADDIN ZOTERO_ITEM CSL_CITATION {"citationID":"7TKFlm9e","properties":{"formattedCitation":"\\super 49\\nosupersub{}","plainCitation":"49","noteIndex":0},"citationItems":[{"id":1590,"uris":["http://zotero.org/users/local/4rfnQu81/items/VFWKMFCX"],"uri":["http://zotero.org/users/local/4rfnQu81/items/VFWKMFCX"],"itemData":{"id":1590,"type":"article-journal","abstract":"Introduction: Recently, weeks after the COVID-19 prevalence, there were reports of brain involvement and neurologic presentations in the COVID-19. Case presentation: We present five cases of COVID-19 and cerebrovascular events. A 34-year-old woman with IVH and ischemic stroke. A 60-year-old man with multiple small hemorrhagic foci and mild IVH in the occipital horn. A 63-year-old woman with large left parietooccipital intracerebral hemorrhage (ICH) and IVH. A 56-year-old man with left hemispheric and midbrain ICH, lateral ventricular IVH, and hydrocephalus. A 85-year-old woman with right parietal hemorrhagic infarct. The coagulation profile was normal in all of them. The chest CT scan showed the typical ground-glass appearance of COVID-19. Conclusions: Recently, there were reports of brain involvement and neurologic presentations in the COVID-19. These reports and the present study necessitate the aimed and designed studies with emphasis on neurologic presentations in COVID-19 patients to illustrate the exact effects of coronavirus-2 on the central nervous system.","container-title":"British Journal of Neurosurgery","DOI":"10.1080/02688697.2020.1861433","ISSN":"1360046X","issue":"0","note":"publisher: Taylor &amp; Francis","page":"1–6","title":"SARS coronavirus 2 and central nervous system manifestations: causation, relation, or coexistence? a case series study and literature review","volume":"0","author":[{"family":"Daneshi","given":"Seyed Abdolhadi"},{"family":"Taheri","given":"Morteza"},{"family":"Fattahi","given":"Arash"}],"issued":{"date-parts":[["2020"]]}}}],"schema":"https://github.com/citation-style-language/schema/raw/master/csl-citation.json"} </w:instrText>
            </w:r>
            <w:r w:rsidR="003C407A">
              <w:rPr>
                <w:rFonts w:ascii="Times New Roman" w:eastAsia="Times New Roman" w:hAnsi="Times New Roman" w:cs="Times New Roman"/>
                <w:color w:val="000000"/>
                <w:sz w:val="13"/>
                <w:szCs w:val="13"/>
                <w:lang w:eastAsia="de-DE"/>
              </w:rPr>
              <w:fldChar w:fldCharType="separate"/>
            </w:r>
            <w:r w:rsidR="003C407A" w:rsidRPr="003C407A">
              <w:rPr>
                <w:rFonts w:ascii="Times New Roman" w:hAnsi="Times New Roman" w:cs="Times New Roman"/>
                <w:color w:val="000000"/>
                <w:sz w:val="13"/>
                <w:vertAlign w:val="superscript"/>
                <w:lang w:val="de-DE"/>
              </w:rPr>
              <w:t>49</w:t>
            </w:r>
            <w:r w:rsidR="003C407A">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59DE44D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3F04C33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4C1717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C2AB85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DEE16A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56</w:t>
            </w:r>
          </w:p>
        </w:tc>
        <w:tc>
          <w:tcPr>
            <w:tcW w:w="0" w:type="auto"/>
            <w:tcBorders>
              <w:top w:val="nil"/>
              <w:left w:val="nil"/>
              <w:bottom w:val="nil"/>
              <w:right w:val="nil"/>
            </w:tcBorders>
            <w:shd w:val="clear" w:color="auto" w:fill="auto"/>
            <w:noWrap/>
            <w:vAlign w:val="center"/>
            <w:hideMark/>
          </w:tcPr>
          <w:p w14:paraId="01E8D27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5BDF4DD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20B906F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54C4F5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B8CF69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9DC5F5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64147D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16E03C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492FE9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63DF43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1CFE55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F9ED76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BBA9AA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0CBEBC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A204B5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3F6341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7397C7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368FC2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D9F62D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69F2AF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341332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7545A0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A0F7A5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r>
      <w:tr w:rsidR="00CE05CD" w:rsidRPr="00C336CB" w14:paraId="71E6088A" w14:textId="77777777" w:rsidTr="00C336CB">
        <w:trPr>
          <w:trHeight w:val="340"/>
        </w:trPr>
        <w:tc>
          <w:tcPr>
            <w:tcW w:w="0" w:type="auto"/>
            <w:tcBorders>
              <w:top w:val="nil"/>
              <w:left w:val="nil"/>
              <w:bottom w:val="nil"/>
              <w:right w:val="nil"/>
            </w:tcBorders>
            <w:shd w:val="clear" w:color="auto" w:fill="auto"/>
            <w:noWrap/>
            <w:vAlign w:val="center"/>
            <w:hideMark/>
          </w:tcPr>
          <w:p w14:paraId="2CF3A46C" w14:textId="10039C44"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Kirschenbaum et al. </w:t>
            </w:r>
            <w:r w:rsidR="003C407A">
              <w:rPr>
                <w:rFonts w:ascii="Times New Roman" w:eastAsia="Times New Roman" w:hAnsi="Times New Roman" w:cs="Times New Roman"/>
                <w:color w:val="000000"/>
                <w:sz w:val="13"/>
                <w:szCs w:val="13"/>
                <w:lang w:eastAsia="de-DE"/>
              </w:rPr>
              <w:fldChar w:fldCharType="begin"/>
            </w:r>
            <w:r w:rsidR="003C407A">
              <w:rPr>
                <w:rFonts w:ascii="Times New Roman" w:eastAsia="Times New Roman" w:hAnsi="Times New Roman" w:cs="Times New Roman"/>
                <w:color w:val="000000"/>
                <w:sz w:val="13"/>
                <w:szCs w:val="13"/>
                <w:lang w:eastAsia="de-DE"/>
              </w:rPr>
              <w:instrText xml:space="preserve"> ADDIN ZOTERO_ITEM CSL_CITATION {"citationID":"tk1wgOT8","properties":{"formattedCitation":"\\super 50\\nosupersub{}","plainCitation":"50","noteIndex":0},"citationItems":[{"id":32,"uris":["http://zotero.org/users/local/4rfnQu81/items/DLF97Q4P"],"uri":["http://zotero.org/users/local/4rfnQu81/items/DLF97Q4P"],"itemData":{"id":32,"type":"article-journal","abstract":"Coronavirus disease 19 (COVID-19) is a rapidly evolving pandemic caused by the coronavirus Sars-CoV-2. Clinically manifest central nervous system symptoms have been described in COVID-19 patients and could be the consequence of commonly associated vascular pathology, but the detailed neuropathological sequelae remain largely unknown. A total of six cases, all positive for Sars-CoV-2, showed evidence of cerebral petechial hemorrhages and microthrombi at autopsy. Two out of six patients showed an elevated risk for disseminated intravascular coagulopathy according to current criteria and were excluded from further analysis. In the remaining four patients, the hemorrhages were most prominent at the grey and white matter junction of the neocortex, but were also found in the brainstem, deep grey matter structures and cerebellum. Two patients showed vascular intramural inflammatory infiltrates, consistent with Sars-CoV-2-associated endotheliitis, which was associated by elevated levels of the Sars-CoV-2 receptor ACE2 in the brain vasculature. Distribution and morphology of patchy brain microbleeds was clearly distinct from hypertension-related hemorrhage, critical illness-associated microbleeds and cerebral amyloid angiopathy, which was ruled out by immunohistochemistry. Cerebral microhemorrhages in COVID-19 patients could be a consequence of Sars- CoV-2-induced endotheliitis and more general vasculopathic changes and may correlate with an increased risk of vascular encephalopathy.","container-title":"Neuropathology and Applied Neurobiology","DOI":"10.1111/nan.12677","ISSN":"13652990","issue":"July","note":"PMID: 33249605","page":"1–6","title":"Intracerebral endotheliitis and microbleeds are neuropathological features of COVID-19","author":[{"family":"Kirschenbaum","given":"Daniel"},{"family":"Imbach","given":"Lukas L."},{"family":"Rushing","given":"Elisabeth J."},{"family":"Frauenknecht","given":"Katrin B.M."},{"family":"Gascho","given":"Dominic"},{"family":"Ineichen","given":"Benjamin V."},{"family":"Keller","given":"Emanuela"},{"family":"Kohler","given":"Sibylle"},{"family":"Lichtblau","given":"Mona"},{"family":"Reimann","given":"Regina R."},{"family":"Schreib","given":"Katharina"},{"family":"Ulrich","given":"Silvia"},{"family":"Steiger","given":"Peter"},{"family":"Aguzzi","given":"Adriano"},{"family":"Frontzek","given":"Karl"}],"issued":{"date-parts":[["2020"]]}}}],"schema":"https://github.com/citation-style-language/schema/raw/master/csl-citation.json"} </w:instrText>
            </w:r>
            <w:r w:rsidR="003C407A">
              <w:rPr>
                <w:rFonts w:ascii="Times New Roman" w:eastAsia="Times New Roman" w:hAnsi="Times New Roman" w:cs="Times New Roman"/>
                <w:color w:val="000000"/>
                <w:sz w:val="13"/>
                <w:szCs w:val="13"/>
                <w:lang w:eastAsia="de-DE"/>
              </w:rPr>
              <w:fldChar w:fldCharType="separate"/>
            </w:r>
            <w:r w:rsidR="003C407A" w:rsidRPr="003C407A">
              <w:rPr>
                <w:rFonts w:ascii="Times New Roman" w:hAnsi="Times New Roman" w:cs="Times New Roman"/>
                <w:color w:val="000000"/>
                <w:sz w:val="13"/>
                <w:vertAlign w:val="superscript"/>
                <w:lang w:val="de-DE"/>
              </w:rPr>
              <w:t>50</w:t>
            </w:r>
            <w:r w:rsidR="003C407A">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19F7976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4A773D6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B7B781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ABB559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FCE402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70</w:t>
            </w:r>
          </w:p>
        </w:tc>
        <w:tc>
          <w:tcPr>
            <w:tcW w:w="0" w:type="auto"/>
            <w:tcBorders>
              <w:top w:val="nil"/>
              <w:left w:val="nil"/>
              <w:bottom w:val="nil"/>
              <w:right w:val="nil"/>
            </w:tcBorders>
            <w:shd w:val="clear" w:color="auto" w:fill="auto"/>
            <w:noWrap/>
            <w:vAlign w:val="center"/>
            <w:hideMark/>
          </w:tcPr>
          <w:p w14:paraId="568076B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1956C38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3097568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8E0308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BB23B3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F9702E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F5721C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CB86CB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A2EBD8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E2AE92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F3F143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1F88CA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737CAD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326E59F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4E7E8FA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6858FC1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38CBC7B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7CB9644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6F49362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66B0980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1FC5B84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F3B9DA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D1B5D3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426A5105" w14:textId="77777777" w:rsidTr="00C336CB">
        <w:trPr>
          <w:trHeight w:val="320"/>
        </w:trPr>
        <w:tc>
          <w:tcPr>
            <w:tcW w:w="0" w:type="auto"/>
            <w:tcBorders>
              <w:top w:val="nil"/>
              <w:left w:val="nil"/>
              <w:bottom w:val="nil"/>
              <w:right w:val="nil"/>
            </w:tcBorders>
            <w:shd w:val="clear" w:color="auto" w:fill="auto"/>
            <w:noWrap/>
            <w:vAlign w:val="center"/>
            <w:hideMark/>
          </w:tcPr>
          <w:p w14:paraId="20E27EF6" w14:textId="3DF69468"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Kirschenbaum et al. </w:t>
            </w:r>
            <w:r w:rsidR="002153F8">
              <w:rPr>
                <w:rFonts w:ascii="Times New Roman" w:eastAsia="Times New Roman" w:hAnsi="Times New Roman" w:cs="Times New Roman"/>
                <w:color w:val="000000"/>
                <w:sz w:val="13"/>
                <w:szCs w:val="13"/>
                <w:lang w:eastAsia="de-DE"/>
              </w:rPr>
              <w:fldChar w:fldCharType="begin"/>
            </w:r>
            <w:r w:rsidR="002153F8">
              <w:rPr>
                <w:rFonts w:ascii="Times New Roman" w:eastAsia="Times New Roman" w:hAnsi="Times New Roman" w:cs="Times New Roman"/>
                <w:color w:val="000000"/>
                <w:sz w:val="13"/>
                <w:szCs w:val="13"/>
                <w:lang w:eastAsia="de-DE"/>
              </w:rPr>
              <w:instrText xml:space="preserve"> ADDIN ZOTERO_ITEM CSL_CITATION {"citationID":"DoxA3aLn","properties":{"formattedCitation":"\\super 50\\nosupersub{}","plainCitation":"50","noteIndex":0},"citationItems":[{"id":32,"uris":["http://zotero.org/users/local/4rfnQu81/items/DLF97Q4P"],"uri":["http://zotero.org/users/local/4rfnQu81/items/DLF97Q4P"],"itemData":{"id":32,"type":"article-journal","abstract":"Coronavirus disease 19 (COVID-19) is a rapidly evolving pandemic caused by the coronavirus Sars-CoV-2. Clinically manifest central nervous system symptoms have been described in COVID-19 patients and could be the consequence of commonly associated vascular pathology, but the detailed neuropathological sequelae remain largely unknown. A total of six cases, all positive for Sars-CoV-2, showed evidence of cerebral petechial hemorrhages and microthrombi at autopsy. Two out of six patients showed an elevated risk for disseminated intravascular coagulopathy according to current criteria and were excluded from further analysis. In the remaining four patients, the hemorrhages were most prominent at the grey and white matter junction of the neocortex, but were also found in the brainstem, deep grey matter structures and cerebellum. Two patients showed vascular intramural inflammatory infiltrates, consistent with Sars-CoV-2-associated endotheliitis, which was associated by elevated levels of the Sars-CoV-2 receptor ACE2 in the brain vasculature. Distribution and morphology of patchy brain microbleeds was clearly distinct from hypertension-related hemorrhage, critical illness-associated microbleeds and cerebral amyloid angiopathy, which was ruled out by immunohistochemistry. Cerebral microhemorrhages in COVID-19 patients could be a consequence of Sars- CoV-2-induced endotheliitis and more general vasculopathic changes and may correlate with an increased risk of vascular encephalopathy.","container-title":"Neuropathology and Applied Neurobiology","DOI":"10.1111/nan.12677","ISSN":"13652990","issue":"July","note":"PMID: 33249605","page":"1–6","title":"Intracerebral endotheliitis and microbleeds are neuropathological features of COVID-19","author":[{"family":"Kirschenbaum","given":"Daniel"},{"family":"Imbach","given":"Lukas L."},{"family":"Rushing","given":"Elisabeth J."},{"family":"Frauenknecht","given":"Katrin B.M."},{"family":"Gascho","given":"Dominic"},{"family":"Ineichen","given":"Benjamin V."},{"family":"Keller","given":"Emanuela"},{"family":"Kohler","given":"Sibylle"},{"family":"Lichtblau","given":"Mona"},{"family":"Reimann","given":"Regina R."},{"family":"Schreib","given":"Katharina"},{"family":"Ulrich","given":"Silvia"},{"family":"Steiger","given":"Peter"},{"family":"Aguzzi","given":"Adriano"},{"family":"Frontzek","given":"Karl"}],"issued":{"date-parts":[["2020"]]}}}],"schema":"https://github.com/citation-style-language/schema/raw/master/csl-citation.json"} </w:instrText>
            </w:r>
            <w:r w:rsidR="002153F8">
              <w:rPr>
                <w:rFonts w:ascii="Times New Roman" w:eastAsia="Times New Roman" w:hAnsi="Times New Roman" w:cs="Times New Roman"/>
                <w:color w:val="000000"/>
                <w:sz w:val="13"/>
                <w:szCs w:val="13"/>
                <w:lang w:eastAsia="de-DE"/>
              </w:rPr>
              <w:fldChar w:fldCharType="separate"/>
            </w:r>
            <w:r w:rsidR="002153F8" w:rsidRPr="003C407A">
              <w:rPr>
                <w:rFonts w:ascii="Times New Roman" w:hAnsi="Times New Roman" w:cs="Times New Roman"/>
                <w:color w:val="000000"/>
                <w:sz w:val="13"/>
                <w:vertAlign w:val="superscript"/>
                <w:lang w:val="de-DE"/>
              </w:rPr>
              <w:t>50</w:t>
            </w:r>
            <w:r w:rsidR="002153F8">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2C2D5B5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6315E66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A3405E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8D379F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3FB972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77</w:t>
            </w:r>
          </w:p>
        </w:tc>
        <w:tc>
          <w:tcPr>
            <w:tcW w:w="0" w:type="auto"/>
            <w:tcBorders>
              <w:top w:val="nil"/>
              <w:left w:val="nil"/>
              <w:bottom w:val="nil"/>
              <w:right w:val="nil"/>
            </w:tcBorders>
            <w:shd w:val="clear" w:color="auto" w:fill="auto"/>
            <w:noWrap/>
            <w:vAlign w:val="center"/>
            <w:hideMark/>
          </w:tcPr>
          <w:p w14:paraId="65E3A95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69E50C9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13217C8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6B27E2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89DE8A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CF3CDC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02AF79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B69CFC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553B57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7648ED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7C878F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0D571A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776BA8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0DE041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04EB6F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6CD59A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EF5192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BD40D2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10A167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B0BD58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00A714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BA8B29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1D7559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44C16A12" w14:textId="77777777" w:rsidTr="00C336CB">
        <w:trPr>
          <w:trHeight w:val="320"/>
        </w:trPr>
        <w:tc>
          <w:tcPr>
            <w:tcW w:w="0" w:type="auto"/>
            <w:tcBorders>
              <w:top w:val="nil"/>
              <w:left w:val="nil"/>
              <w:bottom w:val="nil"/>
              <w:right w:val="nil"/>
            </w:tcBorders>
            <w:shd w:val="clear" w:color="auto" w:fill="auto"/>
            <w:noWrap/>
            <w:vAlign w:val="center"/>
            <w:hideMark/>
          </w:tcPr>
          <w:p w14:paraId="03B2FDF8" w14:textId="4409410F"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Kirschenbaum et al. </w:t>
            </w:r>
            <w:r w:rsidR="002153F8">
              <w:rPr>
                <w:rFonts w:ascii="Times New Roman" w:eastAsia="Times New Roman" w:hAnsi="Times New Roman" w:cs="Times New Roman"/>
                <w:color w:val="000000"/>
                <w:sz w:val="13"/>
                <w:szCs w:val="13"/>
                <w:lang w:eastAsia="de-DE"/>
              </w:rPr>
              <w:fldChar w:fldCharType="begin"/>
            </w:r>
            <w:r w:rsidR="002153F8">
              <w:rPr>
                <w:rFonts w:ascii="Times New Roman" w:eastAsia="Times New Roman" w:hAnsi="Times New Roman" w:cs="Times New Roman"/>
                <w:color w:val="000000"/>
                <w:sz w:val="13"/>
                <w:szCs w:val="13"/>
                <w:lang w:eastAsia="de-DE"/>
              </w:rPr>
              <w:instrText xml:space="preserve"> ADDIN ZOTERO_ITEM CSL_CITATION {"citationID":"I7wepMXT","properties":{"formattedCitation":"\\super 50\\nosupersub{}","plainCitation":"50","noteIndex":0},"citationItems":[{"id":32,"uris":["http://zotero.org/users/local/4rfnQu81/items/DLF97Q4P"],"uri":["http://zotero.org/users/local/4rfnQu81/items/DLF97Q4P"],"itemData":{"id":32,"type":"article-journal","abstract":"Coronavirus disease 19 (COVID-19) is a rapidly evolving pandemic caused by the coronavirus Sars-CoV-2. Clinically manifest central nervous system symptoms have been described in COVID-19 patients and could be the consequence of commonly associated vascular pathology, but the detailed neuropathological sequelae remain largely unknown. A total of six cases, all positive for Sars-CoV-2, showed evidence of cerebral petechial hemorrhages and microthrombi at autopsy. Two out of six patients showed an elevated risk for disseminated intravascular coagulopathy according to current criteria and were excluded from further analysis. In the remaining four patients, the hemorrhages were most prominent at the grey and white matter junction of the neocortex, but were also found in the brainstem, deep grey matter structures and cerebellum. Two patients showed vascular intramural inflammatory infiltrates, consistent with Sars-CoV-2-associated endotheliitis, which was associated by elevated levels of the Sars-CoV-2 receptor ACE2 in the brain vasculature. Distribution and morphology of patchy brain microbleeds was clearly distinct from hypertension-related hemorrhage, critical illness-associated microbleeds and cerebral amyloid angiopathy, which was ruled out by immunohistochemistry. Cerebral microhemorrhages in COVID-19 patients could be a consequence of Sars- CoV-2-induced endotheliitis and more general vasculopathic changes and may correlate with an increased risk of vascular encephalopathy.","container-title":"Neuropathology and Applied Neurobiology","DOI":"10.1111/nan.12677","ISSN":"13652990","issue":"July","note":"PMID: 33249605","page":"1–6","title":"Intracerebral endotheliitis and microbleeds are neuropathological features of COVID-19","author":[{"family":"Kirschenbaum","given":"Daniel"},{"family":"Imbach","given":"Lukas L."},{"family":"Rushing","given":"Elisabeth J."},{"family":"Frauenknecht","given":"Katrin B.M."},{"family":"Gascho","given":"Dominic"},{"family":"Ineichen","given":"Benjamin V."},{"family":"Keller","given":"Emanuela"},{"family":"Kohler","given":"Sibylle"},{"family":"Lichtblau","given":"Mona"},{"family":"Reimann","given":"Regina R."},{"family":"Schreib","given":"Katharina"},{"family":"Ulrich","given":"Silvia"},{"family":"Steiger","given":"Peter"},{"family":"Aguzzi","given":"Adriano"},{"family":"Frontzek","given":"Karl"}],"issued":{"date-parts":[["2020"]]}}}],"schema":"https://github.com/citation-style-language/schema/raw/master/csl-citation.json"} </w:instrText>
            </w:r>
            <w:r w:rsidR="002153F8">
              <w:rPr>
                <w:rFonts w:ascii="Times New Roman" w:eastAsia="Times New Roman" w:hAnsi="Times New Roman" w:cs="Times New Roman"/>
                <w:color w:val="000000"/>
                <w:sz w:val="13"/>
                <w:szCs w:val="13"/>
                <w:lang w:eastAsia="de-DE"/>
              </w:rPr>
              <w:fldChar w:fldCharType="separate"/>
            </w:r>
            <w:r w:rsidR="002153F8" w:rsidRPr="003C407A">
              <w:rPr>
                <w:rFonts w:ascii="Times New Roman" w:hAnsi="Times New Roman" w:cs="Times New Roman"/>
                <w:color w:val="000000"/>
                <w:sz w:val="13"/>
                <w:vertAlign w:val="superscript"/>
                <w:lang w:val="de-DE"/>
              </w:rPr>
              <w:t>50</w:t>
            </w:r>
            <w:r w:rsidR="002153F8">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04C5BBB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30BED37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3C3455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548BF0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2D62D6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79</w:t>
            </w:r>
          </w:p>
        </w:tc>
        <w:tc>
          <w:tcPr>
            <w:tcW w:w="0" w:type="auto"/>
            <w:tcBorders>
              <w:top w:val="nil"/>
              <w:left w:val="nil"/>
              <w:bottom w:val="nil"/>
              <w:right w:val="nil"/>
            </w:tcBorders>
            <w:shd w:val="clear" w:color="auto" w:fill="auto"/>
            <w:noWrap/>
            <w:vAlign w:val="center"/>
            <w:hideMark/>
          </w:tcPr>
          <w:p w14:paraId="0D981CB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1F93361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6D8F938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81BAD8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8DE292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DDEA89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1F5C13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C02C64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17C92F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31E048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1A0E59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493D7C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6CA8B2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348E2B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E2E12B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890017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794308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B169B2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D4A5D5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8EC95D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73D703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B0795D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6D0D715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2BBABEB6" w14:textId="77777777" w:rsidTr="00C336CB">
        <w:trPr>
          <w:trHeight w:val="320"/>
        </w:trPr>
        <w:tc>
          <w:tcPr>
            <w:tcW w:w="0" w:type="auto"/>
            <w:tcBorders>
              <w:top w:val="nil"/>
              <w:left w:val="nil"/>
              <w:bottom w:val="nil"/>
              <w:right w:val="nil"/>
            </w:tcBorders>
            <w:shd w:val="clear" w:color="auto" w:fill="auto"/>
            <w:noWrap/>
            <w:vAlign w:val="center"/>
            <w:hideMark/>
          </w:tcPr>
          <w:p w14:paraId="4B0F1FB0" w14:textId="5E46FE92"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Kirschenbaum et al. </w:t>
            </w:r>
            <w:r w:rsidR="002153F8">
              <w:rPr>
                <w:rFonts w:ascii="Times New Roman" w:eastAsia="Times New Roman" w:hAnsi="Times New Roman" w:cs="Times New Roman"/>
                <w:color w:val="000000"/>
                <w:sz w:val="13"/>
                <w:szCs w:val="13"/>
                <w:lang w:eastAsia="de-DE"/>
              </w:rPr>
              <w:fldChar w:fldCharType="begin"/>
            </w:r>
            <w:r w:rsidR="002153F8">
              <w:rPr>
                <w:rFonts w:ascii="Times New Roman" w:eastAsia="Times New Roman" w:hAnsi="Times New Roman" w:cs="Times New Roman"/>
                <w:color w:val="000000"/>
                <w:sz w:val="13"/>
                <w:szCs w:val="13"/>
                <w:lang w:eastAsia="de-DE"/>
              </w:rPr>
              <w:instrText xml:space="preserve"> ADDIN ZOTERO_ITEM CSL_CITATION {"citationID":"6cleAUT6","properties":{"formattedCitation":"\\super 50\\nosupersub{}","plainCitation":"50","noteIndex":0},"citationItems":[{"id":32,"uris":["http://zotero.org/users/local/4rfnQu81/items/DLF97Q4P"],"uri":["http://zotero.org/users/local/4rfnQu81/items/DLF97Q4P"],"itemData":{"id":32,"type":"article-journal","abstract":"Coronavirus disease 19 (COVID-19) is a rapidly evolving pandemic caused by the coronavirus Sars-CoV-2. Clinically manifest central nervous system symptoms have been described in COVID-19 patients and could be the consequence of commonly associated vascular pathology, but the detailed neuropathological sequelae remain largely unknown. A total of six cases, all positive for Sars-CoV-2, showed evidence of cerebral petechial hemorrhages and microthrombi at autopsy. Two out of six patients showed an elevated risk for disseminated intravascular coagulopathy according to current criteria and were excluded from further analysis. In the remaining four patients, the hemorrhages were most prominent at the grey and white matter junction of the neocortex, but were also found in the brainstem, deep grey matter structures and cerebellum. Two patients showed vascular intramural inflammatory infiltrates, consistent with Sars-CoV-2-associated endotheliitis, which was associated by elevated levels of the Sars-CoV-2 receptor ACE2 in the brain vasculature. Distribution and morphology of patchy brain microbleeds was clearly distinct from hypertension-related hemorrhage, critical illness-associated microbleeds and cerebral amyloid angiopathy, which was ruled out by immunohistochemistry. Cerebral microhemorrhages in COVID-19 patients could be a consequence of Sars- CoV-2-induced endotheliitis and more general vasculopathic changes and may correlate with an increased risk of vascular encephalopathy.","container-title":"Neuropathology and Applied Neurobiology","DOI":"10.1111/nan.12677","ISSN":"13652990","issue":"July","note":"PMID: 33249605","page":"1–6","title":"Intracerebral endotheliitis and microbleeds are neuropathological features of COVID-19","author":[{"family":"Kirschenbaum","given":"Daniel"},{"family":"Imbach","given":"Lukas L."},{"family":"Rushing","given":"Elisabeth J."},{"family":"Frauenknecht","given":"Katrin B.M."},{"family":"Gascho","given":"Dominic"},{"family":"Ineichen","given":"Benjamin V."},{"family":"Keller","given":"Emanuela"},{"family":"Kohler","given":"Sibylle"},{"family":"Lichtblau","given":"Mona"},{"family":"Reimann","given":"Regina R."},{"family":"Schreib","given":"Katharina"},{"family":"Ulrich","given":"Silvia"},{"family":"Steiger","given":"Peter"},{"family":"Aguzzi","given":"Adriano"},{"family":"Frontzek","given":"Karl"}],"issued":{"date-parts":[["2020"]]}}}],"schema":"https://github.com/citation-style-language/schema/raw/master/csl-citation.json"} </w:instrText>
            </w:r>
            <w:r w:rsidR="002153F8">
              <w:rPr>
                <w:rFonts w:ascii="Times New Roman" w:eastAsia="Times New Roman" w:hAnsi="Times New Roman" w:cs="Times New Roman"/>
                <w:color w:val="000000"/>
                <w:sz w:val="13"/>
                <w:szCs w:val="13"/>
                <w:lang w:eastAsia="de-DE"/>
              </w:rPr>
              <w:fldChar w:fldCharType="separate"/>
            </w:r>
            <w:r w:rsidR="002153F8" w:rsidRPr="003C407A">
              <w:rPr>
                <w:rFonts w:ascii="Times New Roman" w:hAnsi="Times New Roman" w:cs="Times New Roman"/>
                <w:color w:val="000000"/>
                <w:sz w:val="13"/>
                <w:vertAlign w:val="superscript"/>
                <w:lang w:val="de-DE"/>
              </w:rPr>
              <w:t>50</w:t>
            </w:r>
            <w:r w:rsidR="002153F8">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1E3F730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032D00C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083AA5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62A692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40FF74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81</w:t>
            </w:r>
          </w:p>
        </w:tc>
        <w:tc>
          <w:tcPr>
            <w:tcW w:w="0" w:type="auto"/>
            <w:tcBorders>
              <w:top w:val="nil"/>
              <w:left w:val="nil"/>
              <w:bottom w:val="nil"/>
              <w:right w:val="nil"/>
            </w:tcBorders>
            <w:shd w:val="clear" w:color="auto" w:fill="auto"/>
            <w:noWrap/>
            <w:vAlign w:val="center"/>
            <w:hideMark/>
          </w:tcPr>
          <w:p w14:paraId="138DFB9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48F8B9E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0901812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9C5918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B6C133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C2A5A3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FD4722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42D4C5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8D77D1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DE6345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371EF5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4F8272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F02429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4C111F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DDA0CD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12C4A9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B3711B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AAFB1E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148167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59304F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432258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2D5EBD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3C50AA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38327621" w14:textId="77777777" w:rsidTr="00C336CB">
        <w:trPr>
          <w:trHeight w:val="340"/>
        </w:trPr>
        <w:tc>
          <w:tcPr>
            <w:tcW w:w="0" w:type="auto"/>
            <w:tcBorders>
              <w:top w:val="nil"/>
              <w:left w:val="nil"/>
              <w:bottom w:val="nil"/>
              <w:right w:val="nil"/>
            </w:tcBorders>
            <w:shd w:val="clear" w:color="auto" w:fill="auto"/>
            <w:vAlign w:val="center"/>
            <w:hideMark/>
          </w:tcPr>
          <w:p w14:paraId="36332642" w14:textId="435AED6A"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Mishra et al. </w:t>
            </w:r>
            <w:r w:rsidR="002153F8">
              <w:rPr>
                <w:rFonts w:ascii="Times New Roman" w:eastAsia="Times New Roman" w:hAnsi="Times New Roman" w:cs="Times New Roman"/>
                <w:color w:val="000000"/>
                <w:sz w:val="13"/>
                <w:szCs w:val="13"/>
                <w:lang w:eastAsia="de-DE"/>
              </w:rPr>
              <w:fldChar w:fldCharType="begin"/>
            </w:r>
            <w:r w:rsidR="002153F8">
              <w:rPr>
                <w:rFonts w:ascii="Times New Roman" w:eastAsia="Times New Roman" w:hAnsi="Times New Roman" w:cs="Times New Roman"/>
                <w:color w:val="000000"/>
                <w:sz w:val="13"/>
                <w:szCs w:val="13"/>
                <w:lang w:eastAsia="de-DE"/>
              </w:rPr>
              <w:instrText xml:space="preserve"> ADDIN ZOTERO_ITEM CSL_CITATION {"citationID":"LHvO93ju","properties":{"formattedCitation":"\\super 51\\nosupersub{}","plainCitation":"51","noteIndex":0},"citationItems":[{"id":3269,"uris":["http://zotero.org/users/local/4rfnQu81/items/JKELK69K"],"uri":["http://zotero.org/users/local/4rfnQu81/items/JKELK69K"],"itemData":{"id":3269,"type":"article-journal","abstract":"OBJECTIVE To describe the clinical, laboratory, temporal, radiographic, and outcome features of acute Intracranial Hemorrhage (ICH) in COVID-19 patients. METHODS Retrospective, observational, consecutive case series of patients admitted with ICH to Maimonides Medical Center from March 1 through July 31, 2020, who had confirmed or highly suspected COVID-19. Demographic, clinical, laboratory, imaging, and outcome data were analyzed. ICH rates among all strokes were compared to the same time period in 2019 in two-week time intervals. Correlation of systolic blood pressure variability (SBPV) and neutrophil-to-lymphocyte ratio (NLR) to clinical outcomes were performed. RESULTS Of 324 patients who presented with stroke, 65 (20%) were diagnosed with non-traumatic ICH: 8 had confirmed and 3 had highly suspected COVID-19. Nine (82%) had at least one associated risk factor for ICH. Three ICHs occurred during inpatient anticoagulation. More than half (6) suffered either deep or cerebellar hemorrhages; only 2 were lobar hemorrhages. Two of 8 patients with severe pneumonia survived. During the NYC COVID-19 peak period in April, ICH comprised the highest percentage of all strokes (40%), and then steadily decreased week-after-week (p = 0.02). SBPV and NLR were moderately and weakly positively correlated to discharge modified Rankin Scale, respectively. CONCLUSIONS COVID-19 associated ICH is often associated with at least one known ICH risk factor and severe pneumonia. There was a suggestive relative surge in ICH among all stroke types during the first peak of the NYC pandemic. It is important to be vigilant of ICH as a possible and important manifestation of COVID-19.","container-title":"Journal of stroke and cerebrovascular diseases : the official journal of National Stroke Association","DOI":"10.1016/j.jstrokecerebrovasdis.2021.105603","ISSN":"1532-8511","issue":"4","note":"PMID: 33484980\nCitation Key: Mishra2021","page":"105603","title":"Intracranial Hemorrhage in COVID-19 Patients.","volume":"30","author":[{"family":"Mishra","given":"Sanskriti"},{"family":"Choueka","given":"Murray"},{"family":"Wang","given":"Qiang"},{"family":"Hu","given":"Chloe"},{"family":"Visone","given":"Stephanie"},{"family":"Silver","given":"Michael"},{"family":"Stein","given":"Evan G"},{"family":"Levine","given":"Steven R"},{"family":"Wang","given":"Qingliang T"}],"issued":{"date-parts":[["2021",4]]}}}],"schema":"https://github.com/citation-style-language/schema/raw/master/csl-citation.json"} </w:instrText>
            </w:r>
            <w:r w:rsidR="002153F8">
              <w:rPr>
                <w:rFonts w:ascii="Times New Roman" w:eastAsia="Times New Roman" w:hAnsi="Times New Roman" w:cs="Times New Roman"/>
                <w:color w:val="000000"/>
                <w:sz w:val="13"/>
                <w:szCs w:val="13"/>
                <w:lang w:eastAsia="de-DE"/>
              </w:rPr>
              <w:fldChar w:fldCharType="separate"/>
            </w:r>
            <w:r w:rsidR="002153F8" w:rsidRPr="002153F8">
              <w:rPr>
                <w:rFonts w:ascii="Times New Roman" w:hAnsi="Times New Roman" w:cs="Times New Roman"/>
                <w:color w:val="000000"/>
                <w:sz w:val="13"/>
                <w:vertAlign w:val="superscript"/>
                <w:lang w:val="de-DE"/>
              </w:rPr>
              <w:t>51</w:t>
            </w:r>
            <w:r w:rsidR="002153F8">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634F792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7AE7E2C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CF4A23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FFF3C3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DB5107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30</w:t>
            </w:r>
          </w:p>
        </w:tc>
        <w:tc>
          <w:tcPr>
            <w:tcW w:w="0" w:type="auto"/>
            <w:tcBorders>
              <w:top w:val="nil"/>
              <w:left w:val="nil"/>
              <w:bottom w:val="nil"/>
              <w:right w:val="nil"/>
            </w:tcBorders>
            <w:shd w:val="clear" w:color="auto" w:fill="auto"/>
            <w:vAlign w:val="center"/>
            <w:hideMark/>
          </w:tcPr>
          <w:p w14:paraId="6644CDC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7897993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ADCF2B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957874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DEDAF4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26ABDC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3FFDDC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9ECDF2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F38F72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76DE71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E47FE8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AFB72D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B71124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BD7BAF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E2B4E0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E5DF96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636A6F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9B0E9F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30C691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E2898A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67638D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06F134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042703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266FEB67" w14:textId="77777777" w:rsidTr="00C336CB">
        <w:trPr>
          <w:trHeight w:val="340"/>
        </w:trPr>
        <w:tc>
          <w:tcPr>
            <w:tcW w:w="0" w:type="auto"/>
            <w:tcBorders>
              <w:top w:val="nil"/>
              <w:left w:val="nil"/>
              <w:bottom w:val="nil"/>
              <w:right w:val="nil"/>
            </w:tcBorders>
            <w:shd w:val="clear" w:color="auto" w:fill="auto"/>
            <w:vAlign w:val="center"/>
            <w:hideMark/>
          </w:tcPr>
          <w:p w14:paraId="02EAB106" w14:textId="1A9D6139"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Mishra et al. </w:t>
            </w:r>
            <w:r w:rsidR="002153F8">
              <w:rPr>
                <w:rFonts w:ascii="Times New Roman" w:eastAsia="Times New Roman" w:hAnsi="Times New Roman" w:cs="Times New Roman"/>
                <w:color w:val="000000"/>
                <w:sz w:val="13"/>
                <w:szCs w:val="13"/>
                <w:lang w:eastAsia="de-DE"/>
              </w:rPr>
              <w:fldChar w:fldCharType="begin"/>
            </w:r>
            <w:r w:rsidR="002153F8">
              <w:rPr>
                <w:rFonts w:ascii="Times New Roman" w:eastAsia="Times New Roman" w:hAnsi="Times New Roman" w:cs="Times New Roman"/>
                <w:color w:val="000000"/>
                <w:sz w:val="13"/>
                <w:szCs w:val="13"/>
                <w:lang w:eastAsia="de-DE"/>
              </w:rPr>
              <w:instrText xml:space="preserve"> ADDIN ZOTERO_ITEM CSL_CITATION {"citationID":"Fyl6faNp","properties":{"formattedCitation":"\\super 51\\nosupersub{}","plainCitation":"51","noteIndex":0},"citationItems":[{"id":3269,"uris":["http://zotero.org/users/local/4rfnQu81/items/JKELK69K"],"uri":["http://zotero.org/users/local/4rfnQu81/items/JKELK69K"],"itemData":{"id":3269,"type":"article-journal","abstract":"OBJECTIVE To describe the clinical, laboratory, temporal, radiographic, and outcome features of acute Intracranial Hemorrhage (ICH) in COVID-19 patients. METHODS Retrospective, observational, consecutive case series of patients admitted with ICH to Maimonides Medical Center from March 1 through July 31, 2020, who had confirmed or highly suspected COVID-19. Demographic, clinical, laboratory, imaging, and outcome data were analyzed. ICH rates among all strokes were compared to the same time period in 2019 in two-week time intervals. Correlation of systolic blood pressure variability (SBPV) and neutrophil-to-lymphocyte ratio (NLR) to clinical outcomes were performed. RESULTS Of 324 patients who presented with stroke, 65 (20%) were diagnosed with non-traumatic ICH: 8 had confirmed and 3 had highly suspected COVID-19. Nine (82%) had at least one associated risk factor for ICH. Three ICHs occurred during inpatient anticoagulation. More than half (6) suffered either deep or cerebellar hemorrhages; only 2 were lobar hemorrhages. Two of 8 patients with severe pneumonia survived. During the NYC COVID-19 peak period in April, ICH comprised the highest percentage of all strokes (40%), and then steadily decreased week-after-week (p = 0.02). SBPV and NLR were moderately and weakly positively correlated to discharge modified Rankin Scale, respectively. CONCLUSIONS COVID-19 associated ICH is often associated with at least one known ICH risk factor and severe pneumonia. There was a suggestive relative surge in ICH among all stroke types during the first peak of the NYC pandemic. It is important to be vigilant of ICH as a possible and important manifestation of COVID-19.","container-title":"Journal of stroke and cerebrovascular diseases : the official journal of National Stroke Association","DOI":"10.1016/j.jstrokecerebrovasdis.2021.105603","ISSN":"1532-8511","issue":"4","note":"PMID: 33484980\nCitation Key: Mishra2021","page":"105603","title":"Intracranial Hemorrhage in COVID-19 Patients.","volume":"30","author":[{"family":"Mishra","given":"Sanskriti"},{"family":"Choueka","given":"Murray"},{"family":"Wang","given":"Qiang"},{"family":"Hu","given":"Chloe"},{"family":"Visone","given":"Stephanie"},{"family":"Silver","given":"Michael"},{"family":"Stein","given":"Evan G"},{"family":"Levine","given":"Steven R"},{"family":"Wang","given":"Qingliang T"}],"issued":{"date-parts":[["2021",4]]}}}],"schema":"https://github.com/citation-style-language/schema/raw/master/csl-citation.json"} </w:instrText>
            </w:r>
            <w:r w:rsidR="002153F8">
              <w:rPr>
                <w:rFonts w:ascii="Times New Roman" w:eastAsia="Times New Roman" w:hAnsi="Times New Roman" w:cs="Times New Roman"/>
                <w:color w:val="000000"/>
                <w:sz w:val="13"/>
                <w:szCs w:val="13"/>
                <w:lang w:eastAsia="de-DE"/>
              </w:rPr>
              <w:fldChar w:fldCharType="separate"/>
            </w:r>
            <w:r w:rsidR="002153F8" w:rsidRPr="002153F8">
              <w:rPr>
                <w:rFonts w:ascii="Times New Roman" w:hAnsi="Times New Roman" w:cs="Times New Roman"/>
                <w:color w:val="000000"/>
                <w:sz w:val="13"/>
                <w:vertAlign w:val="superscript"/>
                <w:lang w:val="de-DE"/>
              </w:rPr>
              <w:t>51</w:t>
            </w:r>
            <w:r w:rsidR="002153F8">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0095EF4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13091DD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FCA573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080430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3977CF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89</w:t>
            </w:r>
          </w:p>
        </w:tc>
        <w:tc>
          <w:tcPr>
            <w:tcW w:w="0" w:type="auto"/>
            <w:tcBorders>
              <w:top w:val="nil"/>
              <w:left w:val="nil"/>
              <w:bottom w:val="nil"/>
              <w:right w:val="nil"/>
            </w:tcBorders>
            <w:shd w:val="clear" w:color="auto" w:fill="auto"/>
            <w:vAlign w:val="center"/>
            <w:hideMark/>
          </w:tcPr>
          <w:p w14:paraId="65A1F67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1178C17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0A2DFB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36CBE5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DCE705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3B95D1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934921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0D4932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61E3E7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14F72B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FF17AC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DFFEE0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E5B2BD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AAD411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3A666A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1BD963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137E17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7D1824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B7EB0E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65698F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336206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E85FAD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4F5DC4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02CD8D26" w14:textId="77777777" w:rsidTr="00C336CB">
        <w:trPr>
          <w:trHeight w:val="340"/>
        </w:trPr>
        <w:tc>
          <w:tcPr>
            <w:tcW w:w="0" w:type="auto"/>
            <w:tcBorders>
              <w:top w:val="nil"/>
              <w:left w:val="nil"/>
              <w:bottom w:val="nil"/>
              <w:right w:val="nil"/>
            </w:tcBorders>
            <w:shd w:val="clear" w:color="auto" w:fill="auto"/>
            <w:vAlign w:val="center"/>
            <w:hideMark/>
          </w:tcPr>
          <w:p w14:paraId="2EA685A4" w14:textId="1DF0F883"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lastRenderedPageBreak/>
              <w:t xml:space="preserve">Mishra et al. </w:t>
            </w:r>
            <w:r w:rsidR="002153F8">
              <w:rPr>
                <w:rFonts w:ascii="Times New Roman" w:eastAsia="Times New Roman" w:hAnsi="Times New Roman" w:cs="Times New Roman"/>
                <w:color w:val="000000"/>
                <w:sz w:val="13"/>
                <w:szCs w:val="13"/>
                <w:lang w:eastAsia="de-DE"/>
              </w:rPr>
              <w:fldChar w:fldCharType="begin"/>
            </w:r>
            <w:r w:rsidR="002153F8">
              <w:rPr>
                <w:rFonts w:ascii="Times New Roman" w:eastAsia="Times New Roman" w:hAnsi="Times New Roman" w:cs="Times New Roman"/>
                <w:color w:val="000000"/>
                <w:sz w:val="13"/>
                <w:szCs w:val="13"/>
                <w:lang w:eastAsia="de-DE"/>
              </w:rPr>
              <w:instrText xml:space="preserve"> ADDIN ZOTERO_ITEM CSL_CITATION {"citationID":"kpDoCEWZ","properties":{"formattedCitation":"\\super 51\\nosupersub{}","plainCitation":"51","noteIndex":0},"citationItems":[{"id":3269,"uris":["http://zotero.org/users/local/4rfnQu81/items/JKELK69K"],"uri":["http://zotero.org/users/local/4rfnQu81/items/JKELK69K"],"itemData":{"id":3269,"type":"article-journal","abstract":"OBJECTIVE To describe the clinical, laboratory, temporal, radiographic, and outcome features of acute Intracranial Hemorrhage (ICH) in COVID-19 patients. METHODS Retrospective, observational, consecutive case series of patients admitted with ICH to Maimonides Medical Center from March 1 through July 31, 2020, who had confirmed or highly suspected COVID-19. Demographic, clinical, laboratory, imaging, and outcome data were analyzed. ICH rates among all strokes were compared to the same time period in 2019 in two-week time intervals. Correlation of systolic blood pressure variability (SBPV) and neutrophil-to-lymphocyte ratio (NLR) to clinical outcomes were performed. RESULTS Of 324 patients who presented with stroke, 65 (20%) were diagnosed with non-traumatic ICH: 8 had confirmed and 3 had highly suspected COVID-19. Nine (82%) had at least one associated risk factor for ICH. Three ICHs occurred during inpatient anticoagulation. More than half (6) suffered either deep or cerebellar hemorrhages; only 2 were lobar hemorrhages. Two of 8 patients with severe pneumonia survived. During the NYC COVID-19 peak period in April, ICH comprised the highest percentage of all strokes (40%), and then steadily decreased week-after-week (p = 0.02). SBPV and NLR were moderately and weakly positively correlated to discharge modified Rankin Scale, respectively. CONCLUSIONS COVID-19 associated ICH is often associated with at least one known ICH risk factor and severe pneumonia. There was a suggestive relative surge in ICH among all stroke types during the first peak of the NYC pandemic. It is important to be vigilant of ICH as a possible and important manifestation of COVID-19.","container-title":"Journal of stroke and cerebrovascular diseases : the official journal of National Stroke Association","DOI":"10.1016/j.jstrokecerebrovasdis.2021.105603","ISSN":"1532-8511","issue":"4","note":"PMID: 33484980\nCitation Key: Mishra2021","page":"105603","title":"Intracranial Hemorrhage in COVID-19 Patients.","volume":"30","author":[{"family":"Mishra","given":"Sanskriti"},{"family":"Choueka","given":"Murray"},{"family":"Wang","given":"Qiang"},{"family":"Hu","given":"Chloe"},{"family":"Visone","given":"Stephanie"},{"family":"Silver","given":"Michael"},{"family":"Stein","given":"Evan G"},{"family":"Levine","given":"Steven R"},{"family":"Wang","given":"Qingliang T"}],"issued":{"date-parts":[["2021",4]]}}}],"schema":"https://github.com/citation-style-language/schema/raw/master/csl-citation.json"} </w:instrText>
            </w:r>
            <w:r w:rsidR="002153F8">
              <w:rPr>
                <w:rFonts w:ascii="Times New Roman" w:eastAsia="Times New Roman" w:hAnsi="Times New Roman" w:cs="Times New Roman"/>
                <w:color w:val="000000"/>
                <w:sz w:val="13"/>
                <w:szCs w:val="13"/>
                <w:lang w:eastAsia="de-DE"/>
              </w:rPr>
              <w:fldChar w:fldCharType="separate"/>
            </w:r>
            <w:r w:rsidR="002153F8" w:rsidRPr="002153F8">
              <w:rPr>
                <w:rFonts w:ascii="Times New Roman" w:hAnsi="Times New Roman" w:cs="Times New Roman"/>
                <w:color w:val="000000"/>
                <w:sz w:val="13"/>
                <w:vertAlign w:val="superscript"/>
                <w:lang w:val="de-DE"/>
              </w:rPr>
              <w:t>51</w:t>
            </w:r>
            <w:r w:rsidR="002153F8">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4561B96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5112493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58F573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7118E1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785735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66</w:t>
            </w:r>
          </w:p>
        </w:tc>
        <w:tc>
          <w:tcPr>
            <w:tcW w:w="0" w:type="auto"/>
            <w:tcBorders>
              <w:top w:val="nil"/>
              <w:left w:val="nil"/>
              <w:bottom w:val="nil"/>
              <w:right w:val="nil"/>
            </w:tcBorders>
            <w:shd w:val="clear" w:color="auto" w:fill="auto"/>
            <w:vAlign w:val="center"/>
            <w:hideMark/>
          </w:tcPr>
          <w:p w14:paraId="05A64F5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583E465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81D8F5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110A94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73A531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391AA4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63F918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FBFF44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20A9BF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C0DFC3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F92A24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76849C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6E2EB7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A6F6F4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00D8C4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2CA64B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985B44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9625A7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D3664E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ACA80B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5B88AF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3B86FE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5A933D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54B24B41" w14:textId="77777777" w:rsidTr="00C336CB">
        <w:trPr>
          <w:trHeight w:val="340"/>
        </w:trPr>
        <w:tc>
          <w:tcPr>
            <w:tcW w:w="0" w:type="auto"/>
            <w:tcBorders>
              <w:top w:val="nil"/>
              <w:left w:val="nil"/>
              <w:bottom w:val="nil"/>
              <w:right w:val="nil"/>
            </w:tcBorders>
            <w:shd w:val="clear" w:color="auto" w:fill="auto"/>
            <w:vAlign w:val="center"/>
            <w:hideMark/>
          </w:tcPr>
          <w:p w14:paraId="22AC949E" w14:textId="6AE2B3FA"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Mishra et al. </w:t>
            </w:r>
            <w:r w:rsidR="002153F8">
              <w:rPr>
                <w:rFonts w:ascii="Times New Roman" w:eastAsia="Times New Roman" w:hAnsi="Times New Roman" w:cs="Times New Roman"/>
                <w:color w:val="000000"/>
                <w:sz w:val="13"/>
                <w:szCs w:val="13"/>
                <w:lang w:eastAsia="de-DE"/>
              </w:rPr>
              <w:fldChar w:fldCharType="begin"/>
            </w:r>
            <w:r w:rsidR="002153F8">
              <w:rPr>
                <w:rFonts w:ascii="Times New Roman" w:eastAsia="Times New Roman" w:hAnsi="Times New Roman" w:cs="Times New Roman"/>
                <w:color w:val="000000"/>
                <w:sz w:val="13"/>
                <w:szCs w:val="13"/>
                <w:lang w:eastAsia="de-DE"/>
              </w:rPr>
              <w:instrText xml:space="preserve"> ADDIN ZOTERO_ITEM CSL_CITATION {"citationID":"8NNij283","properties":{"formattedCitation":"\\super 51\\nosupersub{}","plainCitation":"51","noteIndex":0},"citationItems":[{"id":3269,"uris":["http://zotero.org/users/local/4rfnQu81/items/JKELK69K"],"uri":["http://zotero.org/users/local/4rfnQu81/items/JKELK69K"],"itemData":{"id":3269,"type":"article-journal","abstract":"OBJECTIVE To describe the clinical, laboratory, temporal, radiographic, and outcome features of acute Intracranial Hemorrhage (ICH) in COVID-19 patients. METHODS Retrospective, observational, consecutive case series of patients admitted with ICH to Maimonides Medical Center from March 1 through July 31, 2020, who had confirmed or highly suspected COVID-19. Demographic, clinical, laboratory, imaging, and outcome data were analyzed. ICH rates among all strokes were compared to the same time period in 2019 in two-week time intervals. Correlation of systolic blood pressure variability (SBPV) and neutrophil-to-lymphocyte ratio (NLR) to clinical outcomes were performed. RESULTS Of 324 patients who presented with stroke, 65 (20%) were diagnosed with non-traumatic ICH: 8 had confirmed and 3 had highly suspected COVID-19. Nine (82%) had at least one associated risk factor for ICH. Three ICHs occurred during inpatient anticoagulation. More than half (6) suffered either deep or cerebellar hemorrhages; only 2 were lobar hemorrhages. Two of 8 patients with severe pneumonia survived. During the NYC COVID-19 peak period in April, ICH comprised the highest percentage of all strokes (40%), and then steadily decreased week-after-week (p = 0.02). SBPV and NLR were moderately and weakly positively correlated to discharge modified Rankin Scale, respectively. CONCLUSIONS COVID-19 associated ICH is often associated with at least one known ICH risk factor and severe pneumonia. There was a suggestive relative surge in ICH among all stroke types during the first peak of the NYC pandemic. It is important to be vigilant of ICH as a possible and important manifestation of COVID-19.","container-title":"Journal of stroke and cerebrovascular diseases : the official journal of National Stroke Association","DOI":"10.1016/j.jstrokecerebrovasdis.2021.105603","ISSN":"1532-8511","issue":"4","note":"PMID: 33484980\nCitation Key: Mishra2021","page":"105603","title":"Intracranial Hemorrhage in COVID-19 Patients.","volume":"30","author":[{"family":"Mishra","given":"Sanskriti"},{"family":"Choueka","given":"Murray"},{"family":"Wang","given":"Qiang"},{"family":"Hu","given":"Chloe"},{"family":"Visone","given":"Stephanie"},{"family":"Silver","given":"Michael"},{"family":"Stein","given":"Evan G"},{"family":"Levine","given":"Steven R"},{"family":"Wang","given":"Qingliang T"}],"issued":{"date-parts":[["2021",4]]}}}],"schema":"https://github.com/citation-style-language/schema/raw/master/csl-citation.json"} </w:instrText>
            </w:r>
            <w:r w:rsidR="002153F8">
              <w:rPr>
                <w:rFonts w:ascii="Times New Roman" w:eastAsia="Times New Roman" w:hAnsi="Times New Roman" w:cs="Times New Roman"/>
                <w:color w:val="000000"/>
                <w:sz w:val="13"/>
                <w:szCs w:val="13"/>
                <w:lang w:eastAsia="de-DE"/>
              </w:rPr>
              <w:fldChar w:fldCharType="separate"/>
            </w:r>
            <w:r w:rsidR="002153F8" w:rsidRPr="002153F8">
              <w:rPr>
                <w:rFonts w:ascii="Times New Roman" w:hAnsi="Times New Roman" w:cs="Times New Roman"/>
                <w:color w:val="000000"/>
                <w:sz w:val="13"/>
                <w:vertAlign w:val="superscript"/>
                <w:lang w:val="de-DE"/>
              </w:rPr>
              <w:t>51</w:t>
            </w:r>
            <w:r w:rsidR="002153F8">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51CE328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6E74B68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E8AA12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754F57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15994B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89</w:t>
            </w:r>
          </w:p>
        </w:tc>
        <w:tc>
          <w:tcPr>
            <w:tcW w:w="0" w:type="auto"/>
            <w:tcBorders>
              <w:top w:val="nil"/>
              <w:left w:val="nil"/>
              <w:bottom w:val="nil"/>
              <w:right w:val="nil"/>
            </w:tcBorders>
            <w:shd w:val="clear" w:color="auto" w:fill="auto"/>
            <w:vAlign w:val="center"/>
            <w:hideMark/>
          </w:tcPr>
          <w:p w14:paraId="34AB439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294BDAA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E1035B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EE9DA1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C61778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234677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F71204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1EF656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8113F8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8BF49E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D83FD2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B93F59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641B10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131D14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F3597C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60CC68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328C79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E7EB01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D357AC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7B509A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73F226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C17BD1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5BEA00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544C6AFE" w14:textId="77777777" w:rsidTr="00C336CB">
        <w:trPr>
          <w:trHeight w:val="340"/>
        </w:trPr>
        <w:tc>
          <w:tcPr>
            <w:tcW w:w="0" w:type="auto"/>
            <w:tcBorders>
              <w:top w:val="nil"/>
              <w:left w:val="nil"/>
              <w:bottom w:val="nil"/>
              <w:right w:val="nil"/>
            </w:tcBorders>
            <w:shd w:val="clear" w:color="auto" w:fill="auto"/>
            <w:vAlign w:val="center"/>
            <w:hideMark/>
          </w:tcPr>
          <w:p w14:paraId="56FDD51A" w14:textId="53FC8D1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Mishra et al. </w:t>
            </w:r>
            <w:r w:rsidR="002153F8">
              <w:rPr>
                <w:rFonts w:ascii="Times New Roman" w:eastAsia="Times New Roman" w:hAnsi="Times New Roman" w:cs="Times New Roman"/>
                <w:color w:val="000000"/>
                <w:sz w:val="13"/>
                <w:szCs w:val="13"/>
                <w:lang w:eastAsia="de-DE"/>
              </w:rPr>
              <w:fldChar w:fldCharType="begin"/>
            </w:r>
            <w:r w:rsidR="002153F8">
              <w:rPr>
                <w:rFonts w:ascii="Times New Roman" w:eastAsia="Times New Roman" w:hAnsi="Times New Roman" w:cs="Times New Roman"/>
                <w:color w:val="000000"/>
                <w:sz w:val="13"/>
                <w:szCs w:val="13"/>
                <w:lang w:eastAsia="de-DE"/>
              </w:rPr>
              <w:instrText xml:space="preserve"> ADDIN ZOTERO_ITEM CSL_CITATION {"citationID":"3hKNMLRt","properties":{"formattedCitation":"\\super 51\\nosupersub{}","plainCitation":"51","noteIndex":0},"citationItems":[{"id":3269,"uris":["http://zotero.org/users/local/4rfnQu81/items/JKELK69K"],"uri":["http://zotero.org/users/local/4rfnQu81/items/JKELK69K"],"itemData":{"id":3269,"type":"article-journal","abstract":"OBJECTIVE To describe the clinical, laboratory, temporal, radiographic, and outcome features of acute Intracranial Hemorrhage (ICH) in COVID-19 patients. METHODS Retrospective, observational, consecutive case series of patients admitted with ICH to Maimonides Medical Center from March 1 through July 31, 2020, who had confirmed or highly suspected COVID-19. Demographic, clinical, laboratory, imaging, and outcome data were analyzed. ICH rates among all strokes were compared to the same time period in 2019 in two-week time intervals. Correlation of systolic blood pressure variability (SBPV) and neutrophil-to-lymphocyte ratio (NLR) to clinical outcomes were performed. RESULTS Of 324 patients who presented with stroke, 65 (20%) were diagnosed with non-traumatic ICH: 8 had confirmed and 3 had highly suspected COVID-19. Nine (82%) had at least one associated risk factor for ICH. Three ICHs occurred during inpatient anticoagulation. More than half (6) suffered either deep or cerebellar hemorrhages; only 2 were lobar hemorrhages. Two of 8 patients with severe pneumonia survived. During the NYC COVID-19 peak period in April, ICH comprised the highest percentage of all strokes (40%), and then steadily decreased week-after-week (p = 0.02). SBPV and NLR were moderately and weakly positively correlated to discharge modified Rankin Scale, respectively. CONCLUSIONS COVID-19 associated ICH is often associated with at least one known ICH risk factor and severe pneumonia. There was a suggestive relative surge in ICH among all stroke types during the first peak of the NYC pandemic. It is important to be vigilant of ICH as a possible and important manifestation of COVID-19.","container-title":"Journal of stroke and cerebrovascular diseases : the official journal of National Stroke Association","DOI":"10.1016/j.jstrokecerebrovasdis.2021.105603","ISSN":"1532-8511","issue":"4","note":"PMID: 33484980\nCitation Key: Mishra2021","page":"105603","title":"Intracranial Hemorrhage in COVID-19 Patients.","volume":"30","author":[{"family":"Mishra","given":"Sanskriti"},{"family":"Choueka","given":"Murray"},{"family":"Wang","given":"Qiang"},{"family":"Hu","given":"Chloe"},{"family":"Visone","given":"Stephanie"},{"family":"Silver","given":"Michael"},{"family":"Stein","given":"Evan G"},{"family":"Levine","given":"Steven R"},{"family":"Wang","given":"Qingliang T"}],"issued":{"date-parts":[["2021",4]]}}}],"schema":"https://github.com/citation-style-language/schema/raw/master/csl-citation.json"} </w:instrText>
            </w:r>
            <w:r w:rsidR="002153F8">
              <w:rPr>
                <w:rFonts w:ascii="Times New Roman" w:eastAsia="Times New Roman" w:hAnsi="Times New Roman" w:cs="Times New Roman"/>
                <w:color w:val="000000"/>
                <w:sz w:val="13"/>
                <w:szCs w:val="13"/>
                <w:lang w:eastAsia="de-DE"/>
              </w:rPr>
              <w:fldChar w:fldCharType="separate"/>
            </w:r>
            <w:r w:rsidR="002153F8" w:rsidRPr="002153F8">
              <w:rPr>
                <w:rFonts w:ascii="Times New Roman" w:hAnsi="Times New Roman" w:cs="Times New Roman"/>
                <w:color w:val="000000"/>
                <w:sz w:val="13"/>
                <w:vertAlign w:val="superscript"/>
                <w:lang w:val="de-DE"/>
              </w:rPr>
              <w:t>51</w:t>
            </w:r>
            <w:r w:rsidR="002153F8">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62E5342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0E0E1FE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4EEB683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809EAC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F7FFA1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69</w:t>
            </w:r>
          </w:p>
        </w:tc>
        <w:tc>
          <w:tcPr>
            <w:tcW w:w="0" w:type="auto"/>
            <w:tcBorders>
              <w:top w:val="nil"/>
              <w:left w:val="nil"/>
              <w:bottom w:val="nil"/>
              <w:right w:val="nil"/>
            </w:tcBorders>
            <w:shd w:val="clear" w:color="auto" w:fill="auto"/>
            <w:vAlign w:val="center"/>
            <w:hideMark/>
          </w:tcPr>
          <w:p w14:paraId="1BA9B6C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58D6686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46F3AE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A32F4A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FE06A8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F62CDC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C7D08F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3CD8BA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F7347D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49778C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200CE7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3FEA91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BA8BD3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37041E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49DCB2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486AD5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DB5DD1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4EEC0E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66BFF3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82AC6E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C1CA72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244DE2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70B625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33D47A66" w14:textId="77777777" w:rsidTr="00C336CB">
        <w:trPr>
          <w:trHeight w:val="340"/>
        </w:trPr>
        <w:tc>
          <w:tcPr>
            <w:tcW w:w="0" w:type="auto"/>
            <w:tcBorders>
              <w:top w:val="nil"/>
              <w:left w:val="nil"/>
              <w:bottom w:val="nil"/>
              <w:right w:val="nil"/>
            </w:tcBorders>
            <w:shd w:val="clear" w:color="auto" w:fill="auto"/>
            <w:vAlign w:val="center"/>
            <w:hideMark/>
          </w:tcPr>
          <w:p w14:paraId="12B186CA" w14:textId="64F95B03"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Mishra et al. </w:t>
            </w:r>
            <w:r w:rsidR="002153F8">
              <w:rPr>
                <w:rFonts w:ascii="Times New Roman" w:eastAsia="Times New Roman" w:hAnsi="Times New Roman" w:cs="Times New Roman"/>
                <w:color w:val="000000"/>
                <w:sz w:val="13"/>
                <w:szCs w:val="13"/>
                <w:lang w:eastAsia="de-DE"/>
              </w:rPr>
              <w:fldChar w:fldCharType="begin"/>
            </w:r>
            <w:r w:rsidR="002153F8">
              <w:rPr>
                <w:rFonts w:ascii="Times New Roman" w:eastAsia="Times New Roman" w:hAnsi="Times New Roman" w:cs="Times New Roman"/>
                <w:color w:val="000000"/>
                <w:sz w:val="13"/>
                <w:szCs w:val="13"/>
                <w:lang w:eastAsia="de-DE"/>
              </w:rPr>
              <w:instrText xml:space="preserve"> ADDIN ZOTERO_ITEM CSL_CITATION {"citationID":"4Qmaund4","properties":{"formattedCitation":"\\super 51\\nosupersub{}","plainCitation":"51","noteIndex":0},"citationItems":[{"id":3269,"uris":["http://zotero.org/users/local/4rfnQu81/items/JKELK69K"],"uri":["http://zotero.org/users/local/4rfnQu81/items/JKELK69K"],"itemData":{"id":3269,"type":"article-journal","abstract":"OBJECTIVE To describe the clinical, laboratory, temporal, radiographic, and outcome features of acute Intracranial Hemorrhage (ICH) in COVID-19 patients. METHODS Retrospective, observational, consecutive case series of patients admitted with ICH to Maimonides Medical Center from March 1 through July 31, 2020, who had confirmed or highly suspected COVID-19. Demographic, clinical, laboratory, imaging, and outcome data were analyzed. ICH rates among all strokes were compared to the same time period in 2019 in two-week time intervals. Correlation of systolic blood pressure variability (SBPV) and neutrophil-to-lymphocyte ratio (NLR) to clinical outcomes were performed. RESULTS Of 324 patients who presented with stroke, 65 (20%) were diagnosed with non-traumatic ICH: 8 had confirmed and 3 had highly suspected COVID-19. Nine (82%) had at least one associated risk factor for ICH. Three ICHs occurred during inpatient anticoagulation. More than half (6) suffered either deep or cerebellar hemorrhages; only 2 were lobar hemorrhages. Two of 8 patients with severe pneumonia survived. During the NYC COVID-19 peak period in April, ICH comprised the highest percentage of all strokes (40%), and then steadily decreased week-after-week (p = 0.02). SBPV and NLR were moderately and weakly positively correlated to discharge modified Rankin Scale, respectively. CONCLUSIONS COVID-19 associated ICH is often associated with at least one known ICH risk factor and severe pneumonia. There was a suggestive relative surge in ICH among all stroke types during the first peak of the NYC pandemic. It is important to be vigilant of ICH as a possible and important manifestation of COVID-19.","container-title":"Journal of stroke and cerebrovascular diseases : the official journal of National Stroke Association","DOI":"10.1016/j.jstrokecerebrovasdis.2021.105603","ISSN":"1532-8511","issue":"4","note":"PMID: 33484980\nCitation Key: Mishra2021","page":"105603","title":"Intracranial Hemorrhage in COVID-19 Patients.","volume":"30","author":[{"family":"Mishra","given":"Sanskriti"},{"family":"Choueka","given":"Murray"},{"family":"Wang","given":"Qiang"},{"family":"Hu","given":"Chloe"},{"family":"Visone","given":"Stephanie"},{"family":"Silver","given":"Michael"},{"family":"Stein","given":"Evan G"},{"family":"Levine","given":"Steven R"},{"family":"Wang","given":"Qingliang T"}],"issued":{"date-parts":[["2021",4]]}}}],"schema":"https://github.com/citation-style-language/schema/raw/master/csl-citation.json"} </w:instrText>
            </w:r>
            <w:r w:rsidR="002153F8">
              <w:rPr>
                <w:rFonts w:ascii="Times New Roman" w:eastAsia="Times New Roman" w:hAnsi="Times New Roman" w:cs="Times New Roman"/>
                <w:color w:val="000000"/>
                <w:sz w:val="13"/>
                <w:szCs w:val="13"/>
                <w:lang w:eastAsia="de-DE"/>
              </w:rPr>
              <w:fldChar w:fldCharType="separate"/>
            </w:r>
            <w:r w:rsidR="002153F8" w:rsidRPr="002153F8">
              <w:rPr>
                <w:rFonts w:ascii="Times New Roman" w:hAnsi="Times New Roman" w:cs="Times New Roman"/>
                <w:color w:val="000000"/>
                <w:sz w:val="13"/>
                <w:vertAlign w:val="superscript"/>
                <w:lang w:val="de-DE"/>
              </w:rPr>
              <w:t>51</w:t>
            </w:r>
            <w:r w:rsidR="002153F8">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3F8CB82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148219B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E21885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778BCB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DED628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83</w:t>
            </w:r>
          </w:p>
        </w:tc>
        <w:tc>
          <w:tcPr>
            <w:tcW w:w="0" w:type="auto"/>
            <w:tcBorders>
              <w:top w:val="nil"/>
              <w:left w:val="nil"/>
              <w:bottom w:val="nil"/>
              <w:right w:val="nil"/>
            </w:tcBorders>
            <w:shd w:val="clear" w:color="auto" w:fill="auto"/>
            <w:vAlign w:val="center"/>
            <w:hideMark/>
          </w:tcPr>
          <w:p w14:paraId="16EA5E1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3827777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D1FAA8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2DF19F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3F4401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C4CB6D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60FE85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B514A5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89CD0C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3033E7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E80F82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4BDF47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6579D4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A3A24F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3A8954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572DF0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2E3693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94809A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BA6CE4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944D47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096813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8E7DB1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1CDFA5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34F31A3E" w14:textId="77777777" w:rsidTr="00C336CB">
        <w:trPr>
          <w:trHeight w:val="340"/>
        </w:trPr>
        <w:tc>
          <w:tcPr>
            <w:tcW w:w="0" w:type="auto"/>
            <w:tcBorders>
              <w:top w:val="nil"/>
              <w:left w:val="nil"/>
              <w:bottom w:val="nil"/>
              <w:right w:val="nil"/>
            </w:tcBorders>
            <w:shd w:val="clear" w:color="auto" w:fill="auto"/>
            <w:vAlign w:val="center"/>
            <w:hideMark/>
          </w:tcPr>
          <w:p w14:paraId="79687591" w14:textId="3E72D250"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Mishra et al. </w:t>
            </w:r>
            <w:r w:rsidR="002153F8">
              <w:rPr>
                <w:rFonts w:ascii="Times New Roman" w:eastAsia="Times New Roman" w:hAnsi="Times New Roman" w:cs="Times New Roman"/>
                <w:color w:val="000000"/>
                <w:sz w:val="13"/>
                <w:szCs w:val="13"/>
                <w:lang w:eastAsia="de-DE"/>
              </w:rPr>
              <w:fldChar w:fldCharType="begin"/>
            </w:r>
            <w:r w:rsidR="002153F8">
              <w:rPr>
                <w:rFonts w:ascii="Times New Roman" w:eastAsia="Times New Roman" w:hAnsi="Times New Roman" w:cs="Times New Roman"/>
                <w:color w:val="000000"/>
                <w:sz w:val="13"/>
                <w:szCs w:val="13"/>
                <w:lang w:eastAsia="de-DE"/>
              </w:rPr>
              <w:instrText xml:space="preserve"> ADDIN ZOTERO_ITEM CSL_CITATION {"citationID":"84sbqJor","properties":{"formattedCitation":"\\super 51\\nosupersub{}","plainCitation":"51","noteIndex":0},"citationItems":[{"id":3269,"uris":["http://zotero.org/users/local/4rfnQu81/items/JKELK69K"],"uri":["http://zotero.org/users/local/4rfnQu81/items/JKELK69K"],"itemData":{"id":3269,"type":"article-journal","abstract":"OBJECTIVE To describe the clinical, laboratory, temporal, radiographic, and outcome features of acute Intracranial Hemorrhage (ICH) in COVID-19 patients. METHODS Retrospective, observational, consecutive case series of patients admitted with ICH to Maimonides Medical Center from March 1 through July 31, 2020, who had confirmed or highly suspected COVID-19. Demographic, clinical, laboratory, imaging, and outcome data were analyzed. ICH rates among all strokes were compared to the same time period in 2019 in two-week time intervals. Correlation of systolic blood pressure variability (SBPV) and neutrophil-to-lymphocyte ratio (NLR) to clinical outcomes were performed. RESULTS Of 324 patients who presented with stroke, 65 (20%) were diagnosed with non-traumatic ICH: 8 had confirmed and 3 had highly suspected COVID-19. Nine (82%) had at least one associated risk factor for ICH. Three ICHs occurred during inpatient anticoagulation. More than half (6) suffered either deep or cerebellar hemorrhages; only 2 were lobar hemorrhages. Two of 8 patients with severe pneumonia survived. During the NYC COVID-19 peak period in April, ICH comprised the highest percentage of all strokes (40%), and then steadily decreased week-after-week (p = 0.02). SBPV and NLR were moderately and weakly positively correlated to discharge modified Rankin Scale, respectively. CONCLUSIONS COVID-19 associated ICH is often associated with at least one known ICH risk factor and severe pneumonia. There was a suggestive relative surge in ICH among all stroke types during the first peak of the NYC pandemic. It is important to be vigilant of ICH as a possible and important manifestation of COVID-19.","container-title":"Journal of stroke and cerebrovascular diseases : the official journal of National Stroke Association","DOI":"10.1016/j.jstrokecerebrovasdis.2021.105603","ISSN":"1532-8511","issue":"4","note":"PMID: 33484980\nCitation Key: Mishra2021","page":"105603","title":"Intracranial Hemorrhage in COVID-19 Patients.","volume":"30","author":[{"family":"Mishra","given":"Sanskriti"},{"family":"Choueka","given":"Murray"},{"family":"Wang","given":"Qiang"},{"family":"Hu","given":"Chloe"},{"family":"Visone","given":"Stephanie"},{"family":"Silver","given":"Michael"},{"family":"Stein","given":"Evan G"},{"family":"Levine","given":"Steven R"},{"family":"Wang","given":"Qingliang T"}],"issued":{"date-parts":[["2021",4]]}}}],"schema":"https://github.com/citation-style-language/schema/raw/master/csl-citation.json"} </w:instrText>
            </w:r>
            <w:r w:rsidR="002153F8">
              <w:rPr>
                <w:rFonts w:ascii="Times New Roman" w:eastAsia="Times New Roman" w:hAnsi="Times New Roman" w:cs="Times New Roman"/>
                <w:color w:val="000000"/>
                <w:sz w:val="13"/>
                <w:szCs w:val="13"/>
                <w:lang w:eastAsia="de-DE"/>
              </w:rPr>
              <w:fldChar w:fldCharType="separate"/>
            </w:r>
            <w:r w:rsidR="002153F8" w:rsidRPr="002153F8">
              <w:rPr>
                <w:rFonts w:ascii="Times New Roman" w:hAnsi="Times New Roman" w:cs="Times New Roman"/>
                <w:color w:val="000000"/>
                <w:sz w:val="13"/>
                <w:vertAlign w:val="superscript"/>
                <w:lang w:val="de-DE"/>
              </w:rPr>
              <w:t>51</w:t>
            </w:r>
            <w:r w:rsidR="002153F8">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377325B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577A1EC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2FB1DC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6B1DCD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073036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70</w:t>
            </w:r>
          </w:p>
        </w:tc>
        <w:tc>
          <w:tcPr>
            <w:tcW w:w="0" w:type="auto"/>
            <w:tcBorders>
              <w:top w:val="nil"/>
              <w:left w:val="nil"/>
              <w:bottom w:val="nil"/>
              <w:right w:val="nil"/>
            </w:tcBorders>
            <w:shd w:val="clear" w:color="auto" w:fill="auto"/>
            <w:vAlign w:val="center"/>
            <w:hideMark/>
          </w:tcPr>
          <w:p w14:paraId="7755327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1A7D1E9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D0ABB4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FBE7BE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9A3940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3736F5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E844F4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4E2206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200C49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28293C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66CC2C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578A1E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FE73C4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500868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036946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8E7404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A98D07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382FAD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2DDE32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55EEE0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5DDA31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2C6641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FFAFC8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44DA595E" w14:textId="77777777" w:rsidTr="00C336CB">
        <w:trPr>
          <w:trHeight w:val="340"/>
        </w:trPr>
        <w:tc>
          <w:tcPr>
            <w:tcW w:w="0" w:type="auto"/>
            <w:tcBorders>
              <w:top w:val="nil"/>
              <w:left w:val="nil"/>
              <w:bottom w:val="nil"/>
              <w:right w:val="nil"/>
            </w:tcBorders>
            <w:shd w:val="clear" w:color="auto" w:fill="auto"/>
            <w:vAlign w:val="center"/>
            <w:hideMark/>
          </w:tcPr>
          <w:p w14:paraId="6D427BFC" w14:textId="66E0BAA8"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Mishra et al. </w:t>
            </w:r>
            <w:r w:rsidR="002153F8">
              <w:rPr>
                <w:rFonts w:ascii="Times New Roman" w:eastAsia="Times New Roman" w:hAnsi="Times New Roman" w:cs="Times New Roman"/>
                <w:color w:val="000000"/>
                <w:sz w:val="13"/>
                <w:szCs w:val="13"/>
                <w:lang w:eastAsia="de-DE"/>
              </w:rPr>
              <w:fldChar w:fldCharType="begin"/>
            </w:r>
            <w:r w:rsidR="002153F8">
              <w:rPr>
                <w:rFonts w:ascii="Times New Roman" w:eastAsia="Times New Roman" w:hAnsi="Times New Roman" w:cs="Times New Roman"/>
                <w:color w:val="000000"/>
                <w:sz w:val="13"/>
                <w:szCs w:val="13"/>
                <w:lang w:eastAsia="de-DE"/>
              </w:rPr>
              <w:instrText xml:space="preserve"> ADDIN ZOTERO_ITEM CSL_CITATION {"citationID":"IKMYR5SP","properties":{"formattedCitation":"\\super 51\\nosupersub{}","plainCitation":"51","noteIndex":0},"citationItems":[{"id":3269,"uris":["http://zotero.org/users/local/4rfnQu81/items/JKELK69K"],"uri":["http://zotero.org/users/local/4rfnQu81/items/JKELK69K"],"itemData":{"id":3269,"type":"article-journal","abstract":"OBJECTIVE To describe the clinical, laboratory, temporal, radiographic, and outcome features of acute Intracranial Hemorrhage (ICH) in COVID-19 patients. METHODS Retrospective, observational, consecutive case series of patients admitted with ICH to Maimonides Medical Center from March 1 through July 31, 2020, who had confirmed or highly suspected COVID-19. Demographic, clinical, laboratory, imaging, and outcome data were analyzed. ICH rates among all strokes were compared to the same time period in 2019 in two-week time intervals. Correlation of systolic blood pressure variability (SBPV) and neutrophil-to-lymphocyte ratio (NLR) to clinical outcomes were performed. RESULTS Of 324 patients who presented with stroke, 65 (20%) were diagnosed with non-traumatic ICH: 8 had confirmed and 3 had highly suspected COVID-19. Nine (82%) had at least one associated risk factor for ICH. Three ICHs occurred during inpatient anticoagulation. More than half (6) suffered either deep or cerebellar hemorrhages; only 2 were lobar hemorrhages. Two of 8 patients with severe pneumonia survived. During the NYC COVID-19 peak period in April, ICH comprised the highest percentage of all strokes (40%), and then steadily decreased week-after-week (p = 0.02). SBPV and NLR were moderately and weakly positively correlated to discharge modified Rankin Scale, respectively. CONCLUSIONS COVID-19 associated ICH is often associated with at least one known ICH risk factor and severe pneumonia. There was a suggestive relative surge in ICH among all stroke types during the first peak of the NYC pandemic. It is important to be vigilant of ICH as a possible and important manifestation of COVID-19.","container-title":"Journal of stroke and cerebrovascular diseases : the official journal of National Stroke Association","DOI":"10.1016/j.jstrokecerebrovasdis.2021.105603","ISSN":"1532-8511","issue":"4","note":"PMID: 33484980\nCitation Key: Mishra2021","page":"105603","title":"Intracranial Hemorrhage in COVID-19 Patients.","volume":"30","author":[{"family":"Mishra","given":"Sanskriti"},{"family":"Choueka","given":"Murray"},{"family":"Wang","given":"Qiang"},{"family":"Hu","given":"Chloe"},{"family":"Visone","given":"Stephanie"},{"family":"Silver","given":"Michael"},{"family":"Stein","given":"Evan G"},{"family":"Levine","given":"Steven R"},{"family":"Wang","given":"Qingliang T"}],"issued":{"date-parts":[["2021",4]]}}}],"schema":"https://github.com/citation-style-language/schema/raw/master/csl-citation.json"} </w:instrText>
            </w:r>
            <w:r w:rsidR="002153F8">
              <w:rPr>
                <w:rFonts w:ascii="Times New Roman" w:eastAsia="Times New Roman" w:hAnsi="Times New Roman" w:cs="Times New Roman"/>
                <w:color w:val="000000"/>
                <w:sz w:val="13"/>
                <w:szCs w:val="13"/>
                <w:lang w:eastAsia="de-DE"/>
              </w:rPr>
              <w:fldChar w:fldCharType="separate"/>
            </w:r>
            <w:r w:rsidR="002153F8" w:rsidRPr="002153F8">
              <w:rPr>
                <w:rFonts w:ascii="Times New Roman" w:hAnsi="Times New Roman" w:cs="Times New Roman"/>
                <w:color w:val="000000"/>
                <w:sz w:val="13"/>
                <w:vertAlign w:val="superscript"/>
                <w:lang w:val="de-DE"/>
              </w:rPr>
              <w:t>51</w:t>
            </w:r>
            <w:r w:rsidR="002153F8">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2A9B6CF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27B0AB8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3FB14BC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FB52D8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4A0167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72</w:t>
            </w:r>
          </w:p>
        </w:tc>
        <w:tc>
          <w:tcPr>
            <w:tcW w:w="0" w:type="auto"/>
            <w:tcBorders>
              <w:top w:val="nil"/>
              <w:left w:val="nil"/>
              <w:bottom w:val="nil"/>
              <w:right w:val="nil"/>
            </w:tcBorders>
            <w:shd w:val="clear" w:color="auto" w:fill="auto"/>
            <w:vAlign w:val="center"/>
            <w:hideMark/>
          </w:tcPr>
          <w:p w14:paraId="7C89BFB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4B8BF6E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38C548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993EA5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A917B3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A300F7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0CE546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689874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5188D8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9FA7E4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9CB953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228C2B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0C1B40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2234A9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EF0DCC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953271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60FAB4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22A50F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C70872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3FD5C8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9D26DF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8D1AA4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E7DF77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6CF2D3D2" w14:textId="77777777" w:rsidTr="00C336CB">
        <w:trPr>
          <w:trHeight w:val="340"/>
        </w:trPr>
        <w:tc>
          <w:tcPr>
            <w:tcW w:w="0" w:type="auto"/>
            <w:tcBorders>
              <w:top w:val="nil"/>
              <w:left w:val="nil"/>
              <w:bottom w:val="nil"/>
              <w:right w:val="nil"/>
            </w:tcBorders>
            <w:shd w:val="clear" w:color="auto" w:fill="auto"/>
            <w:vAlign w:val="center"/>
            <w:hideMark/>
          </w:tcPr>
          <w:p w14:paraId="07A3473D" w14:textId="48012E70"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Mishra et al. </w:t>
            </w:r>
            <w:r w:rsidR="002153F8">
              <w:rPr>
                <w:rFonts w:ascii="Times New Roman" w:eastAsia="Times New Roman" w:hAnsi="Times New Roman" w:cs="Times New Roman"/>
                <w:color w:val="000000"/>
                <w:sz w:val="13"/>
                <w:szCs w:val="13"/>
                <w:lang w:eastAsia="de-DE"/>
              </w:rPr>
              <w:fldChar w:fldCharType="begin"/>
            </w:r>
            <w:r w:rsidR="002153F8">
              <w:rPr>
                <w:rFonts w:ascii="Times New Roman" w:eastAsia="Times New Roman" w:hAnsi="Times New Roman" w:cs="Times New Roman"/>
                <w:color w:val="000000"/>
                <w:sz w:val="13"/>
                <w:szCs w:val="13"/>
                <w:lang w:eastAsia="de-DE"/>
              </w:rPr>
              <w:instrText xml:space="preserve"> ADDIN ZOTERO_ITEM CSL_CITATION {"citationID":"VC2awaqD","properties":{"formattedCitation":"\\super 51\\nosupersub{}","plainCitation":"51","noteIndex":0},"citationItems":[{"id":3269,"uris":["http://zotero.org/users/local/4rfnQu81/items/JKELK69K"],"uri":["http://zotero.org/users/local/4rfnQu81/items/JKELK69K"],"itemData":{"id":3269,"type":"article-journal","abstract":"OBJECTIVE To describe the clinical, laboratory, temporal, radiographic, and outcome features of acute Intracranial Hemorrhage (ICH) in COVID-19 patients. METHODS Retrospective, observational, consecutive case series of patients admitted with ICH to Maimonides Medical Center from March 1 through July 31, 2020, who had confirmed or highly suspected COVID-19. Demographic, clinical, laboratory, imaging, and outcome data were analyzed. ICH rates among all strokes were compared to the same time period in 2019 in two-week time intervals. Correlation of systolic blood pressure variability (SBPV) and neutrophil-to-lymphocyte ratio (NLR) to clinical outcomes were performed. RESULTS Of 324 patients who presented with stroke, 65 (20%) were diagnosed with non-traumatic ICH: 8 had confirmed and 3 had highly suspected COVID-19. Nine (82%) had at least one associated risk factor for ICH. Three ICHs occurred during inpatient anticoagulation. More than half (6) suffered either deep or cerebellar hemorrhages; only 2 were lobar hemorrhages. Two of 8 patients with severe pneumonia survived. During the NYC COVID-19 peak period in April, ICH comprised the highest percentage of all strokes (40%), and then steadily decreased week-after-week (p = 0.02). SBPV and NLR were moderately and weakly positively correlated to discharge modified Rankin Scale, respectively. CONCLUSIONS COVID-19 associated ICH is often associated with at least one known ICH risk factor and severe pneumonia. There was a suggestive relative surge in ICH among all stroke types during the first peak of the NYC pandemic. It is important to be vigilant of ICH as a possible and important manifestation of COVID-19.","container-title":"Journal of stroke and cerebrovascular diseases : the official journal of National Stroke Association","DOI":"10.1016/j.jstrokecerebrovasdis.2021.105603","ISSN":"1532-8511","issue":"4","note":"PMID: 33484980\nCitation Key: Mishra2021","page":"105603","title":"Intracranial Hemorrhage in COVID-19 Patients.","volume":"30","author":[{"family":"Mishra","given":"Sanskriti"},{"family":"Choueka","given":"Murray"},{"family":"Wang","given":"Qiang"},{"family":"Hu","given":"Chloe"},{"family":"Visone","given":"Stephanie"},{"family":"Silver","given":"Michael"},{"family":"Stein","given":"Evan G"},{"family":"Levine","given":"Steven R"},{"family":"Wang","given":"Qingliang T"}],"issued":{"date-parts":[["2021",4]]}}}],"schema":"https://github.com/citation-style-language/schema/raw/master/csl-citation.json"} </w:instrText>
            </w:r>
            <w:r w:rsidR="002153F8">
              <w:rPr>
                <w:rFonts w:ascii="Times New Roman" w:eastAsia="Times New Roman" w:hAnsi="Times New Roman" w:cs="Times New Roman"/>
                <w:color w:val="000000"/>
                <w:sz w:val="13"/>
                <w:szCs w:val="13"/>
                <w:lang w:eastAsia="de-DE"/>
              </w:rPr>
              <w:fldChar w:fldCharType="separate"/>
            </w:r>
            <w:r w:rsidR="002153F8" w:rsidRPr="002153F8">
              <w:rPr>
                <w:rFonts w:ascii="Times New Roman" w:hAnsi="Times New Roman" w:cs="Times New Roman"/>
                <w:color w:val="000000"/>
                <w:sz w:val="13"/>
                <w:vertAlign w:val="superscript"/>
                <w:lang w:val="de-DE"/>
              </w:rPr>
              <w:t>51</w:t>
            </w:r>
            <w:r w:rsidR="002153F8">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1DF0ABB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34F7E93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25BBA2A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A5AA95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31E766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95</w:t>
            </w:r>
          </w:p>
        </w:tc>
        <w:tc>
          <w:tcPr>
            <w:tcW w:w="0" w:type="auto"/>
            <w:tcBorders>
              <w:top w:val="nil"/>
              <w:left w:val="nil"/>
              <w:bottom w:val="nil"/>
              <w:right w:val="nil"/>
            </w:tcBorders>
            <w:shd w:val="clear" w:color="auto" w:fill="auto"/>
            <w:vAlign w:val="center"/>
            <w:hideMark/>
          </w:tcPr>
          <w:p w14:paraId="72B1D99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2BF52CE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7C96D6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5777C3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3E5E60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5B6B1C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CCDDB5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0650C4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F94A79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4EDC3E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081B84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B86840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285033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3DA72F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E79109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57D9CB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EF1CCA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D44268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3A864A4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CDB715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998B6C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2A8E0C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3C364F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3563CD4B" w14:textId="77777777" w:rsidTr="00C336CB">
        <w:trPr>
          <w:trHeight w:val="340"/>
        </w:trPr>
        <w:tc>
          <w:tcPr>
            <w:tcW w:w="0" w:type="auto"/>
            <w:tcBorders>
              <w:top w:val="nil"/>
              <w:left w:val="nil"/>
              <w:bottom w:val="nil"/>
              <w:right w:val="nil"/>
            </w:tcBorders>
            <w:shd w:val="clear" w:color="auto" w:fill="auto"/>
            <w:vAlign w:val="center"/>
            <w:hideMark/>
          </w:tcPr>
          <w:p w14:paraId="3AB50711" w14:textId="10AD9866"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Mishra et al. </w:t>
            </w:r>
            <w:r w:rsidR="002153F8">
              <w:rPr>
                <w:rFonts w:ascii="Times New Roman" w:eastAsia="Times New Roman" w:hAnsi="Times New Roman" w:cs="Times New Roman"/>
                <w:color w:val="000000"/>
                <w:sz w:val="13"/>
                <w:szCs w:val="13"/>
                <w:lang w:eastAsia="de-DE"/>
              </w:rPr>
              <w:fldChar w:fldCharType="begin"/>
            </w:r>
            <w:r w:rsidR="002153F8">
              <w:rPr>
                <w:rFonts w:ascii="Times New Roman" w:eastAsia="Times New Roman" w:hAnsi="Times New Roman" w:cs="Times New Roman"/>
                <w:color w:val="000000"/>
                <w:sz w:val="13"/>
                <w:szCs w:val="13"/>
                <w:lang w:eastAsia="de-DE"/>
              </w:rPr>
              <w:instrText xml:space="preserve"> ADDIN ZOTERO_ITEM CSL_CITATION {"citationID":"OJLAidg5","properties":{"formattedCitation":"\\super 51\\nosupersub{}","plainCitation":"51","noteIndex":0},"citationItems":[{"id":3269,"uris":["http://zotero.org/users/local/4rfnQu81/items/JKELK69K"],"uri":["http://zotero.org/users/local/4rfnQu81/items/JKELK69K"],"itemData":{"id":3269,"type":"article-journal","abstract":"OBJECTIVE To describe the clinical, laboratory, temporal, radiographic, and outcome features of acute Intracranial Hemorrhage (ICH) in COVID-19 patients. METHODS Retrospective, observational, consecutive case series of patients admitted with ICH to Maimonides Medical Center from March 1 through July 31, 2020, who had confirmed or highly suspected COVID-19. Demographic, clinical, laboratory, imaging, and outcome data were analyzed. ICH rates among all strokes were compared to the same time period in 2019 in two-week time intervals. Correlation of systolic blood pressure variability (SBPV) and neutrophil-to-lymphocyte ratio (NLR) to clinical outcomes were performed. RESULTS Of 324 patients who presented with stroke, 65 (20%) were diagnosed with non-traumatic ICH: 8 had confirmed and 3 had highly suspected COVID-19. Nine (82%) had at least one associated risk factor for ICH. Three ICHs occurred during inpatient anticoagulation. More than half (6) suffered either deep or cerebellar hemorrhages; only 2 were lobar hemorrhages. Two of 8 patients with severe pneumonia survived. During the NYC COVID-19 peak period in April, ICH comprised the highest percentage of all strokes (40%), and then steadily decreased week-after-week (p = 0.02). SBPV and NLR were moderately and weakly positively correlated to discharge modified Rankin Scale, respectively. CONCLUSIONS COVID-19 associated ICH is often associated with at least one known ICH risk factor and severe pneumonia. There was a suggestive relative surge in ICH among all stroke types during the first peak of the NYC pandemic. It is important to be vigilant of ICH as a possible and important manifestation of COVID-19.","container-title":"Journal of stroke and cerebrovascular diseases : the official journal of National Stroke Association","DOI":"10.1016/j.jstrokecerebrovasdis.2021.105603","ISSN":"1532-8511","issue":"4","note":"PMID: 33484980\nCitation Key: Mishra2021","page":"105603","title":"Intracranial Hemorrhage in COVID-19 Patients.","volume":"30","author":[{"family":"Mishra","given":"Sanskriti"},{"family":"Choueka","given":"Murray"},{"family":"Wang","given":"Qiang"},{"family":"Hu","given":"Chloe"},{"family":"Visone","given":"Stephanie"},{"family":"Silver","given":"Michael"},{"family":"Stein","given":"Evan G"},{"family":"Levine","given":"Steven R"},{"family":"Wang","given":"Qingliang T"}],"issued":{"date-parts":[["2021",4]]}}}],"schema":"https://github.com/citation-style-language/schema/raw/master/csl-citation.json"} </w:instrText>
            </w:r>
            <w:r w:rsidR="002153F8">
              <w:rPr>
                <w:rFonts w:ascii="Times New Roman" w:eastAsia="Times New Roman" w:hAnsi="Times New Roman" w:cs="Times New Roman"/>
                <w:color w:val="000000"/>
                <w:sz w:val="13"/>
                <w:szCs w:val="13"/>
                <w:lang w:eastAsia="de-DE"/>
              </w:rPr>
              <w:fldChar w:fldCharType="separate"/>
            </w:r>
            <w:r w:rsidR="002153F8" w:rsidRPr="002153F8">
              <w:rPr>
                <w:rFonts w:ascii="Times New Roman" w:hAnsi="Times New Roman" w:cs="Times New Roman"/>
                <w:color w:val="000000"/>
                <w:sz w:val="13"/>
                <w:vertAlign w:val="superscript"/>
                <w:lang w:val="de-DE"/>
              </w:rPr>
              <w:t>51</w:t>
            </w:r>
            <w:r w:rsidR="002153F8">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4DDCE0A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2DA4545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44390D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F18C47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436488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32</w:t>
            </w:r>
          </w:p>
        </w:tc>
        <w:tc>
          <w:tcPr>
            <w:tcW w:w="0" w:type="auto"/>
            <w:tcBorders>
              <w:top w:val="nil"/>
              <w:left w:val="nil"/>
              <w:bottom w:val="nil"/>
              <w:right w:val="nil"/>
            </w:tcBorders>
            <w:shd w:val="clear" w:color="auto" w:fill="auto"/>
            <w:vAlign w:val="center"/>
            <w:hideMark/>
          </w:tcPr>
          <w:p w14:paraId="61890C2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noWrap/>
            <w:vAlign w:val="center"/>
            <w:hideMark/>
          </w:tcPr>
          <w:p w14:paraId="61A50FE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460374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4A34C21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5076B8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8B6406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2D1F8D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C439A1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87AF2E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FC4F7C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263980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1CBA6C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CCAB5C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7AB784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831A9A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446940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2A9D65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891978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46E3B6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3E8DA5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70C4CB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DE7C28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F1F6C4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08FD772A" w14:textId="77777777" w:rsidTr="00C336CB">
        <w:trPr>
          <w:trHeight w:val="340"/>
        </w:trPr>
        <w:tc>
          <w:tcPr>
            <w:tcW w:w="0" w:type="auto"/>
            <w:tcBorders>
              <w:top w:val="nil"/>
              <w:left w:val="nil"/>
              <w:bottom w:val="nil"/>
              <w:right w:val="nil"/>
            </w:tcBorders>
            <w:shd w:val="clear" w:color="auto" w:fill="auto"/>
            <w:vAlign w:val="center"/>
            <w:hideMark/>
          </w:tcPr>
          <w:p w14:paraId="50C78705" w14:textId="55A40042"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Mishra et al. </w:t>
            </w:r>
            <w:r w:rsidR="002153F8">
              <w:rPr>
                <w:rFonts w:ascii="Times New Roman" w:eastAsia="Times New Roman" w:hAnsi="Times New Roman" w:cs="Times New Roman"/>
                <w:color w:val="000000"/>
                <w:sz w:val="13"/>
                <w:szCs w:val="13"/>
                <w:lang w:eastAsia="de-DE"/>
              </w:rPr>
              <w:fldChar w:fldCharType="begin"/>
            </w:r>
            <w:r w:rsidR="002153F8">
              <w:rPr>
                <w:rFonts w:ascii="Times New Roman" w:eastAsia="Times New Roman" w:hAnsi="Times New Roman" w:cs="Times New Roman"/>
                <w:color w:val="000000"/>
                <w:sz w:val="13"/>
                <w:szCs w:val="13"/>
                <w:lang w:eastAsia="de-DE"/>
              </w:rPr>
              <w:instrText xml:space="preserve"> ADDIN ZOTERO_ITEM CSL_CITATION {"citationID":"bg3L334g","properties":{"formattedCitation":"\\super 51\\nosupersub{}","plainCitation":"51","noteIndex":0},"citationItems":[{"id":3269,"uris":["http://zotero.org/users/local/4rfnQu81/items/JKELK69K"],"uri":["http://zotero.org/users/local/4rfnQu81/items/JKELK69K"],"itemData":{"id":3269,"type":"article-journal","abstract":"OBJECTIVE To describe the clinical, laboratory, temporal, radiographic, and outcome features of acute Intracranial Hemorrhage (ICH) in COVID-19 patients. METHODS Retrospective, observational, consecutive case series of patients admitted with ICH to Maimonides Medical Center from March 1 through July 31, 2020, who had confirmed or highly suspected COVID-19. Demographic, clinical, laboratory, imaging, and outcome data were analyzed. ICH rates among all strokes were compared to the same time period in 2019 in two-week time intervals. Correlation of systolic blood pressure variability (SBPV) and neutrophil-to-lymphocyte ratio (NLR) to clinical outcomes were performed. RESULTS Of 324 patients who presented with stroke, 65 (20%) were diagnosed with non-traumatic ICH: 8 had confirmed and 3 had highly suspected COVID-19. Nine (82%) had at least one associated risk factor for ICH. Three ICHs occurred during inpatient anticoagulation. More than half (6) suffered either deep or cerebellar hemorrhages; only 2 were lobar hemorrhages. Two of 8 patients with severe pneumonia survived. During the NYC COVID-19 peak period in April, ICH comprised the highest percentage of all strokes (40%), and then steadily decreased week-after-week (p = 0.02). SBPV and NLR were moderately and weakly positively correlated to discharge modified Rankin Scale, respectively. CONCLUSIONS COVID-19 associated ICH is often associated with at least one known ICH risk factor and severe pneumonia. There was a suggestive relative surge in ICH among all stroke types during the first peak of the NYC pandemic. It is important to be vigilant of ICH as a possible and important manifestation of COVID-19.","container-title":"Journal of stroke and cerebrovascular diseases : the official journal of National Stroke Association","DOI":"10.1016/j.jstrokecerebrovasdis.2021.105603","ISSN":"1532-8511","issue":"4","note":"PMID: 33484980\nCitation Key: Mishra2021","page":"105603","title":"Intracranial Hemorrhage in COVID-19 Patients.","volume":"30","author":[{"family":"Mishra","given":"Sanskriti"},{"family":"Choueka","given":"Murray"},{"family":"Wang","given":"Qiang"},{"family":"Hu","given":"Chloe"},{"family":"Visone","given":"Stephanie"},{"family":"Silver","given":"Michael"},{"family":"Stein","given":"Evan G"},{"family":"Levine","given":"Steven R"},{"family":"Wang","given":"Qingliang T"}],"issued":{"date-parts":[["2021",4]]}}}],"schema":"https://github.com/citation-style-language/schema/raw/master/csl-citation.json"} </w:instrText>
            </w:r>
            <w:r w:rsidR="002153F8">
              <w:rPr>
                <w:rFonts w:ascii="Times New Roman" w:eastAsia="Times New Roman" w:hAnsi="Times New Roman" w:cs="Times New Roman"/>
                <w:color w:val="000000"/>
                <w:sz w:val="13"/>
                <w:szCs w:val="13"/>
                <w:lang w:eastAsia="de-DE"/>
              </w:rPr>
              <w:fldChar w:fldCharType="separate"/>
            </w:r>
            <w:r w:rsidR="002153F8" w:rsidRPr="002153F8">
              <w:rPr>
                <w:rFonts w:ascii="Times New Roman" w:hAnsi="Times New Roman" w:cs="Times New Roman"/>
                <w:color w:val="000000"/>
                <w:sz w:val="13"/>
                <w:vertAlign w:val="superscript"/>
                <w:lang w:val="de-DE"/>
              </w:rPr>
              <w:t>51</w:t>
            </w:r>
            <w:r w:rsidR="002153F8">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noWrap/>
            <w:vAlign w:val="center"/>
            <w:hideMark/>
          </w:tcPr>
          <w:p w14:paraId="11939D5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6706DF6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0DB4538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9F3FF0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08AE1B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79</w:t>
            </w:r>
          </w:p>
        </w:tc>
        <w:tc>
          <w:tcPr>
            <w:tcW w:w="0" w:type="auto"/>
            <w:tcBorders>
              <w:top w:val="nil"/>
              <w:left w:val="nil"/>
              <w:bottom w:val="nil"/>
              <w:right w:val="nil"/>
            </w:tcBorders>
            <w:shd w:val="clear" w:color="auto" w:fill="auto"/>
            <w:vAlign w:val="center"/>
            <w:hideMark/>
          </w:tcPr>
          <w:p w14:paraId="6B0127B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noWrap/>
            <w:vAlign w:val="center"/>
            <w:hideMark/>
          </w:tcPr>
          <w:p w14:paraId="265D0D8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ADC605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5368A5D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0AF512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0C9C89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28205CE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C982DC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520354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6FA8E1D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CED21D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0371CA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D520DD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FE9407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25B669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77B28F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ADE4B9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D07AA5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A1F940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87E3C6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DDF811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3269765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2ED35E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031BDC16" w14:textId="77777777" w:rsidTr="00C336CB">
        <w:trPr>
          <w:trHeight w:val="340"/>
        </w:trPr>
        <w:tc>
          <w:tcPr>
            <w:tcW w:w="0" w:type="auto"/>
            <w:tcBorders>
              <w:top w:val="nil"/>
              <w:left w:val="nil"/>
              <w:bottom w:val="nil"/>
              <w:right w:val="nil"/>
            </w:tcBorders>
            <w:shd w:val="clear" w:color="auto" w:fill="auto"/>
            <w:vAlign w:val="center"/>
            <w:hideMark/>
          </w:tcPr>
          <w:p w14:paraId="7ED12A12" w14:textId="38B7BFEE"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Agrawal et al. </w:t>
            </w:r>
            <w:r w:rsidR="002153F8">
              <w:rPr>
                <w:rFonts w:ascii="Times New Roman" w:eastAsia="Times New Roman" w:hAnsi="Times New Roman" w:cs="Times New Roman"/>
                <w:color w:val="000000"/>
                <w:sz w:val="13"/>
                <w:szCs w:val="13"/>
                <w:lang w:eastAsia="de-DE"/>
              </w:rPr>
              <w:fldChar w:fldCharType="begin"/>
            </w:r>
            <w:r w:rsidR="002153F8">
              <w:rPr>
                <w:rFonts w:ascii="Times New Roman" w:eastAsia="Times New Roman" w:hAnsi="Times New Roman" w:cs="Times New Roman"/>
                <w:color w:val="000000"/>
                <w:sz w:val="13"/>
                <w:szCs w:val="13"/>
                <w:lang w:eastAsia="de-DE"/>
              </w:rPr>
              <w:instrText xml:space="preserve"> ADDIN ZOTERO_ITEM CSL_CITATION {"citationID":"efvCk9ir","properties":{"formattedCitation":"\\super 52\\nosupersub{}","plainCitation":"52","noteIndex":0},"citationItems":[{"id":80,"uris":["http://zotero.org/users/local/4rfnQu81/items/X7AWCSFQ"],"uri":["http://zotero.org/users/local/4rfnQu81/items/X7AWCSFQ"],"itemData":{"id":80,"type":"article-journal","abstract":"Background and Purpose: We conducted this study to investigate the prevalence and distribution of cerebral microbleeds and leukoencephalopathy in hospitalized patients with coronavirus disease 2019 (COVID-19) and correlate with clinical, laboratory, and functional outcomes. Methods: We performed a retrospective chart review of 4131 COVID-19 positive adult patients who were admitted to 3 tertiary care hospitals of an academic medical center at the epicenter of the COVID-19 pandemic in New York City from March 1, 2020, to May 10, 2020, to identify patients who had magnetic resonance imaging (MRI) of the brain. We evaluated the MRIs in detail, and identified a subset of patients with leukoencephalopathy and/or cerebral microbleeds. We compared clinical, laboratory, and functional outcomes for these patients to patients who had a brain MRI that did not show these findings. Results: Of 115 patients who had an MRI of the brain performed, 35 (30.4%) patients had leukoencephalopathy and/or cerebral microbleeds. Patients with leukoencephalopathy and/or cerebral microbleeds had neuroimaging performed later during the hospitalization course (27 versus 10.6 days; P&lt;0.001), were clinically sicker at the time of brain MRI (median GCS 6 versus 14; P&lt;0.001), and had higher peak D-dimer levels (8018±6677 versus 3183±3482; P&lt;0.001), lower nadir platelet count (116.9±62.2 versus 158.3±76.2; P=0.03), higher peak international normalized ratio (2.2 versus 1.57; P&lt;0.001) values when compared with patients who had a brain MRI that did not show these findings. They required longer ventilator support (34.6 versus 9.1 days; P&lt;0.001) and were more likely to have moderate and severe acute respiratory distress syndrome score (88.6% versus 23.8%, P&lt;0.001). These patients had longer hospitalizations (42.1 versus 20.9 days; P&lt;0.001), overall worse functional status on discharge (mRS 5 versus 4; P=0.001), and higher mortality (20% versus 9%; P=0.144). Conclusions: The presence of leukoencephalopathy and/or cerebral microbleeds is associated with a critical illness, increased mortality, and worse functional outcome in patients with COVID-19.","container-title":"Stroke","DOI":"10.1161/STROKEAHA.120.030940","ISSN":"15244628","issue":"September","note":"PMID: 32755456","page":"2649–2655","title":"Cerebral Microbleeds and Leukoencephalopathy in Critically Ill Patients with COVID-19","author":[{"family":"Agarwal","given":"Shashank"},{"family":"Jain","given":"Rajan"},{"family":"Dogra","given":"Siddhant"},{"family":"Krieger","given":"Penina"},{"family":"Lewis","given":"Ariane"},{"family":"Nguyen","given":"Vinh"},{"family":"Melmed","given":"Kara"},{"family":"Galetta","given":"Steven"}],"issued":{"date-parts":[["2020"]]}}}],"schema":"https://github.com/citation-style-language/schema/raw/master/csl-citation.json"} </w:instrText>
            </w:r>
            <w:r w:rsidR="002153F8">
              <w:rPr>
                <w:rFonts w:ascii="Times New Roman" w:eastAsia="Times New Roman" w:hAnsi="Times New Roman" w:cs="Times New Roman"/>
                <w:color w:val="000000"/>
                <w:sz w:val="13"/>
                <w:szCs w:val="13"/>
                <w:lang w:eastAsia="de-DE"/>
              </w:rPr>
              <w:fldChar w:fldCharType="separate"/>
            </w:r>
            <w:r w:rsidR="002153F8" w:rsidRPr="002153F8">
              <w:rPr>
                <w:rFonts w:ascii="Times New Roman" w:hAnsi="Times New Roman" w:cs="Times New Roman"/>
                <w:color w:val="000000"/>
                <w:sz w:val="13"/>
                <w:vertAlign w:val="superscript"/>
              </w:rPr>
              <w:t>52</w:t>
            </w:r>
            <w:r w:rsidR="002153F8">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vAlign w:val="center"/>
            <w:hideMark/>
          </w:tcPr>
          <w:p w14:paraId="3947EE0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vAlign w:val="center"/>
            <w:hideMark/>
          </w:tcPr>
          <w:p w14:paraId="17823A6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25</w:t>
            </w:r>
          </w:p>
        </w:tc>
        <w:tc>
          <w:tcPr>
            <w:tcW w:w="0" w:type="auto"/>
            <w:tcBorders>
              <w:top w:val="nil"/>
              <w:left w:val="nil"/>
              <w:bottom w:val="nil"/>
              <w:right w:val="nil"/>
            </w:tcBorders>
            <w:shd w:val="clear" w:color="auto" w:fill="auto"/>
            <w:vAlign w:val="center"/>
            <w:hideMark/>
          </w:tcPr>
          <w:p w14:paraId="7A07A1C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1D5AAF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D0C28E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689429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ACB6DB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93C284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3E1BA6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5B8EB5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22A48D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B395C3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2926F7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6CBBDE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1419A2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CC332B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77D75F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3226D3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25</w:t>
            </w:r>
          </w:p>
        </w:tc>
        <w:tc>
          <w:tcPr>
            <w:tcW w:w="0" w:type="auto"/>
            <w:tcBorders>
              <w:top w:val="nil"/>
              <w:left w:val="nil"/>
              <w:bottom w:val="nil"/>
              <w:right w:val="nil"/>
            </w:tcBorders>
            <w:shd w:val="clear" w:color="auto" w:fill="auto"/>
            <w:vAlign w:val="center"/>
            <w:hideMark/>
          </w:tcPr>
          <w:p w14:paraId="7AC5196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66D056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F75DB4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769DA9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2F34AE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A8DC34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B88830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F18A63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FAEA9F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ABB0B9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3C470919" w14:textId="77777777" w:rsidTr="00C336CB">
        <w:trPr>
          <w:trHeight w:val="340"/>
        </w:trPr>
        <w:tc>
          <w:tcPr>
            <w:tcW w:w="0" w:type="auto"/>
            <w:tcBorders>
              <w:top w:val="nil"/>
              <w:left w:val="nil"/>
              <w:bottom w:val="nil"/>
              <w:right w:val="nil"/>
            </w:tcBorders>
            <w:shd w:val="clear" w:color="auto" w:fill="auto"/>
            <w:vAlign w:val="center"/>
            <w:hideMark/>
          </w:tcPr>
          <w:p w14:paraId="5ED6EB77" w14:textId="778D393C"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Altschul et al. </w:t>
            </w:r>
            <w:r w:rsidR="002153F8">
              <w:rPr>
                <w:rFonts w:ascii="Times New Roman" w:eastAsia="Times New Roman" w:hAnsi="Times New Roman" w:cs="Times New Roman"/>
                <w:color w:val="000000"/>
                <w:sz w:val="13"/>
                <w:szCs w:val="13"/>
                <w:lang w:eastAsia="de-DE"/>
              </w:rPr>
              <w:fldChar w:fldCharType="begin"/>
            </w:r>
            <w:r w:rsidR="002153F8">
              <w:rPr>
                <w:rFonts w:ascii="Times New Roman" w:eastAsia="Times New Roman" w:hAnsi="Times New Roman" w:cs="Times New Roman"/>
                <w:color w:val="000000"/>
                <w:sz w:val="13"/>
                <w:szCs w:val="13"/>
                <w:lang w:eastAsia="de-DE"/>
              </w:rPr>
              <w:instrText xml:space="preserve"> ADDIN ZOTERO_ITEM CSL_CITATION {"citationID":"PfrFK7ea","properties":{"formattedCitation":"\\super 53\\nosupersub{}","plainCitation":"53","noteIndex":0},"citationItems":[{"id":3081,"uris":["http://zotero.org/users/local/4rfnQu81/items/KY3SKRFC"],"uri":["http://zotero.org/users/local/4rfnQu81/items/KY3SKRFC"],"itemData":{"id":3081,"type":"article-journal","abstract":"OBJECTIVE: We aim to characterize the incidence, risk for mortality, and identify  risk factors for mortality in patients presenting with hemorrhage and COVID-19. METHODS: This retrospective cohort study included a cohort of patients admitted to one of three major hospitals of our healthcare network including, an academic medical center and comprehensive stroke center, which accepts transfers for complex cases from eight community hospitals, during March 1 to May 1, 2020. All patients that received imaging of the neuroaxis and had positive PCR testing for COVID-19 were identified and reviewed by an attending neuroradiologist. Demographics and comorbidities were recorded. Biomarkers were recorded from the day of the hemorrhagic event. Vital signs from the day of the hemorrhagic event mechanical ventilation orders at admission were recorded. Imaging findings were divided into 5 subtypes; acute subdural hematoma (SDH), subarachnoid hemorrhage (SAH), multi-compartmental hemorrhage (MCH), multi-focal intracerebral hemorrhage (MFH), and focal intracerebral hemorrhage (fICH). Outcomes were recorded as non-routine discharge and mortality. RESULTS: We found a total of 35 out of 5227 patients with COVID-19 that had hemorrhage of some kind. Mortality for the entire cohort was 45.7 % (n = 16). SDH patients had a mortality rate of 35.3 % (n = 6), SAH had a mortality of 50 % (n = 1), MCH patients had a mortality of 71.4 % (n = 5), MFH patients had a mortality of 50 % (n = 2), fICH patients had a mortality of 40 % (n = 2). Patients with severe pulmonary COVID requiring mechanical ventilation (OR 10.24 [.43-243.12] p = 0.015), with INR &gt; 1.2 on the day of the hemorrhagic event (OR 14.36 [1.69-122.14] p = 0.015], and patients presenting with spontaneous vs. traumatic hemorrhage (OR 6.11 [.31-118.89] p = 0.023) had significantly higher risk for mortality. CONCLUSIONS: Hemorrhagic presentations with COVID-19 are a rare but serious way in which the illness can manifest. It is important for neurosurgeons to realize that patients can present with these findings without primary pulmonary symptoms, and that severe pulmonary symptoms, elevated INR, and spontaneous hemorrhagic presentations is associated with increased risk for mortality.","container-title":"Clinical neurology and neurosurgery","DOI":"10.1016/j.clineuro.2020.106112","ISSN":"1872-6968 (Electronic)","language":"eng","note":"PMID: 32738585","page":"106112","title":"Hemorrhagic presentations of COVID-19: Risk factors for mortality.","volume":"198","author":[{"family":"Altschul","given":"David J"},{"family":"Unda","given":"Santiago R"},{"family":"La Garza Ramos","given":"Rafael","non-dropping-particle":"de"},{"family":"Zampolin","given":"Richard"},{"family":"Benton","given":"Joshua"},{"family":"Holland","given":"Ryan"},{"family":"Fortunel","given":"Adisson"},{"family":"Haranhalli","given":"Neil"}],"issued":{"date-parts":[["2020",7]]}}}],"schema":"https://github.com/citation-style-language/schema/raw/master/csl-citation.json"} </w:instrText>
            </w:r>
            <w:r w:rsidR="002153F8">
              <w:rPr>
                <w:rFonts w:ascii="Times New Roman" w:eastAsia="Times New Roman" w:hAnsi="Times New Roman" w:cs="Times New Roman"/>
                <w:color w:val="000000"/>
                <w:sz w:val="13"/>
                <w:szCs w:val="13"/>
                <w:lang w:eastAsia="de-DE"/>
              </w:rPr>
              <w:fldChar w:fldCharType="separate"/>
            </w:r>
            <w:r w:rsidR="002153F8" w:rsidRPr="00B92A51">
              <w:rPr>
                <w:rFonts w:ascii="Times New Roman" w:hAnsi="Times New Roman" w:cs="Times New Roman"/>
                <w:color w:val="000000"/>
                <w:sz w:val="13"/>
                <w:vertAlign w:val="superscript"/>
              </w:rPr>
              <w:t>53</w:t>
            </w:r>
            <w:r w:rsidR="002153F8">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vAlign w:val="center"/>
            <w:hideMark/>
          </w:tcPr>
          <w:p w14:paraId="76142C4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vAlign w:val="center"/>
            <w:hideMark/>
          </w:tcPr>
          <w:p w14:paraId="7EF31D1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35</w:t>
            </w:r>
          </w:p>
        </w:tc>
        <w:tc>
          <w:tcPr>
            <w:tcW w:w="0" w:type="auto"/>
            <w:tcBorders>
              <w:top w:val="nil"/>
              <w:left w:val="nil"/>
              <w:bottom w:val="nil"/>
              <w:right w:val="nil"/>
            </w:tcBorders>
            <w:shd w:val="clear" w:color="auto" w:fill="auto"/>
            <w:vAlign w:val="center"/>
            <w:hideMark/>
          </w:tcPr>
          <w:p w14:paraId="4FB00D3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FF8D02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45.70%</w:t>
            </w:r>
          </w:p>
        </w:tc>
        <w:tc>
          <w:tcPr>
            <w:tcW w:w="0" w:type="auto"/>
            <w:tcBorders>
              <w:top w:val="nil"/>
              <w:left w:val="nil"/>
              <w:bottom w:val="nil"/>
              <w:right w:val="nil"/>
            </w:tcBorders>
            <w:shd w:val="clear" w:color="auto" w:fill="auto"/>
            <w:vAlign w:val="center"/>
            <w:hideMark/>
          </w:tcPr>
          <w:p w14:paraId="7757213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67</w:t>
            </w:r>
          </w:p>
        </w:tc>
        <w:tc>
          <w:tcPr>
            <w:tcW w:w="0" w:type="auto"/>
            <w:tcBorders>
              <w:top w:val="nil"/>
              <w:left w:val="nil"/>
              <w:bottom w:val="nil"/>
              <w:right w:val="nil"/>
            </w:tcBorders>
            <w:shd w:val="clear" w:color="auto" w:fill="auto"/>
            <w:vAlign w:val="center"/>
            <w:hideMark/>
          </w:tcPr>
          <w:p w14:paraId="64A2372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E2A12C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F20418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w:t>
            </w:r>
          </w:p>
        </w:tc>
        <w:tc>
          <w:tcPr>
            <w:tcW w:w="0" w:type="auto"/>
            <w:tcBorders>
              <w:top w:val="nil"/>
              <w:left w:val="nil"/>
              <w:bottom w:val="nil"/>
              <w:right w:val="nil"/>
            </w:tcBorders>
            <w:shd w:val="clear" w:color="auto" w:fill="auto"/>
            <w:vAlign w:val="center"/>
            <w:hideMark/>
          </w:tcPr>
          <w:p w14:paraId="437F9A7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11</w:t>
            </w:r>
          </w:p>
        </w:tc>
        <w:tc>
          <w:tcPr>
            <w:tcW w:w="0" w:type="auto"/>
            <w:tcBorders>
              <w:top w:val="nil"/>
              <w:left w:val="nil"/>
              <w:bottom w:val="nil"/>
              <w:right w:val="nil"/>
            </w:tcBorders>
            <w:shd w:val="clear" w:color="auto" w:fill="auto"/>
            <w:vAlign w:val="center"/>
            <w:hideMark/>
          </w:tcPr>
          <w:p w14:paraId="11556B6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506DDD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378244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3151FC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C70B03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A2429B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861D44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C19B6D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187D9B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3B79D7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w:t>
            </w:r>
          </w:p>
        </w:tc>
        <w:tc>
          <w:tcPr>
            <w:tcW w:w="0" w:type="auto"/>
            <w:tcBorders>
              <w:top w:val="nil"/>
              <w:left w:val="nil"/>
              <w:bottom w:val="nil"/>
              <w:right w:val="nil"/>
            </w:tcBorders>
            <w:shd w:val="clear" w:color="auto" w:fill="auto"/>
            <w:vAlign w:val="center"/>
            <w:hideMark/>
          </w:tcPr>
          <w:p w14:paraId="661FC3B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9</w:t>
            </w:r>
          </w:p>
        </w:tc>
        <w:tc>
          <w:tcPr>
            <w:tcW w:w="0" w:type="auto"/>
            <w:tcBorders>
              <w:top w:val="nil"/>
              <w:left w:val="nil"/>
              <w:bottom w:val="nil"/>
              <w:right w:val="nil"/>
            </w:tcBorders>
            <w:shd w:val="clear" w:color="auto" w:fill="auto"/>
            <w:vAlign w:val="center"/>
            <w:hideMark/>
          </w:tcPr>
          <w:p w14:paraId="6BA4A21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5EB3F4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17</w:t>
            </w:r>
          </w:p>
        </w:tc>
        <w:tc>
          <w:tcPr>
            <w:tcW w:w="0" w:type="auto"/>
            <w:tcBorders>
              <w:top w:val="nil"/>
              <w:left w:val="nil"/>
              <w:bottom w:val="nil"/>
              <w:right w:val="nil"/>
            </w:tcBorders>
            <w:shd w:val="clear" w:color="auto" w:fill="auto"/>
            <w:vAlign w:val="center"/>
            <w:hideMark/>
          </w:tcPr>
          <w:p w14:paraId="4CE812A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E20C53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A3BD24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3FF109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7</w:t>
            </w:r>
          </w:p>
        </w:tc>
        <w:tc>
          <w:tcPr>
            <w:tcW w:w="0" w:type="auto"/>
            <w:tcBorders>
              <w:top w:val="nil"/>
              <w:left w:val="nil"/>
              <w:bottom w:val="nil"/>
              <w:right w:val="nil"/>
            </w:tcBorders>
            <w:shd w:val="clear" w:color="auto" w:fill="auto"/>
            <w:vAlign w:val="center"/>
            <w:hideMark/>
          </w:tcPr>
          <w:p w14:paraId="1B2D259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7</w:t>
            </w:r>
          </w:p>
        </w:tc>
        <w:tc>
          <w:tcPr>
            <w:tcW w:w="0" w:type="auto"/>
            <w:tcBorders>
              <w:top w:val="nil"/>
              <w:left w:val="nil"/>
              <w:bottom w:val="nil"/>
              <w:right w:val="nil"/>
            </w:tcBorders>
            <w:shd w:val="clear" w:color="auto" w:fill="auto"/>
            <w:vAlign w:val="center"/>
            <w:hideMark/>
          </w:tcPr>
          <w:p w14:paraId="2E06C69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11F96FF1" w14:textId="77777777" w:rsidTr="00C336CB">
        <w:trPr>
          <w:trHeight w:val="340"/>
        </w:trPr>
        <w:tc>
          <w:tcPr>
            <w:tcW w:w="0" w:type="auto"/>
            <w:tcBorders>
              <w:top w:val="nil"/>
              <w:left w:val="nil"/>
              <w:bottom w:val="nil"/>
              <w:right w:val="nil"/>
            </w:tcBorders>
            <w:shd w:val="clear" w:color="auto" w:fill="auto"/>
            <w:vAlign w:val="center"/>
            <w:hideMark/>
          </w:tcPr>
          <w:p w14:paraId="0C34C858" w14:textId="5526BBF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Coolen et al. </w:t>
            </w:r>
            <w:r w:rsidR="002153F8">
              <w:rPr>
                <w:rFonts w:ascii="Times New Roman" w:eastAsia="Times New Roman" w:hAnsi="Times New Roman" w:cs="Times New Roman"/>
                <w:color w:val="000000"/>
                <w:sz w:val="13"/>
                <w:szCs w:val="13"/>
                <w:lang w:eastAsia="de-DE"/>
              </w:rPr>
              <w:fldChar w:fldCharType="begin"/>
            </w:r>
            <w:r w:rsidR="002153F8">
              <w:rPr>
                <w:rFonts w:ascii="Times New Roman" w:eastAsia="Times New Roman" w:hAnsi="Times New Roman" w:cs="Times New Roman"/>
                <w:color w:val="000000"/>
                <w:sz w:val="13"/>
                <w:szCs w:val="13"/>
                <w:lang w:eastAsia="de-DE"/>
              </w:rPr>
              <w:instrText xml:space="preserve"> ADDIN ZOTERO_ITEM CSL_CITATION {"citationID":"KE7wJ3U7","properties":{"formattedCitation":"\\super 54\\nosupersub{}","plainCitation":"54","noteIndex":0},"citationItems":[{"id":1616,"uris":["http://zotero.org/users/local/4rfnQu81/items/JUJ6RPMT"],"uri":["http://zotero.org/users/local/4rfnQu81/items/JUJ6RPMT"],"itemData":{"id":1616,"type":"article-journal","abstract":"OBJECTIVES: The severe acute respiratory syndrome coronavirus 2 (SARS-CoV-2) is considered to have potential neuroinvasiveness that might lead to acute brain disorders or contribute to respiratory distress in patients with coronavirus disease 2019 (COVID-19). This study investigates the occurrence of structural brain abnormalities in non-survivors of COVID-19 in a virtopsy framework. METHODS: In this prospective, monocentric, case series study, consecutive patients who fulfilled the following inclusion criteria benefited from an early postmortem structural brain MRI: death &lt;24 hours, SARS-CoV-2 detection on nasopharyngeal swab specimen, chest CT scan suggestive of COVID-19, absence of known focal brain lesion, and MRI compatibility. RESULTS: Among the 62 patients who died of COVID-19 from March 31, 2020, to April 24, 2020, at our institution, 19 decedents fulfilled the inclusion criteria. Parenchymal brain abnormalities were observed in 4 decedents: subcortical microbleeds and macrobleeds (2 decedents), cortico-subcortical edematous changes evocative of posterior reversible encephalopathy syndrome (PRES; 1 decedent), and nonspecific deep white matter changes (1 decedent). Asymmetric olfactory bulbs were found in 4 other decedents without downstream olfactory tract abnormalities. No brainstem MRI signal abnormality was observed. CONCLUSIONS: Postmortem brain MRI demonstrates hemorrhagic and PRES-related brain lesions in non-survivors of COVID-19. SARS-CoV-2-related olfactory impairment seems to be limited to olfactory bulbs. Brainstem MRI findings do not support a brain-related contribution to respiratory distress in COVID-19.","container-title":"Neurology","DOI":"10.1212/WNL.0000000000010116","ISSN":"1526-632X (Electronic)","issue":"14","language":"eng","note":"PMID: 32546654","page":"e2016–e2027","title":"Early postmortem brain MRI findings in COVID-19 non-survivors.","volume":"95","author":[{"family":"Coolen","given":"Tim"},{"family":"Lolli","given":"Valentina"},{"family":"Sadeghi","given":"Niloufar"},{"family":"Rovai","given":"Antonin"},{"family":"Trotta","given":"Nicola"},{"family":"Taccone","given":"Fabio Silvio"},{"family":"Creteur","given":"Jacques"},{"family":"Henrard","given":"Sophie"},{"family":"Goffard","given":"Jean-Christophe"},{"family":"Dewitte","given":"Olivier"},{"family":"Naeije","given":"Gilles"},{"family":"Goldman","given":"Serge"},{"family":"De Tiège","given":"Xavier"}],"issued":{"date-parts":[["2020",10]]}}}],"schema":"https://github.com/citation-style-language/schema/raw/master/csl-citation.json"} </w:instrText>
            </w:r>
            <w:r w:rsidR="002153F8">
              <w:rPr>
                <w:rFonts w:ascii="Times New Roman" w:eastAsia="Times New Roman" w:hAnsi="Times New Roman" w:cs="Times New Roman"/>
                <w:color w:val="000000"/>
                <w:sz w:val="13"/>
                <w:szCs w:val="13"/>
                <w:lang w:eastAsia="de-DE"/>
              </w:rPr>
              <w:fldChar w:fldCharType="separate"/>
            </w:r>
            <w:r w:rsidR="002153F8" w:rsidRPr="002153F8">
              <w:rPr>
                <w:rFonts w:ascii="Times New Roman" w:hAnsi="Times New Roman" w:cs="Times New Roman"/>
                <w:color w:val="000000"/>
                <w:sz w:val="13"/>
                <w:vertAlign w:val="superscript"/>
                <w:lang w:val="de-DE"/>
              </w:rPr>
              <w:t>54</w:t>
            </w:r>
            <w:r w:rsidR="002153F8">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vAlign w:val="center"/>
            <w:hideMark/>
          </w:tcPr>
          <w:p w14:paraId="5FF69DA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vAlign w:val="center"/>
            <w:hideMark/>
          </w:tcPr>
          <w:p w14:paraId="130AE6A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19</w:t>
            </w:r>
          </w:p>
        </w:tc>
        <w:tc>
          <w:tcPr>
            <w:tcW w:w="0" w:type="auto"/>
            <w:tcBorders>
              <w:top w:val="nil"/>
              <w:left w:val="nil"/>
              <w:bottom w:val="nil"/>
              <w:right w:val="nil"/>
            </w:tcBorders>
            <w:shd w:val="clear" w:color="auto" w:fill="auto"/>
            <w:vAlign w:val="center"/>
            <w:hideMark/>
          </w:tcPr>
          <w:p w14:paraId="243FB6D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B55261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CA3736F" w14:textId="27D338F9"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77</w:t>
            </w:r>
          </w:p>
        </w:tc>
        <w:tc>
          <w:tcPr>
            <w:tcW w:w="0" w:type="auto"/>
            <w:tcBorders>
              <w:top w:val="nil"/>
              <w:left w:val="nil"/>
              <w:bottom w:val="nil"/>
              <w:right w:val="nil"/>
            </w:tcBorders>
            <w:shd w:val="clear" w:color="auto" w:fill="auto"/>
            <w:vAlign w:val="center"/>
            <w:hideMark/>
          </w:tcPr>
          <w:p w14:paraId="359047C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B1FABE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912F01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w:t>
            </w:r>
          </w:p>
        </w:tc>
        <w:tc>
          <w:tcPr>
            <w:tcW w:w="0" w:type="auto"/>
            <w:tcBorders>
              <w:top w:val="nil"/>
              <w:left w:val="nil"/>
              <w:bottom w:val="nil"/>
              <w:right w:val="nil"/>
            </w:tcBorders>
            <w:shd w:val="clear" w:color="auto" w:fill="auto"/>
            <w:vAlign w:val="center"/>
            <w:hideMark/>
          </w:tcPr>
          <w:p w14:paraId="3690C81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18</w:t>
            </w:r>
          </w:p>
        </w:tc>
        <w:tc>
          <w:tcPr>
            <w:tcW w:w="0" w:type="auto"/>
            <w:tcBorders>
              <w:top w:val="nil"/>
              <w:left w:val="nil"/>
              <w:bottom w:val="nil"/>
              <w:right w:val="nil"/>
            </w:tcBorders>
            <w:shd w:val="clear" w:color="auto" w:fill="auto"/>
            <w:vAlign w:val="center"/>
            <w:hideMark/>
          </w:tcPr>
          <w:p w14:paraId="6B5812B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CD398F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CA0913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6EF3E5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336C61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w:t>
            </w:r>
          </w:p>
        </w:tc>
        <w:tc>
          <w:tcPr>
            <w:tcW w:w="0" w:type="auto"/>
            <w:tcBorders>
              <w:top w:val="nil"/>
              <w:left w:val="nil"/>
              <w:bottom w:val="nil"/>
              <w:right w:val="nil"/>
            </w:tcBorders>
            <w:shd w:val="clear" w:color="auto" w:fill="auto"/>
            <w:vAlign w:val="center"/>
            <w:hideMark/>
          </w:tcPr>
          <w:p w14:paraId="475AA60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B9FC7B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w:t>
            </w:r>
          </w:p>
        </w:tc>
        <w:tc>
          <w:tcPr>
            <w:tcW w:w="0" w:type="auto"/>
            <w:tcBorders>
              <w:top w:val="nil"/>
              <w:left w:val="nil"/>
              <w:bottom w:val="nil"/>
              <w:right w:val="nil"/>
            </w:tcBorders>
            <w:shd w:val="clear" w:color="auto" w:fill="auto"/>
            <w:vAlign w:val="center"/>
            <w:hideMark/>
          </w:tcPr>
          <w:p w14:paraId="3BBE60C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1194425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7FC28B8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56EA3A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6089757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46C45B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8BBAED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32F1F6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1D4C68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AD1ED1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282159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382906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20D3725B" w14:textId="77777777" w:rsidTr="00C336CB">
        <w:trPr>
          <w:trHeight w:val="340"/>
        </w:trPr>
        <w:tc>
          <w:tcPr>
            <w:tcW w:w="0" w:type="auto"/>
            <w:tcBorders>
              <w:top w:val="nil"/>
              <w:left w:val="nil"/>
              <w:bottom w:val="nil"/>
              <w:right w:val="nil"/>
            </w:tcBorders>
            <w:shd w:val="clear" w:color="auto" w:fill="auto"/>
            <w:vAlign w:val="center"/>
            <w:hideMark/>
          </w:tcPr>
          <w:p w14:paraId="29483051" w14:textId="24BC8482"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D’Amore et al. </w:t>
            </w:r>
            <w:r w:rsidR="002153F8">
              <w:rPr>
                <w:rFonts w:ascii="Times New Roman" w:eastAsia="Times New Roman" w:hAnsi="Times New Roman" w:cs="Times New Roman"/>
                <w:color w:val="000000"/>
                <w:sz w:val="13"/>
                <w:szCs w:val="13"/>
                <w:lang w:eastAsia="de-DE"/>
              </w:rPr>
              <w:fldChar w:fldCharType="begin"/>
            </w:r>
            <w:r w:rsidR="002153F8">
              <w:rPr>
                <w:rFonts w:ascii="Times New Roman" w:eastAsia="Times New Roman" w:hAnsi="Times New Roman" w:cs="Times New Roman"/>
                <w:color w:val="000000"/>
                <w:sz w:val="13"/>
                <w:szCs w:val="13"/>
                <w:lang w:eastAsia="de-DE"/>
              </w:rPr>
              <w:instrText xml:space="preserve"> ADDIN ZOTERO_ITEM CSL_CITATION {"citationID":"FJ8yx9GA","properties":{"formattedCitation":"\\super 55\\nosupersub{}","plainCitation":"55","noteIndex":0},"citationItems":[{"id":69,"uris":["http://zotero.org/users/local/4rfnQu81/items/CT6JEX73"],"uri":["http://zotero.org/users/local/4rfnQu81/items/CT6JEX73"],"itemData":{"id":69,"type":"article-journal","abstract":"Since December 2019, a novel Severe Acute Respiratory Syndrome coronavirus 2 from China has rapidly spread worldwide. Although respiratory involvement is the mainstay of coronavirus disease 2019 (COVID-19), systemic involvement has recently drawn more attention. In particular, a number of recent articles have shed light on the nervous system as one of the possible targets. At our institution, we observed 15 patients with acute brain vascular manifestations; most interesting, we had a higher prevalence of the posterior circulation acute impairment. In our series, 7 patients had acute posterior cerebral injury: 1, hemorrhagic posterior reversible encephalopathy syndrome; 5, posterior circulation ischemic stroke; and 1, parieto-occipital hemorrhagic stroke. On the basis of our evidence and previous basic science reports, we believe a common etiopathogenetic thread may connect ischemic/hemorrhagic events of the posterior circulation and posterior reversible encephalopathy syndrome in the setting of COVID-19.","container-title":"American Journal of Neuroradiology","DOI":"10.3174/ajnr.A6679","ISSN":"1936959X","issue":"10","note":"PMID: 32732268","page":"1800–1803","title":"Pressing issues in COVID-19: Probable cause to seize SARSCoV-2 for Its preferential involvement of posterior circulation manifesting as severe posterior reversible encephalopathy syndrome and posterior strokes","volume":"41","author":[{"family":"D'Amore","given":"F."},{"family":"Vinacci","given":"G."},{"family":"Agosti","given":"E."},{"family":"Cariddi","given":"L. P."},{"family":"Terrana","given":"A. V."},{"family":"Vizzari","given":"F. A."},{"family":"Mauri","given":"M."},{"family":"Giorgianni","given":"A."}],"issued":{"date-parts":[["2020"]]}}}],"schema":"https://github.com/citation-style-language/schema/raw/master/csl-citation.json"} </w:instrText>
            </w:r>
            <w:r w:rsidR="002153F8">
              <w:rPr>
                <w:rFonts w:ascii="Times New Roman" w:eastAsia="Times New Roman" w:hAnsi="Times New Roman" w:cs="Times New Roman"/>
                <w:color w:val="000000"/>
                <w:sz w:val="13"/>
                <w:szCs w:val="13"/>
                <w:lang w:eastAsia="de-DE"/>
              </w:rPr>
              <w:fldChar w:fldCharType="separate"/>
            </w:r>
            <w:r w:rsidR="002153F8" w:rsidRPr="002153F8">
              <w:rPr>
                <w:rFonts w:ascii="Times New Roman" w:hAnsi="Times New Roman" w:cs="Times New Roman"/>
                <w:color w:val="000000"/>
                <w:sz w:val="13"/>
                <w:vertAlign w:val="superscript"/>
                <w:lang w:val="de-DE"/>
              </w:rPr>
              <w:t>55</w:t>
            </w:r>
            <w:r w:rsidR="002153F8">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vAlign w:val="center"/>
            <w:hideMark/>
          </w:tcPr>
          <w:p w14:paraId="51725D0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vAlign w:val="center"/>
            <w:hideMark/>
          </w:tcPr>
          <w:p w14:paraId="2B66D77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9</w:t>
            </w:r>
          </w:p>
        </w:tc>
        <w:tc>
          <w:tcPr>
            <w:tcW w:w="0" w:type="auto"/>
            <w:tcBorders>
              <w:top w:val="nil"/>
              <w:left w:val="nil"/>
              <w:bottom w:val="nil"/>
              <w:right w:val="nil"/>
            </w:tcBorders>
            <w:shd w:val="clear" w:color="auto" w:fill="auto"/>
            <w:vAlign w:val="center"/>
            <w:hideMark/>
          </w:tcPr>
          <w:p w14:paraId="2363C8F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62281E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4DF502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612564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884125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DC18BA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518121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779BBB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423356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5C43C5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44B5E2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A67A68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56D6BC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1CBA09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BDD3DD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19936C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7DD7E89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5F035A7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w:t>
            </w:r>
          </w:p>
        </w:tc>
        <w:tc>
          <w:tcPr>
            <w:tcW w:w="0" w:type="auto"/>
            <w:tcBorders>
              <w:top w:val="nil"/>
              <w:left w:val="nil"/>
              <w:bottom w:val="nil"/>
              <w:right w:val="nil"/>
            </w:tcBorders>
            <w:shd w:val="clear" w:color="auto" w:fill="auto"/>
            <w:vAlign w:val="center"/>
            <w:hideMark/>
          </w:tcPr>
          <w:p w14:paraId="1EB3B26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6ECFBAF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w:t>
            </w:r>
          </w:p>
        </w:tc>
        <w:tc>
          <w:tcPr>
            <w:tcW w:w="0" w:type="auto"/>
            <w:tcBorders>
              <w:top w:val="nil"/>
              <w:left w:val="nil"/>
              <w:bottom w:val="nil"/>
              <w:right w:val="nil"/>
            </w:tcBorders>
            <w:shd w:val="clear" w:color="auto" w:fill="auto"/>
            <w:vAlign w:val="center"/>
            <w:hideMark/>
          </w:tcPr>
          <w:p w14:paraId="32453DC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w:t>
            </w:r>
          </w:p>
        </w:tc>
        <w:tc>
          <w:tcPr>
            <w:tcW w:w="0" w:type="auto"/>
            <w:tcBorders>
              <w:top w:val="nil"/>
              <w:left w:val="nil"/>
              <w:bottom w:val="nil"/>
              <w:right w:val="nil"/>
            </w:tcBorders>
            <w:shd w:val="clear" w:color="auto" w:fill="auto"/>
            <w:vAlign w:val="center"/>
            <w:hideMark/>
          </w:tcPr>
          <w:p w14:paraId="255FA1E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60D2237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w:t>
            </w:r>
          </w:p>
        </w:tc>
        <w:tc>
          <w:tcPr>
            <w:tcW w:w="0" w:type="auto"/>
            <w:tcBorders>
              <w:top w:val="nil"/>
              <w:left w:val="nil"/>
              <w:bottom w:val="nil"/>
              <w:right w:val="nil"/>
            </w:tcBorders>
            <w:shd w:val="clear" w:color="auto" w:fill="auto"/>
            <w:vAlign w:val="center"/>
            <w:hideMark/>
          </w:tcPr>
          <w:p w14:paraId="78A8115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2AEAA9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61D28D1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474E6B75" w14:textId="77777777" w:rsidTr="00C336CB">
        <w:trPr>
          <w:trHeight w:val="340"/>
        </w:trPr>
        <w:tc>
          <w:tcPr>
            <w:tcW w:w="0" w:type="auto"/>
            <w:tcBorders>
              <w:top w:val="nil"/>
              <w:left w:val="nil"/>
              <w:bottom w:val="nil"/>
              <w:right w:val="nil"/>
            </w:tcBorders>
            <w:shd w:val="clear" w:color="auto" w:fill="auto"/>
            <w:vAlign w:val="center"/>
            <w:hideMark/>
          </w:tcPr>
          <w:p w14:paraId="6AD6DF8D" w14:textId="5B1644BF"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Dogra et al. </w:t>
            </w:r>
            <w:r w:rsidR="00CE05CD">
              <w:rPr>
                <w:rFonts w:ascii="Times New Roman" w:eastAsia="Times New Roman" w:hAnsi="Times New Roman" w:cs="Times New Roman"/>
                <w:color w:val="000000"/>
                <w:sz w:val="13"/>
                <w:szCs w:val="13"/>
                <w:lang w:eastAsia="de-DE"/>
              </w:rPr>
              <w:fldChar w:fldCharType="begin"/>
            </w:r>
            <w:r w:rsidR="00CE05CD">
              <w:rPr>
                <w:rFonts w:ascii="Times New Roman" w:eastAsia="Times New Roman" w:hAnsi="Times New Roman" w:cs="Times New Roman"/>
                <w:color w:val="000000"/>
                <w:sz w:val="13"/>
                <w:szCs w:val="13"/>
                <w:lang w:eastAsia="de-DE"/>
              </w:rPr>
              <w:instrText xml:space="preserve"> ADDIN ZOTERO_ITEM CSL_CITATION {"citationID":"XsVdnkNS","properties":{"formattedCitation":"\\super 56\\nosupersub{}","plainCitation":"56","noteIndex":0},"citationItems":[{"id":66,"uris":["http://zotero.org/users/local/4rfnQu81/items/5H6D8S66"],"uri":["http://zotero.org/users/local/4rfnQu81/items/5H6D8S66"],"itemData":{"id":66,"type":"article-journal","abstract":"BACKGROUND AND PURPOSE: Patients with the Coronavirus Disease of 2019 (COVID-19) are at increased risk for thrombotic events and mortality. Various anticoagulation regimens are now being considered for these patients. Anticoagulation is known to increase the risk for adverse bleeding events, of which intracranial hemorrhage (ICH) is one of the most feared. We present a retrospective study of 33 patients positive for COVID-19 with neuroimaging-documented ICH and examine anticoagulation use in this population. METHODS: Patients over the age of 18 with confirmed COVID-19 and radiographic evidence of ICH were included in this study. Evidence of hemorrhage was confirmed and categorized by a fellowship trained neuroradiologist. Electronic health records were analyzed for patient information including demographic data, medical history, hospital course, laboratory values, and medications. RESULTS: We identified 33 COVID-19 positive patients with ICH, mean age 61.6 years (range 37-83 years), 21.2% of whom were female. Parenchymal hemorrhages with mass effect and herniation occurred in 5 (15.2%) patients, with a 100% mortality rate. Of the remaining 28 patients with ICH, 7 (25%) had punctate hemorrhages, 17 (60.7%) had small- moderate size hemorrhages, and 4 (14.3%) had a large single site of hemorrhage without evidence of herniation. Almost all patients received either therapeutic dose anticoagulation (in 22 [66.7%] patients) or prophylactic dose (in 3 [9.1] patients) prior to ICH discovery. CONCLUSIONS: Anticoagulation therapy may be considered in patients with COVID-19 though the risk of ICH should be taken into account when developing a treatment regimen.","container-title":"Journal of stroke and cerebrovascular diseases : the official journal of National Stroke Association","DOI":"10.1016/j.jstrokecerebrovasdis.2020.104984","ISSN":"1532-8511 (Electronic)","issue":"8","language":"eng","note":"PMID: 32689588","page":"104984","title":"Hemorrhagic stroke and anticoagulation in COVID-19.","volume":"29","author":[{"family":"Dogra","given":"Siddhant"},{"family":"Jain","given":"Rajan"},{"family":"Cao","given":"Meng"},{"family":"Bilaloglu","given":"Seda"},{"family":"Zagzag","given":"David"},{"family":"Hochman","given":"Sarah"},{"family":"Lewis","given":"Ariane"},{"family":"Melmed","given":"Kara"},{"family":"Hochman","given":"Katherine"},{"family":"Horwitz","given":"Leora"},{"family":"Galetta","given":"Steven"},{"family":"Berger","given":"Jeffrey"}],"issued":{"date-parts":[["2020",8]]}}}],"schema":"https://github.com/citation-style-language/schema/raw/master/csl-citation.json"} </w:instrText>
            </w:r>
            <w:r w:rsidR="00CE05CD">
              <w:rPr>
                <w:rFonts w:ascii="Times New Roman" w:eastAsia="Times New Roman" w:hAnsi="Times New Roman" w:cs="Times New Roman"/>
                <w:color w:val="000000"/>
                <w:sz w:val="13"/>
                <w:szCs w:val="13"/>
                <w:lang w:eastAsia="de-DE"/>
              </w:rPr>
              <w:fldChar w:fldCharType="separate"/>
            </w:r>
            <w:r w:rsidR="00CE05CD" w:rsidRPr="00CE05CD">
              <w:rPr>
                <w:rFonts w:ascii="Times New Roman" w:hAnsi="Times New Roman" w:cs="Times New Roman"/>
                <w:color w:val="000000"/>
                <w:sz w:val="13"/>
                <w:vertAlign w:val="superscript"/>
                <w:lang w:val="de-DE"/>
              </w:rPr>
              <w:t>56</w:t>
            </w:r>
            <w:r w:rsidR="00CE05CD">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vAlign w:val="center"/>
            <w:hideMark/>
          </w:tcPr>
          <w:p w14:paraId="504B23E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vAlign w:val="center"/>
            <w:hideMark/>
          </w:tcPr>
          <w:p w14:paraId="6DAD1C2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33</w:t>
            </w:r>
          </w:p>
        </w:tc>
        <w:tc>
          <w:tcPr>
            <w:tcW w:w="0" w:type="auto"/>
            <w:tcBorders>
              <w:top w:val="nil"/>
              <w:left w:val="nil"/>
              <w:bottom w:val="nil"/>
              <w:right w:val="nil"/>
            </w:tcBorders>
            <w:shd w:val="clear" w:color="auto" w:fill="auto"/>
            <w:vAlign w:val="center"/>
            <w:hideMark/>
          </w:tcPr>
          <w:p w14:paraId="251EBA3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4.37%</w:t>
            </w:r>
          </w:p>
        </w:tc>
        <w:tc>
          <w:tcPr>
            <w:tcW w:w="0" w:type="auto"/>
            <w:tcBorders>
              <w:top w:val="nil"/>
              <w:left w:val="nil"/>
              <w:bottom w:val="nil"/>
              <w:right w:val="nil"/>
            </w:tcBorders>
            <w:shd w:val="clear" w:color="auto" w:fill="auto"/>
            <w:vAlign w:val="center"/>
            <w:hideMark/>
          </w:tcPr>
          <w:p w14:paraId="26DAE87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42.42%</w:t>
            </w:r>
          </w:p>
        </w:tc>
        <w:tc>
          <w:tcPr>
            <w:tcW w:w="0" w:type="auto"/>
            <w:tcBorders>
              <w:top w:val="nil"/>
              <w:left w:val="nil"/>
              <w:bottom w:val="nil"/>
              <w:right w:val="nil"/>
            </w:tcBorders>
            <w:shd w:val="clear" w:color="auto" w:fill="auto"/>
            <w:vAlign w:val="center"/>
            <w:hideMark/>
          </w:tcPr>
          <w:p w14:paraId="3714C2D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62</w:t>
            </w:r>
          </w:p>
        </w:tc>
        <w:tc>
          <w:tcPr>
            <w:tcW w:w="0" w:type="auto"/>
            <w:tcBorders>
              <w:top w:val="nil"/>
              <w:left w:val="nil"/>
              <w:bottom w:val="nil"/>
              <w:right w:val="nil"/>
            </w:tcBorders>
            <w:shd w:val="clear" w:color="auto" w:fill="auto"/>
            <w:noWrap/>
            <w:vAlign w:val="center"/>
            <w:hideMark/>
          </w:tcPr>
          <w:p w14:paraId="3283B95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26A863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BABC1A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72FE23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305D5E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1EB15A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2AA2CE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12</w:t>
            </w:r>
          </w:p>
        </w:tc>
        <w:tc>
          <w:tcPr>
            <w:tcW w:w="0" w:type="auto"/>
            <w:tcBorders>
              <w:top w:val="nil"/>
              <w:left w:val="nil"/>
              <w:bottom w:val="nil"/>
              <w:right w:val="nil"/>
            </w:tcBorders>
            <w:shd w:val="clear" w:color="auto" w:fill="auto"/>
            <w:vAlign w:val="center"/>
            <w:hideMark/>
          </w:tcPr>
          <w:p w14:paraId="7589DBE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4C6376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17</w:t>
            </w:r>
          </w:p>
        </w:tc>
        <w:tc>
          <w:tcPr>
            <w:tcW w:w="0" w:type="auto"/>
            <w:tcBorders>
              <w:top w:val="nil"/>
              <w:left w:val="nil"/>
              <w:bottom w:val="nil"/>
              <w:right w:val="nil"/>
            </w:tcBorders>
            <w:shd w:val="clear" w:color="auto" w:fill="auto"/>
            <w:vAlign w:val="center"/>
            <w:hideMark/>
          </w:tcPr>
          <w:p w14:paraId="03479E3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D8D883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9B040F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w:t>
            </w:r>
          </w:p>
        </w:tc>
        <w:tc>
          <w:tcPr>
            <w:tcW w:w="0" w:type="auto"/>
            <w:tcBorders>
              <w:top w:val="nil"/>
              <w:left w:val="nil"/>
              <w:bottom w:val="nil"/>
              <w:right w:val="nil"/>
            </w:tcBorders>
            <w:shd w:val="clear" w:color="auto" w:fill="auto"/>
            <w:vAlign w:val="center"/>
            <w:hideMark/>
          </w:tcPr>
          <w:p w14:paraId="29B9F69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7</w:t>
            </w:r>
          </w:p>
        </w:tc>
        <w:tc>
          <w:tcPr>
            <w:tcW w:w="0" w:type="auto"/>
            <w:tcBorders>
              <w:top w:val="nil"/>
              <w:left w:val="nil"/>
              <w:bottom w:val="nil"/>
              <w:right w:val="nil"/>
            </w:tcBorders>
            <w:shd w:val="clear" w:color="auto" w:fill="auto"/>
            <w:vAlign w:val="center"/>
            <w:hideMark/>
          </w:tcPr>
          <w:p w14:paraId="5E34C52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97D71D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26</w:t>
            </w:r>
          </w:p>
        </w:tc>
        <w:tc>
          <w:tcPr>
            <w:tcW w:w="0" w:type="auto"/>
            <w:tcBorders>
              <w:top w:val="nil"/>
              <w:left w:val="nil"/>
              <w:bottom w:val="nil"/>
              <w:right w:val="nil"/>
            </w:tcBorders>
            <w:shd w:val="clear" w:color="auto" w:fill="auto"/>
            <w:vAlign w:val="center"/>
            <w:hideMark/>
          </w:tcPr>
          <w:p w14:paraId="4C862AA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21F8D8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F846E3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6854AD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293D9B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D1323C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24F95C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32</w:t>
            </w:r>
          </w:p>
        </w:tc>
        <w:tc>
          <w:tcPr>
            <w:tcW w:w="0" w:type="auto"/>
            <w:tcBorders>
              <w:top w:val="nil"/>
              <w:left w:val="nil"/>
              <w:bottom w:val="nil"/>
              <w:right w:val="nil"/>
            </w:tcBorders>
            <w:shd w:val="clear" w:color="auto" w:fill="auto"/>
            <w:vAlign w:val="center"/>
            <w:hideMark/>
          </w:tcPr>
          <w:p w14:paraId="1230E3A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3D056258" w14:textId="77777777" w:rsidTr="00C336CB">
        <w:trPr>
          <w:trHeight w:val="340"/>
        </w:trPr>
        <w:tc>
          <w:tcPr>
            <w:tcW w:w="0" w:type="auto"/>
            <w:tcBorders>
              <w:top w:val="nil"/>
              <w:left w:val="nil"/>
              <w:bottom w:val="nil"/>
              <w:right w:val="nil"/>
            </w:tcBorders>
            <w:shd w:val="clear" w:color="auto" w:fill="auto"/>
            <w:vAlign w:val="center"/>
            <w:hideMark/>
          </w:tcPr>
          <w:p w14:paraId="267D4CA9" w14:textId="69C2515F"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Fitisiori et al. </w:t>
            </w:r>
            <w:r w:rsidR="00CE05CD">
              <w:rPr>
                <w:rFonts w:ascii="Times New Roman" w:eastAsia="Times New Roman" w:hAnsi="Times New Roman" w:cs="Times New Roman"/>
                <w:color w:val="000000"/>
                <w:sz w:val="13"/>
                <w:szCs w:val="13"/>
                <w:lang w:eastAsia="de-DE"/>
              </w:rPr>
              <w:fldChar w:fldCharType="begin"/>
            </w:r>
            <w:r w:rsidR="00CE05CD">
              <w:rPr>
                <w:rFonts w:ascii="Times New Roman" w:eastAsia="Times New Roman" w:hAnsi="Times New Roman" w:cs="Times New Roman"/>
                <w:color w:val="000000"/>
                <w:sz w:val="13"/>
                <w:szCs w:val="13"/>
                <w:lang w:eastAsia="de-DE"/>
              </w:rPr>
              <w:instrText xml:space="preserve"> ADDIN ZOTERO_ITEM CSL_CITATION {"citationID":"9Kh1bIhM","properties":{"formattedCitation":"\\super 57\\nosupersub{}","plainCitation":"57","noteIndex":0},"citationItems":[{"id":209,"uris":["http://zotero.org/users/local/4rfnQu81/items/B3A4M6YE"],"uri":["http://zotero.org/users/local/4rfnQu81/items/B3A4M6YE"],"itemData":{"id":209,"type":"article-journal","abstract":"BACKGROUND AND PURPOSE: Covid-19, initially described as a respiratory system's infection, is currently more and more recognized as a multiorganic disease, including neurological manifestations. There is growing evidence about a potential neuroinvasive role of SARS-CoV-2. The purpose of this study is to describe new findings, in the form of cerebral microbleeds affecting different brain structures, observed in MRIs of critically ill patients. METHODS: For this purpose, the MR images of 9 patients with a common pattern of abnormal findings (2 women/7 men; 55-79 years of age; mean age: 67.7 years) were depicted. All patients were tested positive for SARS-CoV-2 and presented with delayed recovery of consciousness or important agitation, requiring brain MRI. RESULTS: All patients had suffered from severe (5/9) or moderate (4/9) acute respiratory distress syndrome, requiring prolonged stay in the intensive care unit. Their common MRI finding was the presence of microbleeds in unusual distribution with a specific predilection for the corpus callosum. Other uncommon locations of microbleeds were the internal capsule (5/9), as well as middle cerebellar peduncles (5/9). Subcortical regions were also affected in the majority of patients. CONCLUSIONS: Brain MRI raised evidence that Covid-19 or its related treatment may involve the brain with an unusual pattern of microbleeds, predominantly affecting the corpus callosum. The mechanism of this finding is still unclear but the differential diagnosis should include thrombotic microangiopathy related to direct or indirect-through the cytokine cascade-damage by the SARS-CoV-2 on the endothelium of brain's vessels, as well as mechanisms similar to the hypoxemia brain-blood-barrier injury.","container-title":"Journal of neuroimaging : official journal of the American Society of Neuroimaging","DOI":"10.1111/jon.12755","ISSN":"1552-6569 (Electronic)","issue":"5","language":"eng","note":"PMID: 32639679","page":"593–597","title":"COVID-19 is Associated with an Unusual Pattern of Brain Microbleeds in Critically Ill Patients.","volume":"30","author":[{"family":"Fitsiori","given":"Aikaterini"},{"family":"Pugin","given":"Deborah"},{"family":"Thieffry","given":"Camille"},{"family":"Lalive","given":"Patrice"},{"family":"Vargas","given":"Maria Isabel"}],"issued":{"date-parts":[["2020",9]]}}}],"schema":"https://github.com/citation-style-language/schema/raw/master/csl-citation.json"} </w:instrText>
            </w:r>
            <w:r w:rsidR="00CE05CD">
              <w:rPr>
                <w:rFonts w:ascii="Times New Roman" w:eastAsia="Times New Roman" w:hAnsi="Times New Roman" w:cs="Times New Roman"/>
                <w:color w:val="000000"/>
                <w:sz w:val="13"/>
                <w:szCs w:val="13"/>
                <w:lang w:eastAsia="de-DE"/>
              </w:rPr>
              <w:fldChar w:fldCharType="separate"/>
            </w:r>
            <w:r w:rsidR="00CE05CD" w:rsidRPr="00CE05CD">
              <w:rPr>
                <w:rFonts w:ascii="Times New Roman" w:hAnsi="Times New Roman" w:cs="Times New Roman"/>
                <w:color w:val="000000"/>
                <w:sz w:val="13"/>
                <w:vertAlign w:val="superscript"/>
                <w:lang w:val="de-DE"/>
              </w:rPr>
              <w:t>57</w:t>
            </w:r>
            <w:r w:rsidR="00CE05CD">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vAlign w:val="center"/>
            <w:hideMark/>
          </w:tcPr>
          <w:p w14:paraId="2FF2AB1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vAlign w:val="center"/>
            <w:hideMark/>
          </w:tcPr>
          <w:p w14:paraId="0B9B487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9</w:t>
            </w:r>
          </w:p>
        </w:tc>
        <w:tc>
          <w:tcPr>
            <w:tcW w:w="0" w:type="auto"/>
            <w:tcBorders>
              <w:top w:val="nil"/>
              <w:left w:val="nil"/>
              <w:bottom w:val="nil"/>
              <w:right w:val="nil"/>
            </w:tcBorders>
            <w:shd w:val="clear" w:color="auto" w:fill="auto"/>
            <w:vAlign w:val="center"/>
            <w:hideMark/>
          </w:tcPr>
          <w:p w14:paraId="5F3790E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1C0184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716F8A5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68</w:t>
            </w:r>
          </w:p>
        </w:tc>
        <w:tc>
          <w:tcPr>
            <w:tcW w:w="0" w:type="auto"/>
            <w:tcBorders>
              <w:top w:val="nil"/>
              <w:left w:val="nil"/>
              <w:bottom w:val="nil"/>
              <w:right w:val="nil"/>
            </w:tcBorders>
            <w:shd w:val="clear" w:color="auto" w:fill="auto"/>
            <w:noWrap/>
            <w:vAlign w:val="center"/>
            <w:hideMark/>
          </w:tcPr>
          <w:p w14:paraId="5F1B413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3A290F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E9FF1F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8</w:t>
            </w:r>
          </w:p>
        </w:tc>
        <w:tc>
          <w:tcPr>
            <w:tcW w:w="0" w:type="auto"/>
            <w:tcBorders>
              <w:top w:val="nil"/>
              <w:left w:val="nil"/>
              <w:bottom w:val="nil"/>
              <w:right w:val="nil"/>
            </w:tcBorders>
            <w:shd w:val="clear" w:color="auto" w:fill="auto"/>
            <w:vAlign w:val="center"/>
            <w:hideMark/>
          </w:tcPr>
          <w:p w14:paraId="5913D28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w:t>
            </w:r>
          </w:p>
        </w:tc>
        <w:tc>
          <w:tcPr>
            <w:tcW w:w="0" w:type="auto"/>
            <w:tcBorders>
              <w:top w:val="nil"/>
              <w:left w:val="nil"/>
              <w:bottom w:val="nil"/>
              <w:right w:val="nil"/>
            </w:tcBorders>
            <w:shd w:val="clear" w:color="auto" w:fill="auto"/>
            <w:vAlign w:val="center"/>
            <w:hideMark/>
          </w:tcPr>
          <w:p w14:paraId="6880478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C43FE2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778D86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213E6C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3</w:t>
            </w:r>
          </w:p>
        </w:tc>
        <w:tc>
          <w:tcPr>
            <w:tcW w:w="0" w:type="auto"/>
            <w:tcBorders>
              <w:top w:val="nil"/>
              <w:left w:val="nil"/>
              <w:bottom w:val="nil"/>
              <w:right w:val="nil"/>
            </w:tcBorders>
            <w:shd w:val="clear" w:color="auto" w:fill="auto"/>
            <w:vAlign w:val="center"/>
            <w:hideMark/>
          </w:tcPr>
          <w:p w14:paraId="0088381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w:t>
            </w:r>
          </w:p>
        </w:tc>
        <w:tc>
          <w:tcPr>
            <w:tcW w:w="0" w:type="auto"/>
            <w:tcBorders>
              <w:top w:val="nil"/>
              <w:left w:val="nil"/>
              <w:bottom w:val="nil"/>
              <w:right w:val="nil"/>
            </w:tcBorders>
            <w:shd w:val="clear" w:color="auto" w:fill="auto"/>
            <w:vAlign w:val="center"/>
            <w:hideMark/>
          </w:tcPr>
          <w:p w14:paraId="04DC398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F969C0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FEB695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5346E0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9</w:t>
            </w:r>
          </w:p>
        </w:tc>
        <w:tc>
          <w:tcPr>
            <w:tcW w:w="0" w:type="auto"/>
            <w:tcBorders>
              <w:top w:val="nil"/>
              <w:left w:val="nil"/>
              <w:bottom w:val="nil"/>
              <w:right w:val="nil"/>
            </w:tcBorders>
            <w:shd w:val="clear" w:color="auto" w:fill="auto"/>
            <w:vAlign w:val="center"/>
            <w:hideMark/>
          </w:tcPr>
          <w:p w14:paraId="676CC1A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24EF53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A224A5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08B0C7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16A7D7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D5CDDB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EB3270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9EDF41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8BAE6F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53A35F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064DFBDC" w14:textId="77777777" w:rsidTr="00C336CB">
        <w:trPr>
          <w:trHeight w:val="340"/>
        </w:trPr>
        <w:tc>
          <w:tcPr>
            <w:tcW w:w="0" w:type="auto"/>
            <w:tcBorders>
              <w:top w:val="nil"/>
              <w:left w:val="nil"/>
              <w:bottom w:val="nil"/>
              <w:right w:val="nil"/>
            </w:tcBorders>
            <w:shd w:val="clear" w:color="auto" w:fill="auto"/>
            <w:vAlign w:val="center"/>
            <w:hideMark/>
          </w:tcPr>
          <w:p w14:paraId="129A9281" w14:textId="08A128EF"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Katz et al. </w:t>
            </w:r>
            <w:r w:rsidR="00CE05CD">
              <w:rPr>
                <w:rFonts w:ascii="Times New Roman" w:eastAsia="Times New Roman" w:hAnsi="Times New Roman" w:cs="Times New Roman"/>
                <w:color w:val="000000"/>
                <w:sz w:val="13"/>
                <w:szCs w:val="13"/>
                <w:lang w:eastAsia="de-DE"/>
              </w:rPr>
              <w:fldChar w:fldCharType="begin"/>
            </w:r>
            <w:r w:rsidR="00CE05CD">
              <w:rPr>
                <w:rFonts w:ascii="Times New Roman" w:eastAsia="Times New Roman" w:hAnsi="Times New Roman" w:cs="Times New Roman"/>
                <w:color w:val="000000"/>
                <w:sz w:val="13"/>
                <w:szCs w:val="13"/>
                <w:lang w:eastAsia="de-DE"/>
              </w:rPr>
              <w:instrText xml:space="preserve"> ADDIN ZOTERO_ITEM CSL_CITATION {"citationID":"NxiMKkE4","properties":{"formattedCitation":"\\super 58\\nosupersub{}","plainCitation":"58","noteIndex":0},"citationItems":[{"id":103,"uris":["http://zotero.org/users/local/4rfnQu81/items/DY4Q8IU7"],"uri":["http://zotero.org/users/local/4rfnQu81/items/DY4Q8IU7"],"itemData":{"id":103,"type":"article-journal","abstract":"BACKGROUND AND PURPOSE: Coronavirus disease 2019 (COVID-19) appears to be an independent risk factor for stroke. We hypothesize that patients who develop stroke while hospitalized for severe COVID-19 will have higher inflammatory markers and distinct stroke imaging patterns compared with patients positive for COVID-19 with out-of-hospital stroke onset and milder or no COVID-19 symptoms. MATERIALS AND METHODS: This is a retrospective case series of patients positive for COVID-19 on polymerase chain reaction testing with imaging-confirmed stroke treated within a large health care network in New York City and Long Island between March 14 and April 26, 2020. Clinical and laboratory data collected retrospectively included complete blood counts and creatinine, alanine aminotransferase, lactate dehydrogenase, C-reactive protein, ferritin, and D-dimer levels. All CT and MR imaging studies were independently reviewed by 2 neuroradiologists who recorded stroke subtype and patterns of infarction and intracranial hemorrhage. RESULTS: Compared with patients with COVID-19 with outside-of-hospital stroke onset and milder or no COVID-19 symptoms (n = 45, 52.3%), patients with stroke already hospitalized for severe COVID-19 (n = 41, 47.7%) had significantly more frequent infarctions (95.1% versus 73.3%, P = .006), with multivascular distributions (56.4% versus 33.3%, P = .022) and associated hemorrhage (31.7% versus 4.4%, P = .001). Patients with stroke admitted with more severe COVID-19 had significantly higher C-reactive protein and ferritin levels, elevated D-dimer levels, and more frequent lymphopenia and renal and hepatic injury (all, P &lt; .003). CONCLUSIONS: Patients with stroke hospitalized with severe COVID-19 are characterized by higher inflammatory, coagulopathy, and tissue-damage biomarkers, supporting proposed pathogenic mechanisms of hyperinflammation activating a prothrombotic state. Cautious balancing of thrombosis and the risk of hemorrhagic transformation is warranted when considering anticoagulation.","container-title":"AJNR. American journal of neuroradiology","DOI":"10.3174/ajnr.A6920","ISSN":"1936-959X (Electronic)","language":"eng","note":"PMID: 33122216","title":"COVID-19 Severity and Stroke: Correlation of Imaging and Laboratory Markers.","author":[{"family":"Katz","given":"J M"},{"family":"Libman","given":"R B"},{"family":"Wang","given":"J J"},{"family":"Filippi","given":"C G"},{"family":"Sanelli","given":"P"},{"family":"Zlochower","given":"A"},{"family":"Gribko","given":"M"},{"family":"Pacia","given":"S V"},{"family":"Kuzniecky","given":"R I"},{"family":"Najjar","given":"S"},{"family":"Azhar","given":"S"}],"issued":{"date-parts":[["2020",10]]}}}],"schema":"https://github.com/citation-style-language/schema/raw/master/csl-citation.json"} </w:instrText>
            </w:r>
            <w:r w:rsidR="00CE05CD">
              <w:rPr>
                <w:rFonts w:ascii="Times New Roman" w:eastAsia="Times New Roman" w:hAnsi="Times New Roman" w:cs="Times New Roman"/>
                <w:color w:val="000000"/>
                <w:sz w:val="13"/>
                <w:szCs w:val="13"/>
                <w:lang w:eastAsia="de-DE"/>
              </w:rPr>
              <w:fldChar w:fldCharType="separate"/>
            </w:r>
            <w:r w:rsidR="00CE05CD" w:rsidRPr="00CE05CD">
              <w:rPr>
                <w:rFonts w:ascii="Times New Roman" w:hAnsi="Times New Roman" w:cs="Times New Roman"/>
                <w:color w:val="000000"/>
                <w:sz w:val="13"/>
                <w:vertAlign w:val="superscript"/>
                <w:lang w:val="de-DE"/>
              </w:rPr>
              <w:t>58</w:t>
            </w:r>
            <w:r w:rsidR="00CE05CD">
              <w:rPr>
                <w:rFonts w:ascii="Times New Roman" w:eastAsia="Times New Roman" w:hAnsi="Times New Roman" w:cs="Times New Roman"/>
                <w:color w:val="000000"/>
                <w:sz w:val="13"/>
                <w:szCs w:val="13"/>
                <w:lang w:eastAsia="de-DE"/>
              </w:rPr>
              <w:fldChar w:fldCharType="end"/>
            </w:r>
            <w:r w:rsidR="00CE05CD">
              <w:rPr>
                <w:rFonts w:ascii="Times New Roman" w:eastAsia="Times New Roman" w:hAnsi="Times New Roman" w:cs="Times New Roman"/>
                <w:color w:val="000000"/>
                <w:sz w:val="13"/>
                <w:szCs w:val="13"/>
                <w:lang w:eastAsia="de-DE"/>
              </w:rPr>
              <w:fldChar w:fldCharType="begin"/>
            </w:r>
            <w:r w:rsidR="00CE05CD">
              <w:rPr>
                <w:rFonts w:ascii="Times New Roman" w:eastAsia="Times New Roman" w:hAnsi="Times New Roman" w:cs="Times New Roman"/>
                <w:color w:val="000000"/>
                <w:sz w:val="13"/>
                <w:szCs w:val="13"/>
                <w:lang w:eastAsia="de-DE"/>
              </w:rPr>
              <w:instrText xml:space="preserve"> ADDIN ZOTERO_TEMP </w:instrText>
            </w:r>
            <w:r w:rsidR="00C15E0E">
              <w:rPr>
                <w:rFonts w:ascii="Times New Roman" w:eastAsia="Times New Roman" w:hAnsi="Times New Roman" w:cs="Times New Roman"/>
                <w:color w:val="000000"/>
                <w:sz w:val="13"/>
                <w:szCs w:val="13"/>
                <w:lang w:eastAsia="de-DE"/>
              </w:rPr>
              <w:fldChar w:fldCharType="separate"/>
            </w:r>
            <w:r w:rsidR="00CE05CD">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vAlign w:val="center"/>
            <w:hideMark/>
          </w:tcPr>
          <w:p w14:paraId="4EF30BB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vAlign w:val="center"/>
            <w:hideMark/>
          </w:tcPr>
          <w:p w14:paraId="5D1670A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29</w:t>
            </w:r>
          </w:p>
        </w:tc>
        <w:tc>
          <w:tcPr>
            <w:tcW w:w="0" w:type="auto"/>
            <w:tcBorders>
              <w:top w:val="nil"/>
              <w:left w:val="nil"/>
              <w:bottom w:val="nil"/>
              <w:right w:val="nil"/>
            </w:tcBorders>
            <w:shd w:val="clear" w:color="auto" w:fill="auto"/>
            <w:vAlign w:val="center"/>
            <w:hideMark/>
          </w:tcPr>
          <w:p w14:paraId="40ECC7C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6B9FD7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0.27%</w:t>
            </w:r>
          </w:p>
        </w:tc>
        <w:tc>
          <w:tcPr>
            <w:tcW w:w="0" w:type="auto"/>
            <w:tcBorders>
              <w:top w:val="nil"/>
              <w:left w:val="nil"/>
              <w:bottom w:val="nil"/>
              <w:right w:val="nil"/>
            </w:tcBorders>
            <w:shd w:val="clear" w:color="auto" w:fill="auto"/>
            <w:vAlign w:val="center"/>
            <w:hideMark/>
          </w:tcPr>
          <w:p w14:paraId="383D404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0D6D3C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C87752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3A6165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5B2B6E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420A75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3BFCCF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0278B0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80C8CB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47E284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6DC450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B50BC1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34D829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F96F34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D00D02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33D55D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312B01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EFAF2F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C47008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w:t>
            </w:r>
          </w:p>
        </w:tc>
        <w:tc>
          <w:tcPr>
            <w:tcW w:w="0" w:type="auto"/>
            <w:tcBorders>
              <w:top w:val="nil"/>
              <w:left w:val="nil"/>
              <w:bottom w:val="nil"/>
              <w:right w:val="nil"/>
            </w:tcBorders>
            <w:shd w:val="clear" w:color="auto" w:fill="auto"/>
            <w:vAlign w:val="center"/>
            <w:hideMark/>
          </w:tcPr>
          <w:p w14:paraId="7AED553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7DEA6B0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23</w:t>
            </w:r>
          </w:p>
        </w:tc>
        <w:tc>
          <w:tcPr>
            <w:tcW w:w="0" w:type="auto"/>
            <w:tcBorders>
              <w:top w:val="nil"/>
              <w:left w:val="nil"/>
              <w:bottom w:val="nil"/>
              <w:right w:val="nil"/>
            </w:tcBorders>
            <w:shd w:val="clear" w:color="auto" w:fill="auto"/>
            <w:vAlign w:val="center"/>
            <w:hideMark/>
          </w:tcPr>
          <w:p w14:paraId="2519D6B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B4F3A9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986B1D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57849382" w14:textId="77777777" w:rsidTr="00C336CB">
        <w:trPr>
          <w:trHeight w:val="340"/>
        </w:trPr>
        <w:tc>
          <w:tcPr>
            <w:tcW w:w="0" w:type="auto"/>
            <w:tcBorders>
              <w:top w:val="nil"/>
              <w:left w:val="nil"/>
              <w:bottom w:val="nil"/>
              <w:right w:val="nil"/>
            </w:tcBorders>
            <w:shd w:val="clear" w:color="auto" w:fill="auto"/>
            <w:vAlign w:val="center"/>
            <w:hideMark/>
          </w:tcPr>
          <w:p w14:paraId="78C3D958" w14:textId="653E0078"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Keller et al. </w:t>
            </w:r>
            <w:r w:rsidR="00CE05CD">
              <w:rPr>
                <w:rFonts w:ascii="Times New Roman" w:eastAsia="Times New Roman" w:hAnsi="Times New Roman" w:cs="Times New Roman"/>
                <w:color w:val="000000"/>
                <w:sz w:val="13"/>
                <w:szCs w:val="13"/>
                <w:lang w:eastAsia="de-DE"/>
              </w:rPr>
              <w:fldChar w:fldCharType="begin"/>
            </w:r>
            <w:r w:rsidR="00CE05CD">
              <w:rPr>
                <w:rFonts w:ascii="Times New Roman" w:eastAsia="Times New Roman" w:hAnsi="Times New Roman" w:cs="Times New Roman"/>
                <w:color w:val="000000"/>
                <w:sz w:val="13"/>
                <w:szCs w:val="13"/>
                <w:lang w:eastAsia="de-DE"/>
              </w:rPr>
              <w:instrText xml:space="preserve"> ADDIN ZOTERO_ITEM CSL_CITATION {"citationID":"cX97KB17","properties":{"formattedCitation":"\\super 50\\nosupersub{}","plainCitation":"50","noteIndex":0},"citationItems":[{"id":32,"uris":["http://zotero.org/users/local/4rfnQu81/items/DLF97Q4P"],"uri":["http://zotero.org/users/local/4rfnQu81/items/DLF97Q4P"],"itemData":{"id":32,"type":"article-journal","abstract":"Coronavirus disease 19 (COVID-19) is a rapidly evolving pandemic caused by the coronavirus Sars-CoV-2. Clinically manifest central nervous system symptoms have been described in COVID-19 patients and could be the consequence of commonly associated vascular pathology, but the detailed neuropathological sequelae remain largely unknown. A total of six cases, all positive for Sars-CoV-2, showed evidence of cerebral petechial hemorrhages and microthrombi at autopsy. Two out of six patients showed an elevated risk for disseminated intravascular coagulopathy according to current criteria and were excluded from further analysis. In the remaining four patients, the hemorrhages were most prominent at the grey and white matter junction of the neocortex, but were also found in the brainstem, deep grey matter structures and cerebellum. Two patients showed vascular intramural inflammatory infiltrates, consistent with Sars-CoV-2-associated endotheliitis, which was associated by elevated levels of the Sars-CoV-2 receptor ACE2 in the brain vasculature. Distribution and morphology of patchy brain microbleeds was clearly distinct from hypertension-related hemorrhage, critical illness-associated microbleeds and cerebral amyloid angiopathy, which was ruled out by immunohistochemistry. Cerebral microhemorrhages in COVID-19 patients could be a consequence of Sars- CoV-2-induced endotheliitis and more general vasculopathic changes and may correlate with an increased risk of vascular encephalopathy.","container-title":"Neuropathology and Applied Neurobiology","DOI":"10.1111/nan.12677","ISSN":"13652990","issue":"July","note":"PMID: 33249605","page":"1–6","title":"Intracerebral endotheliitis and microbleeds are neuropathological features of COVID-19","author":[{"family":"Kirschenbaum","given":"Daniel"},{"family":"Imbach","given":"Lukas L."},{"family":"Rushing","given":"Elisabeth J."},{"family":"Frauenknecht","given":"Katrin B.M."},{"family":"Gascho","given":"Dominic"},{"family":"Ineichen","given":"Benjamin V."},{"family":"Keller","given":"Emanuela"},{"family":"Kohler","given":"Sibylle"},{"family":"Lichtblau","given":"Mona"},{"family":"Reimann","given":"Regina R."},{"family":"Schreib","given":"Katharina"},{"family":"Ulrich","given":"Silvia"},{"family":"Steiger","given":"Peter"},{"family":"Aguzzi","given":"Adriano"},{"family":"Frontzek","given":"Karl"}],"issued":{"date-parts":[["2020"]]}}}],"schema":"https://github.com/citation-style-language/schema/raw/master/csl-citation.json"} </w:instrText>
            </w:r>
            <w:r w:rsidR="00CE05CD">
              <w:rPr>
                <w:rFonts w:ascii="Times New Roman" w:eastAsia="Times New Roman" w:hAnsi="Times New Roman" w:cs="Times New Roman"/>
                <w:color w:val="000000"/>
                <w:sz w:val="13"/>
                <w:szCs w:val="13"/>
                <w:lang w:eastAsia="de-DE"/>
              </w:rPr>
              <w:fldChar w:fldCharType="separate"/>
            </w:r>
            <w:r w:rsidR="00CE05CD" w:rsidRPr="00CE05CD">
              <w:rPr>
                <w:rFonts w:ascii="Times New Roman" w:hAnsi="Times New Roman" w:cs="Times New Roman"/>
                <w:color w:val="000000"/>
                <w:sz w:val="13"/>
                <w:vertAlign w:val="superscript"/>
                <w:lang w:val="de-DE"/>
              </w:rPr>
              <w:t>50</w:t>
            </w:r>
            <w:r w:rsidR="00CE05CD">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vAlign w:val="center"/>
            <w:hideMark/>
          </w:tcPr>
          <w:p w14:paraId="0C760E8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vAlign w:val="center"/>
            <w:hideMark/>
          </w:tcPr>
          <w:p w14:paraId="28188A7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w:t>
            </w:r>
          </w:p>
        </w:tc>
        <w:tc>
          <w:tcPr>
            <w:tcW w:w="0" w:type="auto"/>
            <w:tcBorders>
              <w:top w:val="nil"/>
              <w:left w:val="nil"/>
              <w:bottom w:val="nil"/>
              <w:right w:val="nil"/>
            </w:tcBorders>
            <w:shd w:val="clear" w:color="auto" w:fill="auto"/>
            <w:vAlign w:val="center"/>
            <w:hideMark/>
          </w:tcPr>
          <w:p w14:paraId="5085CCC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80CDEC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0CC64B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C41BA0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08B1CD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vAlign w:val="center"/>
            <w:hideMark/>
          </w:tcPr>
          <w:p w14:paraId="13DE9D6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E4959D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F07D29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A26A3A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7610B5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w:t>
            </w:r>
          </w:p>
        </w:tc>
        <w:tc>
          <w:tcPr>
            <w:tcW w:w="0" w:type="auto"/>
            <w:tcBorders>
              <w:top w:val="nil"/>
              <w:left w:val="nil"/>
              <w:bottom w:val="nil"/>
              <w:right w:val="nil"/>
            </w:tcBorders>
            <w:shd w:val="clear" w:color="auto" w:fill="auto"/>
            <w:vAlign w:val="center"/>
            <w:hideMark/>
          </w:tcPr>
          <w:p w14:paraId="50FDFCD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4</w:t>
            </w:r>
          </w:p>
        </w:tc>
        <w:tc>
          <w:tcPr>
            <w:tcW w:w="0" w:type="auto"/>
            <w:tcBorders>
              <w:top w:val="nil"/>
              <w:left w:val="nil"/>
              <w:bottom w:val="nil"/>
              <w:right w:val="nil"/>
            </w:tcBorders>
            <w:shd w:val="clear" w:color="auto" w:fill="auto"/>
            <w:vAlign w:val="center"/>
            <w:hideMark/>
          </w:tcPr>
          <w:p w14:paraId="3AD9F9A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74B804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685840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B27D98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2D05AE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3</w:t>
            </w:r>
          </w:p>
        </w:tc>
        <w:tc>
          <w:tcPr>
            <w:tcW w:w="0" w:type="auto"/>
            <w:tcBorders>
              <w:top w:val="nil"/>
              <w:left w:val="nil"/>
              <w:bottom w:val="nil"/>
              <w:right w:val="nil"/>
            </w:tcBorders>
            <w:shd w:val="clear" w:color="auto" w:fill="auto"/>
            <w:vAlign w:val="center"/>
            <w:hideMark/>
          </w:tcPr>
          <w:p w14:paraId="1E3CCB8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3</w:t>
            </w:r>
          </w:p>
        </w:tc>
        <w:tc>
          <w:tcPr>
            <w:tcW w:w="0" w:type="auto"/>
            <w:tcBorders>
              <w:top w:val="nil"/>
              <w:left w:val="nil"/>
              <w:bottom w:val="nil"/>
              <w:right w:val="nil"/>
            </w:tcBorders>
            <w:shd w:val="clear" w:color="auto" w:fill="auto"/>
            <w:vAlign w:val="center"/>
            <w:hideMark/>
          </w:tcPr>
          <w:p w14:paraId="1D58D1F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37A9A2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178022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3F7C9D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406387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DB1B38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542258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5A5945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C37A1B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502389CA" w14:textId="77777777" w:rsidTr="00C336CB">
        <w:trPr>
          <w:trHeight w:val="340"/>
        </w:trPr>
        <w:tc>
          <w:tcPr>
            <w:tcW w:w="0" w:type="auto"/>
            <w:tcBorders>
              <w:top w:val="nil"/>
              <w:left w:val="nil"/>
              <w:bottom w:val="nil"/>
              <w:right w:val="nil"/>
            </w:tcBorders>
            <w:shd w:val="clear" w:color="auto" w:fill="auto"/>
            <w:vAlign w:val="center"/>
            <w:hideMark/>
          </w:tcPr>
          <w:p w14:paraId="141BD685" w14:textId="37880228" w:rsidR="00C336CB" w:rsidRPr="00C336CB" w:rsidRDefault="00C336CB" w:rsidP="00C336CB">
            <w:pPr>
              <w:rPr>
                <w:rFonts w:ascii="Times New Roman" w:eastAsia="Times New Roman" w:hAnsi="Times New Roman" w:cs="Times New Roman"/>
                <w:color w:val="000000"/>
                <w:sz w:val="13"/>
                <w:szCs w:val="13"/>
                <w:lang w:val="de-DE" w:eastAsia="de-DE"/>
              </w:rPr>
            </w:pPr>
            <w:r w:rsidRPr="00C336CB">
              <w:rPr>
                <w:rFonts w:ascii="Times New Roman" w:eastAsia="Times New Roman" w:hAnsi="Times New Roman" w:cs="Times New Roman"/>
                <w:color w:val="000000"/>
                <w:sz w:val="13"/>
                <w:szCs w:val="13"/>
                <w:lang w:eastAsia="de-DE"/>
              </w:rPr>
              <w:t xml:space="preserve">Lin et al. </w:t>
            </w:r>
            <w:r w:rsidR="00CE05CD">
              <w:rPr>
                <w:rFonts w:ascii="Times New Roman" w:eastAsia="Times New Roman" w:hAnsi="Times New Roman" w:cs="Times New Roman"/>
                <w:color w:val="000000"/>
                <w:sz w:val="13"/>
                <w:szCs w:val="13"/>
                <w:lang w:eastAsia="de-DE"/>
              </w:rPr>
              <w:fldChar w:fldCharType="begin"/>
            </w:r>
            <w:r w:rsidR="00CE05CD">
              <w:rPr>
                <w:rFonts w:ascii="Times New Roman" w:eastAsia="Times New Roman" w:hAnsi="Times New Roman" w:cs="Times New Roman"/>
                <w:color w:val="000000"/>
                <w:sz w:val="13"/>
                <w:szCs w:val="13"/>
                <w:lang w:eastAsia="de-DE"/>
              </w:rPr>
              <w:instrText xml:space="preserve"> ADDIN ZOTERO_ITEM CSL_CITATION {"citationID":"ebxBXUwb","properties":{"formattedCitation":"\\super 59\\nosupersub{}","plainCitation":"59","noteIndex":0},"citationItems":[{"id":1620,"uris":["http://zotero.org/users/local/4rfnQu81/items/NKCFGZQS"],"uri":["http://zotero.org/users/local/4rfnQu81/items/NKCFGZQS"],"itemData":{"id":1620,"type":"article-journal","abstract":"BACKGROUND AND PURPOSE: A large spectrum of neurologic disease has been reported in patients with coronavirus disease 2019 (COVID-19) infection. Our aim was to investigate the yield of neuroimaging in patients with COVID-19 undergoing CT or MR imaging of the brain and to describe associated imaging findings. MATERIALS AND METHODS: We performed a retrospective cohort study involving 2054 patients with laboratory-confirmed COVID-19 presenting to 2 hospitals in New York City between March 4 and May 9, 2020, of whom 278 (14%) underwent either CT or MR imaging of the brain. All images initially received a formal interpretation from a neuroradiologist within the institution and were subsequently reviewed by 2 neuroradiologists in consensus, with disputes resolved by a third neuroradiologist. RESULTS: The median age of these patients was 64 years (interquartile range, 50-75 years), and 43% were women. Among imaged patients, 58 (21%) demonstrated acute or subacute neuroimaging findings, the most common including cerebral infarctions (11%), parenchymal hematomas (3.6%), and posterior reversible encephalopathy syndrome (1.1%). Among the 51 patients with MR imaging examinations, 26 (51%) demonstrated acute or subacute findings; notable findings included 6 cases of cranial nerve abnormalities (including 4 patients with olfactory bulb abnormalities) and 3 patients with a microhemorrhage pattern compatible with critical illness-associated microbleeds. CONCLUSIONS: Our experience confirms the wide range of neurologic imaging findings in patients with COVID-19 and suggests the need for further studies to optimize management for these patients.","container-title":"AJNR. American journal of neuroradiology","DOI":"10.3174/ajnr.A6793","ISSN":"1936-959X (Electronic)","language":"eng","note":"PMID: 32819899","title":"Brain Imaging of Patients with COVID-19: Findings at an Academic Institution during the Height of the Outbreak in New York City.","author":[{"family":"Lin","given":"E"},{"family":"Lantos","given":"J E"},{"family":"Strauss","given":"S B"},{"family":"Phillips","given":"C D"},{"family":"Campion","given":"T R Jr"},{"family":"Navi","given":"B B"},{"family":"Parikh","given":"N S"},{"family":"Merkler","given":"A E"},{"family":"Mir","given":"S"},{"family":"Zhang","given":"C"},{"family":"Kamel","given":"H"},{"family":"Cusick","given":"M"},{"family":"Goyal","given":"P"},{"family":"Gupta","given":"A"}],"issued":{"date-parts":[["2020",8]]}}}],"schema":"https://github.com/citation-style-language/schema/raw/master/csl-citation.json"} </w:instrText>
            </w:r>
            <w:r w:rsidR="00CE05CD">
              <w:rPr>
                <w:rFonts w:ascii="Times New Roman" w:eastAsia="Times New Roman" w:hAnsi="Times New Roman" w:cs="Times New Roman"/>
                <w:color w:val="000000"/>
                <w:sz w:val="13"/>
                <w:szCs w:val="13"/>
                <w:lang w:eastAsia="de-DE"/>
              </w:rPr>
              <w:fldChar w:fldCharType="separate"/>
            </w:r>
            <w:r w:rsidR="00CE05CD" w:rsidRPr="00CE05CD">
              <w:rPr>
                <w:rFonts w:ascii="Times New Roman" w:hAnsi="Times New Roman" w:cs="Times New Roman"/>
                <w:color w:val="000000"/>
                <w:sz w:val="13"/>
                <w:vertAlign w:val="superscript"/>
                <w:lang w:val="de-DE"/>
              </w:rPr>
              <w:t>59</w:t>
            </w:r>
            <w:r w:rsidR="00CE05CD">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vAlign w:val="center"/>
            <w:hideMark/>
          </w:tcPr>
          <w:p w14:paraId="0B015C3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vAlign w:val="center"/>
            <w:hideMark/>
          </w:tcPr>
          <w:p w14:paraId="4E3AC6A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41</w:t>
            </w:r>
          </w:p>
        </w:tc>
        <w:tc>
          <w:tcPr>
            <w:tcW w:w="0" w:type="auto"/>
            <w:tcBorders>
              <w:top w:val="nil"/>
              <w:left w:val="nil"/>
              <w:bottom w:val="nil"/>
              <w:right w:val="nil"/>
            </w:tcBorders>
            <w:shd w:val="clear" w:color="auto" w:fill="auto"/>
            <w:vAlign w:val="center"/>
            <w:hideMark/>
          </w:tcPr>
          <w:p w14:paraId="3FE2C78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2.00%</w:t>
            </w:r>
          </w:p>
        </w:tc>
        <w:tc>
          <w:tcPr>
            <w:tcW w:w="0" w:type="auto"/>
            <w:tcBorders>
              <w:top w:val="nil"/>
              <w:left w:val="nil"/>
              <w:bottom w:val="nil"/>
              <w:right w:val="nil"/>
            </w:tcBorders>
            <w:shd w:val="clear" w:color="auto" w:fill="auto"/>
            <w:vAlign w:val="center"/>
            <w:hideMark/>
          </w:tcPr>
          <w:p w14:paraId="7A0CA8D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2B5CEB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3C82C8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1602B8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172ABA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72F850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50E235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A6ED8B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97C8D9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A51B58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BADA85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01F5F6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E9BD7C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BB27DC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99139C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26</w:t>
            </w:r>
          </w:p>
        </w:tc>
        <w:tc>
          <w:tcPr>
            <w:tcW w:w="0" w:type="auto"/>
            <w:tcBorders>
              <w:top w:val="nil"/>
              <w:left w:val="nil"/>
              <w:bottom w:val="nil"/>
              <w:right w:val="nil"/>
            </w:tcBorders>
            <w:shd w:val="clear" w:color="auto" w:fill="auto"/>
            <w:vAlign w:val="center"/>
            <w:hideMark/>
          </w:tcPr>
          <w:p w14:paraId="636351E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w:t>
            </w:r>
          </w:p>
        </w:tc>
        <w:tc>
          <w:tcPr>
            <w:tcW w:w="0" w:type="auto"/>
            <w:tcBorders>
              <w:top w:val="nil"/>
              <w:left w:val="nil"/>
              <w:bottom w:val="nil"/>
              <w:right w:val="nil"/>
            </w:tcBorders>
            <w:shd w:val="clear" w:color="auto" w:fill="auto"/>
            <w:vAlign w:val="center"/>
            <w:hideMark/>
          </w:tcPr>
          <w:p w14:paraId="7448E77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10</w:t>
            </w:r>
          </w:p>
        </w:tc>
        <w:tc>
          <w:tcPr>
            <w:tcW w:w="0" w:type="auto"/>
            <w:tcBorders>
              <w:top w:val="nil"/>
              <w:left w:val="nil"/>
              <w:bottom w:val="nil"/>
              <w:right w:val="nil"/>
            </w:tcBorders>
            <w:shd w:val="clear" w:color="auto" w:fill="auto"/>
            <w:vAlign w:val="center"/>
            <w:hideMark/>
          </w:tcPr>
          <w:p w14:paraId="2BE5ED4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ECC4CE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3</w:t>
            </w:r>
          </w:p>
        </w:tc>
        <w:tc>
          <w:tcPr>
            <w:tcW w:w="0" w:type="auto"/>
            <w:tcBorders>
              <w:top w:val="nil"/>
              <w:left w:val="nil"/>
              <w:bottom w:val="nil"/>
              <w:right w:val="nil"/>
            </w:tcBorders>
            <w:shd w:val="clear" w:color="auto" w:fill="auto"/>
            <w:vAlign w:val="center"/>
            <w:hideMark/>
          </w:tcPr>
          <w:p w14:paraId="6EAF15C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DE367A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80C755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0FD83B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8B39EF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DE5164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2805CAD8" w14:textId="77777777" w:rsidTr="00C336CB">
        <w:trPr>
          <w:trHeight w:val="340"/>
        </w:trPr>
        <w:tc>
          <w:tcPr>
            <w:tcW w:w="0" w:type="auto"/>
            <w:tcBorders>
              <w:top w:val="nil"/>
              <w:left w:val="nil"/>
              <w:bottom w:val="nil"/>
              <w:right w:val="nil"/>
            </w:tcBorders>
            <w:shd w:val="clear" w:color="auto" w:fill="auto"/>
            <w:vAlign w:val="center"/>
            <w:hideMark/>
          </w:tcPr>
          <w:p w14:paraId="7E69E1AC" w14:textId="48C9458A"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Masur et al. </w:t>
            </w:r>
            <w:r w:rsidR="00CE05CD">
              <w:rPr>
                <w:rFonts w:ascii="Times New Roman" w:eastAsia="Times New Roman" w:hAnsi="Times New Roman" w:cs="Times New Roman"/>
                <w:color w:val="000000"/>
                <w:sz w:val="13"/>
                <w:szCs w:val="13"/>
                <w:lang w:eastAsia="de-DE"/>
              </w:rPr>
              <w:fldChar w:fldCharType="begin"/>
            </w:r>
            <w:r w:rsidR="00CE05CD">
              <w:rPr>
                <w:rFonts w:ascii="Times New Roman" w:eastAsia="Times New Roman" w:hAnsi="Times New Roman" w:cs="Times New Roman"/>
                <w:color w:val="000000"/>
                <w:sz w:val="13"/>
                <w:szCs w:val="13"/>
                <w:lang w:eastAsia="de-DE"/>
              </w:rPr>
              <w:instrText xml:space="preserve"> ADDIN ZOTERO_ITEM CSL_CITATION {"citationID":"tbyhQFRF","properties":{"formattedCitation":"\\super 60\\nosupersub{}","plainCitation":"60","noteIndex":0},"citationItems":[{"id":160,"uris":["http://zotero.org/users/local/4rfnQu81/items/4JHMZ6ZJ"],"uri":["http://zotero.org/users/local/4rfnQu81/items/4JHMZ6ZJ"],"itemData":{"id":160,"type":"article-journal","abstract":"In this clinical case series, we report our experience to date with neurologic complications of extracorporeal membrane oxygenation therapy for COVID-19 Acute Respiratory Distress Syndrome. We have found an unexpectedly increased rate of complications as demonstrated by neuroimaging compared with meta-analysis data in extracorporeal membrane oxygenation therapy for all Acute Respiratory Distress Syndrome etiologies over the past few decades and compared with the most recent baseline data describing the incidence of neurologic complication in all patients with COVID-19. For our 12-patient cohort, there was a rate of intracranial hemorrhage of 41.7%. Representative cases and images of devastating intracranial hemorrhage are presented. We hypothesize that the interplay between hematologic changes inherent to extracorporeal membrane oxygenation and inflammatory and coagulopathic changes that have begun to be elucidated as part of the COVID- 19 disease process are responsible. Continued analysis of extracorporeal membrane oxygenation therapy in this disease paradigm is warranted.","container-title":"American Journal of Neuroradiology","DOI":"10.3174/ajnr.A6728","ISSN":"1936959X","issue":"11","note":"PMID: 32855187","page":"2009–2011","title":"A double-edged sword: Neurologic complications and mortality in extracorporeal membrane oxygenation therapy for COVID-19-related severe acute respiratory distress syndrome at a tertiary care center","volume":"41","author":[{"family":"Masur","given":"J."},{"family":"Freeman","given":"C. W."},{"family":"Mohan","given":"S."}],"issued":{"date-parts":[["2020"]]}}}],"schema":"https://github.com/citation-style-language/schema/raw/master/csl-citation.json"} </w:instrText>
            </w:r>
            <w:r w:rsidR="00CE05CD">
              <w:rPr>
                <w:rFonts w:ascii="Times New Roman" w:eastAsia="Times New Roman" w:hAnsi="Times New Roman" w:cs="Times New Roman"/>
                <w:color w:val="000000"/>
                <w:sz w:val="13"/>
                <w:szCs w:val="13"/>
                <w:lang w:eastAsia="de-DE"/>
              </w:rPr>
              <w:fldChar w:fldCharType="separate"/>
            </w:r>
            <w:r w:rsidR="00CE05CD" w:rsidRPr="00CE05CD">
              <w:rPr>
                <w:rFonts w:ascii="Times New Roman" w:hAnsi="Times New Roman" w:cs="Times New Roman"/>
                <w:color w:val="000000"/>
                <w:sz w:val="13"/>
                <w:vertAlign w:val="superscript"/>
                <w:lang w:val="de-DE"/>
              </w:rPr>
              <w:t>60</w:t>
            </w:r>
            <w:r w:rsidR="00CE05CD">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vAlign w:val="center"/>
            <w:hideMark/>
          </w:tcPr>
          <w:p w14:paraId="3F0374C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vAlign w:val="center"/>
            <w:hideMark/>
          </w:tcPr>
          <w:p w14:paraId="02A3C25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w:t>
            </w:r>
          </w:p>
        </w:tc>
        <w:tc>
          <w:tcPr>
            <w:tcW w:w="0" w:type="auto"/>
            <w:tcBorders>
              <w:top w:val="nil"/>
              <w:left w:val="nil"/>
              <w:bottom w:val="nil"/>
              <w:right w:val="nil"/>
            </w:tcBorders>
            <w:shd w:val="clear" w:color="auto" w:fill="auto"/>
            <w:vAlign w:val="center"/>
            <w:hideMark/>
          </w:tcPr>
          <w:p w14:paraId="5F6391D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9DDF5B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100.00%</w:t>
            </w:r>
          </w:p>
        </w:tc>
        <w:tc>
          <w:tcPr>
            <w:tcW w:w="0" w:type="auto"/>
            <w:tcBorders>
              <w:top w:val="nil"/>
              <w:left w:val="nil"/>
              <w:bottom w:val="nil"/>
              <w:right w:val="nil"/>
            </w:tcBorders>
            <w:shd w:val="clear" w:color="auto" w:fill="auto"/>
            <w:vAlign w:val="center"/>
            <w:hideMark/>
          </w:tcPr>
          <w:p w14:paraId="23274DF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5E694D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9E9822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vAlign w:val="center"/>
            <w:hideMark/>
          </w:tcPr>
          <w:p w14:paraId="3E320D6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138BAA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85C6B4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C8C9D3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978550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8636FD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9C5A98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F064D0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FC5F85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8D4B93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3D2086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B997C0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w:t>
            </w:r>
          </w:p>
        </w:tc>
        <w:tc>
          <w:tcPr>
            <w:tcW w:w="0" w:type="auto"/>
            <w:tcBorders>
              <w:top w:val="nil"/>
              <w:left w:val="nil"/>
              <w:bottom w:val="nil"/>
              <w:right w:val="nil"/>
            </w:tcBorders>
            <w:shd w:val="clear" w:color="auto" w:fill="auto"/>
            <w:vAlign w:val="center"/>
            <w:hideMark/>
          </w:tcPr>
          <w:p w14:paraId="0A38419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B38C29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B8D6C4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B7EADD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5DFDBB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7FD91D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5D0B71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w:t>
            </w:r>
          </w:p>
        </w:tc>
        <w:tc>
          <w:tcPr>
            <w:tcW w:w="0" w:type="auto"/>
            <w:tcBorders>
              <w:top w:val="nil"/>
              <w:left w:val="nil"/>
              <w:bottom w:val="nil"/>
              <w:right w:val="nil"/>
            </w:tcBorders>
            <w:shd w:val="clear" w:color="auto" w:fill="auto"/>
            <w:vAlign w:val="center"/>
            <w:hideMark/>
          </w:tcPr>
          <w:p w14:paraId="430C495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965741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189DCA0F" w14:textId="77777777" w:rsidTr="00C336CB">
        <w:trPr>
          <w:trHeight w:val="340"/>
        </w:trPr>
        <w:tc>
          <w:tcPr>
            <w:tcW w:w="0" w:type="auto"/>
            <w:tcBorders>
              <w:top w:val="nil"/>
              <w:left w:val="nil"/>
              <w:bottom w:val="nil"/>
              <w:right w:val="nil"/>
            </w:tcBorders>
            <w:shd w:val="clear" w:color="auto" w:fill="auto"/>
            <w:vAlign w:val="center"/>
            <w:hideMark/>
          </w:tcPr>
          <w:p w14:paraId="014399A3" w14:textId="501B89BE"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w:t>
            </w:r>
            <w:r w:rsidR="00CE05CD">
              <w:rPr>
                <w:rFonts w:ascii="Times New Roman" w:eastAsia="Times New Roman" w:hAnsi="Times New Roman" w:cs="Times New Roman"/>
                <w:color w:val="000000"/>
                <w:sz w:val="13"/>
                <w:szCs w:val="13"/>
                <w:lang w:val="de-DE" w:eastAsia="de-DE"/>
              </w:rPr>
              <w:t>a</w:t>
            </w:r>
            <w:r w:rsidRPr="00C336CB">
              <w:rPr>
                <w:rFonts w:ascii="Times New Roman" w:eastAsia="Times New Roman" w:hAnsi="Times New Roman" w:cs="Times New Roman"/>
                <w:color w:val="000000"/>
                <w:sz w:val="13"/>
                <w:szCs w:val="13"/>
                <w:lang w:eastAsia="de-DE"/>
              </w:rPr>
              <w:t xml:space="preserve">wabi et al. </w:t>
            </w:r>
            <w:r w:rsidR="00CE05CD">
              <w:rPr>
                <w:rFonts w:ascii="Times New Roman" w:eastAsia="Times New Roman" w:hAnsi="Times New Roman" w:cs="Times New Roman"/>
                <w:color w:val="000000"/>
                <w:sz w:val="13"/>
                <w:szCs w:val="13"/>
                <w:lang w:eastAsia="de-DE"/>
              </w:rPr>
              <w:fldChar w:fldCharType="begin"/>
            </w:r>
            <w:r w:rsidR="00CE05CD">
              <w:rPr>
                <w:rFonts w:ascii="Times New Roman" w:eastAsia="Times New Roman" w:hAnsi="Times New Roman" w:cs="Times New Roman"/>
                <w:color w:val="000000"/>
                <w:sz w:val="13"/>
                <w:szCs w:val="13"/>
                <w:lang w:eastAsia="de-DE"/>
              </w:rPr>
              <w:instrText xml:space="preserve"> ADDIN ZOTERO_ITEM CSL_CITATION {"citationID":"2CrRpjY3","properties":{"formattedCitation":"\\super 61\\nosupersub{}","plainCitation":"61","noteIndex":0},"citationItems":[{"id":3522,"uris":["http://zotero.org/users/local/4rfnQu81/items/QQIF9JKT"],"uri":["http://zotero.org/users/local/4rfnQu81/items/QQIF9JKT"],"itemData":{"id":3522,"type":"article-journal","abstract":"Background and Purpose: Intracranial hemorrhage has been observed in patients with severe acute respiratory syndrome coronavirus 2 (SARS-CoV-2) infection (COVID-19), but the clinical, imaging, and pathophysiological features of intracranial bleeding during COVID-19 infection remain poorly characterized. This study describes clinical and imaging characteristics of patients with COVID-19 infection who presented with intracranial bleeding in a European multicenter cohort. Methods: This is a multicenter retrospective, observational case series including 18 consecutive patients with COVID-19 infection and intracranial hemorrhage. Data were collected from February to May 2020 at five designated European special care centers for COVID-19. The diagnosis of COVID-19 was based on laboratory-confirmed diagnosis of SARS-CoV-2. Intracranial bleeding was diagnosed on computed tomography (CT) of the brain within one month of the date of COVID-19 diagnosis. The clinical, laboratory, radiologic, and pathologic findings, therapy and outcomes in COVID-19 patients presenting with intracranial bleeding were analyzed. Results: Eighteen patients had evidence of acute intracranial bleeding within 11 days (IQR 9–29) of admission. Six patients had parenchymal hemorrhage (33.3%), 11 had subarachnoid hemorrhage (SAH) (61.1%), and one patient had subdural hemorrhage (5.6%). Three patients presented with intraventricular hemorrhage (IVH) (16.7%). Conclusion: This study represents the largest case series of patients with intracranial hemorrhage diagnosed with COVID-19 based on key European countries with geospatial hotspots of SARS-CoV-2. Isolated SAH along the convexity may be a predominant bleeding manifestation and may occur in a late temporal course of severe COVID-19.","container-title":"Journal of Clinical Medicine","DOI":"10.3390/jcm9082543","ISSN":"2077-0383","issue":"8","journalAbbreviation":"JCM","language":"en","page":"2543","source":"DOI.org (Crossref)","title":"Clinical and Imaging Characteristics in Patients with SARS-CoV-2 Infection and Acute Intracranial Hemorrhage","volume":"9","author":[{"family":"Nawabi","given":"Jawed"},{"family":"Morotti","given":"Andrea"},{"family":"Wildgruber","given":"Moritz"},{"family":"Boulouis","given":"Gregoire"},{"family":"Kraehling","given":"Hermann"},{"family":"Schlunk","given":"Frieder"},{"family":"Can","given":"Elif"},{"family":"Kniep","given":"Helge"},{"family":"Thomalla","given":"Götz"},{"family":"Psychogios","given":"Marios"},{"family":"Hamm","given":"Bernd"},{"family":"Fiehler","given":"Jens"},{"family":"Hanning","given":"Uta"},{"family":"Sporns","given":"Peter"}],"issued":{"date-parts":[["2020",8,6]]}}}],"schema":"https://github.com/citation-style-language/schema/raw/master/csl-citation.json"} </w:instrText>
            </w:r>
            <w:r w:rsidR="00CE05CD">
              <w:rPr>
                <w:rFonts w:ascii="Times New Roman" w:eastAsia="Times New Roman" w:hAnsi="Times New Roman" w:cs="Times New Roman"/>
                <w:color w:val="000000"/>
                <w:sz w:val="13"/>
                <w:szCs w:val="13"/>
                <w:lang w:eastAsia="de-DE"/>
              </w:rPr>
              <w:fldChar w:fldCharType="separate"/>
            </w:r>
            <w:r w:rsidR="00CE05CD" w:rsidRPr="00CE05CD">
              <w:rPr>
                <w:rFonts w:ascii="Times New Roman" w:hAnsi="Times New Roman" w:cs="Times New Roman"/>
                <w:color w:val="000000"/>
                <w:sz w:val="13"/>
                <w:vertAlign w:val="superscript"/>
                <w:lang w:val="de-DE"/>
              </w:rPr>
              <w:t>61</w:t>
            </w:r>
            <w:r w:rsidR="00CE05CD">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vAlign w:val="center"/>
            <w:hideMark/>
          </w:tcPr>
          <w:p w14:paraId="1969BB8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center"/>
            <w:hideMark/>
          </w:tcPr>
          <w:p w14:paraId="084C4EE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18</w:t>
            </w:r>
          </w:p>
        </w:tc>
        <w:tc>
          <w:tcPr>
            <w:tcW w:w="0" w:type="auto"/>
            <w:tcBorders>
              <w:top w:val="nil"/>
              <w:left w:val="nil"/>
              <w:bottom w:val="nil"/>
              <w:right w:val="nil"/>
            </w:tcBorders>
            <w:shd w:val="clear" w:color="auto" w:fill="auto"/>
            <w:vAlign w:val="center"/>
            <w:hideMark/>
          </w:tcPr>
          <w:p w14:paraId="727B30D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B0CBC0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295F83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Calibri" w:eastAsia="Times New Roman" w:hAnsi="Calibri" w:cs="Calibri"/>
                <w:color w:val="000000"/>
                <w:sz w:val="13"/>
                <w:szCs w:val="13"/>
                <w:lang w:eastAsia="de-DE"/>
              </w:rPr>
              <w:t>﻿</w:t>
            </w:r>
            <w:r w:rsidRPr="00C336CB">
              <w:rPr>
                <w:rFonts w:ascii="Times New Roman" w:eastAsia="Times New Roman" w:hAnsi="Times New Roman" w:cs="Times New Roman"/>
                <w:color w:val="000000"/>
                <w:sz w:val="13"/>
                <w:szCs w:val="13"/>
                <w:lang w:eastAsia="de-DE"/>
              </w:rPr>
              <w:t>49.50</w:t>
            </w:r>
          </w:p>
        </w:tc>
        <w:tc>
          <w:tcPr>
            <w:tcW w:w="0" w:type="auto"/>
            <w:tcBorders>
              <w:top w:val="nil"/>
              <w:left w:val="nil"/>
              <w:bottom w:val="nil"/>
              <w:right w:val="nil"/>
            </w:tcBorders>
            <w:shd w:val="clear" w:color="auto" w:fill="auto"/>
            <w:vAlign w:val="center"/>
            <w:hideMark/>
          </w:tcPr>
          <w:p w14:paraId="3E610FB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CA45A8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832140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438589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0AA99B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BD75EF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062012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AD2A7C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E7A839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D17D21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5E45F3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526130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0B3EC8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1859E8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9</w:t>
            </w:r>
          </w:p>
        </w:tc>
        <w:tc>
          <w:tcPr>
            <w:tcW w:w="0" w:type="auto"/>
            <w:tcBorders>
              <w:top w:val="nil"/>
              <w:left w:val="nil"/>
              <w:bottom w:val="nil"/>
              <w:right w:val="nil"/>
            </w:tcBorders>
            <w:shd w:val="clear" w:color="auto" w:fill="auto"/>
            <w:vAlign w:val="center"/>
            <w:hideMark/>
          </w:tcPr>
          <w:p w14:paraId="1E1F96A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w:t>
            </w:r>
          </w:p>
        </w:tc>
        <w:tc>
          <w:tcPr>
            <w:tcW w:w="0" w:type="auto"/>
            <w:tcBorders>
              <w:top w:val="nil"/>
              <w:left w:val="nil"/>
              <w:bottom w:val="nil"/>
              <w:right w:val="nil"/>
            </w:tcBorders>
            <w:shd w:val="clear" w:color="auto" w:fill="auto"/>
            <w:vAlign w:val="center"/>
            <w:hideMark/>
          </w:tcPr>
          <w:p w14:paraId="3CE471C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w:t>
            </w:r>
          </w:p>
        </w:tc>
        <w:tc>
          <w:tcPr>
            <w:tcW w:w="0" w:type="auto"/>
            <w:tcBorders>
              <w:top w:val="nil"/>
              <w:left w:val="nil"/>
              <w:bottom w:val="nil"/>
              <w:right w:val="nil"/>
            </w:tcBorders>
            <w:shd w:val="clear" w:color="auto" w:fill="auto"/>
            <w:vAlign w:val="center"/>
            <w:hideMark/>
          </w:tcPr>
          <w:p w14:paraId="22EE57C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2CA96D3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AD0AD1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28DA68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F3A21B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42B7A4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2FF2D7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58BAB282" w14:textId="77777777" w:rsidTr="00C336CB">
        <w:trPr>
          <w:trHeight w:val="340"/>
        </w:trPr>
        <w:tc>
          <w:tcPr>
            <w:tcW w:w="0" w:type="auto"/>
            <w:tcBorders>
              <w:top w:val="nil"/>
              <w:left w:val="nil"/>
              <w:bottom w:val="nil"/>
              <w:right w:val="nil"/>
            </w:tcBorders>
            <w:shd w:val="clear" w:color="auto" w:fill="auto"/>
            <w:vAlign w:val="center"/>
            <w:hideMark/>
          </w:tcPr>
          <w:p w14:paraId="785D6F99" w14:textId="24172AD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Radmanesh et al. </w:t>
            </w:r>
            <w:r w:rsidR="00CE05CD">
              <w:rPr>
                <w:rFonts w:ascii="Times New Roman" w:eastAsia="Times New Roman" w:hAnsi="Times New Roman" w:cs="Times New Roman"/>
                <w:color w:val="000000"/>
                <w:sz w:val="13"/>
                <w:szCs w:val="13"/>
                <w:lang w:eastAsia="de-DE"/>
              </w:rPr>
              <w:fldChar w:fldCharType="begin"/>
            </w:r>
            <w:r w:rsidR="00CE05CD">
              <w:rPr>
                <w:rFonts w:ascii="Times New Roman" w:eastAsia="Times New Roman" w:hAnsi="Times New Roman" w:cs="Times New Roman"/>
                <w:color w:val="000000"/>
                <w:sz w:val="13"/>
                <w:szCs w:val="13"/>
                <w:lang w:eastAsia="de-DE"/>
              </w:rPr>
              <w:instrText xml:space="preserve"> ADDIN ZOTERO_ITEM CSL_CITATION {"citationID":"4uwETlJa","properties":{"formattedCitation":"\\super 62\\nosupersub{}","plainCitation":"62","noteIndex":0},"citationItems":[{"id":799,"uris":["http://zotero.org/users/local/4rfnQu81/items/DFUKAXFB"],"uri":["http://zotero.org/users/local/4rfnQu81/items/DFUKAXFB"],"itemData":{"id":799,"type":"article-journal","abstract":"Diffuse leukoencephalopathy and juxtacortical and/or callosal microhemorrhages were brain imaging features in critically ill patients with coronavirus disease 2019. Coronavirus disease 2019 (COVID-19) has been reported in association with a variety of brain imaging findings such as ischemic infarct, hemorrhage, and acute hemorrhagic necrotizing encephalopathy. Herein, the authors report brain imaging features in 11 critically ill patients with COVID-19 with persistently diminished mental status who underwent MRI between April 5 and April 25, 2020. These imaging features include (a) confluent T2 hyperintensity and mild restricted diffusion in bilateral supratentorial deep and subcortical white matter (in 10 of 11 patients) and (b) multiple punctate microhemorrhages in juxtacortical and callosal white matter (in seven of 11 patients). The authors also discuss potential pathogeneses.","container-title":"Radiology","DOI":"10.1148/radiol.2020202040","ISSN":"1527-1315 (Electronic)","issue":"1","language":"eng","note":"PMID: 32437314","page":"E223–E227","title":"COVID-19-associated Diffuse Leukoencephalopathy and Microhemorrhages.","volume":"297","author":[{"family":"Radmanesh","given":"Alireza"},{"family":"Derman","given":"Anna"},{"family":"Lui","given":"Yvonne W"},{"family":"Raz","given":"Eytan"},{"family":"Loh","given":"John P"},{"family":"Hagiwara","given":"Mari"},{"family":"Borja","given":"Maria J"},{"family":"Zan","given":"Elcin"},{"family":"Fatterpekar","given":"Girish M"}],"issued":{"date-parts":[["2020",10]]}}}],"schema":"https://github.com/citation-style-language/schema/raw/master/csl-citation.json"} </w:instrText>
            </w:r>
            <w:r w:rsidR="00CE05CD">
              <w:rPr>
                <w:rFonts w:ascii="Times New Roman" w:eastAsia="Times New Roman" w:hAnsi="Times New Roman" w:cs="Times New Roman"/>
                <w:color w:val="000000"/>
                <w:sz w:val="13"/>
                <w:szCs w:val="13"/>
                <w:lang w:eastAsia="de-DE"/>
              </w:rPr>
              <w:fldChar w:fldCharType="separate"/>
            </w:r>
            <w:r w:rsidR="00CE05CD" w:rsidRPr="00CE05CD">
              <w:rPr>
                <w:rFonts w:ascii="Times New Roman" w:hAnsi="Times New Roman" w:cs="Times New Roman"/>
                <w:color w:val="000000"/>
                <w:sz w:val="13"/>
                <w:vertAlign w:val="superscript"/>
                <w:lang w:val="de-DE"/>
              </w:rPr>
              <w:t>62</w:t>
            </w:r>
            <w:r w:rsidR="00CE05CD">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vAlign w:val="center"/>
            <w:hideMark/>
          </w:tcPr>
          <w:p w14:paraId="338F2BB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vAlign w:val="center"/>
            <w:hideMark/>
          </w:tcPr>
          <w:p w14:paraId="168D752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7</w:t>
            </w:r>
          </w:p>
        </w:tc>
        <w:tc>
          <w:tcPr>
            <w:tcW w:w="0" w:type="auto"/>
            <w:tcBorders>
              <w:top w:val="nil"/>
              <w:left w:val="nil"/>
              <w:bottom w:val="nil"/>
              <w:right w:val="nil"/>
            </w:tcBorders>
            <w:shd w:val="clear" w:color="auto" w:fill="auto"/>
            <w:vAlign w:val="center"/>
            <w:hideMark/>
          </w:tcPr>
          <w:p w14:paraId="4BD5542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25.93%</w:t>
            </w:r>
          </w:p>
        </w:tc>
        <w:tc>
          <w:tcPr>
            <w:tcW w:w="0" w:type="auto"/>
            <w:tcBorders>
              <w:top w:val="nil"/>
              <w:left w:val="nil"/>
              <w:bottom w:val="nil"/>
              <w:right w:val="nil"/>
            </w:tcBorders>
            <w:shd w:val="clear" w:color="auto" w:fill="auto"/>
            <w:vAlign w:val="center"/>
            <w:hideMark/>
          </w:tcPr>
          <w:p w14:paraId="520A525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1054B8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32EC91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4E6465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vAlign w:val="center"/>
            <w:hideMark/>
          </w:tcPr>
          <w:p w14:paraId="712615C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D1D814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FF4631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D8975D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D79A95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F6172E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881BFA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4A2BBF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212D3F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759A82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593E33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7</w:t>
            </w:r>
          </w:p>
        </w:tc>
        <w:tc>
          <w:tcPr>
            <w:tcW w:w="0" w:type="auto"/>
            <w:tcBorders>
              <w:top w:val="nil"/>
              <w:left w:val="nil"/>
              <w:bottom w:val="nil"/>
              <w:right w:val="nil"/>
            </w:tcBorders>
            <w:shd w:val="clear" w:color="auto" w:fill="auto"/>
            <w:vAlign w:val="center"/>
            <w:hideMark/>
          </w:tcPr>
          <w:p w14:paraId="057F9A2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B4AA63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9D734B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00F2FA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1A49A5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2C313E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0DEE27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1A240B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898F4A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EEEC4D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43B1B4C0" w14:textId="77777777" w:rsidTr="00C336CB">
        <w:trPr>
          <w:trHeight w:val="340"/>
        </w:trPr>
        <w:tc>
          <w:tcPr>
            <w:tcW w:w="0" w:type="auto"/>
            <w:tcBorders>
              <w:top w:val="nil"/>
              <w:left w:val="nil"/>
              <w:bottom w:val="nil"/>
              <w:right w:val="nil"/>
            </w:tcBorders>
            <w:shd w:val="clear" w:color="auto" w:fill="auto"/>
            <w:vAlign w:val="center"/>
            <w:hideMark/>
          </w:tcPr>
          <w:p w14:paraId="0D5EFB9F" w14:textId="53B44ABB"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Reque</w:t>
            </w:r>
            <w:r w:rsidR="00CE05CD">
              <w:rPr>
                <w:rFonts w:ascii="Times New Roman" w:eastAsia="Times New Roman" w:hAnsi="Times New Roman" w:cs="Times New Roman"/>
                <w:color w:val="000000"/>
                <w:sz w:val="13"/>
                <w:szCs w:val="13"/>
                <w:lang w:val="de-DE" w:eastAsia="de-DE"/>
              </w:rPr>
              <w:t>na</w:t>
            </w:r>
            <w:r w:rsidRPr="00C336CB">
              <w:rPr>
                <w:rFonts w:ascii="Times New Roman" w:eastAsia="Times New Roman" w:hAnsi="Times New Roman" w:cs="Times New Roman"/>
                <w:color w:val="000000"/>
                <w:sz w:val="13"/>
                <w:szCs w:val="13"/>
                <w:lang w:eastAsia="de-DE"/>
              </w:rPr>
              <w:t xml:space="preserve"> et al. </w:t>
            </w:r>
            <w:r w:rsidR="00CE05CD">
              <w:rPr>
                <w:rFonts w:ascii="Times New Roman" w:eastAsia="Times New Roman" w:hAnsi="Times New Roman" w:cs="Times New Roman"/>
                <w:color w:val="000000"/>
                <w:sz w:val="13"/>
                <w:szCs w:val="13"/>
                <w:lang w:eastAsia="de-DE"/>
              </w:rPr>
              <w:fldChar w:fldCharType="begin"/>
            </w:r>
            <w:r w:rsidR="00CE05CD">
              <w:rPr>
                <w:rFonts w:ascii="Times New Roman" w:eastAsia="Times New Roman" w:hAnsi="Times New Roman" w:cs="Times New Roman"/>
                <w:color w:val="000000"/>
                <w:sz w:val="13"/>
                <w:szCs w:val="13"/>
                <w:lang w:eastAsia="de-DE"/>
              </w:rPr>
              <w:instrText xml:space="preserve"> ADDIN ZOTERO_ITEM CSL_CITATION {"citationID":"SGxLDrVT","properties":{"formattedCitation":"\\super 63\\nosupersub{}","plainCitation":"63","noteIndex":0},"citationItems":[{"id":1618,"uris":["http://zotero.org/users/local/4rfnQu81/items/XJSM4J3X"],"uri":["http://zotero.org/users/local/4rfnQu81/items/XJSM4J3X"],"itemData":{"id":1618,"type":"article-journal","abstract":"BACKGROUND: An increased rate of thrombotic events has been associated to Coronavirus Disease 19 (COVID-19) with a variable rate of acute stroke. Our aim is to uncover the rate of acute stroke in COVID-19 patients and identify those cases in which a possible causative relationship could exist. METHODS: We performed a single-center analysis of a prospective mandatory database. We studied all patients with confirmed COVID-19 and stroke diagnoses from March 2(nd) to April 30(th). Demographic, clinical, and imaging data were prospectively collected. Final diagnosis was determined after full diagnostic work-up unless impossible due to death. RESULTS: Of 2050 patients with confirmed SARS-CoV-2 infection, 21 (1.02%) presented an acute ischemic stroke 21 and 4 (0.2%) suffered an intracranial hemorrhage. After the diagnostic work-up, in 60.0% ischemic and all hemorrhagic strokes patients an etiology non-related with COVID-19 was identified. Only in 6 patients the stroke cause was considered possibly related to COVID-19, all of them required mechanical ventilation before stroke onset. Ten patients underwent endovascular treatment; compared with patients who underwent EVT in the same period, COVID-19 was an independent predictor of in-hospital mortality (50% versus 15%; Odds Ratio, 6.67; 95% CI, 1.1-40.4; p 0.04). CONCLUSIONS: The presence of acute stroke in patients with COVID-19 was below 2% and most of them previously presented established stroke risk factors. Without other potential cause, stroke was an uncommon complication and exclusive of patients with a severe pulmonary injury. The presence of COVID-19 in patients who underwent EVT was an independent predictor of in-hospital mortality.","container-title":"Journal of stroke and cerebrovascular diseases : the official journal of National Stroke Association","DOI":"10.1016/j.jstrokecerebrovasdis.2020.105225","ISSN":"1532-8511 (Electronic)","issue":"11","language":"eng","note":"PMID: 33066917","page":"105225","title":"COVID-19 and Stroke: Incidence and Etiological Description in a High-Volume Center.","volume":"29","author":[{"family":"Requena","given":"Manuel"},{"family":"Olivé-Gadea","given":"Marta"},{"family":"Muchada","given":"Marian"},{"family":"García-Tornel","given":"Álvaro"},{"family":"Deck","given":"Matías"},{"family":"Juega","given":"Jesús"},{"family":"Boned","given":"Sandra"},{"family":"Rodríguez-Villatoro","given":"Noelia"},{"family":"Piñana","given":"Carlos"},{"family":"Pagola","given":"Jorge"},{"family":"Rodríguez-Luna","given":"David"},{"family":"Hernández","given":"David"},{"family":"Rubiera","given":"Marta"},{"family":"Tomasello","given":"Alejandro"},{"family":"Molina","given":"Carlos A"},{"family":"Ribo","given":"Marc"}],"issued":{"date-parts":[["2020",11]]}}}],"schema":"https://github.com/citation-style-language/schema/raw/master/csl-citation.json"} </w:instrText>
            </w:r>
            <w:r w:rsidR="00CE05CD">
              <w:rPr>
                <w:rFonts w:ascii="Times New Roman" w:eastAsia="Times New Roman" w:hAnsi="Times New Roman" w:cs="Times New Roman"/>
                <w:color w:val="000000"/>
                <w:sz w:val="13"/>
                <w:szCs w:val="13"/>
                <w:lang w:eastAsia="de-DE"/>
              </w:rPr>
              <w:fldChar w:fldCharType="separate"/>
            </w:r>
            <w:r w:rsidR="00CE05CD" w:rsidRPr="00CE05CD">
              <w:rPr>
                <w:rFonts w:ascii="Times New Roman" w:hAnsi="Times New Roman" w:cs="Times New Roman"/>
                <w:color w:val="000000"/>
                <w:sz w:val="13"/>
                <w:vertAlign w:val="superscript"/>
                <w:lang w:val="de-DE"/>
              </w:rPr>
              <w:t>63</w:t>
            </w:r>
            <w:r w:rsidR="00CE05CD">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vAlign w:val="center"/>
            <w:hideMark/>
          </w:tcPr>
          <w:p w14:paraId="0FE7C6C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vAlign w:val="center"/>
            <w:hideMark/>
          </w:tcPr>
          <w:p w14:paraId="49C2574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4</w:t>
            </w:r>
          </w:p>
        </w:tc>
        <w:tc>
          <w:tcPr>
            <w:tcW w:w="0" w:type="auto"/>
            <w:tcBorders>
              <w:top w:val="nil"/>
              <w:left w:val="nil"/>
              <w:bottom w:val="nil"/>
              <w:right w:val="nil"/>
            </w:tcBorders>
            <w:shd w:val="clear" w:color="auto" w:fill="auto"/>
            <w:vAlign w:val="center"/>
            <w:hideMark/>
          </w:tcPr>
          <w:p w14:paraId="3F9A159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0.20%</w:t>
            </w:r>
          </w:p>
        </w:tc>
        <w:tc>
          <w:tcPr>
            <w:tcW w:w="0" w:type="auto"/>
            <w:tcBorders>
              <w:top w:val="nil"/>
              <w:left w:val="nil"/>
              <w:bottom w:val="nil"/>
              <w:right w:val="nil"/>
            </w:tcBorders>
            <w:shd w:val="clear" w:color="auto" w:fill="auto"/>
            <w:vAlign w:val="center"/>
            <w:hideMark/>
          </w:tcPr>
          <w:p w14:paraId="153BAF9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DCC8E0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B7239C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820465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9373B6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6EF3A1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2950D8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B34C73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2CB544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D6D3D2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2CECED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2E1DC4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DCB94C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616CD1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3C6B37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8DE9F7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F99430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5ADE58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B4B081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8814B7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339058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D95B1B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2D03AD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96EE15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DC885A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2B518A13" w14:textId="77777777" w:rsidTr="00C336CB">
        <w:trPr>
          <w:trHeight w:val="340"/>
        </w:trPr>
        <w:tc>
          <w:tcPr>
            <w:tcW w:w="0" w:type="auto"/>
            <w:tcBorders>
              <w:top w:val="nil"/>
              <w:left w:val="nil"/>
              <w:bottom w:val="nil"/>
              <w:right w:val="nil"/>
            </w:tcBorders>
            <w:shd w:val="clear" w:color="auto" w:fill="auto"/>
            <w:vAlign w:val="center"/>
            <w:hideMark/>
          </w:tcPr>
          <w:p w14:paraId="13700A43" w14:textId="36E1BC9A"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Rothstein et al. </w:t>
            </w:r>
            <w:r w:rsidR="00CE05CD">
              <w:rPr>
                <w:rFonts w:ascii="Times New Roman" w:eastAsia="Times New Roman" w:hAnsi="Times New Roman" w:cs="Times New Roman"/>
                <w:color w:val="000000"/>
                <w:sz w:val="13"/>
                <w:szCs w:val="13"/>
                <w:lang w:eastAsia="de-DE"/>
              </w:rPr>
              <w:fldChar w:fldCharType="begin"/>
            </w:r>
            <w:r w:rsidR="00CE05CD">
              <w:rPr>
                <w:rFonts w:ascii="Times New Roman" w:eastAsia="Times New Roman" w:hAnsi="Times New Roman" w:cs="Times New Roman"/>
                <w:color w:val="000000"/>
                <w:sz w:val="13"/>
                <w:szCs w:val="13"/>
                <w:lang w:eastAsia="de-DE"/>
              </w:rPr>
              <w:instrText xml:space="preserve"> ADDIN ZOTERO_ITEM CSL_CITATION {"citationID":"J5nz2LPR","properties":{"formattedCitation":"\\super 64\\nosupersub{}","plainCitation":"64","noteIndex":0},"citationItems":[{"id":48,"uris":["http://zotero.org/users/local/4rfnQu81/items/AS3YARMK"],"uri":["http://zotero.org/users/local/4rfnQu81/items/AS3YARMK"],"itemData":{"id":48,"type":"article-journal","abstract":"Background and Purpose: Initial reports suggest a significant risk of thrombotic events, including stroke, in patients hospitalized with coronavirus disease 2019 (COVID-19). However, there is little systematic data on stroke incidence and mechanisms, particularly in racially diverse populations in the United States. Methods: We performed a retrospective, observational study of stroke incidence and mechanisms in all patients with COVID-19 hospitalized from March 15 to May 3, 2020, at 3 Philadelphia hospitals. Results: We identified 844 hospitalized patients with COVID-19 (mean age 59 years, 52% female, 68% Black); 20 (2.4%) had confirmed ischemic stroke; and 8 (0.9%) had intracranial hemorrhage. Of the ischemic stroke patients, mean age was 64 years, with only one patient (5%) under age 50, and 80% were Black. Conventional vascular risk factors were common, with 95% of patients having a history of hypertension and 60% a history of diabetes mellitus. Median time from onset of COVID symptoms to stroke diagnosis was 21 days. Stroke mechanism was cardioembolism in 40%, small vessel disease in 5%, other determined mechanism in 20%, and cryptogenic in 35%. Of the 11 patients with complete vascular imaging, 3 (27%) had large vessel occlusion. Newly positive antiphospholipid antibodies were present in &gt;75% of tested patients. Of the patients with intracranial hemorrhage, 5/8 (63%) were lobar intraparenchymal hemorrhages, and 3/8 (38%) were subarachnoid hemorrhage; 4/8 (50%) were on extracorporeal membrane oxygenation. Conclusions: We found a low risk of acute cerebrovascular events in patients hospitalized with COVID-19. Most patients with ischemic stroke had conventional vascular risk factors, and traditional stroke mechanisms were common.","container-title":"Stroke","DOI":"10.1161/STROKEAHA.120.030995","ISSN":"15244628","issue":"September","note":"PMID: 32684145","page":"219–222","title":"Acute Cerebrovascular Events in Hospitalized COVID-19 Patients","author":[{"family":"Rothstein","given":"Aaron"},{"family":"Oldridge","given":"Olivia"},{"family":"Schwennesen","given":"Hannah"},{"family":"Do","given":"David"},{"family":"Cucchiara","given":"Brett L."}],"issued":{"date-parts":[["2020"]]}}}],"schema":"https://github.com/citation-style-language/schema/raw/master/csl-citation.json"} </w:instrText>
            </w:r>
            <w:r w:rsidR="00CE05CD">
              <w:rPr>
                <w:rFonts w:ascii="Times New Roman" w:eastAsia="Times New Roman" w:hAnsi="Times New Roman" w:cs="Times New Roman"/>
                <w:color w:val="000000"/>
                <w:sz w:val="13"/>
                <w:szCs w:val="13"/>
                <w:lang w:eastAsia="de-DE"/>
              </w:rPr>
              <w:fldChar w:fldCharType="separate"/>
            </w:r>
            <w:r w:rsidR="00CE05CD" w:rsidRPr="00CE05CD">
              <w:rPr>
                <w:rFonts w:ascii="Times New Roman" w:hAnsi="Times New Roman" w:cs="Times New Roman"/>
                <w:color w:val="000000"/>
                <w:sz w:val="13"/>
                <w:vertAlign w:val="superscript"/>
                <w:lang w:val="de-DE"/>
              </w:rPr>
              <w:t>64</w:t>
            </w:r>
            <w:r w:rsidR="00CE05CD">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vAlign w:val="center"/>
            <w:hideMark/>
          </w:tcPr>
          <w:p w14:paraId="4C465E0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vAlign w:val="center"/>
            <w:hideMark/>
          </w:tcPr>
          <w:p w14:paraId="4291A9B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8</w:t>
            </w:r>
          </w:p>
        </w:tc>
        <w:tc>
          <w:tcPr>
            <w:tcW w:w="0" w:type="auto"/>
            <w:tcBorders>
              <w:top w:val="nil"/>
              <w:left w:val="nil"/>
              <w:bottom w:val="nil"/>
              <w:right w:val="nil"/>
            </w:tcBorders>
            <w:shd w:val="clear" w:color="auto" w:fill="auto"/>
            <w:vAlign w:val="center"/>
            <w:hideMark/>
          </w:tcPr>
          <w:p w14:paraId="6928279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0.95%</w:t>
            </w:r>
          </w:p>
        </w:tc>
        <w:tc>
          <w:tcPr>
            <w:tcW w:w="0" w:type="auto"/>
            <w:tcBorders>
              <w:top w:val="nil"/>
              <w:left w:val="nil"/>
              <w:bottom w:val="nil"/>
              <w:right w:val="nil"/>
            </w:tcBorders>
            <w:shd w:val="clear" w:color="auto" w:fill="auto"/>
            <w:vAlign w:val="center"/>
            <w:hideMark/>
          </w:tcPr>
          <w:p w14:paraId="4483DDD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75.00%</w:t>
            </w:r>
          </w:p>
        </w:tc>
        <w:tc>
          <w:tcPr>
            <w:tcW w:w="0" w:type="auto"/>
            <w:tcBorders>
              <w:top w:val="nil"/>
              <w:left w:val="nil"/>
              <w:bottom w:val="nil"/>
              <w:right w:val="nil"/>
            </w:tcBorders>
            <w:shd w:val="clear" w:color="auto" w:fill="auto"/>
            <w:vAlign w:val="center"/>
            <w:hideMark/>
          </w:tcPr>
          <w:p w14:paraId="11E16E7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1057DFB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62F2FF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B4F526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D18D3B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C7F0A5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0BBA26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9527FF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D032CA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DD5A07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77906B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903510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F485C5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60C98C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C4D01B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3</w:t>
            </w:r>
          </w:p>
        </w:tc>
        <w:tc>
          <w:tcPr>
            <w:tcW w:w="0" w:type="auto"/>
            <w:tcBorders>
              <w:top w:val="nil"/>
              <w:left w:val="nil"/>
              <w:bottom w:val="nil"/>
              <w:right w:val="nil"/>
            </w:tcBorders>
            <w:shd w:val="clear" w:color="auto" w:fill="auto"/>
            <w:vAlign w:val="center"/>
            <w:hideMark/>
          </w:tcPr>
          <w:p w14:paraId="114704E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w:t>
            </w:r>
          </w:p>
        </w:tc>
        <w:tc>
          <w:tcPr>
            <w:tcW w:w="0" w:type="auto"/>
            <w:tcBorders>
              <w:top w:val="nil"/>
              <w:left w:val="nil"/>
              <w:bottom w:val="nil"/>
              <w:right w:val="nil"/>
            </w:tcBorders>
            <w:shd w:val="clear" w:color="auto" w:fill="auto"/>
            <w:vAlign w:val="center"/>
            <w:hideMark/>
          </w:tcPr>
          <w:p w14:paraId="6C94A3D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D5EE56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C932FA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597087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E2C499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41024E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A65C10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CAC4D4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4</w:t>
            </w:r>
          </w:p>
        </w:tc>
      </w:tr>
      <w:tr w:rsidR="00CE05CD" w:rsidRPr="00C336CB" w14:paraId="19538D54" w14:textId="77777777" w:rsidTr="00C336CB">
        <w:trPr>
          <w:trHeight w:val="340"/>
        </w:trPr>
        <w:tc>
          <w:tcPr>
            <w:tcW w:w="0" w:type="auto"/>
            <w:tcBorders>
              <w:top w:val="nil"/>
              <w:left w:val="nil"/>
              <w:bottom w:val="nil"/>
              <w:right w:val="nil"/>
            </w:tcBorders>
            <w:shd w:val="clear" w:color="auto" w:fill="auto"/>
            <w:vAlign w:val="center"/>
            <w:hideMark/>
          </w:tcPr>
          <w:p w14:paraId="722ACE72" w14:textId="2CB8919F"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Sawlani et al. </w:t>
            </w:r>
            <w:r w:rsidR="00D251B3">
              <w:rPr>
                <w:rFonts w:ascii="Times New Roman" w:eastAsia="Times New Roman" w:hAnsi="Times New Roman" w:cs="Times New Roman"/>
                <w:color w:val="000000"/>
                <w:sz w:val="13"/>
                <w:szCs w:val="13"/>
                <w:lang w:eastAsia="de-DE"/>
              </w:rPr>
              <w:fldChar w:fldCharType="begin"/>
            </w:r>
            <w:r w:rsidR="00D251B3">
              <w:rPr>
                <w:rFonts w:ascii="Times New Roman" w:eastAsia="Times New Roman" w:hAnsi="Times New Roman" w:cs="Times New Roman"/>
                <w:color w:val="000000"/>
                <w:sz w:val="13"/>
                <w:szCs w:val="13"/>
                <w:lang w:eastAsia="de-DE"/>
              </w:rPr>
              <w:instrText xml:space="preserve"> ADDIN ZOTERO_ITEM CSL_CITATION {"citationID":"0R3lX4yx","properties":{"formattedCitation":"\\super 65\\nosupersub{}","plainCitation":"65","noteIndex":0},"citationItems":[{"id":26,"uris":["http://zotero.org/users/local/4rfnQu81/items/B3AG93MF"],"uri":["http://zotero.org/users/local/4rfnQu81/items/B3AG93MF"],"itemData":{"id":26,"type":"article-journal","abstract":"AIM: To describe the neuroradiological changes in patients with coronavirus disease 2019 (COVID-19). MATERIALS AND METHODS: A retrospective review was undertaken of 3,403 patients who were confirmed positive for severe acute respiratory syndrome coronavirus 2 (SARS-CoV-2) infection, and admitted to Queen Elizabeth Hospital Birmingham, University Hospitals Birmingham NHS Foundation Trust, Birmingham, UK between 1 March 2020 and 31 May 2020, and who underwent neuroimaging. Abnormal brain imaging was evaluated in detail and various imaging patterns on magnetic resonance imaging MRI were identified. RESULTS: Of the 3,403 patients with COVID-19, 167 (4.9%) had neurological signs or symptoms warranting neuroimaging. The most common indications were delirium (44/167, 26%), focal neurology (37/167, 22%), and altered consciousness (34/167, 20%). Neuroimaging showed abnormalities in 23% of patients, with MRI being abnormal in 20 patients and computed tomography (CT) in 18 patients. The most consistent neuroradiological finding was microhaemorrhage with a predilection for the splenium of the corpus callosum (12/20, 60%) followed by acute or subacute infarct (5/20, 25%), watershed white matter hyperintensities (4/20, 20%), and susceptibility changes on susceptibility-weighted imaging (SWI) in the superficial veins (3/20, 15%), acute haemorrhagic necrotising encephalopathy (2/20, 10%), large parenchymal haemorrhage (2/20, 10%), subarachnoid haemorrhage (1/20, 5%), hypoxic–ischaemic changes (1/20, 5%), and acute disseminated encephalomyelitis (ADEM)-like changes (1/20, 5%). CONCLUSION: Various imaging patterns on MRI were observed including acute haemorrhagic necrotising encephalopathy, white matter hyperintensities, hypoxic-ischaemic changes, ADEM-like changes, and stroke. Microhaemorrhages were the most common findings. Prolonged hypoxaemia, consumption coagulopathy, and endothelial disruption are the likely pathological drivers and reflect disease severity in this patient cohort.","container-title":"Clinical Radiology","DOI":"10.1016/j.crad.2020.09.002","ISSN":"1365229X","issue":"2","note":"publisher: The Royal College of Radiologists\nPMID: 33023738","page":"108–116","title":"COVID-19-related intracranial imaging findings: a large single-centre experience","volume":"76","author":[{"family":"Sawlani","given":"V."},{"family":"Scotton","given":"S."},{"family":"Nader","given":"K."},{"family":"Jen","given":"J. P."},{"family":"Patel","given":"M."},{"family":"Gokani","given":"K."},{"family":"Denno","given":"P."},{"family":"Thaller","given":"M."},{"family":"Englezou","given":"C."},{"family":"Janjua","given":"U."},{"family":"Bowen","given":"M."},{"family":"Hoskote","given":"C."},{"family":"Veenith","given":"T."},{"family":"Hassan-Smith","given":"G."},{"family":"Jacob","given":"S."}],"issued":{"date-parts":[["2021"]]}}}],"schema":"https://github.com/citation-style-language/schema/raw/master/csl-citation.json"} </w:instrText>
            </w:r>
            <w:r w:rsidR="00D251B3">
              <w:rPr>
                <w:rFonts w:ascii="Times New Roman" w:eastAsia="Times New Roman" w:hAnsi="Times New Roman" w:cs="Times New Roman"/>
                <w:color w:val="000000"/>
                <w:sz w:val="13"/>
                <w:szCs w:val="13"/>
                <w:lang w:eastAsia="de-DE"/>
              </w:rPr>
              <w:fldChar w:fldCharType="separate"/>
            </w:r>
            <w:r w:rsidR="00D251B3" w:rsidRPr="00D251B3">
              <w:rPr>
                <w:rFonts w:ascii="Times New Roman" w:hAnsi="Times New Roman" w:cs="Times New Roman"/>
                <w:color w:val="000000"/>
                <w:sz w:val="13"/>
                <w:vertAlign w:val="superscript"/>
                <w:lang w:val="de-DE"/>
              </w:rPr>
              <w:t>65</w:t>
            </w:r>
            <w:r w:rsidR="00D251B3">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vAlign w:val="center"/>
            <w:hideMark/>
          </w:tcPr>
          <w:p w14:paraId="6F3ED98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vAlign w:val="center"/>
            <w:hideMark/>
          </w:tcPr>
          <w:p w14:paraId="592D1D6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18</w:t>
            </w:r>
          </w:p>
        </w:tc>
        <w:tc>
          <w:tcPr>
            <w:tcW w:w="0" w:type="auto"/>
            <w:tcBorders>
              <w:top w:val="nil"/>
              <w:left w:val="nil"/>
              <w:bottom w:val="nil"/>
              <w:right w:val="nil"/>
            </w:tcBorders>
            <w:shd w:val="clear" w:color="auto" w:fill="auto"/>
            <w:vAlign w:val="center"/>
            <w:hideMark/>
          </w:tcPr>
          <w:p w14:paraId="32CD421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0.53%</w:t>
            </w:r>
          </w:p>
        </w:tc>
        <w:tc>
          <w:tcPr>
            <w:tcW w:w="0" w:type="auto"/>
            <w:tcBorders>
              <w:top w:val="nil"/>
              <w:left w:val="nil"/>
              <w:bottom w:val="nil"/>
              <w:right w:val="nil"/>
            </w:tcBorders>
            <w:shd w:val="clear" w:color="auto" w:fill="auto"/>
            <w:vAlign w:val="center"/>
            <w:hideMark/>
          </w:tcPr>
          <w:p w14:paraId="076D787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DB3871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B5120C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262E2A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69D3C1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918078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9E52AC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7A69CE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DDE6C3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8EA3E1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D5CD67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D9C727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5E013E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068424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AC3BB5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12</w:t>
            </w:r>
          </w:p>
        </w:tc>
        <w:tc>
          <w:tcPr>
            <w:tcW w:w="0" w:type="auto"/>
            <w:tcBorders>
              <w:top w:val="nil"/>
              <w:left w:val="nil"/>
              <w:bottom w:val="nil"/>
              <w:right w:val="nil"/>
            </w:tcBorders>
            <w:shd w:val="clear" w:color="auto" w:fill="auto"/>
            <w:vAlign w:val="center"/>
            <w:hideMark/>
          </w:tcPr>
          <w:p w14:paraId="31F7DE9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0D24023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w:t>
            </w:r>
          </w:p>
        </w:tc>
        <w:tc>
          <w:tcPr>
            <w:tcW w:w="0" w:type="auto"/>
            <w:tcBorders>
              <w:top w:val="nil"/>
              <w:left w:val="nil"/>
              <w:bottom w:val="nil"/>
              <w:right w:val="nil"/>
            </w:tcBorders>
            <w:shd w:val="clear" w:color="auto" w:fill="auto"/>
            <w:vAlign w:val="center"/>
            <w:hideMark/>
          </w:tcPr>
          <w:p w14:paraId="3976591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C43AD8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B64F16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A8DE2B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03E9E2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3</w:t>
            </w:r>
          </w:p>
        </w:tc>
        <w:tc>
          <w:tcPr>
            <w:tcW w:w="0" w:type="auto"/>
            <w:tcBorders>
              <w:top w:val="nil"/>
              <w:left w:val="nil"/>
              <w:bottom w:val="nil"/>
              <w:right w:val="nil"/>
            </w:tcBorders>
            <w:shd w:val="clear" w:color="auto" w:fill="auto"/>
            <w:vAlign w:val="center"/>
            <w:hideMark/>
          </w:tcPr>
          <w:p w14:paraId="7D472A8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E37FC8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4E07E3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779DFD28" w14:textId="77777777" w:rsidTr="00C336CB">
        <w:trPr>
          <w:trHeight w:val="340"/>
        </w:trPr>
        <w:tc>
          <w:tcPr>
            <w:tcW w:w="0" w:type="auto"/>
            <w:tcBorders>
              <w:top w:val="nil"/>
              <w:left w:val="nil"/>
              <w:bottom w:val="nil"/>
              <w:right w:val="nil"/>
            </w:tcBorders>
            <w:shd w:val="clear" w:color="auto" w:fill="auto"/>
            <w:vAlign w:val="center"/>
            <w:hideMark/>
          </w:tcPr>
          <w:p w14:paraId="356197AC" w14:textId="4B7108A8"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Siegler et al. </w:t>
            </w:r>
            <w:r w:rsidR="00D251B3">
              <w:rPr>
                <w:rFonts w:ascii="Times New Roman" w:eastAsia="Times New Roman" w:hAnsi="Times New Roman" w:cs="Times New Roman"/>
                <w:color w:val="000000"/>
                <w:sz w:val="13"/>
                <w:szCs w:val="13"/>
                <w:lang w:eastAsia="de-DE"/>
              </w:rPr>
              <w:fldChar w:fldCharType="begin"/>
            </w:r>
            <w:r w:rsidR="00D251B3">
              <w:rPr>
                <w:rFonts w:ascii="Times New Roman" w:eastAsia="Times New Roman" w:hAnsi="Times New Roman" w:cs="Times New Roman"/>
                <w:color w:val="000000"/>
                <w:sz w:val="13"/>
                <w:szCs w:val="13"/>
                <w:lang w:eastAsia="de-DE"/>
              </w:rPr>
              <w:instrText xml:space="preserve"> ADDIN ZOTERO_ITEM CSL_CITATION {"citationID":"l0vdallK","properties":{"formattedCitation":"\\super 66\\nosupersub{}","plainCitation":"66","noteIndex":0},"citationItems":[{"id":852,"uris":["http://zotero.org/users/local/4rfnQu81/items/AT6RYQL5"],"uri":["http://zotero.org/users/local/4rfnQu81/items/AT6RYQL5"],"itemData":{"id":852,"type":"article-journal","abstract":"BACKGROUND: Severe acute respiratory syndrome-coronavirus-2 (SARS-CoV-2) has been associated with a significant risk of thrombotic events in critically ill patients. AIM: To summarize the findings of a multinational observational cohort of patients with SARS-CoV-2 and cerebrovascular disease. METHODS: Retrospective observational cohort of consecutive adults evaluated in the emergency department and/or admitted with coronavirus disease 2019 (COVID-19) across 31 hospitals in four countries (1 February 2020-16 June 2020). The primary outcome was the incidence rate of cerebrovascular events, inclusive of acute ischemic stroke, intracranial hemorrhages (ICH), and cortical vein and/or sinus thrombosis (CVST). RESULTS: Of the 14,483 patients with laboratory-confirmed SARS-CoV-2, 172 were diagnosed with an acute cerebrovascular event (1.13% of cohort; 1130/100,000 patients, 95%CI 970-1320/100,000), 68/171 (40.5%) were female and 96/172 (55.8%) were between the ages 60 and 79 years. Of these, 156 had acute ischemic stroke (1.08%; 1080/100,000 95%CI 920-1260/100,000), 28 ICH (0.19%; 190/100,000 95%CI 130-280/100,000), and 3 with CVST (0.02%; 20/100,000, 95%CI 4-60/100,000). The in-hospital mortality rate for SARS-CoV-2-associated stroke was 38.1% and for ICH 58.3%. After adjusting for clustering by site and age, baseline stroke severity, and all predictors of in-hospital mortality found in univariate regression (p &lt; 0.1: male sex, tobacco use, arrival by emergency medical services, lower platelet and lymphocyte counts, and intracranial occlusion), cryptogenic stroke mechanism (aOR 5.01, 95%CI 1.63-15.44, p &lt; 0.01), older age (aOR 1.78, 95%CI 1.07-2.94, p = 0.03), and lower lymphocyte count on admission (aOR 0.58, 95%CI 0.34-0.98, p = 0.04) were the only independent predictors of mortality among patients with stroke and COVID-19. CONCLUSIONS: COVID-19 is associated with a small but significant risk of clinically relevant cerebrovascular events, particularly ischemic stroke. The mortality rate is high for COVID-19-associated cerebrovascular complications; therefore, aggressive monitoring and early intervention should be pursued to mitigate poor outcomes.","container-title":"International journal of stroke : official journal of the International Stroke Society","DOI":"10.1177/1747493020959216","ISSN":"1747-4949 (Electronic)","language":"eng","note":"PMID: 32852257","page":"1747493020959216","title":"Cerebrovascular events and outcomes in hospitalized patients with COVID-19: The SVIN COVID-19 Multinational Registry.","author":[{"family":"Siegler","given":"James E"},{"family":"Cardona","given":"Pere"},{"family":"Arenillas","given":"Juan F"},{"family":"Talavera","given":"Blanca"},{"family":"Guillen","given":"Ana N"},{"family":"Chavarría-Miranda","given":"Alba"},{"family":"Lera","given":"Mercedes","non-dropping-particle":"de"},{"family":"Khandelwal","given":"Priyank"},{"family":"Bach","given":"Ivo"},{"family":"Patel","given":"Pratit"},{"family":"Singla","given":"Amit"},{"family":"Requena","given":"Manuel"},{"family":"Ribo","given":"Marc"},{"family":"Jillella","given":"Dinesh V"},{"family":"Rangaraju","given":"Srikant"},{"family":"Nogueira","given":"Raul G"},{"family":"Haussen","given":"Diogo C"},{"family":"Vazquez","given":"Alejandro R"},{"family":"Urra","given":"Xabier"},{"family":"Chamorro","given":"Ángel"},{"family":"Román","given":"Luis S"},{"family":"Thon","given":"Jesse M"},{"family":"Then","given":"Ryna"},{"family":"Sanborn","given":"Emma"},{"family":"Ossa","given":"Natalia P","non-dropping-particle":"de la"},{"family":"Millàn","given":"Mònica"},{"family":"Ruiz","given":"Isaac N"},{"family":"Mansour","given":"Ossama Y"},{"family":"Megahed","given":"Mohammed"},{"family":"Tiu","given":"Cristina"},{"family":"Terecoasa","given":"Elena O"},{"family":"Radu","given":"Răzvan A"},{"family":"Nguyen","given":"Thanh N"},{"family":"Curiale","given":"Gioacchino"},{"family":"Kaliaev","given":"Artem"},{"family":"Czap","given":"Alexandra L"},{"family":"Sebaugh","given":"Jacob"},{"family":"Zha","given":"Alicia M"},{"family":"Liebeskind","given":"David S"},{"family":"Ortega-Gutierrez","given":"Santiago"},{"family":"Farooqui","given":"Mudassir"},{"family":"Hassan","given":"Ameer E"},{"family":"Preston","given":"Laurie"},{"family":"Patterson","given":"Mary S"},{"family":"Bushnaq","given":"Saif"},{"family":"Zaidat","given":"Osama"},{"family":"Jovin","given":"Tudor G"}],"issued":{"date-parts":[["2020",9]]}}}],"schema":"https://github.com/citation-style-language/schema/raw/master/csl-citation.json"} </w:instrText>
            </w:r>
            <w:r w:rsidR="00D251B3">
              <w:rPr>
                <w:rFonts w:ascii="Times New Roman" w:eastAsia="Times New Roman" w:hAnsi="Times New Roman" w:cs="Times New Roman"/>
                <w:color w:val="000000"/>
                <w:sz w:val="13"/>
                <w:szCs w:val="13"/>
                <w:lang w:eastAsia="de-DE"/>
              </w:rPr>
              <w:fldChar w:fldCharType="separate"/>
            </w:r>
            <w:r w:rsidR="00D251B3" w:rsidRPr="00B92A51">
              <w:rPr>
                <w:rFonts w:ascii="Times New Roman" w:hAnsi="Times New Roman" w:cs="Times New Roman"/>
                <w:color w:val="000000"/>
                <w:sz w:val="13"/>
                <w:vertAlign w:val="superscript"/>
              </w:rPr>
              <w:t>66</w:t>
            </w:r>
            <w:r w:rsidR="00D251B3">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vAlign w:val="center"/>
            <w:hideMark/>
          </w:tcPr>
          <w:p w14:paraId="7C04783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vAlign w:val="center"/>
            <w:hideMark/>
          </w:tcPr>
          <w:p w14:paraId="5286162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42</w:t>
            </w:r>
          </w:p>
        </w:tc>
        <w:tc>
          <w:tcPr>
            <w:tcW w:w="0" w:type="auto"/>
            <w:tcBorders>
              <w:top w:val="nil"/>
              <w:left w:val="nil"/>
              <w:bottom w:val="nil"/>
              <w:right w:val="nil"/>
            </w:tcBorders>
            <w:shd w:val="clear" w:color="auto" w:fill="auto"/>
            <w:vAlign w:val="center"/>
            <w:hideMark/>
          </w:tcPr>
          <w:p w14:paraId="7D0BB29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0.22%</w:t>
            </w:r>
          </w:p>
        </w:tc>
        <w:tc>
          <w:tcPr>
            <w:tcW w:w="0" w:type="auto"/>
            <w:tcBorders>
              <w:top w:val="nil"/>
              <w:left w:val="nil"/>
              <w:bottom w:val="nil"/>
              <w:right w:val="nil"/>
            </w:tcBorders>
            <w:shd w:val="clear" w:color="auto" w:fill="auto"/>
            <w:vAlign w:val="center"/>
            <w:hideMark/>
          </w:tcPr>
          <w:p w14:paraId="44CF83C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33.33%</w:t>
            </w:r>
          </w:p>
        </w:tc>
        <w:tc>
          <w:tcPr>
            <w:tcW w:w="0" w:type="auto"/>
            <w:tcBorders>
              <w:top w:val="nil"/>
              <w:left w:val="nil"/>
              <w:bottom w:val="nil"/>
              <w:right w:val="nil"/>
            </w:tcBorders>
            <w:shd w:val="clear" w:color="auto" w:fill="auto"/>
            <w:vAlign w:val="center"/>
            <w:hideMark/>
          </w:tcPr>
          <w:p w14:paraId="67FF4E3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868ADE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2E3946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FC0794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5F94E1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834C1A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AF54D6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FA825D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0BF86E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EA682A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4EE8EB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EE4F03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FE07EF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273B5D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C144A2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16DB1D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84BEF0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41CBCC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D83CA3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3F2176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9784F2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780DC9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59A5AE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D9E1A8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30053229" w14:textId="77777777" w:rsidTr="00C336CB">
        <w:trPr>
          <w:trHeight w:val="340"/>
        </w:trPr>
        <w:tc>
          <w:tcPr>
            <w:tcW w:w="0" w:type="auto"/>
            <w:tcBorders>
              <w:top w:val="nil"/>
              <w:left w:val="nil"/>
              <w:bottom w:val="nil"/>
              <w:right w:val="nil"/>
            </w:tcBorders>
            <w:shd w:val="clear" w:color="auto" w:fill="auto"/>
            <w:vAlign w:val="center"/>
            <w:hideMark/>
          </w:tcPr>
          <w:p w14:paraId="0305E6FD" w14:textId="1DE285CE"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Trifan et al. </w:t>
            </w:r>
            <w:r w:rsidR="00D251B3">
              <w:rPr>
                <w:rFonts w:ascii="Times New Roman" w:eastAsia="Times New Roman" w:hAnsi="Times New Roman" w:cs="Times New Roman"/>
                <w:color w:val="000000"/>
                <w:sz w:val="13"/>
                <w:szCs w:val="13"/>
                <w:lang w:eastAsia="de-DE"/>
              </w:rPr>
              <w:fldChar w:fldCharType="begin"/>
            </w:r>
            <w:r w:rsidR="00D251B3">
              <w:rPr>
                <w:rFonts w:ascii="Times New Roman" w:eastAsia="Times New Roman" w:hAnsi="Times New Roman" w:cs="Times New Roman"/>
                <w:color w:val="000000"/>
                <w:sz w:val="13"/>
                <w:szCs w:val="13"/>
                <w:lang w:eastAsia="de-DE"/>
              </w:rPr>
              <w:instrText xml:space="preserve"> ADDIN ZOTERO_ITEM CSL_CITATION {"citationID":"Ch2zP9Qj","properties":{"formattedCitation":"\\super 67\\nosupersub{}","plainCitation":"67","noteIndex":0},"citationItems":[{"id":179,"uris":["http://zotero.org/users/local/4rfnQu81/items/34HDWYYU"],"uri":["http://zotero.org/users/local/4rfnQu81/items/34HDWYYU"],"itemData":{"id":179,"type":"article-journal","abstract":"BACKGROUND AND PURPOSE: Severe Acute Respiratory Syndrome Coronavirus 2 (SARS-CoV-2) infection is associated with stroke. The role of sex on stroke outcome has not been investigated. To objective of this paper is to describe the characteristics of a diverse cohort of acute stroke patients with COVID-19 disease and determine the role of sex on outcome. METHODS: This is a retrospective study of patients with acute stroke and SARS-CoV-2 infection admitted between March 15 to May 15, 2020 to one of the six participating comprehensive stroke centers. Baseline characteristics, stroke subtype, workup, treatment and outcome are presented as total number and percentage or median and interquartile range. Outcome at discharge was determined by the modified Rankin Scale Score (mRS). Variables and outcomes were compared for males and females using univariate and multivariate analysis. RESULTS: The study included 83 patients, 47% of which were Black, 28% Hispanics/Latinos, and 16% whites. Median age was 64 years. Approximately 89% had at least one preexisting vascular risk factor (VRF). The most common complications were respiratory failure (59%) and septic shock (34%). Compared with females, a higher proportion of males experienced severe SARS-CoV-2 symptoms requiring ICU hospitalization (73% vs. 49%; p = 0.04). When divided by stroke subtype, there were 77% ischemic, 19% intracerebral hemorrhage and 3% subarachnoid hemorrhage. The most common ischemic stroke etiologies were cryptogenic (39%) and cardioembolic (27%). Compared with females, males had higher mortality (38% vs. 13%; p = 0.02) and were less likely to be discharged home (12% vs. 33%; p = 0.04). After adjustment for age, race/ethnicity, and number of VRFs, mRS was higher in males than in females (OR = 1.47, 95% CI = 1.03-2.09). CONCLUSION: In this cohort of SARS-CoV-2 stroke patients, most had clinical evidence of coronavirus infection on admission and preexisting VRFs. Severe in-hospital complications and worse outcomes after ischemic strokes were higher in males, than females.","container-title":"Journal of stroke and cerebrovascular diseases : the official journal of National Stroke Association","DOI":"10.1016/j.jstrokecerebrovasdis.2020.105314","ISSN":"1532-8511 (Electronic)","issue":"11","language":"eng","note":"PMID: 32951959","page":"105314","title":"Characteristics of a Diverse Cohort of Stroke Patients with SARS-CoV-2 and Outcome by Sex.","volume":"29","author":[{"family":"Trifan","given":"G"},{"family":"Goldenberg","given":"F D"},{"family":"Caprio","given":"F Z"},{"family":"Biller","given":"J"},{"family":"Schneck","given":"M"},{"family":"Khaja","given":"A"},{"family":"Terna","given":"T"},{"family":"Brorson","given":"J"},{"family":"Lazaridis","given":"C"},{"family":"Bulwa","given":"Z"},{"family":"Alvarado Dyer","given":"R"},{"family":"Saleh Velez","given":"F G"},{"family":"Prabhakaran","given":"S"},{"family":"Liotta","given":"E M"},{"family":"Batra","given":"A"},{"family":"Reish","given":"N J"},{"family":"Ruland","given":"S"},{"family":"Teitcher","given":"M"},{"family":"Taylor","given":"W"},{"family":"De la Pena","given":"P"},{"family":"Conners","given":"J J"},{"family":"Grewal","given":"P K"},{"family":"Pinna","given":"P"},{"family":"Dafer","given":"R M"},{"family":"Osteraas","given":"N D"},{"family":"DaSilva","given":"I"},{"family":"Hall","given":"J P"},{"family":"John","given":"S"},{"family":"Shafi","given":"N"},{"family":"Miller","given":"K"},{"family":"Moustafa","given":"B"},{"family":"Vargas","given":"A"},{"family":"Gorelick","given":"P B"},{"family":"Testai","given":"F D"}],"issued":{"date-parts":[["2020",11]]}}}],"schema":"https://github.com/citation-style-language/schema/raw/master/csl-citation.json"} </w:instrText>
            </w:r>
            <w:r w:rsidR="00D251B3">
              <w:rPr>
                <w:rFonts w:ascii="Times New Roman" w:eastAsia="Times New Roman" w:hAnsi="Times New Roman" w:cs="Times New Roman"/>
                <w:color w:val="000000"/>
                <w:sz w:val="13"/>
                <w:szCs w:val="13"/>
                <w:lang w:eastAsia="de-DE"/>
              </w:rPr>
              <w:fldChar w:fldCharType="separate"/>
            </w:r>
            <w:r w:rsidR="00D251B3" w:rsidRPr="00B92A51">
              <w:rPr>
                <w:rFonts w:ascii="Times New Roman" w:hAnsi="Times New Roman" w:cs="Times New Roman"/>
                <w:color w:val="000000"/>
                <w:sz w:val="13"/>
                <w:vertAlign w:val="superscript"/>
              </w:rPr>
              <w:t>67</w:t>
            </w:r>
            <w:r w:rsidR="00D251B3">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vAlign w:val="center"/>
            <w:hideMark/>
          </w:tcPr>
          <w:p w14:paraId="147B2A5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vAlign w:val="center"/>
            <w:hideMark/>
          </w:tcPr>
          <w:p w14:paraId="5414087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19</w:t>
            </w:r>
          </w:p>
        </w:tc>
        <w:tc>
          <w:tcPr>
            <w:tcW w:w="0" w:type="auto"/>
            <w:tcBorders>
              <w:top w:val="nil"/>
              <w:left w:val="nil"/>
              <w:bottom w:val="nil"/>
              <w:right w:val="nil"/>
            </w:tcBorders>
            <w:shd w:val="clear" w:color="auto" w:fill="auto"/>
            <w:vAlign w:val="center"/>
            <w:hideMark/>
          </w:tcPr>
          <w:p w14:paraId="1F95012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25981F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50.00%</w:t>
            </w:r>
          </w:p>
        </w:tc>
        <w:tc>
          <w:tcPr>
            <w:tcW w:w="0" w:type="auto"/>
            <w:tcBorders>
              <w:top w:val="nil"/>
              <w:left w:val="nil"/>
              <w:bottom w:val="nil"/>
              <w:right w:val="nil"/>
            </w:tcBorders>
            <w:shd w:val="clear" w:color="auto" w:fill="auto"/>
            <w:vAlign w:val="center"/>
            <w:hideMark/>
          </w:tcPr>
          <w:p w14:paraId="2EDCC4C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676593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549790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EB510E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35573F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04D7CC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7B7C54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018852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7B9A1E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786031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B31B59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D11389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8B458D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9C1DA9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CECD26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3</w:t>
            </w:r>
          </w:p>
        </w:tc>
        <w:tc>
          <w:tcPr>
            <w:tcW w:w="0" w:type="auto"/>
            <w:tcBorders>
              <w:top w:val="nil"/>
              <w:left w:val="nil"/>
              <w:bottom w:val="nil"/>
              <w:right w:val="nil"/>
            </w:tcBorders>
            <w:shd w:val="clear" w:color="auto" w:fill="auto"/>
            <w:vAlign w:val="center"/>
            <w:hideMark/>
          </w:tcPr>
          <w:p w14:paraId="4450FF7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264E1E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33B2FD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0A610C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DDDC64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00C8FE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16</w:t>
            </w:r>
          </w:p>
        </w:tc>
        <w:tc>
          <w:tcPr>
            <w:tcW w:w="0" w:type="auto"/>
            <w:tcBorders>
              <w:top w:val="nil"/>
              <w:left w:val="nil"/>
              <w:bottom w:val="nil"/>
              <w:right w:val="nil"/>
            </w:tcBorders>
            <w:shd w:val="clear" w:color="auto" w:fill="auto"/>
            <w:vAlign w:val="center"/>
            <w:hideMark/>
          </w:tcPr>
          <w:p w14:paraId="2CF9390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00CBC1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398D1A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5ABF2860" w14:textId="77777777" w:rsidTr="00C336CB">
        <w:trPr>
          <w:trHeight w:val="340"/>
        </w:trPr>
        <w:tc>
          <w:tcPr>
            <w:tcW w:w="0" w:type="auto"/>
            <w:tcBorders>
              <w:top w:val="nil"/>
              <w:left w:val="nil"/>
              <w:bottom w:val="nil"/>
              <w:right w:val="nil"/>
            </w:tcBorders>
            <w:shd w:val="clear" w:color="auto" w:fill="auto"/>
            <w:vAlign w:val="center"/>
            <w:hideMark/>
          </w:tcPr>
          <w:p w14:paraId="526229DB" w14:textId="25D64160"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lastRenderedPageBreak/>
              <w:t xml:space="preserve">Sweid et al. </w:t>
            </w:r>
            <w:r w:rsidR="00D251B3">
              <w:rPr>
                <w:rFonts w:ascii="Times New Roman" w:eastAsia="Times New Roman" w:hAnsi="Times New Roman" w:cs="Times New Roman"/>
                <w:color w:val="000000"/>
                <w:sz w:val="13"/>
                <w:szCs w:val="13"/>
                <w:lang w:eastAsia="de-DE"/>
              </w:rPr>
              <w:fldChar w:fldCharType="begin"/>
            </w:r>
            <w:r w:rsidR="00D251B3">
              <w:rPr>
                <w:rFonts w:ascii="Times New Roman" w:eastAsia="Times New Roman" w:hAnsi="Times New Roman" w:cs="Times New Roman"/>
                <w:color w:val="000000"/>
                <w:sz w:val="13"/>
                <w:szCs w:val="13"/>
                <w:lang w:eastAsia="de-DE"/>
              </w:rPr>
              <w:instrText xml:space="preserve"> ADDIN ZOTERO_ITEM CSL_CITATION {"citationID":"QbLiKspl","properties":{"formattedCitation":"\\super 68\\nosupersub{}","plainCitation":"68","noteIndex":0},"citationItems":[{"id":125,"uris":["http://zotero.org/users/local/4rfnQu81/items/VJJMIWTS"],"uri":["http://zotero.org/users/local/4rfnQu81/items/VJJMIWTS"],"itemData":{"id":125,"type":"article-journal","abstract":"Background: The coronavirus disease 2019 is associated with neurological manifestations including stroke. Objectives: We present a case series of coronavirus disease 2019 patients from two institutions with acute cerebrovascular pathologies. In addition, we present a pooled analysis of published data on large vessel occlusion in the setting of coronavirus disease 2019 and a concise summary of the pathophysiology of acute cerebrovascular disease in the setting of coronavirus disease 2019. Methods: A retrospective study across two institutions was conducted between 20 March 2020 and 20 May 2020, for patients developing acute cerebrovascular disease and diagnosed with coronavirus disease 2019. We performed a literature review using the PubMed search engine. Results: The total sample size was 22 patients. The mean age was 59.5 years, and 12 patients were female. The cerebrovascular pathologies were 17 cases of acute ischemic stroke, 3 cases of aneurysm rupture, and 2 cases of sinus thrombosis. Of the stroke and sinus thrombosis patients, the mean National Institute of Health Stroke Scale was 13.8 ± 8.0, and 16 (84.2%) patients underwent a mechanical thrombectomy procedure. A favorable thrombolysis in cerebral infarction score was achieved in all patients. Of the 16 patients that underwent a mechanical thrombectomy, the mortality incidence was five (31.3%). Of all patients (22), three (13.6%) patients developed hemorrhagic conversion requiring decompressive surgery. Eleven (50%) patients had a poor functional status (modified Rankin Score 3–6) at discharge, and the total mortality incidence was eight (36.4%). Conclusions: Despite timely intervention and favorable reperfusion, the mortality rate in coronavirus disease 2019 patients with large vessel occlusion was high in our series and in the pooled analysis. Notable features were younger age group, involvement of both the arterial and venous vasculature, multivessel involvement, and complicated procedures due to the clot consistency and burden.","container-title":"International Journal of Stroke","DOI":"10.1177/1747493020937189","ISSN":"17474949","issue":"7","note":"PMID: 32501751","page":"733–742","title":"Cerebral ischemic and hemorrhagic complications of coronavirus disease 2019","volume":"15","author":[{"family":"Sweid","given":"Ahmad"},{"family":"Hammoud","given":"Batoul"},{"family":"Bekelis","given":"Kimon"},{"family":"Missios","given":"Symeon"},{"family":"Tjoumakaris","given":"Stavropoula I."},{"family":"Gooch","given":"Michael R."},{"family":"Herial","given":"Nabeel A."},{"family":"Zarzour","given":"Hekmat"},{"family":"Romo","given":"Victor"},{"family":"DePrince","given":"Maureen"},{"family":"Rosenwasser","given":"Robert H."},{"family":"Jabbour","given":"Pascal"}],"issued":{"date-parts":[["2020"]]}}}],"schema":"https://github.com/citation-style-language/schema/raw/master/csl-citation.json"} </w:instrText>
            </w:r>
            <w:r w:rsidR="00D251B3">
              <w:rPr>
                <w:rFonts w:ascii="Times New Roman" w:eastAsia="Times New Roman" w:hAnsi="Times New Roman" w:cs="Times New Roman"/>
                <w:color w:val="000000"/>
                <w:sz w:val="13"/>
                <w:szCs w:val="13"/>
                <w:lang w:eastAsia="de-DE"/>
              </w:rPr>
              <w:fldChar w:fldCharType="separate"/>
            </w:r>
            <w:r w:rsidR="00D251B3" w:rsidRPr="00B92A51">
              <w:rPr>
                <w:rFonts w:ascii="Times New Roman" w:hAnsi="Times New Roman" w:cs="Times New Roman"/>
                <w:color w:val="000000"/>
                <w:sz w:val="13"/>
                <w:vertAlign w:val="superscript"/>
              </w:rPr>
              <w:t>68</w:t>
            </w:r>
            <w:r w:rsidR="00D251B3">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vAlign w:val="center"/>
            <w:hideMark/>
          </w:tcPr>
          <w:p w14:paraId="1AECA40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vAlign w:val="center"/>
            <w:hideMark/>
          </w:tcPr>
          <w:p w14:paraId="035D88D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3</w:t>
            </w:r>
          </w:p>
        </w:tc>
        <w:tc>
          <w:tcPr>
            <w:tcW w:w="0" w:type="auto"/>
            <w:tcBorders>
              <w:top w:val="nil"/>
              <w:left w:val="nil"/>
              <w:bottom w:val="nil"/>
              <w:right w:val="nil"/>
            </w:tcBorders>
            <w:shd w:val="clear" w:color="auto" w:fill="auto"/>
            <w:vAlign w:val="center"/>
            <w:hideMark/>
          </w:tcPr>
          <w:p w14:paraId="36579A5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9C7D2B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1EBA6A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86504E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67AAAA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AF279A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330D39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332AB1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9DB4E3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D54E6F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D2DF1D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6A3A9F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FBC089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BA1D0C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9D4742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6781B8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8C43E4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B96849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86930F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687DEE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57F0AB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5CB4E0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37C13F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A16CCE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7BEF85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44A976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56961B3B" w14:textId="77777777" w:rsidTr="00C336CB">
        <w:trPr>
          <w:trHeight w:val="340"/>
        </w:trPr>
        <w:tc>
          <w:tcPr>
            <w:tcW w:w="0" w:type="auto"/>
            <w:tcBorders>
              <w:top w:val="nil"/>
              <w:left w:val="nil"/>
              <w:bottom w:val="nil"/>
              <w:right w:val="nil"/>
            </w:tcBorders>
            <w:shd w:val="clear" w:color="auto" w:fill="auto"/>
            <w:vAlign w:val="center"/>
            <w:hideMark/>
          </w:tcPr>
          <w:p w14:paraId="727CC60F" w14:textId="24D66FDC"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B</w:t>
            </w:r>
            <w:r w:rsidR="00D251B3" w:rsidRPr="00B92A51">
              <w:rPr>
                <w:rFonts w:ascii="Times New Roman" w:eastAsia="Times New Roman" w:hAnsi="Times New Roman" w:cs="Times New Roman"/>
                <w:color w:val="000000"/>
                <w:sz w:val="13"/>
                <w:szCs w:val="13"/>
                <w:lang w:eastAsia="de-DE"/>
              </w:rPr>
              <w:t>e</w:t>
            </w:r>
            <w:r w:rsidRPr="00C336CB">
              <w:rPr>
                <w:rFonts w:ascii="Times New Roman" w:eastAsia="Times New Roman" w:hAnsi="Times New Roman" w:cs="Times New Roman"/>
                <w:color w:val="000000"/>
                <w:sz w:val="13"/>
                <w:szCs w:val="13"/>
                <w:lang w:eastAsia="de-DE"/>
              </w:rPr>
              <w:t xml:space="preserve">rmea et al. </w:t>
            </w:r>
            <w:r w:rsidR="00D251B3">
              <w:rPr>
                <w:rFonts w:ascii="Times New Roman" w:eastAsia="Times New Roman" w:hAnsi="Times New Roman" w:cs="Times New Roman"/>
                <w:color w:val="000000"/>
                <w:sz w:val="13"/>
                <w:szCs w:val="13"/>
                <w:lang w:eastAsia="de-DE"/>
              </w:rPr>
              <w:fldChar w:fldCharType="begin"/>
            </w:r>
            <w:r w:rsidR="00D251B3">
              <w:rPr>
                <w:rFonts w:ascii="Times New Roman" w:eastAsia="Times New Roman" w:hAnsi="Times New Roman" w:cs="Times New Roman"/>
                <w:color w:val="000000"/>
                <w:sz w:val="13"/>
                <w:szCs w:val="13"/>
                <w:lang w:eastAsia="de-DE"/>
              </w:rPr>
              <w:instrText xml:space="preserve"> ADDIN ZOTERO_ITEM CSL_CITATION {"citationID":"vSmEN3Fu","properties":{"formattedCitation":"\\super 69\\nosupersub{}","plainCitation":"69","noteIndex":0},"citationItems":[{"id":3587,"uris":["http://zotero.org/users/local/4rfnQu81/items/2584ZZHC"],"uri":["http://zotero.org/users/local/4rfnQu81/items/2584ZZHC"],"itemData":{"id":3587,"type":"article-journal","container-title":"Shock","DOI":"10.1097/SHK.0000000000001730","ISSN":"1073-2322","language":"en","source":"DOI.org (Crossref)","title":"Increased Intracranial Hemorrhage Amid Elevated Inflammatory Markers in those with COVID-19 Supported with Extracorporeal Membrane Oxygenation","URL":"https://journals.lww.com/10.1097/SHK.0000000000001730","volume":"Publish Ahead of Print","author":[{"family":"Bermea","given":"Rene S."},{"family":"Raz","given":"Yuval"},{"family":"Sertic","given":"Federico"},{"family":"Rubin","given":"Jonah"},{"family":"Wolf","given":"Molly"},{"family":"Olia","given":"Salim"},{"family":"Richards","given":"Thomas"},{"family":"Crowley","given":"Jerome"},{"family":"Funamoto","given":"Masaki"},{"family":"Shelton","given":"Kenneth"},{"family":"Bermudez","given":"Christian"}],"accessed":{"date-parts":[["2021",4,26]]},"issued":{"date-parts":[["2021",1,20]]}}}],"schema":"https://github.com/citation-style-language/schema/raw/master/csl-citation.json"} </w:instrText>
            </w:r>
            <w:r w:rsidR="00D251B3">
              <w:rPr>
                <w:rFonts w:ascii="Times New Roman" w:eastAsia="Times New Roman" w:hAnsi="Times New Roman" w:cs="Times New Roman"/>
                <w:color w:val="000000"/>
                <w:sz w:val="13"/>
                <w:szCs w:val="13"/>
                <w:lang w:eastAsia="de-DE"/>
              </w:rPr>
              <w:fldChar w:fldCharType="separate"/>
            </w:r>
            <w:r w:rsidR="00D251B3" w:rsidRPr="00B92A51">
              <w:rPr>
                <w:rFonts w:ascii="Times New Roman" w:hAnsi="Times New Roman" w:cs="Times New Roman"/>
                <w:color w:val="000000"/>
                <w:sz w:val="13"/>
                <w:vertAlign w:val="superscript"/>
              </w:rPr>
              <w:t>69</w:t>
            </w:r>
            <w:r w:rsidR="00D251B3">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vAlign w:val="center"/>
            <w:hideMark/>
          </w:tcPr>
          <w:p w14:paraId="37C72FD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2021</w:t>
            </w:r>
          </w:p>
        </w:tc>
        <w:tc>
          <w:tcPr>
            <w:tcW w:w="0" w:type="auto"/>
            <w:tcBorders>
              <w:top w:val="nil"/>
              <w:left w:val="nil"/>
              <w:bottom w:val="nil"/>
              <w:right w:val="nil"/>
            </w:tcBorders>
            <w:shd w:val="clear" w:color="auto" w:fill="auto"/>
            <w:vAlign w:val="center"/>
            <w:hideMark/>
          </w:tcPr>
          <w:p w14:paraId="6F828D9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11</w:t>
            </w:r>
          </w:p>
        </w:tc>
        <w:tc>
          <w:tcPr>
            <w:tcW w:w="0" w:type="auto"/>
            <w:tcBorders>
              <w:top w:val="nil"/>
              <w:left w:val="nil"/>
              <w:bottom w:val="nil"/>
              <w:right w:val="nil"/>
            </w:tcBorders>
            <w:shd w:val="clear" w:color="auto" w:fill="auto"/>
            <w:vAlign w:val="center"/>
            <w:hideMark/>
          </w:tcPr>
          <w:p w14:paraId="7E7EAED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D05ADE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81.82%</w:t>
            </w:r>
          </w:p>
        </w:tc>
        <w:tc>
          <w:tcPr>
            <w:tcW w:w="0" w:type="auto"/>
            <w:tcBorders>
              <w:top w:val="nil"/>
              <w:left w:val="nil"/>
              <w:bottom w:val="nil"/>
              <w:right w:val="nil"/>
            </w:tcBorders>
            <w:shd w:val="clear" w:color="auto" w:fill="auto"/>
            <w:vAlign w:val="center"/>
            <w:hideMark/>
          </w:tcPr>
          <w:p w14:paraId="3DECEA8E" w14:textId="0BD93D03" w:rsidR="00C336CB" w:rsidRPr="00C336CB" w:rsidRDefault="00C336CB" w:rsidP="00C336CB">
            <w:pPr>
              <w:rPr>
                <w:rFonts w:ascii="Calibri" w:eastAsia="Times New Roman" w:hAnsi="Calibri" w:cs="Calibri"/>
                <w:color w:val="000000"/>
                <w:sz w:val="13"/>
                <w:szCs w:val="13"/>
                <w:lang w:eastAsia="de-DE"/>
              </w:rPr>
            </w:pPr>
            <w:r w:rsidRPr="00C336CB">
              <w:rPr>
                <w:rFonts w:ascii="Times New Roman" w:eastAsia="Times New Roman" w:hAnsi="Times New Roman" w:cs="Times New Roman"/>
                <w:color w:val="000000"/>
                <w:sz w:val="13"/>
                <w:szCs w:val="13"/>
                <w:lang w:eastAsia="de-DE"/>
              </w:rPr>
              <w:t>53</w:t>
            </w:r>
          </w:p>
        </w:tc>
        <w:tc>
          <w:tcPr>
            <w:tcW w:w="0" w:type="auto"/>
            <w:tcBorders>
              <w:top w:val="nil"/>
              <w:left w:val="nil"/>
              <w:bottom w:val="nil"/>
              <w:right w:val="nil"/>
            </w:tcBorders>
            <w:shd w:val="clear" w:color="auto" w:fill="auto"/>
            <w:vAlign w:val="center"/>
            <w:hideMark/>
          </w:tcPr>
          <w:p w14:paraId="44EF248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559FC5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vAlign w:val="center"/>
            <w:hideMark/>
          </w:tcPr>
          <w:p w14:paraId="08320AD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2D5C7C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E5DB43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BD7B88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DCE673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25A527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E1B776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EBF824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3F5C6E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6DCF92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64EB6C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4C64B2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63D073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E4B3EE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7B8B69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441080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DDD101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4BE1FC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11</w:t>
            </w:r>
          </w:p>
        </w:tc>
        <w:tc>
          <w:tcPr>
            <w:tcW w:w="0" w:type="auto"/>
            <w:tcBorders>
              <w:top w:val="nil"/>
              <w:left w:val="nil"/>
              <w:bottom w:val="nil"/>
              <w:right w:val="nil"/>
            </w:tcBorders>
            <w:shd w:val="clear" w:color="auto" w:fill="auto"/>
            <w:vAlign w:val="center"/>
            <w:hideMark/>
          </w:tcPr>
          <w:p w14:paraId="1CD54FB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E5ED03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11</w:t>
            </w:r>
          </w:p>
        </w:tc>
        <w:tc>
          <w:tcPr>
            <w:tcW w:w="0" w:type="auto"/>
            <w:tcBorders>
              <w:top w:val="nil"/>
              <w:left w:val="nil"/>
              <w:bottom w:val="nil"/>
              <w:right w:val="nil"/>
            </w:tcBorders>
            <w:shd w:val="clear" w:color="auto" w:fill="auto"/>
            <w:vAlign w:val="center"/>
            <w:hideMark/>
          </w:tcPr>
          <w:p w14:paraId="5667313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11</w:t>
            </w:r>
          </w:p>
        </w:tc>
      </w:tr>
      <w:tr w:rsidR="00CE05CD" w:rsidRPr="00C336CB" w14:paraId="7EE08EEF" w14:textId="77777777" w:rsidTr="00C336CB">
        <w:trPr>
          <w:trHeight w:val="340"/>
        </w:trPr>
        <w:tc>
          <w:tcPr>
            <w:tcW w:w="0" w:type="auto"/>
            <w:tcBorders>
              <w:top w:val="nil"/>
              <w:left w:val="nil"/>
              <w:bottom w:val="nil"/>
              <w:right w:val="nil"/>
            </w:tcBorders>
            <w:shd w:val="clear" w:color="auto" w:fill="auto"/>
            <w:vAlign w:val="center"/>
            <w:hideMark/>
          </w:tcPr>
          <w:p w14:paraId="579F9A92" w14:textId="4900F7D8"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Büttner et al. </w:t>
            </w:r>
            <w:r w:rsidR="00D251B3">
              <w:rPr>
                <w:rFonts w:ascii="Times New Roman" w:eastAsia="Times New Roman" w:hAnsi="Times New Roman" w:cs="Times New Roman"/>
                <w:color w:val="000000"/>
                <w:sz w:val="13"/>
                <w:szCs w:val="13"/>
                <w:lang w:eastAsia="de-DE"/>
              </w:rPr>
              <w:fldChar w:fldCharType="begin"/>
            </w:r>
            <w:r w:rsidR="00D251B3">
              <w:rPr>
                <w:rFonts w:ascii="Times New Roman" w:eastAsia="Times New Roman" w:hAnsi="Times New Roman" w:cs="Times New Roman"/>
                <w:color w:val="000000"/>
                <w:sz w:val="13"/>
                <w:szCs w:val="13"/>
                <w:lang w:eastAsia="de-DE"/>
              </w:rPr>
              <w:instrText xml:space="preserve"> ADDIN ZOTERO_ITEM CSL_CITATION {"citationID":"oqtWr9kc","properties":{"formattedCitation":"\\super 70\\nosupersub{}","plainCitation":"70","noteIndex":0},"citationItems":[{"id":1613,"uris":["http://zotero.org/users/local/4rfnQu81/items/X5F7I66M"],"uri":["http://zotero.org/users/local/4rfnQu81/items/X5F7I66M"],"itemData":{"id":1613,"type":"article-journal","abstract":"Purpose COVID-19 has a variable, but well-described course. However, some patients additionally present with neurological symptoms. Recent studies also show a broad range of neuroimaging features. The purpose of this study was to perform a snapshot analysis to approximate the frequency and types of neuroimaging findings on CT and MRI scans in a large cohort of SARS-CoV-2-positive patients in a level I COVID-19 center, both in general and in critically ill patients. Materials and Methods We retrospectively analyzed brain CT and MRI scans of 34 hospitalized COVID-19 patients at our level I COVID-19 center between March 15 and April 24 with regard to pathological neuroimaging findings. In addition, clinical parameters such as neurological symptoms, comorbidities, and type of ventilation therapy were also documented. A descriptive statistical analysis was performed. Results Pathological findings were detected in 38.2% of patients in the study cohort. Based on the weekly institutional SARS-CoV-2 report of all positively tested patients in our clinic at the time of data collection, neuroimaging findings could be found in 6% of all patients (34/565). The most common findings were microbleeds (20.6%) and signs of hypoxic brain injury (11.8%). Furthermore, cortical subarachnoid hemorrhage, typical and atypical cerebral hematomas, ischemic strokes, and generalized brain edema were documented. All neuroimaging findings occurred in patients who were either intubated or treated by ECMO. Conclusion Based on the analysis of this large cohort of SARS-CoV-2-positive patients, pathological neuroimaging findings seem to be relatively rare in general but do occur in a substantial proportion of patients with severe COVID-19 disease needing intubation or ECMO. Key Points: Neuroimaging findings appear to be relatively rare in SARS-CoV-2 positive patients. Pathological findings occur mainly in critically ill COVID-19 patients. Frequent findings include hemorrhagic, ischemic and hypoxic changes. Critically ill COVID-19 patients should receive neuroimaging with a low threshold. Citation Format Büttner L, Bauknecht HC, Fleckenstein FN etal. Neuroimaging Findings in Conjunction with Severe COVID-19. Fortschr Röntgenstr 2021; DOI: 10.1055/a-1345-9784.","container-title":"RoFo Fortschritte auf dem Gebiet der Rontgenstrahlen und der Bildgebenden Verfahren","DOI":"10.1055/a-1345-9784","ISSN":"14389010","note":"PMID: 33535257","title":"Neuroimaging Findings in Conjunction with Severe COVID-19","author":[{"family":"Büttner","given":"Laura"},{"family":"Bauknecht","given":"Hans Christian"},{"family":"Fleckenstein","given":"Florian Nima"},{"family":"Kahn","given":"Johannes"},{"family":"Tietze","given":"Anna"},{"family":"Bohner","given":"Georg"},{"family":"Siebert","given":"Eberhard"}],"issued":{"date-parts":[["2021"]]}}}],"schema":"https://github.com/citation-style-language/schema/raw/master/csl-citation.json"} </w:instrText>
            </w:r>
            <w:r w:rsidR="00D251B3">
              <w:rPr>
                <w:rFonts w:ascii="Times New Roman" w:eastAsia="Times New Roman" w:hAnsi="Times New Roman" w:cs="Times New Roman"/>
                <w:color w:val="000000"/>
                <w:sz w:val="13"/>
                <w:szCs w:val="13"/>
                <w:lang w:eastAsia="de-DE"/>
              </w:rPr>
              <w:fldChar w:fldCharType="separate"/>
            </w:r>
            <w:r w:rsidR="00D251B3" w:rsidRPr="00D251B3">
              <w:rPr>
                <w:rFonts w:ascii="Times New Roman" w:hAnsi="Times New Roman" w:cs="Times New Roman"/>
                <w:color w:val="000000"/>
                <w:sz w:val="13"/>
                <w:vertAlign w:val="superscript"/>
                <w:lang w:val="de-DE"/>
              </w:rPr>
              <w:t>70</w:t>
            </w:r>
            <w:r w:rsidR="00D251B3">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vAlign w:val="center"/>
            <w:hideMark/>
          </w:tcPr>
          <w:p w14:paraId="20F9C1B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2021</w:t>
            </w:r>
          </w:p>
        </w:tc>
        <w:tc>
          <w:tcPr>
            <w:tcW w:w="0" w:type="auto"/>
            <w:tcBorders>
              <w:top w:val="nil"/>
              <w:left w:val="nil"/>
              <w:bottom w:val="nil"/>
              <w:right w:val="nil"/>
            </w:tcBorders>
            <w:shd w:val="clear" w:color="auto" w:fill="auto"/>
            <w:vAlign w:val="center"/>
            <w:hideMark/>
          </w:tcPr>
          <w:p w14:paraId="2889217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9</w:t>
            </w:r>
          </w:p>
        </w:tc>
        <w:tc>
          <w:tcPr>
            <w:tcW w:w="0" w:type="auto"/>
            <w:tcBorders>
              <w:top w:val="nil"/>
              <w:left w:val="nil"/>
              <w:bottom w:val="nil"/>
              <w:right w:val="nil"/>
            </w:tcBorders>
            <w:shd w:val="clear" w:color="auto" w:fill="auto"/>
            <w:vAlign w:val="center"/>
            <w:hideMark/>
          </w:tcPr>
          <w:p w14:paraId="2FD5642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1.59%</w:t>
            </w:r>
          </w:p>
        </w:tc>
        <w:tc>
          <w:tcPr>
            <w:tcW w:w="0" w:type="auto"/>
            <w:tcBorders>
              <w:top w:val="nil"/>
              <w:left w:val="nil"/>
              <w:bottom w:val="nil"/>
              <w:right w:val="nil"/>
            </w:tcBorders>
            <w:shd w:val="clear" w:color="auto" w:fill="auto"/>
            <w:vAlign w:val="center"/>
            <w:hideMark/>
          </w:tcPr>
          <w:p w14:paraId="286F7C5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802D9F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070E54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619652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74A937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308ED3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88170D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8D3B37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C97B1C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28BA37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20BD2D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AA4798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2D7918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2F5CAC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A70B74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7</w:t>
            </w:r>
          </w:p>
        </w:tc>
        <w:tc>
          <w:tcPr>
            <w:tcW w:w="0" w:type="auto"/>
            <w:tcBorders>
              <w:top w:val="nil"/>
              <w:left w:val="nil"/>
              <w:bottom w:val="nil"/>
              <w:right w:val="nil"/>
            </w:tcBorders>
            <w:shd w:val="clear" w:color="auto" w:fill="auto"/>
            <w:vAlign w:val="center"/>
            <w:hideMark/>
          </w:tcPr>
          <w:p w14:paraId="313475E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4</w:t>
            </w:r>
          </w:p>
        </w:tc>
        <w:tc>
          <w:tcPr>
            <w:tcW w:w="0" w:type="auto"/>
            <w:tcBorders>
              <w:top w:val="nil"/>
              <w:left w:val="nil"/>
              <w:bottom w:val="nil"/>
              <w:right w:val="nil"/>
            </w:tcBorders>
            <w:shd w:val="clear" w:color="auto" w:fill="auto"/>
            <w:vAlign w:val="center"/>
            <w:hideMark/>
          </w:tcPr>
          <w:p w14:paraId="449C584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w:t>
            </w:r>
          </w:p>
        </w:tc>
        <w:tc>
          <w:tcPr>
            <w:tcW w:w="0" w:type="auto"/>
            <w:tcBorders>
              <w:top w:val="nil"/>
              <w:left w:val="nil"/>
              <w:bottom w:val="nil"/>
              <w:right w:val="nil"/>
            </w:tcBorders>
            <w:shd w:val="clear" w:color="auto" w:fill="auto"/>
            <w:vAlign w:val="center"/>
            <w:hideMark/>
          </w:tcPr>
          <w:p w14:paraId="3CF3F74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66179C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48A19E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11116A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79DD23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w:t>
            </w:r>
          </w:p>
        </w:tc>
        <w:tc>
          <w:tcPr>
            <w:tcW w:w="0" w:type="auto"/>
            <w:tcBorders>
              <w:top w:val="nil"/>
              <w:left w:val="nil"/>
              <w:bottom w:val="nil"/>
              <w:right w:val="nil"/>
            </w:tcBorders>
            <w:shd w:val="clear" w:color="auto" w:fill="auto"/>
            <w:vAlign w:val="center"/>
            <w:hideMark/>
          </w:tcPr>
          <w:p w14:paraId="5C95620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9DE007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4C53E0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59E04F12" w14:textId="77777777" w:rsidTr="00C336CB">
        <w:trPr>
          <w:trHeight w:val="340"/>
        </w:trPr>
        <w:tc>
          <w:tcPr>
            <w:tcW w:w="0" w:type="auto"/>
            <w:tcBorders>
              <w:top w:val="nil"/>
              <w:left w:val="nil"/>
              <w:bottom w:val="nil"/>
              <w:right w:val="nil"/>
            </w:tcBorders>
            <w:shd w:val="clear" w:color="auto" w:fill="auto"/>
            <w:vAlign w:val="center"/>
            <w:hideMark/>
          </w:tcPr>
          <w:p w14:paraId="07D873C5" w14:textId="355619E2"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Dixon et al. </w:t>
            </w:r>
            <w:r w:rsidR="00D251B3">
              <w:rPr>
                <w:rFonts w:ascii="Times New Roman" w:eastAsia="Times New Roman" w:hAnsi="Times New Roman" w:cs="Times New Roman"/>
                <w:color w:val="000000"/>
                <w:sz w:val="13"/>
                <w:szCs w:val="13"/>
                <w:lang w:eastAsia="de-DE"/>
              </w:rPr>
              <w:fldChar w:fldCharType="begin"/>
            </w:r>
            <w:r w:rsidR="00D251B3">
              <w:rPr>
                <w:rFonts w:ascii="Times New Roman" w:eastAsia="Times New Roman" w:hAnsi="Times New Roman" w:cs="Times New Roman"/>
                <w:color w:val="000000"/>
                <w:sz w:val="13"/>
                <w:szCs w:val="13"/>
                <w:lang w:eastAsia="de-DE"/>
              </w:rPr>
              <w:instrText xml:space="preserve"> ADDIN ZOTERO_ITEM CSL_CITATION {"citationID":"QYMDae0w","properties":{"formattedCitation":"\\super 71\\nosupersub{}","plainCitation":"71","noteIndex":0},"citationItems":[{"id":1614,"uris":["http://zotero.org/users/local/4rfnQu81/items/V3624Y4P"],"uri":["http://zotero.org/users/local/4rfnQu81/items/V3624Y4P"],"itemData":{"id":1614,"type":"article-journal","abstract":"Background: Cerebral microhaemorrhages are increasingly being recognised as a complication of COVID-19. This observational retrospective study aims to further investigate the potential pathophysiology through assessing the pattern of microhaemorrhage and clinical characteristics of patients with COVID-19 and microhaemorrhage. By comparing with similar patterns of microhaemorrhage in other non-COVID-19 disease, this study aims to propose possible common pathogenic mechanisms. Methods: A retrospective observational case series was performed identifying all patients with COVID-19 complicated by cerebral microhaemorrhage on MRI. The distribution and number of microhaemorrhages were recorded using the microbleed anatomical scale, and patients' baseline characteristics and salient test results were also recorded. Results: Cerebral microhaemorrhages were noted to have a predilection for the corpus callosum, the juxtacortical white matter and brainstem. All patients had a preceding period of critical illness with respiratory failure and severe hypoxia necessitating intubation and mechanical ventilation. Discussion This study demonstrates a pattern of cerebral microhaemorrhage that is similar to the pattern reported in patients with non-COVID-19 related critical illness and other causes of severe hypoxia. This raises questions regarding whether microhaemorrhage occurs from endothelial dysfunction due the direct effect of SARS-CoV-2 infection or from the secondary effects of critical illness and hypoxia.","container-title":"Stroke and Vascular Neurology","DOI":"10.1136/svn-2020-000652","ISSN":"20598696","issue":"4","note":"ISBN: 2020000652\nPMID: 33208493","page":"315–322","title":"Cerebral microhaemorrhage in COVID-19: A critical illness related phenomenon?","volume":"5","author":[{"family":"Dixon","given":"Luke"},{"family":"Mcnamara","given":"Cillian"},{"family":"Gaur","given":"Pritika"},{"family":"Mallon","given":"Dermot"},{"family":"Coughlan","given":"Christopher"},{"family":"Tona","given":"Francesca"},{"family":"Jan","given":"Wajanat"},{"family":"Wilson","given":"Mark"},{"family":"Jones","given":"Brynmor"}],"issued":{"date-parts":[["2020"]]}}}],"schema":"https://github.com/citation-style-language/schema/raw/master/csl-citation.json"} </w:instrText>
            </w:r>
            <w:r w:rsidR="00D251B3">
              <w:rPr>
                <w:rFonts w:ascii="Times New Roman" w:eastAsia="Times New Roman" w:hAnsi="Times New Roman" w:cs="Times New Roman"/>
                <w:color w:val="000000"/>
                <w:sz w:val="13"/>
                <w:szCs w:val="13"/>
                <w:lang w:eastAsia="de-DE"/>
              </w:rPr>
              <w:fldChar w:fldCharType="separate"/>
            </w:r>
            <w:r w:rsidR="00D251B3" w:rsidRPr="00D251B3">
              <w:rPr>
                <w:rFonts w:ascii="Times New Roman" w:hAnsi="Times New Roman" w:cs="Times New Roman"/>
                <w:color w:val="000000"/>
                <w:sz w:val="13"/>
                <w:vertAlign w:val="superscript"/>
                <w:lang w:val="de-DE"/>
              </w:rPr>
              <w:t>71</w:t>
            </w:r>
            <w:r w:rsidR="00D251B3">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vAlign w:val="center"/>
            <w:hideMark/>
          </w:tcPr>
          <w:p w14:paraId="15DDF34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vAlign w:val="center"/>
            <w:hideMark/>
          </w:tcPr>
          <w:p w14:paraId="7ECBCDA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10</w:t>
            </w:r>
          </w:p>
        </w:tc>
        <w:tc>
          <w:tcPr>
            <w:tcW w:w="0" w:type="auto"/>
            <w:tcBorders>
              <w:top w:val="nil"/>
              <w:left w:val="nil"/>
              <w:bottom w:val="nil"/>
              <w:right w:val="nil"/>
            </w:tcBorders>
            <w:shd w:val="clear" w:color="auto" w:fill="auto"/>
            <w:vAlign w:val="center"/>
            <w:hideMark/>
          </w:tcPr>
          <w:p w14:paraId="6B9D631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FEF916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4AA9FE4" w14:textId="28065470"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56</w:t>
            </w:r>
          </w:p>
        </w:tc>
        <w:tc>
          <w:tcPr>
            <w:tcW w:w="0" w:type="auto"/>
            <w:tcBorders>
              <w:top w:val="nil"/>
              <w:left w:val="nil"/>
              <w:bottom w:val="nil"/>
              <w:right w:val="nil"/>
            </w:tcBorders>
            <w:shd w:val="clear" w:color="auto" w:fill="auto"/>
            <w:vAlign w:val="center"/>
            <w:hideMark/>
          </w:tcPr>
          <w:p w14:paraId="50C4EED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E0C194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133A5B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56867C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161BCB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D90C11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54D8E8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3</w:t>
            </w:r>
          </w:p>
        </w:tc>
        <w:tc>
          <w:tcPr>
            <w:tcW w:w="0" w:type="auto"/>
            <w:tcBorders>
              <w:top w:val="nil"/>
              <w:left w:val="nil"/>
              <w:bottom w:val="nil"/>
              <w:right w:val="nil"/>
            </w:tcBorders>
            <w:shd w:val="clear" w:color="auto" w:fill="auto"/>
            <w:vAlign w:val="center"/>
            <w:hideMark/>
          </w:tcPr>
          <w:p w14:paraId="3B621A8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w:t>
            </w:r>
          </w:p>
        </w:tc>
        <w:tc>
          <w:tcPr>
            <w:tcW w:w="0" w:type="auto"/>
            <w:tcBorders>
              <w:top w:val="nil"/>
              <w:left w:val="nil"/>
              <w:bottom w:val="nil"/>
              <w:right w:val="nil"/>
            </w:tcBorders>
            <w:shd w:val="clear" w:color="auto" w:fill="auto"/>
            <w:vAlign w:val="center"/>
            <w:hideMark/>
          </w:tcPr>
          <w:p w14:paraId="3DA0712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F21C34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D4D5A0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B83933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01B3623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10</w:t>
            </w:r>
          </w:p>
        </w:tc>
        <w:tc>
          <w:tcPr>
            <w:tcW w:w="0" w:type="auto"/>
            <w:tcBorders>
              <w:top w:val="nil"/>
              <w:left w:val="nil"/>
              <w:bottom w:val="nil"/>
              <w:right w:val="nil"/>
            </w:tcBorders>
            <w:shd w:val="clear" w:color="auto" w:fill="auto"/>
            <w:vAlign w:val="center"/>
            <w:hideMark/>
          </w:tcPr>
          <w:p w14:paraId="59CB017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C03076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B3F992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1E2BFB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2E0930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C75A0C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7A5CA5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E50202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2ED787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B343FD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r>
      <w:tr w:rsidR="00CE05CD" w:rsidRPr="00C336CB" w14:paraId="1D57EF4F" w14:textId="77777777" w:rsidTr="00C336CB">
        <w:trPr>
          <w:trHeight w:val="340"/>
        </w:trPr>
        <w:tc>
          <w:tcPr>
            <w:tcW w:w="0" w:type="auto"/>
            <w:tcBorders>
              <w:top w:val="nil"/>
              <w:left w:val="nil"/>
              <w:bottom w:val="nil"/>
              <w:right w:val="nil"/>
            </w:tcBorders>
            <w:shd w:val="clear" w:color="auto" w:fill="auto"/>
            <w:vAlign w:val="center"/>
            <w:hideMark/>
          </w:tcPr>
          <w:p w14:paraId="0D465E2D" w14:textId="73B48BFA"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John et al. </w:t>
            </w:r>
            <w:r w:rsidR="00D251B3">
              <w:rPr>
                <w:rFonts w:ascii="Times New Roman" w:eastAsia="Times New Roman" w:hAnsi="Times New Roman" w:cs="Times New Roman"/>
                <w:color w:val="000000"/>
                <w:sz w:val="13"/>
                <w:szCs w:val="13"/>
                <w:lang w:eastAsia="de-DE"/>
              </w:rPr>
              <w:fldChar w:fldCharType="begin"/>
            </w:r>
            <w:r w:rsidR="00D251B3">
              <w:rPr>
                <w:rFonts w:ascii="Times New Roman" w:eastAsia="Times New Roman" w:hAnsi="Times New Roman" w:cs="Times New Roman"/>
                <w:color w:val="000000"/>
                <w:sz w:val="13"/>
                <w:szCs w:val="13"/>
                <w:lang w:eastAsia="de-DE"/>
              </w:rPr>
              <w:instrText xml:space="preserve"> ADDIN ZOTERO_ITEM CSL_CITATION {"citationID":"02J7YdQ1","properties":{"formattedCitation":"\\super 72\\nosupersub{}","plainCitation":"72","noteIndex":0},"citationItems":[{"id":1622,"uris":["http://zotero.org/users/local/4rfnQu81/items/E89RFI28"],"uri":["http://zotero.org/users/local/4rfnQu81/items/E89RFI28"],"itemData":{"id":1622,"type":"article-journal","abstract":"Objective: To compare ischemic and hemorrhagic stroke patients with COVID-19 to non-COVID-19 controls, and to describe changes in stroke admission patterns during the pandemic. Methods: This is a single center, retrospective, observational study. All consecutive patients admitted with primary diagnosis of ischemic/ hemorrhagic stroke between March1st -May10th 2020 were included and compared with the same time period in 2019. Results: There was a 41.9% increase in stroke admissions in 2020 (148 vs 210,P = .001). When comparing all ischemic strokes, higher rate of large vessel occlusion (LVO) (18.3% vs 33.8%,P = .008) and significant delay in initiation of mechanical thrombectomy after hospital arrival (67.75 vs 104.30 minutes,P = .001) was observed in 2020. When comparing all hemorrhagic strokes, there were no differences between the two years. Among 591 COVID-19 admissions, 31 (5.24%) patients with stroke including 19 with ischemic (3.21%) and 12 with hemorrhagic stroke (2.03%) were identified. Patients with COVID-19 and ischemic stroke were significantly younger (58.74 vs 48.11 years,P = .002), predominantly male (68.18% vs 94.74%,P = .016), had lesser vascular risk factors, had more severe clinical presentation (NIHSS 7.01 vs 17.05,P &lt; .001), and higher rate of LVO (23.6% vs. 63.1%,P = .006). There was no difference in the rate of endovascular thrombectomy, but time to groin puncture was significantly longer in COVID-19 patients (83.41 vs 129.50 minutes,P = .003). For hemorrhagic stroke, COVID-19 patients did not differ from non-COVID-19 patients. Conclusions: Stroke continues to occur during this pandemic and stroke pathways have been affected by the pandemic. Stroke occurs in approximately 5% of patients with COVID-19. COVID-19 associated ischemic stroke occurs in predominantly male patients who are younger, with fewer vascular risk factors, can be more severe, and have higher rates of LVO. Despite an increase in LVO during the pandemic, treatment with mechanical thrombectomy has not increased. COVID-19 associated hemorrhagic stroke does not differ from non-COVID-19 hemorrhagic stroke patients.","container-title":"Clinical Neurology and Neurosurgery","DOI":"10.1016/j.clineuro.2020.106227","ISSN":"18726968","issue":"January","note":"PMID: 33011516","title":"Clinical characteristics and admission patterns of stroke patients during the COVID 19 pandemic: A single center retrospective, observational study from the Abu Dhabi, United Arab Emirates","volume":"199","author":[{"family":"John","given":"Seby"},{"family":"Hussain","given":"Syed Irteza"},{"family":"Piechowski-Jozwiak","given":"Bartlomiej"},{"family":"Dibu","given":"Jamil"},{"family":"Kesav","given":"Praveen"},{"family":"Bayrlee","given":"Ahmad"},{"family":"Elkambergy","given":"Hussam"},{"family":"John","given":"Terrence Lee St"},{"family":"Roser","given":"Florian"},{"family":"Mifsud","given":"Victoria Ann"}],"issued":{"date-parts":[["2020"]]}}}],"schema":"https://github.com/citation-style-language/schema/raw/master/csl-citation.json"} </w:instrText>
            </w:r>
            <w:r w:rsidR="00D251B3">
              <w:rPr>
                <w:rFonts w:ascii="Times New Roman" w:eastAsia="Times New Roman" w:hAnsi="Times New Roman" w:cs="Times New Roman"/>
                <w:color w:val="000000"/>
                <w:sz w:val="13"/>
                <w:szCs w:val="13"/>
                <w:lang w:eastAsia="de-DE"/>
              </w:rPr>
              <w:fldChar w:fldCharType="separate"/>
            </w:r>
            <w:r w:rsidR="00D251B3" w:rsidRPr="00D251B3">
              <w:rPr>
                <w:rFonts w:ascii="Times New Roman" w:hAnsi="Times New Roman" w:cs="Times New Roman"/>
                <w:color w:val="000000"/>
                <w:sz w:val="13"/>
                <w:vertAlign w:val="superscript"/>
                <w:lang w:val="de-DE"/>
              </w:rPr>
              <w:t>72</w:t>
            </w:r>
            <w:r w:rsidR="00D251B3">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vAlign w:val="center"/>
            <w:hideMark/>
          </w:tcPr>
          <w:p w14:paraId="5F97A8C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vAlign w:val="center"/>
            <w:hideMark/>
          </w:tcPr>
          <w:p w14:paraId="5831EE1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12</w:t>
            </w:r>
          </w:p>
        </w:tc>
        <w:tc>
          <w:tcPr>
            <w:tcW w:w="0" w:type="auto"/>
            <w:tcBorders>
              <w:top w:val="nil"/>
              <w:left w:val="nil"/>
              <w:bottom w:val="nil"/>
              <w:right w:val="nil"/>
            </w:tcBorders>
            <w:shd w:val="clear" w:color="auto" w:fill="auto"/>
            <w:vAlign w:val="center"/>
            <w:hideMark/>
          </w:tcPr>
          <w:p w14:paraId="0E8803D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307D88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16.67%</w:t>
            </w:r>
          </w:p>
        </w:tc>
        <w:tc>
          <w:tcPr>
            <w:tcW w:w="0" w:type="auto"/>
            <w:tcBorders>
              <w:top w:val="nil"/>
              <w:left w:val="nil"/>
              <w:bottom w:val="nil"/>
              <w:right w:val="nil"/>
            </w:tcBorders>
            <w:shd w:val="clear" w:color="auto" w:fill="auto"/>
            <w:vAlign w:val="center"/>
            <w:hideMark/>
          </w:tcPr>
          <w:p w14:paraId="2F0B485B" w14:textId="15E216F2"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48.1</w:t>
            </w:r>
          </w:p>
        </w:tc>
        <w:tc>
          <w:tcPr>
            <w:tcW w:w="0" w:type="auto"/>
            <w:tcBorders>
              <w:top w:val="nil"/>
              <w:left w:val="nil"/>
              <w:bottom w:val="nil"/>
              <w:right w:val="nil"/>
            </w:tcBorders>
            <w:shd w:val="clear" w:color="auto" w:fill="auto"/>
            <w:vAlign w:val="center"/>
            <w:hideMark/>
          </w:tcPr>
          <w:p w14:paraId="5EE3883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9ECEEC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190675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BD9266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4A4423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C8D4CA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3C1F17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25848E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FF293D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81FC1C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55AD5F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8CF9F0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013B24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EAAD0C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A18B96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18DDDC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A8276C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A12CB4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E0DB56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EF5940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E3D89D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9DD01A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E9423C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74230537" w14:textId="77777777" w:rsidTr="00C336CB">
        <w:trPr>
          <w:trHeight w:val="340"/>
        </w:trPr>
        <w:tc>
          <w:tcPr>
            <w:tcW w:w="0" w:type="auto"/>
            <w:tcBorders>
              <w:top w:val="nil"/>
              <w:left w:val="nil"/>
              <w:bottom w:val="nil"/>
              <w:right w:val="nil"/>
            </w:tcBorders>
            <w:shd w:val="clear" w:color="auto" w:fill="auto"/>
            <w:vAlign w:val="center"/>
            <w:hideMark/>
          </w:tcPr>
          <w:p w14:paraId="51846E08" w14:textId="5DD62E8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Lang et al. </w:t>
            </w:r>
            <w:r w:rsidR="00D251B3">
              <w:rPr>
                <w:rFonts w:ascii="Times New Roman" w:eastAsia="Times New Roman" w:hAnsi="Times New Roman" w:cs="Times New Roman"/>
                <w:color w:val="000000"/>
                <w:sz w:val="13"/>
                <w:szCs w:val="13"/>
                <w:lang w:eastAsia="de-DE"/>
              </w:rPr>
              <w:fldChar w:fldCharType="begin"/>
            </w:r>
            <w:r w:rsidR="00D251B3">
              <w:rPr>
                <w:rFonts w:ascii="Times New Roman" w:eastAsia="Times New Roman" w:hAnsi="Times New Roman" w:cs="Times New Roman"/>
                <w:color w:val="000000"/>
                <w:sz w:val="13"/>
                <w:szCs w:val="13"/>
                <w:lang w:eastAsia="de-DE"/>
              </w:rPr>
              <w:instrText xml:space="preserve"> ADDIN ZOTERO_ITEM CSL_CITATION {"citationID":"MmUa1m3J","properties":{"formattedCitation":"\\super 73\\nosupersub{}","plainCitation":"73","noteIndex":0},"citationItems":[{"id":1566,"uris":["http://zotero.org/users/local/4rfnQu81/items/TLSY96TP"],"uri":["http://zotero.org/users/local/4rfnQu81/items/TLSY96TP"],"itemData":{"id":1566,"type":"article-journal","abstract":"BACKGROUND Hypercoagulability in Coronavirus Disease 2019 (COVID-19) causes deep vein thrombosis and pulmonary embolism necessitating systemic anticoagulation. Case reports of intracerebral hemorrhages in ventilated COVID-19 patients warrant precaution. It is unclear, however, if COVID-19 patients with acute respiratory distress syndrome (ARDS) with or without veno-venous extracorporeal membrane oxygenation therapy (VV-ECMO) have more intracerebral hemorrhages (ICH) compared to other ARDS patients. METHODS We conducted a retrospective observational single-center study enrolling all patients with ARDS from 01/2018 to 05/2020. PCR-positive SARS-CoV-2 patients with ARDS were allocated to the COVID-19 group. Propensity score matching was performed for age, VV-ECMO, and bleeding risk. RESULTS A total of 163 patients with moderate or severe ARDS were identified, 47 (28.8%) in the COVID-19 group, and 116 (71.2%) in the non-COVID-19 group. In 63/163 cases (38.7%), VV-ECMO therapy was required. The ICU survival was 52.8%. COVID-19 patients were older, more often male, and exhibited a lower SOFA score, but the groups showed similar rates of VV-ECMO therapy. Treatments with antiplatelet agents (p = 0.043) and therapeutic anticoagulation (p = 0.028) were significantly more frequent in the COVID-19 patients. ICH was detected in 22 patients (13.5%) with no statistical difference between the groups (11.2 vs. 19.1% with and without SARS-CoV-2, respectively, p = 0.21). Propensity score matching confirmed similar rates of ICH in both groups (12.8 vs. 19.1% with and without SARS-CoV-2, respectively, p = 0.57), thus leveling out possible confounders. CONCLUSIONS Intracerebral hemorrhage was detected in every tenth patient with ARDS. Despite statistically higher rates of antiplatelet therapy and therapeutic anticoagulation in COVID-19 patients, we found a similar rate of ICH in patients with ARDS due to COVID-19 compared to other causes of ARDS.","container-title":"Neurocritical care","DOI":"10.1007/s12028-021-01202-7","ISSN":"1556-0961","note":"publisher: Springer US\nPMID: 33619668","title":"Intracerebral Hemorrhage in COVID-19 Patients with Pulmonary Failure: A Propensity Score-Matched Registry Study.","URL":"http://www.ncbi.nlm.nih.gov/pubmed/33619668","author":[{"family":"Lang","given":"Corinna N"},{"family":"Dettinger","given":"Johanna S"},{"family":"Berchtold-Herz","given":"Michael"},{"family":"Utzolino","given":"Stefan"},{"family":"Bemtgen","given":"Xavier"},{"family":"Zotzmann","given":"Viviane"},{"family":"Schmid","given":"Bonaventura"},{"family":"Biever","given":"Paul M"},{"family":"Bode","given":"Christoph"},{"family":"Müller-Peltzer","given":"Katharina"},{"family":"Duerschmied","given":"Daniel"},{"family":"Wengenmayer","given":"Tobias"},{"family":"Niesen","given":"Wolf-Dirk"},{"family":"Staudacher","given":"Dawid L"}],"issued":{"date-parts":[["2021"]]}}}],"schema":"https://github.com/citation-style-language/schema/raw/master/csl-citation.json"} </w:instrText>
            </w:r>
            <w:r w:rsidR="00D251B3">
              <w:rPr>
                <w:rFonts w:ascii="Times New Roman" w:eastAsia="Times New Roman" w:hAnsi="Times New Roman" w:cs="Times New Roman"/>
                <w:color w:val="000000"/>
                <w:sz w:val="13"/>
                <w:szCs w:val="13"/>
                <w:lang w:eastAsia="de-DE"/>
              </w:rPr>
              <w:fldChar w:fldCharType="separate"/>
            </w:r>
            <w:r w:rsidR="00D251B3" w:rsidRPr="00B92A51">
              <w:rPr>
                <w:rFonts w:ascii="Times New Roman" w:hAnsi="Times New Roman" w:cs="Times New Roman"/>
                <w:color w:val="000000"/>
                <w:sz w:val="13"/>
                <w:vertAlign w:val="superscript"/>
              </w:rPr>
              <w:t>73</w:t>
            </w:r>
            <w:r w:rsidR="00D251B3">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vAlign w:val="center"/>
            <w:hideMark/>
          </w:tcPr>
          <w:p w14:paraId="607E1BE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vAlign w:val="center"/>
            <w:hideMark/>
          </w:tcPr>
          <w:p w14:paraId="6101FF9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9</w:t>
            </w:r>
          </w:p>
        </w:tc>
        <w:tc>
          <w:tcPr>
            <w:tcW w:w="0" w:type="auto"/>
            <w:tcBorders>
              <w:top w:val="nil"/>
              <w:left w:val="nil"/>
              <w:bottom w:val="nil"/>
              <w:right w:val="nil"/>
            </w:tcBorders>
            <w:shd w:val="clear" w:color="auto" w:fill="auto"/>
            <w:vAlign w:val="center"/>
            <w:hideMark/>
          </w:tcPr>
          <w:p w14:paraId="24B7B31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65EC57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CCA119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F12946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6D3B0F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vAlign w:val="center"/>
            <w:hideMark/>
          </w:tcPr>
          <w:p w14:paraId="22380DF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B7D166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8D1141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7FC38F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222B65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8BB356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0FC708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F76E40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F15F44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848E93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02796E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9D5177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w:t>
            </w:r>
          </w:p>
        </w:tc>
        <w:tc>
          <w:tcPr>
            <w:tcW w:w="0" w:type="auto"/>
            <w:tcBorders>
              <w:top w:val="nil"/>
              <w:left w:val="nil"/>
              <w:bottom w:val="nil"/>
              <w:right w:val="nil"/>
            </w:tcBorders>
            <w:shd w:val="clear" w:color="auto" w:fill="auto"/>
            <w:vAlign w:val="center"/>
            <w:hideMark/>
          </w:tcPr>
          <w:p w14:paraId="6EF26AF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w:t>
            </w:r>
          </w:p>
        </w:tc>
        <w:tc>
          <w:tcPr>
            <w:tcW w:w="0" w:type="auto"/>
            <w:tcBorders>
              <w:top w:val="nil"/>
              <w:left w:val="nil"/>
              <w:bottom w:val="nil"/>
              <w:right w:val="nil"/>
            </w:tcBorders>
            <w:shd w:val="clear" w:color="auto" w:fill="auto"/>
            <w:vAlign w:val="center"/>
            <w:hideMark/>
          </w:tcPr>
          <w:p w14:paraId="64FDDEF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A6093B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660F73F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9E1F78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CE27DA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7FAD70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4</w:t>
            </w:r>
          </w:p>
        </w:tc>
        <w:tc>
          <w:tcPr>
            <w:tcW w:w="0" w:type="auto"/>
            <w:tcBorders>
              <w:top w:val="nil"/>
              <w:left w:val="nil"/>
              <w:bottom w:val="nil"/>
              <w:right w:val="nil"/>
            </w:tcBorders>
            <w:shd w:val="clear" w:color="auto" w:fill="auto"/>
            <w:vAlign w:val="center"/>
            <w:hideMark/>
          </w:tcPr>
          <w:p w14:paraId="7D17979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D1F14E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23B1523E" w14:textId="77777777" w:rsidTr="00C336CB">
        <w:trPr>
          <w:trHeight w:val="340"/>
        </w:trPr>
        <w:tc>
          <w:tcPr>
            <w:tcW w:w="0" w:type="auto"/>
            <w:tcBorders>
              <w:top w:val="nil"/>
              <w:left w:val="nil"/>
              <w:bottom w:val="nil"/>
              <w:right w:val="nil"/>
            </w:tcBorders>
            <w:shd w:val="clear" w:color="auto" w:fill="auto"/>
            <w:vAlign w:val="center"/>
            <w:hideMark/>
          </w:tcPr>
          <w:p w14:paraId="7E8C1673" w14:textId="0E1F7A71"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Lawton et al. </w:t>
            </w:r>
            <w:r w:rsidR="00D251B3">
              <w:rPr>
                <w:rFonts w:ascii="Times New Roman" w:eastAsia="Times New Roman" w:hAnsi="Times New Roman" w:cs="Times New Roman"/>
                <w:color w:val="000000"/>
                <w:sz w:val="13"/>
                <w:szCs w:val="13"/>
                <w:lang w:eastAsia="de-DE"/>
              </w:rPr>
              <w:fldChar w:fldCharType="begin"/>
            </w:r>
            <w:r w:rsidR="00D251B3">
              <w:rPr>
                <w:rFonts w:ascii="Times New Roman" w:eastAsia="Times New Roman" w:hAnsi="Times New Roman" w:cs="Times New Roman"/>
                <w:color w:val="000000"/>
                <w:sz w:val="13"/>
                <w:szCs w:val="13"/>
                <w:lang w:eastAsia="de-DE"/>
              </w:rPr>
              <w:instrText xml:space="preserve"> ADDIN ZOTERO_ITEM CSL_CITATION {"citationID":"8u7aXMsl","properties":{"formattedCitation":"\\super 74\\nosupersub{}","plainCitation":"74","noteIndex":0},"citationItems":[{"id":1582,"uris":["http://zotero.org/users/local/4rfnQu81/items/SEP28XWC"],"uri":["http://zotero.org/users/local/4rfnQu81/items/SEP28XWC"],"itemData":{"id":1582,"type":"article-journal","abstract":"BACKGROUND The respiratory system involvement is the most common presentation of Coronavirus disease 2019 (COVID-19). However, other organs including the central nervous system (CNS) could be affected by the virus. Strokes, seizures, change in mental status, and encephalitis have been reported as the neurological manifestation of the disease. We hypothesized that COVID-19 could predispose younger patients to spontaneous intracerebral hemorrhage (ICH). The present study aimed to investigate whether COVID-19 has any relationship with the occurrence of spontaneous ICH in young or not. METHODS We retrospectively evaluated all the patients with spontaneous ICH who were referred to our center between 20 Feb and 1 Sep 2020. The demographic, clinical, radiological, and laboratory test data were evaluated. Patients were divided into two groups. The COVID-19 positive patients and COVID-19 negative ones. All the variables including age, sex, history of hypertension, diabetes mellitus, smoking, Glasgow Coma Scale (GCS), hematoma volume and location, the presence of intraventricular hemorrhage and hydrocephalus on admission, the length of hospital stay, the lab test results and the clinical outcome at last visit or discharge as Glasgow Outcome Scale (GOS) were compared between the two groups. RESULTS There were 22 COVID-19 positive patients (20.8%) and 84 COVID-19 negative ones (79.2%). The mean age of the patients in the case group (54.27 ± 4.67) was significantly lower than that in the control group (69.88 ± 4.47) (p &lt; 0.05). Meanwhile, our results showed a significant difference between the two groups based on the presence of chronic arterial hypertension (p &lt; 0.05). There were no significant differences between the two groups based on gender, diabetes mellitus, smoking, Glasgow Coma Scale (GCS), hematoma volume, need for surgery, the presence of intraventricular hemorrhage and hydrocephalus on admission, White Blood Cell (WBC) count, platelet count, Prothrombin Time (PT), and Partial Thromboplastin Time (PTT) (p &gt; 0.05). CONCLUSIONS Our results show that COVID positive patients with ICH are younger and with less predisposing factors than COVID negative subjects with ICH.","container-title":"BMC neurology","DOI":"10.1186/s12883-021-02109-8","ISSN":"1471-2377","issue":"1","note":"publisher: BMC Neurology\nPMID: 33607952","page":"83","title":"Coronavirus disease 2019 (COVID-19) can predispose young to Intracerebral hemorrhage: a retrospective observational study.","volume":"21","author":[{"family":"Lawton","given":"Michael T."},{"family":"Alimohammadi","given":"Ehsan"},{"family":"Bagheri","given":"Seyed Reza"},{"family":"Bostani","given":"Arash"},{"family":"Vaziri","given":"Siavash"},{"family":"Karbasforoushan","given":"Ali"},{"family":"Mozaffari","given":"Kossar"},{"family":"Bukani","given":"Mehran Bahrami"},{"family":"Abdi","given":"Alireza"}],"issued":{"date-parts":[["2021",2]]}}}],"schema":"https://github.com/citation-style-language/schema/raw/master/csl-citation.json"} </w:instrText>
            </w:r>
            <w:r w:rsidR="00D251B3">
              <w:rPr>
                <w:rFonts w:ascii="Times New Roman" w:eastAsia="Times New Roman" w:hAnsi="Times New Roman" w:cs="Times New Roman"/>
                <w:color w:val="000000"/>
                <w:sz w:val="13"/>
                <w:szCs w:val="13"/>
                <w:lang w:eastAsia="de-DE"/>
              </w:rPr>
              <w:fldChar w:fldCharType="separate"/>
            </w:r>
            <w:r w:rsidR="00D251B3" w:rsidRPr="00B92A51">
              <w:rPr>
                <w:rFonts w:ascii="Times New Roman" w:hAnsi="Times New Roman" w:cs="Times New Roman"/>
                <w:color w:val="000000"/>
                <w:sz w:val="13"/>
                <w:vertAlign w:val="superscript"/>
              </w:rPr>
              <w:t>74</w:t>
            </w:r>
            <w:r w:rsidR="00D251B3">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vAlign w:val="center"/>
            <w:hideMark/>
          </w:tcPr>
          <w:p w14:paraId="5F46233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2021</w:t>
            </w:r>
          </w:p>
        </w:tc>
        <w:tc>
          <w:tcPr>
            <w:tcW w:w="0" w:type="auto"/>
            <w:tcBorders>
              <w:top w:val="nil"/>
              <w:left w:val="nil"/>
              <w:bottom w:val="nil"/>
              <w:right w:val="nil"/>
            </w:tcBorders>
            <w:shd w:val="clear" w:color="auto" w:fill="auto"/>
            <w:vAlign w:val="center"/>
            <w:hideMark/>
          </w:tcPr>
          <w:p w14:paraId="20C14B3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22</w:t>
            </w:r>
          </w:p>
        </w:tc>
        <w:tc>
          <w:tcPr>
            <w:tcW w:w="0" w:type="auto"/>
            <w:tcBorders>
              <w:top w:val="nil"/>
              <w:left w:val="nil"/>
              <w:bottom w:val="nil"/>
              <w:right w:val="nil"/>
            </w:tcBorders>
            <w:shd w:val="clear" w:color="auto" w:fill="auto"/>
            <w:vAlign w:val="center"/>
            <w:hideMark/>
          </w:tcPr>
          <w:p w14:paraId="3270830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160A1C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45.45%</w:t>
            </w:r>
          </w:p>
        </w:tc>
        <w:tc>
          <w:tcPr>
            <w:tcW w:w="0" w:type="auto"/>
            <w:tcBorders>
              <w:top w:val="nil"/>
              <w:left w:val="nil"/>
              <w:bottom w:val="nil"/>
              <w:right w:val="nil"/>
            </w:tcBorders>
            <w:shd w:val="clear" w:color="auto" w:fill="auto"/>
            <w:vAlign w:val="center"/>
            <w:hideMark/>
          </w:tcPr>
          <w:p w14:paraId="132A31A6" w14:textId="1D96F59E"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54.27</w:t>
            </w:r>
          </w:p>
        </w:tc>
        <w:tc>
          <w:tcPr>
            <w:tcW w:w="0" w:type="auto"/>
            <w:tcBorders>
              <w:top w:val="nil"/>
              <w:left w:val="nil"/>
              <w:bottom w:val="nil"/>
              <w:right w:val="nil"/>
            </w:tcBorders>
            <w:shd w:val="clear" w:color="auto" w:fill="auto"/>
            <w:vAlign w:val="center"/>
            <w:hideMark/>
          </w:tcPr>
          <w:p w14:paraId="54BF5A3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BF3B5B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F8ECB8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422CDA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638C18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A646E6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9EBEE2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B1D649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1A863F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4110C9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D1C1C3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A729E3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A2CFEC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B36B46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CB33E9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374EDA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7CE5F2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326726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4FFBB9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1CBCE4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2B5EF8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8B4126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F32978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10803A6F" w14:textId="77777777" w:rsidTr="00C336CB">
        <w:trPr>
          <w:trHeight w:val="340"/>
        </w:trPr>
        <w:tc>
          <w:tcPr>
            <w:tcW w:w="0" w:type="auto"/>
            <w:tcBorders>
              <w:top w:val="nil"/>
              <w:left w:val="nil"/>
              <w:bottom w:val="nil"/>
              <w:right w:val="nil"/>
            </w:tcBorders>
            <w:shd w:val="clear" w:color="auto" w:fill="auto"/>
            <w:vAlign w:val="center"/>
            <w:hideMark/>
          </w:tcPr>
          <w:p w14:paraId="64ACD975" w14:textId="3329F7B8"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Lersy et al. </w:t>
            </w:r>
            <w:r w:rsidR="00D251B3">
              <w:rPr>
                <w:rFonts w:ascii="Times New Roman" w:eastAsia="Times New Roman" w:hAnsi="Times New Roman" w:cs="Times New Roman"/>
                <w:color w:val="000000"/>
                <w:sz w:val="13"/>
                <w:szCs w:val="13"/>
                <w:lang w:eastAsia="de-DE"/>
              </w:rPr>
              <w:fldChar w:fldCharType="begin"/>
            </w:r>
            <w:r w:rsidR="00D251B3">
              <w:rPr>
                <w:rFonts w:ascii="Times New Roman" w:eastAsia="Times New Roman" w:hAnsi="Times New Roman" w:cs="Times New Roman"/>
                <w:color w:val="000000"/>
                <w:sz w:val="13"/>
                <w:szCs w:val="13"/>
                <w:lang w:eastAsia="de-DE"/>
              </w:rPr>
              <w:instrText xml:space="preserve"> ADDIN ZOTERO_ITEM CSL_CITATION {"citationID":"ZTFD06MP","properties":{"formattedCitation":"\\super 75\\nosupersub{}","plainCitation":"75","noteIndex":0},"citationItems":[{"id":148,"uris":["http://zotero.org/users/local/4rfnQu81/items/MXPSCLH3"],"uri":["http://zotero.org/users/local/4rfnQu81/items/MXPSCLH3"],"itemData":{"id":148,"type":"article-journal","abstract":"Background and purpose: During the COVID-19 outbreak, the presence of extensive white matter microhemorrhages was detected by brain MRIs. The goal of this study was to investigate the origin of this atypical hemorrhagic complication. Methods: Between March 17 and May 18, 2020, 80 patients with severe COVID-19 infections were admitted for acute respiratory distress syndrome to intensive care units at the University Hospitals of Strasbourg for whom a brain MRI for neurologic manifestations was performed. 19 patients (24%) with diffuse microhemorrhages were compared to 18 control patients with COVID-19 and normal brain MRI. Results: The first hypothesis was hypoxemia. The latter seemed very likely since respiratory failure was longer and more pronounced in patients with microhemorrhages (prolonged endotracheal intubation (p = 0.0002), higher FiO2 (p = 0.03), increased use of extracorporeal membrane oxygenation (p = 0.04)). A relevant hypothesis, the role of microangiopathy, was also considered, since patients with microhemorrhages presented a higher increase of the D-Dimers (p = 0.01) and a tendency to more frequent thrombotic events (p = 0.12). Another hypothesis tested was the role of kidney failure, which was more severe in the group with diffuse microhemorrhages (higher creatinine level [median of 293 µmol/L versus 112 µmol/L, p = 0.04] and more dialysis were introduced in this group during ICU stay [12 versus 5 patients, p = 0.04]). Conclusions: Blood–brain barrier dysfunction secondary to hypoxemia and high concentration of uremic toxins seems to be the main mechanism leading to critical illness-associated cerebral microbleeds, and this complication remains to be frequently described in severe COVID-19 patients.","container-title":"Journal of Neurology","DOI":"10.1007/s00415-020-10313-8","ISSN":"14321459","issue":"0123456789","note":"ISBN: 0123456789\npublisher: Springer Berlin Heidelberg\nPMID: 33219827","title":"Critical illness-associated cerebral microbleeds for patients with severe COVID-19: etiologic hypotheses","URL":"https://doi.org/10.1007/s00415-020-10313-8","author":[{"family":"Lersy","given":"François"},{"family":"Willaume","given":"Thibault"},{"family":"Brisset","given":"Jean Christophe"},{"family":"Collange","given":"Olivier"},{"family":"Helms","given":"Julie"},{"family":"Schneider","given":"Francis"},{"family":"Chammas","given":"Agathe"},{"family":"Willaume","given":"Alexandre"},{"family":"Meyer","given":"Nicolas"},{"family":"Anheim","given":"Mathieu"},{"family":"Cotton","given":"François"},{"family":"Kremer","given":"Stéphane"}],"issued":{"date-parts":[["2020"]]}}}],"schema":"https://github.com/citation-style-language/schema/raw/master/csl-citation.json"} </w:instrText>
            </w:r>
            <w:r w:rsidR="00D251B3">
              <w:rPr>
                <w:rFonts w:ascii="Times New Roman" w:eastAsia="Times New Roman" w:hAnsi="Times New Roman" w:cs="Times New Roman"/>
                <w:color w:val="000000"/>
                <w:sz w:val="13"/>
                <w:szCs w:val="13"/>
                <w:lang w:eastAsia="de-DE"/>
              </w:rPr>
              <w:fldChar w:fldCharType="separate"/>
            </w:r>
            <w:r w:rsidR="00D251B3" w:rsidRPr="00B92A51">
              <w:rPr>
                <w:rFonts w:ascii="Times New Roman" w:hAnsi="Times New Roman" w:cs="Times New Roman"/>
                <w:color w:val="000000"/>
                <w:sz w:val="13"/>
                <w:vertAlign w:val="superscript"/>
              </w:rPr>
              <w:t>75</w:t>
            </w:r>
            <w:r w:rsidR="00D251B3">
              <w:rPr>
                <w:rFonts w:ascii="Times New Roman" w:eastAsia="Times New Roman" w:hAnsi="Times New Roman" w:cs="Times New Roman"/>
                <w:color w:val="000000"/>
                <w:sz w:val="13"/>
                <w:szCs w:val="13"/>
                <w:lang w:eastAsia="de-DE"/>
              </w:rPr>
              <w:fldChar w:fldCharType="end"/>
            </w:r>
          </w:p>
        </w:tc>
        <w:tc>
          <w:tcPr>
            <w:tcW w:w="0" w:type="auto"/>
            <w:tcBorders>
              <w:top w:val="nil"/>
              <w:left w:val="nil"/>
              <w:bottom w:val="nil"/>
              <w:right w:val="nil"/>
            </w:tcBorders>
            <w:shd w:val="clear" w:color="auto" w:fill="auto"/>
            <w:vAlign w:val="center"/>
            <w:hideMark/>
          </w:tcPr>
          <w:p w14:paraId="561F3B8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vAlign w:val="center"/>
            <w:hideMark/>
          </w:tcPr>
          <w:p w14:paraId="073BF56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19</w:t>
            </w:r>
          </w:p>
        </w:tc>
        <w:tc>
          <w:tcPr>
            <w:tcW w:w="0" w:type="auto"/>
            <w:tcBorders>
              <w:top w:val="nil"/>
              <w:left w:val="nil"/>
              <w:bottom w:val="nil"/>
              <w:right w:val="nil"/>
            </w:tcBorders>
            <w:shd w:val="clear" w:color="auto" w:fill="auto"/>
            <w:vAlign w:val="center"/>
            <w:hideMark/>
          </w:tcPr>
          <w:p w14:paraId="224222D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E3F9BA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21.05%</w:t>
            </w:r>
          </w:p>
        </w:tc>
        <w:tc>
          <w:tcPr>
            <w:tcW w:w="0" w:type="auto"/>
            <w:tcBorders>
              <w:top w:val="nil"/>
              <w:left w:val="nil"/>
              <w:bottom w:val="nil"/>
              <w:right w:val="nil"/>
            </w:tcBorders>
            <w:shd w:val="clear" w:color="auto" w:fill="auto"/>
            <w:vAlign w:val="center"/>
            <w:hideMark/>
          </w:tcPr>
          <w:p w14:paraId="49440235" w14:textId="43596E9D"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66</w:t>
            </w:r>
          </w:p>
        </w:tc>
        <w:tc>
          <w:tcPr>
            <w:tcW w:w="0" w:type="auto"/>
            <w:tcBorders>
              <w:top w:val="nil"/>
              <w:left w:val="nil"/>
              <w:bottom w:val="nil"/>
              <w:right w:val="nil"/>
            </w:tcBorders>
            <w:shd w:val="clear" w:color="auto" w:fill="auto"/>
            <w:vAlign w:val="center"/>
            <w:hideMark/>
          </w:tcPr>
          <w:p w14:paraId="5115743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F18F87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C01B35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849177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715554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874FE4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B4BA4D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3</w:t>
            </w:r>
          </w:p>
        </w:tc>
        <w:tc>
          <w:tcPr>
            <w:tcW w:w="0" w:type="auto"/>
            <w:tcBorders>
              <w:top w:val="nil"/>
              <w:left w:val="nil"/>
              <w:bottom w:val="nil"/>
              <w:right w:val="nil"/>
            </w:tcBorders>
            <w:shd w:val="clear" w:color="auto" w:fill="auto"/>
            <w:vAlign w:val="center"/>
            <w:hideMark/>
          </w:tcPr>
          <w:p w14:paraId="0FFF84A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17</w:t>
            </w:r>
          </w:p>
        </w:tc>
        <w:tc>
          <w:tcPr>
            <w:tcW w:w="0" w:type="auto"/>
            <w:tcBorders>
              <w:top w:val="nil"/>
              <w:left w:val="nil"/>
              <w:bottom w:val="nil"/>
              <w:right w:val="nil"/>
            </w:tcBorders>
            <w:shd w:val="clear" w:color="auto" w:fill="auto"/>
            <w:vAlign w:val="center"/>
            <w:hideMark/>
          </w:tcPr>
          <w:p w14:paraId="5891C00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A7FDA6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5EB6F4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4199F6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4</w:t>
            </w:r>
          </w:p>
        </w:tc>
        <w:tc>
          <w:tcPr>
            <w:tcW w:w="0" w:type="auto"/>
            <w:tcBorders>
              <w:top w:val="nil"/>
              <w:left w:val="nil"/>
              <w:bottom w:val="nil"/>
              <w:right w:val="nil"/>
            </w:tcBorders>
            <w:shd w:val="clear" w:color="auto" w:fill="auto"/>
            <w:vAlign w:val="center"/>
            <w:hideMark/>
          </w:tcPr>
          <w:p w14:paraId="1606439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95B987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9F44E2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C66972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6C2092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CE6611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D28224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7B7ACA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C663DC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95C07D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AA52D6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r>
      <w:tr w:rsidR="00CE05CD" w:rsidRPr="00C336CB" w14:paraId="7C10293B" w14:textId="77777777" w:rsidTr="00C336CB">
        <w:trPr>
          <w:trHeight w:val="340"/>
        </w:trPr>
        <w:tc>
          <w:tcPr>
            <w:tcW w:w="0" w:type="auto"/>
            <w:tcBorders>
              <w:top w:val="nil"/>
              <w:left w:val="nil"/>
              <w:bottom w:val="nil"/>
              <w:right w:val="nil"/>
            </w:tcBorders>
            <w:shd w:val="clear" w:color="auto" w:fill="auto"/>
            <w:vAlign w:val="center"/>
            <w:hideMark/>
          </w:tcPr>
          <w:p w14:paraId="224E65B4" w14:textId="0727FA63" w:rsidR="00C336CB" w:rsidRPr="00B92A51" w:rsidRDefault="00C336CB" w:rsidP="00C336CB">
            <w:pPr>
              <w:rPr>
                <w:rFonts w:ascii="Times New Roman" w:eastAsia="Times New Roman" w:hAnsi="Times New Roman" w:cs="Times New Roman"/>
                <w:color w:val="000000"/>
                <w:sz w:val="13"/>
                <w:szCs w:val="13"/>
                <w:lang w:val="en-US" w:eastAsia="de-DE"/>
              </w:rPr>
            </w:pPr>
            <w:r w:rsidRPr="00C336CB">
              <w:rPr>
                <w:rFonts w:ascii="Times New Roman" w:eastAsia="Times New Roman" w:hAnsi="Times New Roman" w:cs="Times New Roman"/>
                <w:color w:val="000000"/>
                <w:sz w:val="13"/>
                <w:szCs w:val="13"/>
                <w:lang w:eastAsia="de-DE"/>
              </w:rPr>
              <w:t>Shahjouei et al.</w:t>
            </w:r>
            <w:r w:rsidR="00D251B3" w:rsidRPr="00B92A51">
              <w:rPr>
                <w:rFonts w:ascii="Times New Roman" w:eastAsia="Times New Roman" w:hAnsi="Times New Roman" w:cs="Times New Roman"/>
                <w:color w:val="000000"/>
                <w:sz w:val="13"/>
                <w:szCs w:val="13"/>
                <w:lang w:eastAsia="de-DE"/>
              </w:rPr>
              <w:t xml:space="preserve"> </w:t>
            </w:r>
            <w:r w:rsidR="00D251B3">
              <w:rPr>
                <w:rFonts w:ascii="Times New Roman" w:eastAsia="Times New Roman" w:hAnsi="Times New Roman" w:cs="Times New Roman"/>
                <w:color w:val="000000"/>
                <w:sz w:val="13"/>
                <w:szCs w:val="13"/>
                <w:lang w:val="de-DE" w:eastAsia="de-DE"/>
              </w:rPr>
              <w:fldChar w:fldCharType="begin"/>
            </w:r>
            <w:r w:rsidR="00D251B3" w:rsidRPr="00B92A51">
              <w:rPr>
                <w:rFonts w:ascii="Times New Roman" w:eastAsia="Times New Roman" w:hAnsi="Times New Roman" w:cs="Times New Roman"/>
                <w:color w:val="000000"/>
                <w:sz w:val="13"/>
                <w:szCs w:val="13"/>
                <w:lang w:eastAsia="de-DE"/>
              </w:rPr>
              <w:instrText xml:space="preserve"> ADDIN ZOTERO_ITEM CSL_CITATION {"citationID":"GdCvEk7J","properties":{"formattedCitation":"\\super 76\\nosupersub{}","plainCitation":"76","noteIndex":0},"citationItems":[{"id":1598,"uris":["http://zotero.org/users/local/4rfnQu81/items/3C5CMFF4"],"uri":["http://zotero.org/users/local/4rfnQu81/items/3C5CMFF4"],"itemData":{"id":1598,"type":"article-journal","abstract":"Background: There is an increased attention to stroke following SARS-CoV-2. The goal of this study was to better depict the short-term risk of stroke and its associated factors among SARS-CoV-2 hospitalized patients. Methods: This multicentre, multinational observational study includes hospitalized SARS-CoV-2 patients from North and South America (United States, Canada, and Brazil), Europe (Greece, Italy, Finland, and Turkey), Asia (Lebanon, Iran, and India), and Oceania (New Zealand). The outcome was the risk of subsequent stroke. Centres were included by non-probability sampling. The counts and clinical characteristics including laboratory findings and imaging of the patients with and without a subsequent stroke were recorded according to a predefined protocol. Quality, risk of bias, and heterogeneity assessments were conducted according to ROBINS-E and Cochrane Q-test. The risk of subsequent stroke was estimated through meta-analyses with random effect models. Bivariate logistic regression was used to</w:instrText>
            </w:r>
            <w:r w:rsidR="00D251B3">
              <w:rPr>
                <w:rFonts w:ascii="Times New Roman" w:eastAsia="Times New Roman" w:hAnsi="Times New Roman" w:cs="Times New Roman"/>
                <w:color w:val="000000"/>
                <w:sz w:val="13"/>
                <w:szCs w:val="13"/>
                <w:lang w:val="de-DE" w:eastAsia="de-DE"/>
              </w:rPr>
              <w:instrText xml:space="preserve"> determine the parameters with predictive outcome value. The study was reported according to the STROBE, MOOSE, and EQUATOR guidelines. Findings: We received data from 26,175 hospitalized SARS-CoV-2 patients from 99 tertiary centres in 65 regions of 11 countries until May 1st, 2020. A total of 17,799 patients were included in meta-analyses. Among them, 156(0.9%) patients had a stroke—123(79%) ischaemic stroke, 27(17%) intracerebral/subarachnoid hemorrhage, and 6(4%) cerebral sinus thrombosis. Subsequent stroke risks calculated with meta-analyses, under low to moderate heterogeneity, were 0.5% among all centres in all countries, and 0.7% among countries with higher health expenditures. The need for mechanical ventilation (OR: 1.9, 95% CI:1.1–3.5, p = 0.03) and the presence of ischaemic heart disease (OR: 2.5, 95% CI:1.4–4.7, p = 0.006) were predictive of stroke. Interpretation: The results of this multi-national study on hospitalized patients with SARS-CoV-2 infection indicated an overall stroke risk of 0.5%(pooled risk: 0.9%). The need for mechanical ventilation and the history of ischaemic heart disease are the independent predictors of stroke among SARS-CoV-2 patients. Funding: None.","container-title":"EBioMedicine","DOI":"10.1016/j.ebiom.2020.102939","ISSN":"23523964","note":"PMID: 32818804","title":"Risk of stroke in hospitalized SARS-CoV-2 infected patients: A multinational study","volume":"59","author":[{"family":"Shahjouei","given":"Shima"},{"family":"Naderi","given":"Soheil"},{"family":"Li","given":"Jiang"},{"family":"Khan","given":"Ayesha"},{"family":"Chaudhary","given":"Durgesh"},{"family":"Farahmand","given":"Ghasem"},{"family":"Male","given":"Shailesh"},{"family":"Griessenauer","given":"Christoph"},{"family":"Sabra","given":"Mirna"},{"family":"Mondello","given":"Stefania"},{"family":</w:instrText>
            </w:r>
            <w:r w:rsidR="00D251B3" w:rsidRPr="00B92A51">
              <w:rPr>
                <w:rFonts w:ascii="Times New Roman" w:eastAsia="Times New Roman" w:hAnsi="Times New Roman" w:cs="Times New Roman"/>
                <w:color w:val="000000"/>
                <w:sz w:val="13"/>
                <w:szCs w:val="13"/>
                <w:lang w:val="en-US" w:eastAsia="de-DE"/>
              </w:rPr>
              <w:instrText xml:space="preserve">"Cernigliaro","given":"Achille"},{"family":"Khodadadi","given":"Faezeh"},{"family":"Dev","given":"Apoorva"},{"family":"Goyal","given":"Nitin"},{"family":"Ranji-Burachaloo","given":"Sakineh"},{"family":"Olulana","given":"Oluwaseyi"},{"family":"Avula","given":"Venkatesh"},{"family":"Ebrahimzadeh","given":"Seyed Amir"},{"family":"Alizada","given":"Orkhan"},{"family":"Hancı","given":"Mehmet Murat"},{"family":"Ghorbani","given":"Askar"},{"family":"Vaghefi far","given":"Alaleh"},{"family":"Ranta","given":"Annemarei"},{"family":"Punter","given":"Martin"},{"family":"Ramezani","given":"Mahtab"},{"family":"Ostadrahimi","given":"Nima"},{"family":"Tsivgoulis","given":"Georgios"},{"family":"Fragkou","given":"Paraskevi C."},{"family":"Nowrouzi-Sohrabi","given":"Peyman"},{"family":"Karofylakis","given":"Emmanouil"},{"family":"Tsiodras","given":"Sotirios"},{"family":"Neshin Aghayari Sheikh","given":"Saeideh"},{"family":"Saberi","given":"Alia"},{"family":"Niemelä","given":"Mika"},{"family":"Rezai Jahromi","given":"Behnam"},{"family":"Mowla","given":"Ashkan"},{"family":"Mashayekhi","given":"Mahsa"},{"family":"Bavarsad Shahripour","given":"Reza"},{"family":"Sajedi","given":"Seyed Aidin"},{"family":"Ghorbani","given":"Mohammad"},{"family":"Kia","given":"Arash"},{"family":"Rahimian","given":"Nasrin"},{"family":"Abedi","given":"Vida"},{"family":"Zand","given":"Ramin"}],"issued":{"date-parts":[["2020"]]}}}],"schema":"https://github.com/citation-style-language/schema/raw/master/csl-citation.json"} </w:instrText>
            </w:r>
            <w:r w:rsidR="00D251B3">
              <w:rPr>
                <w:rFonts w:ascii="Times New Roman" w:eastAsia="Times New Roman" w:hAnsi="Times New Roman" w:cs="Times New Roman"/>
                <w:color w:val="000000"/>
                <w:sz w:val="13"/>
                <w:szCs w:val="13"/>
                <w:lang w:val="de-DE" w:eastAsia="de-DE"/>
              </w:rPr>
              <w:fldChar w:fldCharType="separate"/>
            </w:r>
            <w:r w:rsidR="00D251B3" w:rsidRPr="00B92A51">
              <w:rPr>
                <w:rFonts w:ascii="Times New Roman" w:hAnsi="Times New Roman" w:cs="Times New Roman"/>
                <w:color w:val="000000"/>
                <w:sz w:val="13"/>
                <w:vertAlign w:val="superscript"/>
                <w:lang w:val="en-US"/>
              </w:rPr>
              <w:t>76</w:t>
            </w:r>
            <w:r w:rsidR="00D251B3">
              <w:rPr>
                <w:rFonts w:ascii="Times New Roman" w:eastAsia="Times New Roman" w:hAnsi="Times New Roman" w:cs="Times New Roman"/>
                <w:color w:val="000000"/>
                <w:sz w:val="13"/>
                <w:szCs w:val="13"/>
                <w:lang w:val="de-DE" w:eastAsia="de-DE"/>
              </w:rPr>
              <w:fldChar w:fldCharType="end"/>
            </w:r>
          </w:p>
        </w:tc>
        <w:tc>
          <w:tcPr>
            <w:tcW w:w="0" w:type="auto"/>
            <w:tcBorders>
              <w:top w:val="nil"/>
              <w:left w:val="nil"/>
              <w:bottom w:val="nil"/>
              <w:right w:val="nil"/>
            </w:tcBorders>
            <w:shd w:val="clear" w:color="auto" w:fill="auto"/>
            <w:noWrap/>
            <w:vAlign w:val="bottom"/>
            <w:hideMark/>
          </w:tcPr>
          <w:p w14:paraId="34A078C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2020</w:t>
            </w:r>
          </w:p>
        </w:tc>
        <w:tc>
          <w:tcPr>
            <w:tcW w:w="0" w:type="auto"/>
            <w:tcBorders>
              <w:top w:val="nil"/>
              <w:left w:val="nil"/>
              <w:bottom w:val="nil"/>
              <w:right w:val="nil"/>
            </w:tcBorders>
            <w:shd w:val="clear" w:color="auto" w:fill="auto"/>
            <w:noWrap/>
            <w:vAlign w:val="bottom"/>
            <w:hideMark/>
          </w:tcPr>
          <w:p w14:paraId="0B45D0E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27</w:t>
            </w:r>
          </w:p>
        </w:tc>
        <w:tc>
          <w:tcPr>
            <w:tcW w:w="0" w:type="auto"/>
            <w:tcBorders>
              <w:top w:val="nil"/>
              <w:left w:val="nil"/>
              <w:bottom w:val="nil"/>
              <w:right w:val="nil"/>
            </w:tcBorders>
            <w:shd w:val="clear" w:color="auto" w:fill="auto"/>
            <w:noWrap/>
            <w:vAlign w:val="bottom"/>
            <w:hideMark/>
          </w:tcPr>
          <w:p w14:paraId="106BA4E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0.10%</w:t>
            </w:r>
          </w:p>
        </w:tc>
        <w:tc>
          <w:tcPr>
            <w:tcW w:w="0" w:type="auto"/>
            <w:tcBorders>
              <w:top w:val="nil"/>
              <w:left w:val="nil"/>
              <w:bottom w:val="nil"/>
              <w:right w:val="nil"/>
            </w:tcBorders>
            <w:shd w:val="clear" w:color="auto" w:fill="auto"/>
            <w:noWrap/>
            <w:vAlign w:val="bottom"/>
            <w:hideMark/>
          </w:tcPr>
          <w:p w14:paraId="0CA2F9BC" w14:textId="77777777" w:rsidR="00C336CB" w:rsidRPr="00C336CB" w:rsidRDefault="00C336CB" w:rsidP="00C336CB">
            <w:pPr>
              <w:rPr>
                <w:rFonts w:ascii="Times New Roman" w:eastAsia="Times New Roman" w:hAnsi="Times New Roman" w:cs="Times New Roman"/>
                <w:color w:val="000000"/>
                <w:sz w:val="13"/>
                <w:szCs w:val="13"/>
                <w:lang w:eastAsia="de-DE"/>
              </w:rPr>
            </w:pPr>
          </w:p>
        </w:tc>
        <w:tc>
          <w:tcPr>
            <w:tcW w:w="0" w:type="auto"/>
            <w:tcBorders>
              <w:top w:val="nil"/>
              <w:left w:val="nil"/>
              <w:bottom w:val="nil"/>
              <w:right w:val="nil"/>
            </w:tcBorders>
            <w:shd w:val="clear" w:color="auto" w:fill="auto"/>
            <w:vAlign w:val="center"/>
            <w:hideMark/>
          </w:tcPr>
          <w:p w14:paraId="6353486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63</w:t>
            </w:r>
          </w:p>
        </w:tc>
        <w:tc>
          <w:tcPr>
            <w:tcW w:w="0" w:type="auto"/>
            <w:tcBorders>
              <w:top w:val="nil"/>
              <w:left w:val="nil"/>
              <w:bottom w:val="nil"/>
              <w:right w:val="nil"/>
            </w:tcBorders>
            <w:shd w:val="clear" w:color="auto" w:fill="auto"/>
            <w:noWrap/>
            <w:vAlign w:val="bottom"/>
            <w:hideMark/>
          </w:tcPr>
          <w:p w14:paraId="0D0DB6F2" w14:textId="77777777" w:rsidR="00C336CB" w:rsidRPr="00C336CB" w:rsidRDefault="00C336CB" w:rsidP="00C336CB">
            <w:pPr>
              <w:rPr>
                <w:rFonts w:ascii="Times New Roman" w:eastAsia="Times New Roman" w:hAnsi="Times New Roman" w:cs="Times New Roman"/>
                <w:color w:val="000000"/>
                <w:sz w:val="13"/>
                <w:szCs w:val="13"/>
                <w:lang w:eastAsia="de-DE"/>
              </w:rPr>
            </w:pPr>
          </w:p>
        </w:tc>
        <w:tc>
          <w:tcPr>
            <w:tcW w:w="0" w:type="auto"/>
            <w:tcBorders>
              <w:top w:val="nil"/>
              <w:left w:val="nil"/>
              <w:bottom w:val="nil"/>
              <w:right w:val="nil"/>
            </w:tcBorders>
            <w:shd w:val="clear" w:color="auto" w:fill="auto"/>
            <w:noWrap/>
            <w:vAlign w:val="bottom"/>
            <w:hideMark/>
          </w:tcPr>
          <w:p w14:paraId="62300A60" w14:textId="77777777" w:rsidR="00C336CB" w:rsidRPr="00C336CB" w:rsidRDefault="00C336CB" w:rsidP="00C336CB">
            <w:pPr>
              <w:rPr>
                <w:rFonts w:ascii="Times New Roman" w:eastAsia="Times New Roman" w:hAnsi="Times New Roman" w:cs="Times New Roman"/>
                <w:sz w:val="13"/>
                <w:szCs w:val="13"/>
                <w:lang w:eastAsia="de-DE"/>
              </w:rPr>
            </w:pPr>
          </w:p>
        </w:tc>
        <w:tc>
          <w:tcPr>
            <w:tcW w:w="0" w:type="auto"/>
            <w:tcBorders>
              <w:top w:val="nil"/>
              <w:left w:val="nil"/>
              <w:bottom w:val="nil"/>
              <w:right w:val="nil"/>
            </w:tcBorders>
            <w:shd w:val="clear" w:color="auto" w:fill="auto"/>
            <w:noWrap/>
            <w:vAlign w:val="bottom"/>
            <w:hideMark/>
          </w:tcPr>
          <w:p w14:paraId="680AE202" w14:textId="77777777" w:rsidR="00C336CB" w:rsidRPr="00C336CB" w:rsidRDefault="00C336CB" w:rsidP="00C336CB">
            <w:pPr>
              <w:rPr>
                <w:rFonts w:ascii="Times New Roman" w:eastAsia="Times New Roman" w:hAnsi="Times New Roman" w:cs="Times New Roman"/>
                <w:sz w:val="13"/>
                <w:szCs w:val="13"/>
                <w:lang w:eastAsia="de-DE"/>
              </w:rPr>
            </w:pPr>
          </w:p>
        </w:tc>
        <w:tc>
          <w:tcPr>
            <w:tcW w:w="0" w:type="auto"/>
            <w:tcBorders>
              <w:top w:val="nil"/>
              <w:left w:val="nil"/>
              <w:bottom w:val="nil"/>
              <w:right w:val="nil"/>
            </w:tcBorders>
            <w:shd w:val="clear" w:color="auto" w:fill="auto"/>
            <w:noWrap/>
            <w:vAlign w:val="bottom"/>
            <w:hideMark/>
          </w:tcPr>
          <w:p w14:paraId="048D5E77" w14:textId="77777777" w:rsidR="00C336CB" w:rsidRPr="00C336CB" w:rsidRDefault="00C336CB" w:rsidP="00C336CB">
            <w:pPr>
              <w:rPr>
                <w:rFonts w:ascii="Times New Roman" w:eastAsia="Times New Roman" w:hAnsi="Times New Roman" w:cs="Times New Roman"/>
                <w:sz w:val="13"/>
                <w:szCs w:val="13"/>
                <w:lang w:eastAsia="de-DE"/>
              </w:rPr>
            </w:pPr>
          </w:p>
        </w:tc>
        <w:tc>
          <w:tcPr>
            <w:tcW w:w="0" w:type="auto"/>
            <w:tcBorders>
              <w:top w:val="nil"/>
              <w:left w:val="nil"/>
              <w:bottom w:val="nil"/>
              <w:right w:val="nil"/>
            </w:tcBorders>
            <w:shd w:val="clear" w:color="auto" w:fill="auto"/>
            <w:noWrap/>
            <w:vAlign w:val="bottom"/>
            <w:hideMark/>
          </w:tcPr>
          <w:p w14:paraId="3E6DB8BF" w14:textId="77777777" w:rsidR="00C336CB" w:rsidRPr="00C336CB" w:rsidRDefault="00C336CB" w:rsidP="00C336CB">
            <w:pPr>
              <w:rPr>
                <w:rFonts w:ascii="Times New Roman" w:eastAsia="Times New Roman" w:hAnsi="Times New Roman" w:cs="Times New Roman"/>
                <w:sz w:val="13"/>
                <w:szCs w:val="13"/>
                <w:lang w:eastAsia="de-DE"/>
              </w:rPr>
            </w:pPr>
          </w:p>
        </w:tc>
        <w:tc>
          <w:tcPr>
            <w:tcW w:w="0" w:type="auto"/>
            <w:tcBorders>
              <w:top w:val="nil"/>
              <w:left w:val="nil"/>
              <w:bottom w:val="nil"/>
              <w:right w:val="nil"/>
            </w:tcBorders>
            <w:shd w:val="clear" w:color="auto" w:fill="auto"/>
            <w:noWrap/>
            <w:vAlign w:val="bottom"/>
            <w:hideMark/>
          </w:tcPr>
          <w:p w14:paraId="12555619" w14:textId="77777777" w:rsidR="00C336CB" w:rsidRPr="00C336CB" w:rsidRDefault="00C336CB" w:rsidP="00C336CB">
            <w:pPr>
              <w:rPr>
                <w:rFonts w:ascii="Times New Roman" w:eastAsia="Times New Roman" w:hAnsi="Times New Roman" w:cs="Times New Roman"/>
                <w:sz w:val="13"/>
                <w:szCs w:val="13"/>
                <w:lang w:eastAsia="de-DE"/>
              </w:rPr>
            </w:pPr>
          </w:p>
        </w:tc>
        <w:tc>
          <w:tcPr>
            <w:tcW w:w="0" w:type="auto"/>
            <w:tcBorders>
              <w:top w:val="nil"/>
              <w:left w:val="nil"/>
              <w:bottom w:val="nil"/>
              <w:right w:val="nil"/>
            </w:tcBorders>
            <w:shd w:val="clear" w:color="auto" w:fill="auto"/>
            <w:noWrap/>
            <w:vAlign w:val="bottom"/>
            <w:hideMark/>
          </w:tcPr>
          <w:p w14:paraId="6ED4C755" w14:textId="77777777" w:rsidR="00C336CB" w:rsidRPr="00C336CB" w:rsidRDefault="00C336CB" w:rsidP="00C336CB">
            <w:pPr>
              <w:rPr>
                <w:rFonts w:ascii="Times New Roman" w:eastAsia="Times New Roman" w:hAnsi="Times New Roman" w:cs="Times New Roman"/>
                <w:sz w:val="13"/>
                <w:szCs w:val="13"/>
                <w:lang w:eastAsia="de-DE"/>
              </w:rPr>
            </w:pPr>
          </w:p>
        </w:tc>
        <w:tc>
          <w:tcPr>
            <w:tcW w:w="0" w:type="auto"/>
            <w:tcBorders>
              <w:top w:val="nil"/>
              <w:left w:val="nil"/>
              <w:bottom w:val="nil"/>
              <w:right w:val="nil"/>
            </w:tcBorders>
            <w:shd w:val="clear" w:color="auto" w:fill="auto"/>
            <w:noWrap/>
            <w:vAlign w:val="bottom"/>
            <w:hideMark/>
          </w:tcPr>
          <w:p w14:paraId="73F0084E" w14:textId="77777777" w:rsidR="00C336CB" w:rsidRPr="00C336CB" w:rsidRDefault="00C336CB" w:rsidP="00C336CB">
            <w:pPr>
              <w:rPr>
                <w:rFonts w:ascii="Times New Roman" w:eastAsia="Times New Roman" w:hAnsi="Times New Roman" w:cs="Times New Roman"/>
                <w:sz w:val="13"/>
                <w:szCs w:val="13"/>
                <w:lang w:eastAsia="de-DE"/>
              </w:rPr>
            </w:pPr>
          </w:p>
        </w:tc>
        <w:tc>
          <w:tcPr>
            <w:tcW w:w="0" w:type="auto"/>
            <w:tcBorders>
              <w:top w:val="nil"/>
              <w:left w:val="nil"/>
              <w:bottom w:val="nil"/>
              <w:right w:val="nil"/>
            </w:tcBorders>
            <w:shd w:val="clear" w:color="auto" w:fill="auto"/>
            <w:noWrap/>
            <w:vAlign w:val="bottom"/>
            <w:hideMark/>
          </w:tcPr>
          <w:p w14:paraId="5A7B7F10" w14:textId="77777777" w:rsidR="00C336CB" w:rsidRPr="00C336CB" w:rsidRDefault="00C336CB" w:rsidP="00C336CB">
            <w:pPr>
              <w:rPr>
                <w:rFonts w:ascii="Times New Roman" w:eastAsia="Times New Roman" w:hAnsi="Times New Roman" w:cs="Times New Roman"/>
                <w:sz w:val="13"/>
                <w:szCs w:val="13"/>
                <w:lang w:eastAsia="de-DE"/>
              </w:rPr>
            </w:pPr>
          </w:p>
        </w:tc>
        <w:tc>
          <w:tcPr>
            <w:tcW w:w="0" w:type="auto"/>
            <w:tcBorders>
              <w:top w:val="nil"/>
              <w:left w:val="nil"/>
              <w:bottom w:val="nil"/>
              <w:right w:val="nil"/>
            </w:tcBorders>
            <w:shd w:val="clear" w:color="auto" w:fill="auto"/>
            <w:noWrap/>
            <w:vAlign w:val="bottom"/>
            <w:hideMark/>
          </w:tcPr>
          <w:p w14:paraId="4EC663DA" w14:textId="77777777" w:rsidR="00C336CB" w:rsidRPr="00C336CB" w:rsidRDefault="00C336CB" w:rsidP="00C336CB">
            <w:pPr>
              <w:rPr>
                <w:rFonts w:ascii="Times New Roman" w:eastAsia="Times New Roman" w:hAnsi="Times New Roman" w:cs="Times New Roman"/>
                <w:sz w:val="13"/>
                <w:szCs w:val="13"/>
                <w:lang w:eastAsia="de-DE"/>
              </w:rPr>
            </w:pPr>
          </w:p>
        </w:tc>
        <w:tc>
          <w:tcPr>
            <w:tcW w:w="0" w:type="auto"/>
            <w:tcBorders>
              <w:top w:val="nil"/>
              <w:left w:val="nil"/>
              <w:bottom w:val="nil"/>
              <w:right w:val="nil"/>
            </w:tcBorders>
            <w:shd w:val="clear" w:color="auto" w:fill="auto"/>
            <w:noWrap/>
            <w:vAlign w:val="bottom"/>
            <w:hideMark/>
          </w:tcPr>
          <w:p w14:paraId="2BF17046" w14:textId="77777777" w:rsidR="00C336CB" w:rsidRPr="00C336CB" w:rsidRDefault="00C336CB" w:rsidP="00C336CB">
            <w:pPr>
              <w:rPr>
                <w:rFonts w:ascii="Times New Roman" w:eastAsia="Times New Roman" w:hAnsi="Times New Roman" w:cs="Times New Roman"/>
                <w:sz w:val="13"/>
                <w:szCs w:val="13"/>
                <w:lang w:eastAsia="de-DE"/>
              </w:rPr>
            </w:pPr>
          </w:p>
        </w:tc>
        <w:tc>
          <w:tcPr>
            <w:tcW w:w="0" w:type="auto"/>
            <w:tcBorders>
              <w:top w:val="nil"/>
              <w:left w:val="nil"/>
              <w:bottom w:val="nil"/>
              <w:right w:val="nil"/>
            </w:tcBorders>
            <w:shd w:val="clear" w:color="auto" w:fill="auto"/>
            <w:noWrap/>
            <w:vAlign w:val="bottom"/>
            <w:hideMark/>
          </w:tcPr>
          <w:p w14:paraId="686CEB3E" w14:textId="77777777" w:rsidR="00C336CB" w:rsidRPr="00C336CB" w:rsidRDefault="00C336CB" w:rsidP="00C336CB">
            <w:pPr>
              <w:rPr>
                <w:rFonts w:ascii="Times New Roman" w:eastAsia="Times New Roman" w:hAnsi="Times New Roman" w:cs="Times New Roman"/>
                <w:sz w:val="13"/>
                <w:szCs w:val="13"/>
                <w:lang w:eastAsia="de-DE"/>
              </w:rPr>
            </w:pPr>
          </w:p>
        </w:tc>
        <w:tc>
          <w:tcPr>
            <w:tcW w:w="0" w:type="auto"/>
            <w:tcBorders>
              <w:top w:val="nil"/>
              <w:left w:val="nil"/>
              <w:bottom w:val="nil"/>
              <w:right w:val="nil"/>
            </w:tcBorders>
            <w:shd w:val="clear" w:color="auto" w:fill="auto"/>
            <w:noWrap/>
            <w:vAlign w:val="bottom"/>
            <w:hideMark/>
          </w:tcPr>
          <w:p w14:paraId="3589A41B" w14:textId="77777777" w:rsidR="00C336CB" w:rsidRPr="00C336CB" w:rsidRDefault="00C336CB" w:rsidP="00C336CB">
            <w:pPr>
              <w:rPr>
                <w:rFonts w:ascii="Times New Roman" w:eastAsia="Times New Roman" w:hAnsi="Times New Roman" w:cs="Times New Roman"/>
                <w:sz w:val="13"/>
                <w:szCs w:val="13"/>
                <w:lang w:eastAsia="de-DE"/>
              </w:rPr>
            </w:pPr>
          </w:p>
        </w:tc>
        <w:tc>
          <w:tcPr>
            <w:tcW w:w="0" w:type="auto"/>
            <w:tcBorders>
              <w:top w:val="nil"/>
              <w:left w:val="nil"/>
              <w:bottom w:val="nil"/>
              <w:right w:val="nil"/>
            </w:tcBorders>
            <w:shd w:val="clear" w:color="auto" w:fill="auto"/>
            <w:noWrap/>
            <w:vAlign w:val="bottom"/>
            <w:hideMark/>
          </w:tcPr>
          <w:p w14:paraId="7C697FF0" w14:textId="77777777" w:rsidR="00C336CB" w:rsidRPr="00C336CB" w:rsidRDefault="00C336CB" w:rsidP="00C336CB">
            <w:pPr>
              <w:rPr>
                <w:rFonts w:ascii="Times New Roman" w:eastAsia="Times New Roman" w:hAnsi="Times New Roman" w:cs="Times New Roman"/>
                <w:sz w:val="13"/>
                <w:szCs w:val="13"/>
                <w:lang w:eastAsia="de-DE"/>
              </w:rPr>
            </w:pPr>
          </w:p>
        </w:tc>
        <w:tc>
          <w:tcPr>
            <w:tcW w:w="0" w:type="auto"/>
            <w:tcBorders>
              <w:top w:val="nil"/>
              <w:left w:val="nil"/>
              <w:bottom w:val="nil"/>
              <w:right w:val="nil"/>
            </w:tcBorders>
            <w:shd w:val="clear" w:color="auto" w:fill="auto"/>
            <w:noWrap/>
            <w:vAlign w:val="bottom"/>
            <w:hideMark/>
          </w:tcPr>
          <w:p w14:paraId="765E1C1C" w14:textId="77777777" w:rsidR="00C336CB" w:rsidRPr="00C336CB" w:rsidRDefault="00C336CB" w:rsidP="00C336CB">
            <w:pPr>
              <w:rPr>
                <w:rFonts w:ascii="Times New Roman" w:eastAsia="Times New Roman" w:hAnsi="Times New Roman" w:cs="Times New Roman"/>
                <w:sz w:val="13"/>
                <w:szCs w:val="13"/>
                <w:lang w:eastAsia="de-DE"/>
              </w:rPr>
            </w:pPr>
          </w:p>
        </w:tc>
        <w:tc>
          <w:tcPr>
            <w:tcW w:w="0" w:type="auto"/>
            <w:tcBorders>
              <w:top w:val="nil"/>
              <w:left w:val="nil"/>
              <w:bottom w:val="nil"/>
              <w:right w:val="nil"/>
            </w:tcBorders>
            <w:shd w:val="clear" w:color="auto" w:fill="auto"/>
            <w:noWrap/>
            <w:vAlign w:val="bottom"/>
            <w:hideMark/>
          </w:tcPr>
          <w:p w14:paraId="13695D2E" w14:textId="77777777" w:rsidR="00C336CB" w:rsidRPr="00C336CB" w:rsidRDefault="00C336CB" w:rsidP="00C336CB">
            <w:pPr>
              <w:rPr>
                <w:rFonts w:ascii="Times New Roman" w:eastAsia="Times New Roman" w:hAnsi="Times New Roman" w:cs="Times New Roman"/>
                <w:sz w:val="13"/>
                <w:szCs w:val="13"/>
                <w:lang w:eastAsia="de-DE"/>
              </w:rPr>
            </w:pPr>
          </w:p>
        </w:tc>
        <w:tc>
          <w:tcPr>
            <w:tcW w:w="0" w:type="auto"/>
            <w:tcBorders>
              <w:top w:val="nil"/>
              <w:left w:val="nil"/>
              <w:bottom w:val="nil"/>
              <w:right w:val="nil"/>
            </w:tcBorders>
            <w:shd w:val="clear" w:color="auto" w:fill="auto"/>
            <w:noWrap/>
            <w:vAlign w:val="bottom"/>
            <w:hideMark/>
          </w:tcPr>
          <w:p w14:paraId="4C285CB1" w14:textId="77777777" w:rsidR="00C336CB" w:rsidRPr="00C336CB" w:rsidRDefault="00C336CB" w:rsidP="00C336CB">
            <w:pPr>
              <w:rPr>
                <w:rFonts w:ascii="Times New Roman" w:eastAsia="Times New Roman" w:hAnsi="Times New Roman" w:cs="Times New Roman"/>
                <w:sz w:val="13"/>
                <w:szCs w:val="13"/>
                <w:lang w:eastAsia="de-DE"/>
              </w:rPr>
            </w:pPr>
          </w:p>
        </w:tc>
        <w:tc>
          <w:tcPr>
            <w:tcW w:w="0" w:type="auto"/>
            <w:tcBorders>
              <w:top w:val="nil"/>
              <w:left w:val="nil"/>
              <w:bottom w:val="nil"/>
              <w:right w:val="nil"/>
            </w:tcBorders>
            <w:shd w:val="clear" w:color="auto" w:fill="auto"/>
            <w:noWrap/>
            <w:vAlign w:val="bottom"/>
            <w:hideMark/>
          </w:tcPr>
          <w:p w14:paraId="4378C7DE" w14:textId="77777777" w:rsidR="00C336CB" w:rsidRPr="00C336CB" w:rsidRDefault="00C336CB" w:rsidP="00C336CB">
            <w:pPr>
              <w:rPr>
                <w:rFonts w:ascii="Times New Roman" w:eastAsia="Times New Roman" w:hAnsi="Times New Roman" w:cs="Times New Roman"/>
                <w:sz w:val="13"/>
                <w:szCs w:val="13"/>
                <w:lang w:eastAsia="de-DE"/>
              </w:rPr>
            </w:pPr>
          </w:p>
        </w:tc>
        <w:tc>
          <w:tcPr>
            <w:tcW w:w="0" w:type="auto"/>
            <w:tcBorders>
              <w:top w:val="nil"/>
              <w:left w:val="nil"/>
              <w:bottom w:val="nil"/>
              <w:right w:val="nil"/>
            </w:tcBorders>
            <w:shd w:val="clear" w:color="auto" w:fill="auto"/>
            <w:noWrap/>
            <w:vAlign w:val="bottom"/>
            <w:hideMark/>
          </w:tcPr>
          <w:p w14:paraId="0B987A20" w14:textId="77777777" w:rsidR="00C336CB" w:rsidRPr="00C336CB" w:rsidRDefault="00C336CB" w:rsidP="00C336CB">
            <w:pPr>
              <w:rPr>
                <w:rFonts w:ascii="Times New Roman" w:eastAsia="Times New Roman" w:hAnsi="Times New Roman" w:cs="Times New Roman"/>
                <w:sz w:val="13"/>
                <w:szCs w:val="13"/>
                <w:lang w:eastAsia="de-DE"/>
              </w:rPr>
            </w:pPr>
          </w:p>
        </w:tc>
        <w:tc>
          <w:tcPr>
            <w:tcW w:w="0" w:type="auto"/>
            <w:tcBorders>
              <w:top w:val="nil"/>
              <w:left w:val="nil"/>
              <w:bottom w:val="nil"/>
              <w:right w:val="nil"/>
            </w:tcBorders>
            <w:shd w:val="clear" w:color="auto" w:fill="auto"/>
            <w:noWrap/>
            <w:vAlign w:val="bottom"/>
            <w:hideMark/>
          </w:tcPr>
          <w:p w14:paraId="7391D55E" w14:textId="77777777" w:rsidR="00C336CB" w:rsidRPr="00C336CB" w:rsidRDefault="00C336CB" w:rsidP="00C336CB">
            <w:pPr>
              <w:rPr>
                <w:rFonts w:ascii="Times New Roman" w:eastAsia="Times New Roman" w:hAnsi="Times New Roman" w:cs="Times New Roman"/>
                <w:sz w:val="13"/>
                <w:szCs w:val="13"/>
                <w:lang w:eastAsia="de-DE"/>
              </w:rPr>
            </w:pPr>
          </w:p>
        </w:tc>
        <w:tc>
          <w:tcPr>
            <w:tcW w:w="0" w:type="auto"/>
            <w:tcBorders>
              <w:top w:val="nil"/>
              <w:left w:val="nil"/>
              <w:bottom w:val="nil"/>
              <w:right w:val="nil"/>
            </w:tcBorders>
            <w:shd w:val="clear" w:color="auto" w:fill="auto"/>
            <w:noWrap/>
            <w:vAlign w:val="bottom"/>
            <w:hideMark/>
          </w:tcPr>
          <w:p w14:paraId="3CB37CBF" w14:textId="77777777" w:rsidR="00C336CB" w:rsidRPr="00C336CB" w:rsidRDefault="00C336CB" w:rsidP="00C336CB">
            <w:pPr>
              <w:rPr>
                <w:rFonts w:ascii="Times New Roman" w:eastAsia="Times New Roman" w:hAnsi="Times New Roman" w:cs="Times New Roman"/>
                <w:sz w:val="13"/>
                <w:szCs w:val="13"/>
                <w:lang w:eastAsia="de-DE"/>
              </w:rPr>
            </w:pPr>
          </w:p>
        </w:tc>
        <w:tc>
          <w:tcPr>
            <w:tcW w:w="0" w:type="auto"/>
            <w:tcBorders>
              <w:top w:val="nil"/>
              <w:left w:val="nil"/>
              <w:bottom w:val="nil"/>
              <w:right w:val="nil"/>
            </w:tcBorders>
            <w:shd w:val="clear" w:color="auto" w:fill="auto"/>
            <w:noWrap/>
            <w:vAlign w:val="bottom"/>
            <w:hideMark/>
          </w:tcPr>
          <w:p w14:paraId="4CC58021" w14:textId="77777777" w:rsidR="00C336CB" w:rsidRPr="00C336CB" w:rsidRDefault="00C336CB" w:rsidP="00C336CB">
            <w:pPr>
              <w:rPr>
                <w:rFonts w:ascii="Times New Roman" w:eastAsia="Times New Roman" w:hAnsi="Times New Roman" w:cs="Times New Roman"/>
                <w:sz w:val="13"/>
                <w:szCs w:val="13"/>
                <w:lang w:eastAsia="de-DE"/>
              </w:rPr>
            </w:pPr>
          </w:p>
        </w:tc>
        <w:tc>
          <w:tcPr>
            <w:tcW w:w="0" w:type="auto"/>
            <w:tcBorders>
              <w:top w:val="nil"/>
              <w:left w:val="nil"/>
              <w:bottom w:val="nil"/>
              <w:right w:val="nil"/>
            </w:tcBorders>
            <w:shd w:val="clear" w:color="auto" w:fill="auto"/>
            <w:noWrap/>
            <w:vAlign w:val="bottom"/>
            <w:hideMark/>
          </w:tcPr>
          <w:p w14:paraId="4FD15C89" w14:textId="77777777" w:rsidR="00C336CB" w:rsidRPr="00C336CB" w:rsidRDefault="00C336CB" w:rsidP="00C336CB">
            <w:pPr>
              <w:rPr>
                <w:rFonts w:ascii="Times New Roman" w:eastAsia="Times New Roman" w:hAnsi="Times New Roman" w:cs="Times New Roman"/>
                <w:sz w:val="13"/>
                <w:szCs w:val="13"/>
                <w:lang w:eastAsia="de-DE"/>
              </w:rPr>
            </w:pPr>
          </w:p>
        </w:tc>
      </w:tr>
      <w:tr w:rsidR="00CE05CD" w:rsidRPr="00C336CB" w14:paraId="682D665D" w14:textId="77777777" w:rsidTr="00C336CB">
        <w:trPr>
          <w:trHeight w:val="340"/>
        </w:trPr>
        <w:tc>
          <w:tcPr>
            <w:tcW w:w="0" w:type="auto"/>
            <w:tcBorders>
              <w:top w:val="nil"/>
              <w:left w:val="nil"/>
              <w:bottom w:val="nil"/>
              <w:right w:val="nil"/>
            </w:tcBorders>
            <w:shd w:val="clear" w:color="auto" w:fill="auto"/>
            <w:vAlign w:val="center"/>
            <w:hideMark/>
          </w:tcPr>
          <w:p w14:paraId="130ABAB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PANDEMIC_001</w:t>
            </w:r>
          </w:p>
        </w:tc>
        <w:tc>
          <w:tcPr>
            <w:tcW w:w="0" w:type="auto"/>
            <w:tcBorders>
              <w:top w:val="nil"/>
              <w:left w:val="nil"/>
              <w:bottom w:val="nil"/>
              <w:right w:val="nil"/>
            </w:tcBorders>
            <w:shd w:val="clear" w:color="auto" w:fill="auto"/>
            <w:noWrap/>
            <w:vAlign w:val="bottom"/>
            <w:hideMark/>
          </w:tcPr>
          <w:p w14:paraId="1DA8CE5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2021</w:t>
            </w:r>
          </w:p>
        </w:tc>
        <w:tc>
          <w:tcPr>
            <w:tcW w:w="0" w:type="auto"/>
            <w:tcBorders>
              <w:top w:val="nil"/>
              <w:left w:val="nil"/>
              <w:bottom w:val="nil"/>
              <w:right w:val="nil"/>
            </w:tcBorders>
            <w:shd w:val="clear" w:color="auto" w:fill="auto"/>
            <w:noWrap/>
            <w:vAlign w:val="bottom"/>
            <w:hideMark/>
          </w:tcPr>
          <w:p w14:paraId="70001E9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4FA1876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bottom"/>
            <w:hideMark/>
          </w:tcPr>
          <w:p w14:paraId="02D4557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6DF379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46</w:t>
            </w:r>
          </w:p>
        </w:tc>
        <w:tc>
          <w:tcPr>
            <w:tcW w:w="0" w:type="auto"/>
            <w:tcBorders>
              <w:top w:val="nil"/>
              <w:left w:val="nil"/>
              <w:bottom w:val="nil"/>
              <w:right w:val="nil"/>
            </w:tcBorders>
            <w:shd w:val="clear" w:color="auto" w:fill="auto"/>
            <w:vAlign w:val="center"/>
            <w:hideMark/>
          </w:tcPr>
          <w:p w14:paraId="5C640CF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vAlign w:val="center"/>
            <w:hideMark/>
          </w:tcPr>
          <w:p w14:paraId="05518B2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bottom"/>
            <w:hideMark/>
          </w:tcPr>
          <w:p w14:paraId="245394C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57F990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B1F136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23889D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E0E0B0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7BCABFD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2C2FB93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DE209F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23A41F8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A5AEBC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D148B7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837EB7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7451F34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06EEAE9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DAD32A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87BCE1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09DF10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634FEA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A1AF7D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7A3719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2448757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r>
      <w:tr w:rsidR="00CE05CD" w:rsidRPr="00C336CB" w14:paraId="71D863FD" w14:textId="77777777" w:rsidTr="00C336CB">
        <w:trPr>
          <w:trHeight w:val="340"/>
        </w:trPr>
        <w:tc>
          <w:tcPr>
            <w:tcW w:w="0" w:type="auto"/>
            <w:tcBorders>
              <w:top w:val="nil"/>
              <w:left w:val="nil"/>
              <w:bottom w:val="nil"/>
              <w:right w:val="nil"/>
            </w:tcBorders>
            <w:shd w:val="clear" w:color="auto" w:fill="auto"/>
            <w:vAlign w:val="center"/>
            <w:hideMark/>
          </w:tcPr>
          <w:p w14:paraId="30BCF0E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PANDEMIC_002</w:t>
            </w:r>
          </w:p>
        </w:tc>
        <w:tc>
          <w:tcPr>
            <w:tcW w:w="0" w:type="auto"/>
            <w:tcBorders>
              <w:top w:val="nil"/>
              <w:left w:val="nil"/>
              <w:bottom w:val="nil"/>
              <w:right w:val="nil"/>
            </w:tcBorders>
            <w:shd w:val="clear" w:color="auto" w:fill="auto"/>
            <w:noWrap/>
            <w:vAlign w:val="bottom"/>
            <w:hideMark/>
          </w:tcPr>
          <w:p w14:paraId="5B719B3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2021</w:t>
            </w:r>
          </w:p>
        </w:tc>
        <w:tc>
          <w:tcPr>
            <w:tcW w:w="0" w:type="auto"/>
            <w:tcBorders>
              <w:top w:val="nil"/>
              <w:left w:val="nil"/>
              <w:bottom w:val="nil"/>
              <w:right w:val="nil"/>
            </w:tcBorders>
            <w:shd w:val="clear" w:color="auto" w:fill="auto"/>
            <w:noWrap/>
            <w:vAlign w:val="bottom"/>
            <w:hideMark/>
          </w:tcPr>
          <w:p w14:paraId="305C5EA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62A8060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bottom"/>
            <w:hideMark/>
          </w:tcPr>
          <w:p w14:paraId="62FD3BA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7E7279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61</w:t>
            </w:r>
          </w:p>
        </w:tc>
        <w:tc>
          <w:tcPr>
            <w:tcW w:w="0" w:type="auto"/>
            <w:tcBorders>
              <w:top w:val="nil"/>
              <w:left w:val="nil"/>
              <w:bottom w:val="nil"/>
              <w:right w:val="nil"/>
            </w:tcBorders>
            <w:shd w:val="clear" w:color="auto" w:fill="auto"/>
            <w:vAlign w:val="center"/>
            <w:hideMark/>
          </w:tcPr>
          <w:p w14:paraId="69E70AE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vAlign w:val="center"/>
            <w:hideMark/>
          </w:tcPr>
          <w:p w14:paraId="5F9AE09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bottom"/>
            <w:hideMark/>
          </w:tcPr>
          <w:p w14:paraId="53A7E1E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A92CA0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C5CC68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E39296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1F5E74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1B7461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5F09E23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93902D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B2FEE2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8CFBFB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4FA5A6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36BA8A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3431796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90AB4B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AC2A91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8DDB96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D1FCE9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846171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3F137F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7FC810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3CEFC1C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r>
      <w:tr w:rsidR="00CE05CD" w:rsidRPr="00C336CB" w14:paraId="37D24237" w14:textId="77777777" w:rsidTr="00C336CB">
        <w:trPr>
          <w:trHeight w:val="340"/>
        </w:trPr>
        <w:tc>
          <w:tcPr>
            <w:tcW w:w="0" w:type="auto"/>
            <w:tcBorders>
              <w:top w:val="nil"/>
              <w:left w:val="nil"/>
              <w:bottom w:val="nil"/>
              <w:right w:val="nil"/>
            </w:tcBorders>
            <w:shd w:val="clear" w:color="auto" w:fill="auto"/>
            <w:vAlign w:val="center"/>
            <w:hideMark/>
          </w:tcPr>
          <w:p w14:paraId="1580DDE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PANDEMIC_003</w:t>
            </w:r>
          </w:p>
        </w:tc>
        <w:tc>
          <w:tcPr>
            <w:tcW w:w="0" w:type="auto"/>
            <w:tcBorders>
              <w:top w:val="nil"/>
              <w:left w:val="nil"/>
              <w:bottom w:val="nil"/>
              <w:right w:val="nil"/>
            </w:tcBorders>
            <w:shd w:val="clear" w:color="auto" w:fill="auto"/>
            <w:noWrap/>
            <w:vAlign w:val="bottom"/>
            <w:hideMark/>
          </w:tcPr>
          <w:p w14:paraId="0BCD4CC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2021</w:t>
            </w:r>
          </w:p>
        </w:tc>
        <w:tc>
          <w:tcPr>
            <w:tcW w:w="0" w:type="auto"/>
            <w:tcBorders>
              <w:top w:val="nil"/>
              <w:left w:val="nil"/>
              <w:bottom w:val="nil"/>
              <w:right w:val="nil"/>
            </w:tcBorders>
            <w:shd w:val="clear" w:color="auto" w:fill="auto"/>
            <w:noWrap/>
            <w:vAlign w:val="bottom"/>
            <w:hideMark/>
          </w:tcPr>
          <w:p w14:paraId="5E06EC5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4AA5D07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bottom"/>
            <w:hideMark/>
          </w:tcPr>
          <w:p w14:paraId="563A958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0866BE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66</w:t>
            </w:r>
          </w:p>
        </w:tc>
        <w:tc>
          <w:tcPr>
            <w:tcW w:w="0" w:type="auto"/>
            <w:tcBorders>
              <w:top w:val="nil"/>
              <w:left w:val="nil"/>
              <w:bottom w:val="nil"/>
              <w:right w:val="nil"/>
            </w:tcBorders>
            <w:shd w:val="clear" w:color="auto" w:fill="auto"/>
            <w:vAlign w:val="center"/>
            <w:hideMark/>
          </w:tcPr>
          <w:p w14:paraId="5FE54D6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vAlign w:val="center"/>
            <w:hideMark/>
          </w:tcPr>
          <w:p w14:paraId="7AD88C1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Complicated</w:t>
            </w:r>
          </w:p>
        </w:tc>
        <w:tc>
          <w:tcPr>
            <w:tcW w:w="0" w:type="auto"/>
            <w:tcBorders>
              <w:top w:val="nil"/>
              <w:left w:val="nil"/>
              <w:bottom w:val="nil"/>
              <w:right w:val="nil"/>
            </w:tcBorders>
            <w:shd w:val="clear" w:color="auto" w:fill="auto"/>
            <w:noWrap/>
            <w:vAlign w:val="bottom"/>
            <w:hideMark/>
          </w:tcPr>
          <w:p w14:paraId="6083365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4C91F6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2C6337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8B14AE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4933E4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FC8489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4196725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3AC922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4E6EA36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57F6EB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4C793E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782304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882FD7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3441B66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7FEC1B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35B5E5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33EA13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4BBBFF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1C0C37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B17B0C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76E5A87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r>
      <w:tr w:rsidR="00CE05CD" w:rsidRPr="00C336CB" w14:paraId="5F4D922D" w14:textId="77777777" w:rsidTr="00C336CB">
        <w:trPr>
          <w:trHeight w:val="340"/>
        </w:trPr>
        <w:tc>
          <w:tcPr>
            <w:tcW w:w="0" w:type="auto"/>
            <w:tcBorders>
              <w:top w:val="nil"/>
              <w:left w:val="nil"/>
              <w:bottom w:val="nil"/>
              <w:right w:val="nil"/>
            </w:tcBorders>
            <w:shd w:val="clear" w:color="auto" w:fill="auto"/>
            <w:vAlign w:val="center"/>
            <w:hideMark/>
          </w:tcPr>
          <w:p w14:paraId="184308D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PANDEMIC_004</w:t>
            </w:r>
          </w:p>
        </w:tc>
        <w:tc>
          <w:tcPr>
            <w:tcW w:w="0" w:type="auto"/>
            <w:tcBorders>
              <w:top w:val="nil"/>
              <w:left w:val="nil"/>
              <w:bottom w:val="nil"/>
              <w:right w:val="nil"/>
            </w:tcBorders>
            <w:shd w:val="clear" w:color="auto" w:fill="auto"/>
            <w:noWrap/>
            <w:vAlign w:val="bottom"/>
            <w:hideMark/>
          </w:tcPr>
          <w:p w14:paraId="5EB6867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2021</w:t>
            </w:r>
          </w:p>
        </w:tc>
        <w:tc>
          <w:tcPr>
            <w:tcW w:w="0" w:type="auto"/>
            <w:tcBorders>
              <w:top w:val="nil"/>
              <w:left w:val="nil"/>
              <w:bottom w:val="nil"/>
              <w:right w:val="nil"/>
            </w:tcBorders>
            <w:shd w:val="clear" w:color="auto" w:fill="auto"/>
            <w:noWrap/>
            <w:vAlign w:val="bottom"/>
            <w:hideMark/>
          </w:tcPr>
          <w:p w14:paraId="1B51F1E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31B90C5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bottom"/>
            <w:hideMark/>
          </w:tcPr>
          <w:p w14:paraId="231C64D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3564FA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71</w:t>
            </w:r>
          </w:p>
        </w:tc>
        <w:tc>
          <w:tcPr>
            <w:tcW w:w="0" w:type="auto"/>
            <w:tcBorders>
              <w:top w:val="nil"/>
              <w:left w:val="nil"/>
              <w:bottom w:val="nil"/>
              <w:right w:val="nil"/>
            </w:tcBorders>
            <w:shd w:val="clear" w:color="auto" w:fill="auto"/>
            <w:vAlign w:val="center"/>
            <w:hideMark/>
          </w:tcPr>
          <w:p w14:paraId="713A533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vAlign w:val="center"/>
            <w:hideMark/>
          </w:tcPr>
          <w:p w14:paraId="659762D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bottom"/>
            <w:hideMark/>
          </w:tcPr>
          <w:p w14:paraId="7BB871C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DF0DF2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CAE376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28F7E7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5F2BF1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C98DF5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7FBD099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225986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4755A52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BAE9AC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47549B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299E7D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3561093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66AA529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F2FA17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151D23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AFAFB4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9867E1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7A084D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414D3F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6E149CD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r>
      <w:tr w:rsidR="00CE05CD" w:rsidRPr="00C336CB" w14:paraId="5ADDBEF0" w14:textId="77777777" w:rsidTr="00C336CB">
        <w:trPr>
          <w:trHeight w:val="340"/>
        </w:trPr>
        <w:tc>
          <w:tcPr>
            <w:tcW w:w="0" w:type="auto"/>
            <w:tcBorders>
              <w:top w:val="nil"/>
              <w:left w:val="nil"/>
              <w:bottom w:val="nil"/>
              <w:right w:val="nil"/>
            </w:tcBorders>
            <w:shd w:val="clear" w:color="auto" w:fill="auto"/>
            <w:vAlign w:val="center"/>
            <w:hideMark/>
          </w:tcPr>
          <w:p w14:paraId="3DEDA01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PANDEMIC_005</w:t>
            </w:r>
          </w:p>
        </w:tc>
        <w:tc>
          <w:tcPr>
            <w:tcW w:w="0" w:type="auto"/>
            <w:tcBorders>
              <w:top w:val="nil"/>
              <w:left w:val="nil"/>
              <w:bottom w:val="nil"/>
              <w:right w:val="nil"/>
            </w:tcBorders>
            <w:shd w:val="clear" w:color="auto" w:fill="auto"/>
            <w:noWrap/>
            <w:vAlign w:val="bottom"/>
            <w:hideMark/>
          </w:tcPr>
          <w:p w14:paraId="602360B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2021</w:t>
            </w:r>
          </w:p>
        </w:tc>
        <w:tc>
          <w:tcPr>
            <w:tcW w:w="0" w:type="auto"/>
            <w:tcBorders>
              <w:top w:val="nil"/>
              <w:left w:val="nil"/>
              <w:bottom w:val="nil"/>
              <w:right w:val="nil"/>
            </w:tcBorders>
            <w:shd w:val="clear" w:color="auto" w:fill="auto"/>
            <w:noWrap/>
            <w:vAlign w:val="bottom"/>
            <w:hideMark/>
          </w:tcPr>
          <w:p w14:paraId="4842BF9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43BE20D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bottom"/>
            <w:hideMark/>
          </w:tcPr>
          <w:p w14:paraId="6FFF798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6E70A1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80</w:t>
            </w:r>
          </w:p>
        </w:tc>
        <w:tc>
          <w:tcPr>
            <w:tcW w:w="0" w:type="auto"/>
            <w:tcBorders>
              <w:top w:val="nil"/>
              <w:left w:val="nil"/>
              <w:bottom w:val="nil"/>
              <w:right w:val="nil"/>
            </w:tcBorders>
            <w:shd w:val="clear" w:color="auto" w:fill="auto"/>
            <w:vAlign w:val="center"/>
            <w:hideMark/>
          </w:tcPr>
          <w:p w14:paraId="5879DAC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vAlign w:val="center"/>
            <w:hideMark/>
          </w:tcPr>
          <w:p w14:paraId="55CA213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bottom"/>
            <w:hideMark/>
          </w:tcPr>
          <w:p w14:paraId="4669F60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A11493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432531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9AA753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B5FB35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170142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53C3010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B0C2F7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1D8660C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73B2C6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4222B4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DE40D4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60DF252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6BA03B0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D0565C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31EE61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36E46B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89AC69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4C0B9D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0A5342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0CCFBDD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4775F779" w14:textId="77777777" w:rsidTr="00C336CB">
        <w:trPr>
          <w:trHeight w:val="340"/>
        </w:trPr>
        <w:tc>
          <w:tcPr>
            <w:tcW w:w="0" w:type="auto"/>
            <w:tcBorders>
              <w:top w:val="nil"/>
              <w:left w:val="nil"/>
              <w:bottom w:val="nil"/>
              <w:right w:val="nil"/>
            </w:tcBorders>
            <w:shd w:val="clear" w:color="auto" w:fill="auto"/>
            <w:vAlign w:val="center"/>
            <w:hideMark/>
          </w:tcPr>
          <w:p w14:paraId="07F2E4D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PANDEMIC_006</w:t>
            </w:r>
          </w:p>
        </w:tc>
        <w:tc>
          <w:tcPr>
            <w:tcW w:w="0" w:type="auto"/>
            <w:tcBorders>
              <w:top w:val="nil"/>
              <w:left w:val="nil"/>
              <w:bottom w:val="nil"/>
              <w:right w:val="nil"/>
            </w:tcBorders>
            <w:shd w:val="clear" w:color="auto" w:fill="auto"/>
            <w:noWrap/>
            <w:vAlign w:val="bottom"/>
            <w:hideMark/>
          </w:tcPr>
          <w:p w14:paraId="0C40E16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2021</w:t>
            </w:r>
          </w:p>
        </w:tc>
        <w:tc>
          <w:tcPr>
            <w:tcW w:w="0" w:type="auto"/>
            <w:tcBorders>
              <w:top w:val="nil"/>
              <w:left w:val="nil"/>
              <w:bottom w:val="nil"/>
              <w:right w:val="nil"/>
            </w:tcBorders>
            <w:shd w:val="clear" w:color="auto" w:fill="auto"/>
            <w:noWrap/>
            <w:vAlign w:val="bottom"/>
            <w:hideMark/>
          </w:tcPr>
          <w:p w14:paraId="3014A84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23878C0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bottom"/>
            <w:hideMark/>
          </w:tcPr>
          <w:p w14:paraId="2214784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658414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64</w:t>
            </w:r>
          </w:p>
        </w:tc>
        <w:tc>
          <w:tcPr>
            <w:tcW w:w="0" w:type="auto"/>
            <w:tcBorders>
              <w:top w:val="nil"/>
              <w:left w:val="nil"/>
              <w:bottom w:val="nil"/>
              <w:right w:val="nil"/>
            </w:tcBorders>
            <w:shd w:val="clear" w:color="auto" w:fill="auto"/>
            <w:vAlign w:val="center"/>
            <w:hideMark/>
          </w:tcPr>
          <w:p w14:paraId="02CCD45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vAlign w:val="center"/>
            <w:hideMark/>
          </w:tcPr>
          <w:p w14:paraId="06FB43D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bottom"/>
            <w:hideMark/>
          </w:tcPr>
          <w:p w14:paraId="706612A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6E5899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EDB373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AE169D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4A6D79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FA99E5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692B309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38F4D0C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2FB132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51B82D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B77FFC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259C1E3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713F917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2EBCADF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76AC2D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5C23B8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771859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91E3DC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834F24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23F78B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3806E60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r>
      <w:tr w:rsidR="00CE05CD" w:rsidRPr="00C336CB" w14:paraId="3C47887B" w14:textId="77777777" w:rsidTr="00C336CB">
        <w:trPr>
          <w:trHeight w:val="340"/>
        </w:trPr>
        <w:tc>
          <w:tcPr>
            <w:tcW w:w="0" w:type="auto"/>
            <w:tcBorders>
              <w:top w:val="nil"/>
              <w:left w:val="nil"/>
              <w:bottom w:val="nil"/>
              <w:right w:val="nil"/>
            </w:tcBorders>
            <w:shd w:val="clear" w:color="auto" w:fill="auto"/>
            <w:vAlign w:val="center"/>
            <w:hideMark/>
          </w:tcPr>
          <w:p w14:paraId="13A3A5C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PANDEMIC_007</w:t>
            </w:r>
          </w:p>
        </w:tc>
        <w:tc>
          <w:tcPr>
            <w:tcW w:w="0" w:type="auto"/>
            <w:tcBorders>
              <w:top w:val="nil"/>
              <w:left w:val="nil"/>
              <w:bottom w:val="nil"/>
              <w:right w:val="nil"/>
            </w:tcBorders>
            <w:shd w:val="clear" w:color="auto" w:fill="auto"/>
            <w:noWrap/>
            <w:vAlign w:val="bottom"/>
            <w:hideMark/>
          </w:tcPr>
          <w:p w14:paraId="081BFF2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2021</w:t>
            </w:r>
          </w:p>
        </w:tc>
        <w:tc>
          <w:tcPr>
            <w:tcW w:w="0" w:type="auto"/>
            <w:tcBorders>
              <w:top w:val="nil"/>
              <w:left w:val="nil"/>
              <w:bottom w:val="nil"/>
              <w:right w:val="nil"/>
            </w:tcBorders>
            <w:shd w:val="clear" w:color="auto" w:fill="auto"/>
            <w:noWrap/>
            <w:vAlign w:val="bottom"/>
            <w:hideMark/>
          </w:tcPr>
          <w:p w14:paraId="3517C9D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6CA80F8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bottom"/>
            <w:hideMark/>
          </w:tcPr>
          <w:p w14:paraId="0669A67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E24AC1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86</w:t>
            </w:r>
          </w:p>
        </w:tc>
        <w:tc>
          <w:tcPr>
            <w:tcW w:w="0" w:type="auto"/>
            <w:tcBorders>
              <w:top w:val="nil"/>
              <w:left w:val="nil"/>
              <w:bottom w:val="nil"/>
              <w:right w:val="nil"/>
            </w:tcBorders>
            <w:shd w:val="clear" w:color="auto" w:fill="auto"/>
            <w:vAlign w:val="center"/>
            <w:hideMark/>
          </w:tcPr>
          <w:p w14:paraId="7FEB3F1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vAlign w:val="center"/>
            <w:hideMark/>
          </w:tcPr>
          <w:p w14:paraId="7EE0CA9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bottom"/>
            <w:hideMark/>
          </w:tcPr>
          <w:p w14:paraId="10C916B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D78465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5A2E45E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C3B81E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1F391D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082E1EC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C5E701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DFEC8A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26434E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94DC54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796F6D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5883DB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6B57F3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0BDEF92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408937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80E680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BBA34B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185AF6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0A677C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D4DEF3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31DF470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56A960FB" w14:textId="77777777" w:rsidTr="00C336CB">
        <w:trPr>
          <w:trHeight w:val="340"/>
        </w:trPr>
        <w:tc>
          <w:tcPr>
            <w:tcW w:w="0" w:type="auto"/>
            <w:tcBorders>
              <w:top w:val="nil"/>
              <w:left w:val="nil"/>
              <w:bottom w:val="nil"/>
              <w:right w:val="nil"/>
            </w:tcBorders>
            <w:shd w:val="clear" w:color="auto" w:fill="auto"/>
            <w:vAlign w:val="center"/>
            <w:hideMark/>
          </w:tcPr>
          <w:p w14:paraId="1F4BB16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PANDEMIC_008</w:t>
            </w:r>
          </w:p>
        </w:tc>
        <w:tc>
          <w:tcPr>
            <w:tcW w:w="0" w:type="auto"/>
            <w:tcBorders>
              <w:top w:val="nil"/>
              <w:left w:val="nil"/>
              <w:bottom w:val="nil"/>
              <w:right w:val="nil"/>
            </w:tcBorders>
            <w:shd w:val="clear" w:color="auto" w:fill="auto"/>
            <w:noWrap/>
            <w:vAlign w:val="bottom"/>
            <w:hideMark/>
          </w:tcPr>
          <w:p w14:paraId="35E254C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2021</w:t>
            </w:r>
          </w:p>
        </w:tc>
        <w:tc>
          <w:tcPr>
            <w:tcW w:w="0" w:type="auto"/>
            <w:tcBorders>
              <w:top w:val="nil"/>
              <w:left w:val="nil"/>
              <w:bottom w:val="nil"/>
              <w:right w:val="nil"/>
            </w:tcBorders>
            <w:shd w:val="clear" w:color="auto" w:fill="auto"/>
            <w:noWrap/>
            <w:vAlign w:val="bottom"/>
            <w:hideMark/>
          </w:tcPr>
          <w:p w14:paraId="46DC0AC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029620A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bottom"/>
            <w:hideMark/>
          </w:tcPr>
          <w:p w14:paraId="546F6E8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1EFEBF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85</w:t>
            </w:r>
          </w:p>
        </w:tc>
        <w:tc>
          <w:tcPr>
            <w:tcW w:w="0" w:type="auto"/>
            <w:tcBorders>
              <w:top w:val="nil"/>
              <w:left w:val="nil"/>
              <w:bottom w:val="nil"/>
              <w:right w:val="nil"/>
            </w:tcBorders>
            <w:shd w:val="clear" w:color="auto" w:fill="auto"/>
            <w:vAlign w:val="center"/>
            <w:hideMark/>
          </w:tcPr>
          <w:p w14:paraId="7C3B3E2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vAlign w:val="center"/>
            <w:hideMark/>
          </w:tcPr>
          <w:p w14:paraId="07CD95C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Uncomplicated</w:t>
            </w:r>
          </w:p>
        </w:tc>
        <w:tc>
          <w:tcPr>
            <w:tcW w:w="0" w:type="auto"/>
            <w:tcBorders>
              <w:top w:val="nil"/>
              <w:left w:val="nil"/>
              <w:bottom w:val="nil"/>
              <w:right w:val="nil"/>
            </w:tcBorders>
            <w:shd w:val="clear" w:color="auto" w:fill="auto"/>
            <w:noWrap/>
            <w:vAlign w:val="bottom"/>
            <w:hideMark/>
          </w:tcPr>
          <w:p w14:paraId="74F79AC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9F9B9E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C5EC03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A0004B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DC2F14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2AAED4C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024F78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53818A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417BEF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E0648B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220BB1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CB76CE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53D9AF4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612572F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4B8F89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726EC1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B3CF43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C71E08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7BFB99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13FBD2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75497A0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3A526D80" w14:textId="77777777" w:rsidTr="00C336CB">
        <w:trPr>
          <w:trHeight w:val="340"/>
        </w:trPr>
        <w:tc>
          <w:tcPr>
            <w:tcW w:w="0" w:type="auto"/>
            <w:tcBorders>
              <w:top w:val="nil"/>
              <w:left w:val="nil"/>
              <w:bottom w:val="nil"/>
              <w:right w:val="nil"/>
            </w:tcBorders>
            <w:shd w:val="clear" w:color="auto" w:fill="auto"/>
            <w:vAlign w:val="center"/>
            <w:hideMark/>
          </w:tcPr>
          <w:p w14:paraId="3AFA73A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PANDEMIC_009</w:t>
            </w:r>
          </w:p>
        </w:tc>
        <w:tc>
          <w:tcPr>
            <w:tcW w:w="0" w:type="auto"/>
            <w:tcBorders>
              <w:top w:val="nil"/>
              <w:left w:val="nil"/>
              <w:bottom w:val="nil"/>
              <w:right w:val="nil"/>
            </w:tcBorders>
            <w:shd w:val="clear" w:color="auto" w:fill="auto"/>
            <w:noWrap/>
            <w:vAlign w:val="bottom"/>
            <w:hideMark/>
          </w:tcPr>
          <w:p w14:paraId="3533617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2021</w:t>
            </w:r>
          </w:p>
        </w:tc>
        <w:tc>
          <w:tcPr>
            <w:tcW w:w="0" w:type="auto"/>
            <w:tcBorders>
              <w:top w:val="nil"/>
              <w:left w:val="nil"/>
              <w:bottom w:val="nil"/>
              <w:right w:val="nil"/>
            </w:tcBorders>
            <w:shd w:val="clear" w:color="auto" w:fill="auto"/>
            <w:noWrap/>
            <w:vAlign w:val="bottom"/>
            <w:hideMark/>
          </w:tcPr>
          <w:p w14:paraId="0F2E50D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7EDF4C2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bottom"/>
            <w:hideMark/>
          </w:tcPr>
          <w:p w14:paraId="577A238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3B2C3E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70</w:t>
            </w:r>
          </w:p>
        </w:tc>
        <w:tc>
          <w:tcPr>
            <w:tcW w:w="0" w:type="auto"/>
            <w:tcBorders>
              <w:top w:val="nil"/>
              <w:left w:val="nil"/>
              <w:bottom w:val="nil"/>
              <w:right w:val="nil"/>
            </w:tcBorders>
            <w:shd w:val="clear" w:color="auto" w:fill="auto"/>
            <w:vAlign w:val="center"/>
            <w:hideMark/>
          </w:tcPr>
          <w:p w14:paraId="7C1202B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vAlign w:val="center"/>
            <w:hideMark/>
          </w:tcPr>
          <w:p w14:paraId="59FE9D6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Complicated</w:t>
            </w:r>
          </w:p>
        </w:tc>
        <w:tc>
          <w:tcPr>
            <w:tcW w:w="0" w:type="auto"/>
            <w:tcBorders>
              <w:top w:val="nil"/>
              <w:left w:val="nil"/>
              <w:bottom w:val="nil"/>
              <w:right w:val="nil"/>
            </w:tcBorders>
            <w:shd w:val="clear" w:color="auto" w:fill="auto"/>
            <w:noWrap/>
            <w:vAlign w:val="bottom"/>
            <w:hideMark/>
          </w:tcPr>
          <w:p w14:paraId="17E9C64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7E67377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8C72B7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BDA60D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3C233A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3C44912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2D81EFF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CE0C72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064501E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065DEF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F28905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23619D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0895A6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05D84A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EB6916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0CF3D04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089FF1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90ABAA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BA8675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6912BD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4A4B38D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7D16DA79" w14:textId="77777777" w:rsidTr="00C336CB">
        <w:trPr>
          <w:trHeight w:val="340"/>
        </w:trPr>
        <w:tc>
          <w:tcPr>
            <w:tcW w:w="0" w:type="auto"/>
            <w:tcBorders>
              <w:top w:val="nil"/>
              <w:left w:val="nil"/>
              <w:bottom w:val="nil"/>
              <w:right w:val="nil"/>
            </w:tcBorders>
            <w:shd w:val="clear" w:color="auto" w:fill="auto"/>
            <w:vAlign w:val="center"/>
            <w:hideMark/>
          </w:tcPr>
          <w:p w14:paraId="073F930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PANDEMIC_010</w:t>
            </w:r>
          </w:p>
        </w:tc>
        <w:tc>
          <w:tcPr>
            <w:tcW w:w="0" w:type="auto"/>
            <w:tcBorders>
              <w:top w:val="nil"/>
              <w:left w:val="nil"/>
              <w:bottom w:val="nil"/>
              <w:right w:val="nil"/>
            </w:tcBorders>
            <w:shd w:val="clear" w:color="auto" w:fill="auto"/>
            <w:noWrap/>
            <w:vAlign w:val="bottom"/>
            <w:hideMark/>
          </w:tcPr>
          <w:p w14:paraId="2CF850F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2021</w:t>
            </w:r>
          </w:p>
        </w:tc>
        <w:tc>
          <w:tcPr>
            <w:tcW w:w="0" w:type="auto"/>
            <w:tcBorders>
              <w:top w:val="nil"/>
              <w:left w:val="nil"/>
              <w:bottom w:val="nil"/>
              <w:right w:val="nil"/>
            </w:tcBorders>
            <w:shd w:val="clear" w:color="auto" w:fill="auto"/>
            <w:noWrap/>
            <w:vAlign w:val="bottom"/>
            <w:hideMark/>
          </w:tcPr>
          <w:p w14:paraId="4D47741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493C839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bottom"/>
            <w:hideMark/>
          </w:tcPr>
          <w:p w14:paraId="3190584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9964B6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76</w:t>
            </w:r>
          </w:p>
        </w:tc>
        <w:tc>
          <w:tcPr>
            <w:tcW w:w="0" w:type="auto"/>
            <w:tcBorders>
              <w:top w:val="nil"/>
              <w:left w:val="nil"/>
              <w:bottom w:val="nil"/>
              <w:right w:val="nil"/>
            </w:tcBorders>
            <w:shd w:val="clear" w:color="auto" w:fill="auto"/>
            <w:vAlign w:val="center"/>
            <w:hideMark/>
          </w:tcPr>
          <w:p w14:paraId="65D81C3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vAlign w:val="center"/>
            <w:hideMark/>
          </w:tcPr>
          <w:p w14:paraId="2EC03E3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Complicated</w:t>
            </w:r>
          </w:p>
        </w:tc>
        <w:tc>
          <w:tcPr>
            <w:tcW w:w="0" w:type="auto"/>
            <w:tcBorders>
              <w:top w:val="nil"/>
              <w:left w:val="nil"/>
              <w:bottom w:val="nil"/>
              <w:right w:val="nil"/>
            </w:tcBorders>
            <w:shd w:val="clear" w:color="auto" w:fill="auto"/>
            <w:noWrap/>
            <w:vAlign w:val="bottom"/>
            <w:hideMark/>
          </w:tcPr>
          <w:p w14:paraId="202030C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DFB355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793AA45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9BFBE5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BF567D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009CABD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5786A8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79BDC0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15561E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399E39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1BCD75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49D38D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E9B221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4078BCB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2EC1D2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7266FB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8990C6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27DE9D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37FD05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96781A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12E5AF6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53C896B0" w14:textId="77777777" w:rsidTr="00C336CB">
        <w:trPr>
          <w:trHeight w:val="340"/>
        </w:trPr>
        <w:tc>
          <w:tcPr>
            <w:tcW w:w="0" w:type="auto"/>
            <w:tcBorders>
              <w:top w:val="nil"/>
              <w:left w:val="nil"/>
              <w:bottom w:val="nil"/>
              <w:right w:val="nil"/>
            </w:tcBorders>
            <w:shd w:val="clear" w:color="auto" w:fill="auto"/>
            <w:vAlign w:val="center"/>
            <w:hideMark/>
          </w:tcPr>
          <w:p w14:paraId="70C85E7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PANDEMIC_011</w:t>
            </w:r>
          </w:p>
        </w:tc>
        <w:tc>
          <w:tcPr>
            <w:tcW w:w="0" w:type="auto"/>
            <w:tcBorders>
              <w:top w:val="nil"/>
              <w:left w:val="nil"/>
              <w:bottom w:val="nil"/>
              <w:right w:val="nil"/>
            </w:tcBorders>
            <w:shd w:val="clear" w:color="auto" w:fill="auto"/>
            <w:noWrap/>
            <w:vAlign w:val="bottom"/>
            <w:hideMark/>
          </w:tcPr>
          <w:p w14:paraId="51DE28C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2021</w:t>
            </w:r>
          </w:p>
        </w:tc>
        <w:tc>
          <w:tcPr>
            <w:tcW w:w="0" w:type="auto"/>
            <w:tcBorders>
              <w:top w:val="nil"/>
              <w:left w:val="nil"/>
              <w:bottom w:val="nil"/>
              <w:right w:val="nil"/>
            </w:tcBorders>
            <w:shd w:val="clear" w:color="auto" w:fill="auto"/>
            <w:noWrap/>
            <w:vAlign w:val="bottom"/>
            <w:hideMark/>
          </w:tcPr>
          <w:p w14:paraId="52CFDAE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0B0E6E2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bottom"/>
            <w:hideMark/>
          </w:tcPr>
          <w:p w14:paraId="43A4562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28B33A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76</w:t>
            </w:r>
          </w:p>
        </w:tc>
        <w:tc>
          <w:tcPr>
            <w:tcW w:w="0" w:type="auto"/>
            <w:tcBorders>
              <w:top w:val="nil"/>
              <w:left w:val="nil"/>
              <w:bottom w:val="nil"/>
              <w:right w:val="nil"/>
            </w:tcBorders>
            <w:shd w:val="clear" w:color="auto" w:fill="auto"/>
            <w:vAlign w:val="center"/>
            <w:hideMark/>
          </w:tcPr>
          <w:p w14:paraId="01483FD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vAlign w:val="center"/>
            <w:hideMark/>
          </w:tcPr>
          <w:p w14:paraId="4BC5F63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bottom"/>
            <w:hideMark/>
          </w:tcPr>
          <w:p w14:paraId="0483976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47539C7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6DA733F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2823CD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963D18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56AEDD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1232D58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3366B0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9B4638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85AFB2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562AB9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55E7DB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50929C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1B9554E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AE7A51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3B56ED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26B431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7F9C0A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360340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CB8283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1FEC7B2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334B7AFF" w14:textId="77777777" w:rsidTr="00C336CB">
        <w:trPr>
          <w:trHeight w:val="340"/>
        </w:trPr>
        <w:tc>
          <w:tcPr>
            <w:tcW w:w="0" w:type="auto"/>
            <w:tcBorders>
              <w:top w:val="nil"/>
              <w:left w:val="nil"/>
              <w:bottom w:val="nil"/>
              <w:right w:val="nil"/>
            </w:tcBorders>
            <w:shd w:val="clear" w:color="auto" w:fill="auto"/>
            <w:vAlign w:val="center"/>
            <w:hideMark/>
          </w:tcPr>
          <w:p w14:paraId="5149B62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PANDEMIC_012</w:t>
            </w:r>
          </w:p>
        </w:tc>
        <w:tc>
          <w:tcPr>
            <w:tcW w:w="0" w:type="auto"/>
            <w:tcBorders>
              <w:top w:val="nil"/>
              <w:left w:val="nil"/>
              <w:bottom w:val="nil"/>
              <w:right w:val="nil"/>
            </w:tcBorders>
            <w:shd w:val="clear" w:color="auto" w:fill="auto"/>
            <w:noWrap/>
            <w:vAlign w:val="bottom"/>
            <w:hideMark/>
          </w:tcPr>
          <w:p w14:paraId="13DCE1D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2021</w:t>
            </w:r>
          </w:p>
        </w:tc>
        <w:tc>
          <w:tcPr>
            <w:tcW w:w="0" w:type="auto"/>
            <w:tcBorders>
              <w:top w:val="nil"/>
              <w:left w:val="nil"/>
              <w:bottom w:val="nil"/>
              <w:right w:val="nil"/>
            </w:tcBorders>
            <w:shd w:val="clear" w:color="auto" w:fill="auto"/>
            <w:noWrap/>
            <w:vAlign w:val="bottom"/>
            <w:hideMark/>
          </w:tcPr>
          <w:p w14:paraId="1BCFA98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08A7660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bottom"/>
            <w:hideMark/>
          </w:tcPr>
          <w:p w14:paraId="1901E70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9097C4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54</w:t>
            </w:r>
          </w:p>
        </w:tc>
        <w:tc>
          <w:tcPr>
            <w:tcW w:w="0" w:type="auto"/>
            <w:tcBorders>
              <w:top w:val="nil"/>
              <w:left w:val="nil"/>
              <w:bottom w:val="nil"/>
              <w:right w:val="nil"/>
            </w:tcBorders>
            <w:shd w:val="clear" w:color="auto" w:fill="auto"/>
            <w:vAlign w:val="center"/>
            <w:hideMark/>
          </w:tcPr>
          <w:p w14:paraId="7BF2274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vAlign w:val="center"/>
            <w:hideMark/>
          </w:tcPr>
          <w:p w14:paraId="13D9CD8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bottom"/>
            <w:hideMark/>
          </w:tcPr>
          <w:p w14:paraId="25AD60F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76DF02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1FA2A46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D8A62B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0F9785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D89AEF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60A170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C21DF6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6A83476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95833F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7CF090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C9A8AD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0FCD3B8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4F70EF8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AA1C6D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B55F3C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B770D8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14F299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4FB8A7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0FC577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7BB554A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7D164601" w14:textId="77777777" w:rsidTr="00C336CB">
        <w:trPr>
          <w:trHeight w:val="340"/>
        </w:trPr>
        <w:tc>
          <w:tcPr>
            <w:tcW w:w="0" w:type="auto"/>
            <w:tcBorders>
              <w:top w:val="nil"/>
              <w:left w:val="nil"/>
              <w:bottom w:val="nil"/>
              <w:right w:val="nil"/>
            </w:tcBorders>
            <w:shd w:val="clear" w:color="auto" w:fill="auto"/>
            <w:vAlign w:val="center"/>
            <w:hideMark/>
          </w:tcPr>
          <w:p w14:paraId="71BA529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PANDEMIC_013</w:t>
            </w:r>
          </w:p>
        </w:tc>
        <w:tc>
          <w:tcPr>
            <w:tcW w:w="0" w:type="auto"/>
            <w:tcBorders>
              <w:top w:val="nil"/>
              <w:left w:val="nil"/>
              <w:bottom w:val="nil"/>
              <w:right w:val="nil"/>
            </w:tcBorders>
            <w:shd w:val="clear" w:color="auto" w:fill="auto"/>
            <w:noWrap/>
            <w:vAlign w:val="bottom"/>
            <w:hideMark/>
          </w:tcPr>
          <w:p w14:paraId="13FF4F6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2021</w:t>
            </w:r>
          </w:p>
        </w:tc>
        <w:tc>
          <w:tcPr>
            <w:tcW w:w="0" w:type="auto"/>
            <w:tcBorders>
              <w:top w:val="nil"/>
              <w:left w:val="nil"/>
              <w:bottom w:val="nil"/>
              <w:right w:val="nil"/>
            </w:tcBorders>
            <w:shd w:val="clear" w:color="auto" w:fill="auto"/>
            <w:noWrap/>
            <w:vAlign w:val="bottom"/>
            <w:hideMark/>
          </w:tcPr>
          <w:p w14:paraId="44963FF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5321CCB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bottom"/>
            <w:hideMark/>
          </w:tcPr>
          <w:p w14:paraId="52B843D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20FF03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68</w:t>
            </w:r>
          </w:p>
        </w:tc>
        <w:tc>
          <w:tcPr>
            <w:tcW w:w="0" w:type="auto"/>
            <w:tcBorders>
              <w:top w:val="nil"/>
              <w:left w:val="nil"/>
              <w:bottom w:val="nil"/>
              <w:right w:val="nil"/>
            </w:tcBorders>
            <w:shd w:val="clear" w:color="auto" w:fill="auto"/>
            <w:vAlign w:val="center"/>
            <w:hideMark/>
          </w:tcPr>
          <w:p w14:paraId="387E542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vAlign w:val="center"/>
            <w:hideMark/>
          </w:tcPr>
          <w:p w14:paraId="616F398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bottom"/>
            <w:hideMark/>
          </w:tcPr>
          <w:p w14:paraId="02FEED5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8E3579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14A48F9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82603E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571181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EB4FD2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060D9E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E9320E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D61C5B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AEAACC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7F27FE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D22345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443F8D0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5123D0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7BD111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6B44578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7DE78C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CCD81D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2FA79A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E1AF62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6B613BB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4E391BCD" w14:textId="77777777" w:rsidTr="00C336CB">
        <w:trPr>
          <w:trHeight w:val="340"/>
        </w:trPr>
        <w:tc>
          <w:tcPr>
            <w:tcW w:w="0" w:type="auto"/>
            <w:tcBorders>
              <w:top w:val="nil"/>
              <w:left w:val="nil"/>
              <w:bottom w:val="nil"/>
              <w:right w:val="nil"/>
            </w:tcBorders>
            <w:shd w:val="clear" w:color="auto" w:fill="auto"/>
            <w:vAlign w:val="center"/>
            <w:hideMark/>
          </w:tcPr>
          <w:p w14:paraId="5A88844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PANDEMIC_014</w:t>
            </w:r>
          </w:p>
        </w:tc>
        <w:tc>
          <w:tcPr>
            <w:tcW w:w="0" w:type="auto"/>
            <w:tcBorders>
              <w:top w:val="nil"/>
              <w:left w:val="nil"/>
              <w:bottom w:val="nil"/>
              <w:right w:val="nil"/>
            </w:tcBorders>
            <w:shd w:val="clear" w:color="auto" w:fill="auto"/>
            <w:noWrap/>
            <w:vAlign w:val="bottom"/>
            <w:hideMark/>
          </w:tcPr>
          <w:p w14:paraId="42488C9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2021</w:t>
            </w:r>
          </w:p>
        </w:tc>
        <w:tc>
          <w:tcPr>
            <w:tcW w:w="0" w:type="auto"/>
            <w:tcBorders>
              <w:top w:val="nil"/>
              <w:left w:val="nil"/>
              <w:bottom w:val="nil"/>
              <w:right w:val="nil"/>
            </w:tcBorders>
            <w:shd w:val="clear" w:color="auto" w:fill="auto"/>
            <w:noWrap/>
            <w:vAlign w:val="bottom"/>
            <w:hideMark/>
          </w:tcPr>
          <w:p w14:paraId="74453D3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1F49423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bottom"/>
            <w:hideMark/>
          </w:tcPr>
          <w:p w14:paraId="587E017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50BD32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72</w:t>
            </w:r>
          </w:p>
        </w:tc>
        <w:tc>
          <w:tcPr>
            <w:tcW w:w="0" w:type="auto"/>
            <w:tcBorders>
              <w:top w:val="nil"/>
              <w:left w:val="nil"/>
              <w:bottom w:val="nil"/>
              <w:right w:val="nil"/>
            </w:tcBorders>
            <w:shd w:val="clear" w:color="auto" w:fill="auto"/>
            <w:vAlign w:val="center"/>
            <w:hideMark/>
          </w:tcPr>
          <w:p w14:paraId="61B0689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vAlign w:val="center"/>
            <w:hideMark/>
          </w:tcPr>
          <w:p w14:paraId="47A9589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bottom"/>
            <w:hideMark/>
          </w:tcPr>
          <w:p w14:paraId="46B7D29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5161CB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0C58144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A0F07C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DA9BC7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13B058B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F48D18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79C035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738D07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9A3018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D7DB79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AF9BE5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3A08651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6F1A76B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654880F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988C97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FA5C17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4FC711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38A438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A4CC41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4E0C905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r>
      <w:tr w:rsidR="00CE05CD" w:rsidRPr="00C336CB" w14:paraId="28A9B9CE" w14:textId="77777777" w:rsidTr="00C336CB">
        <w:trPr>
          <w:trHeight w:val="340"/>
        </w:trPr>
        <w:tc>
          <w:tcPr>
            <w:tcW w:w="0" w:type="auto"/>
            <w:tcBorders>
              <w:top w:val="nil"/>
              <w:left w:val="nil"/>
              <w:bottom w:val="nil"/>
              <w:right w:val="nil"/>
            </w:tcBorders>
            <w:shd w:val="clear" w:color="auto" w:fill="auto"/>
            <w:vAlign w:val="center"/>
            <w:hideMark/>
          </w:tcPr>
          <w:p w14:paraId="7FEC60A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PANDEMIC_015</w:t>
            </w:r>
          </w:p>
        </w:tc>
        <w:tc>
          <w:tcPr>
            <w:tcW w:w="0" w:type="auto"/>
            <w:tcBorders>
              <w:top w:val="nil"/>
              <w:left w:val="nil"/>
              <w:bottom w:val="nil"/>
              <w:right w:val="nil"/>
            </w:tcBorders>
            <w:shd w:val="clear" w:color="auto" w:fill="auto"/>
            <w:noWrap/>
            <w:vAlign w:val="bottom"/>
            <w:hideMark/>
          </w:tcPr>
          <w:p w14:paraId="2A442CE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2021</w:t>
            </w:r>
          </w:p>
        </w:tc>
        <w:tc>
          <w:tcPr>
            <w:tcW w:w="0" w:type="auto"/>
            <w:tcBorders>
              <w:top w:val="nil"/>
              <w:left w:val="nil"/>
              <w:bottom w:val="nil"/>
              <w:right w:val="nil"/>
            </w:tcBorders>
            <w:shd w:val="clear" w:color="auto" w:fill="auto"/>
            <w:noWrap/>
            <w:vAlign w:val="bottom"/>
            <w:hideMark/>
          </w:tcPr>
          <w:p w14:paraId="147B4BC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5915B03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bottom"/>
            <w:hideMark/>
          </w:tcPr>
          <w:p w14:paraId="3015C89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EBCC21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57</w:t>
            </w:r>
          </w:p>
        </w:tc>
        <w:tc>
          <w:tcPr>
            <w:tcW w:w="0" w:type="auto"/>
            <w:tcBorders>
              <w:top w:val="nil"/>
              <w:left w:val="nil"/>
              <w:bottom w:val="nil"/>
              <w:right w:val="nil"/>
            </w:tcBorders>
            <w:shd w:val="clear" w:color="auto" w:fill="auto"/>
            <w:vAlign w:val="center"/>
            <w:hideMark/>
          </w:tcPr>
          <w:p w14:paraId="3A6F9F0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vAlign w:val="center"/>
            <w:hideMark/>
          </w:tcPr>
          <w:p w14:paraId="6735079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Recovery</w:t>
            </w:r>
          </w:p>
        </w:tc>
        <w:tc>
          <w:tcPr>
            <w:tcW w:w="0" w:type="auto"/>
            <w:tcBorders>
              <w:top w:val="nil"/>
              <w:left w:val="nil"/>
              <w:bottom w:val="nil"/>
              <w:right w:val="nil"/>
            </w:tcBorders>
            <w:shd w:val="clear" w:color="auto" w:fill="auto"/>
            <w:noWrap/>
            <w:vAlign w:val="bottom"/>
            <w:hideMark/>
          </w:tcPr>
          <w:p w14:paraId="787023B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116D56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6404E98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B80444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2C8215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2B5219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79D65CD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FB5A7A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6ECF3D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B53D1A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99EDD3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E9A6AB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4FDBEF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59499C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30DCEF3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6D0FA9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A2AAA9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1DED84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D1C77A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826592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3236AB5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7CBF7592" w14:textId="77777777" w:rsidTr="00C336CB">
        <w:trPr>
          <w:trHeight w:val="340"/>
        </w:trPr>
        <w:tc>
          <w:tcPr>
            <w:tcW w:w="0" w:type="auto"/>
            <w:tcBorders>
              <w:top w:val="nil"/>
              <w:left w:val="nil"/>
              <w:bottom w:val="nil"/>
              <w:right w:val="nil"/>
            </w:tcBorders>
            <w:shd w:val="clear" w:color="auto" w:fill="auto"/>
            <w:vAlign w:val="center"/>
            <w:hideMark/>
          </w:tcPr>
          <w:p w14:paraId="1249ED8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PANDEMIC_016</w:t>
            </w:r>
          </w:p>
        </w:tc>
        <w:tc>
          <w:tcPr>
            <w:tcW w:w="0" w:type="auto"/>
            <w:tcBorders>
              <w:top w:val="nil"/>
              <w:left w:val="nil"/>
              <w:bottom w:val="nil"/>
              <w:right w:val="nil"/>
            </w:tcBorders>
            <w:shd w:val="clear" w:color="auto" w:fill="auto"/>
            <w:noWrap/>
            <w:vAlign w:val="bottom"/>
            <w:hideMark/>
          </w:tcPr>
          <w:p w14:paraId="392A17C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2021</w:t>
            </w:r>
          </w:p>
        </w:tc>
        <w:tc>
          <w:tcPr>
            <w:tcW w:w="0" w:type="auto"/>
            <w:tcBorders>
              <w:top w:val="nil"/>
              <w:left w:val="nil"/>
              <w:bottom w:val="nil"/>
              <w:right w:val="nil"/>
            </w:tcBorders>
            <w:shd w:val="clear" w:color="auto" w:fill="auto"/>
            <w:noWrap/>
            <w:vAlign w:val="bottom"/>
            <w:hideMark/>
          </w:tcPr>
          <w:p w14:paraId="1EDF0EE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6E4C679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bottom"/>
            <w:hideMark/>
          </w:tcPr>
          <w:p w14:paraId="042E453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E21846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60</w:t>
            </w:r>
          </w:p>
        </w:tc>
        <w:tc>
          <w:tcPr>
            <w:tcW w:w="0" w:type="auto"/>
            <w:tcBorders>
              <w:top w:val="nil"/>
              <w:left w:val="nil"/>
              <w:bottom w:val="nil"/>
              <w:right w:val="nil"/>
            </w:tcBorders>
            <w:shd w:val="clear" w:color="auto" w:fill="auto"/>
            <w:vAlign w:val="center"/>
            <w:hideMark/>
          </w:tcPr>
          <w:p w14:paraId="66E22DB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vAlign w:val="center"/>
            <w:hideMark/>
          </w:tcPr>
          <w:p w14:paraId="0E001FA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bottom"/>
            <w:hideMark/>
          </w:tcPr>
          <w:p w14:paraId="35CABAD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D6E589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4D488EB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396D1D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BFE535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6D0303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5BD647F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694432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0E0CFE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B9505F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F11E8C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D1B3E2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392B684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14D5CE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FF1678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B1D719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39ACB7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47CCE3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2FF744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D1CF4B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vAlign w:val="center"/>
            <w:hideMark/>
          </w:tcPr>
          <w:p w14:paraId="1AE5661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719B109C" w14:textId="77777777" w:rsidTr="00C336CB">
        <w:trPr>
          <w:trHeight w:val="340"/>
        </w:trPr>
        <w:tc>
          <w:tcPr>
            <w:tcW w:w="0" w:type="auto"/>
            <w:tcBorders>
              <w:top w:val="nil"/>
              <w:left w:val="nil"/>
              <w:bottom w:val="nil"/>
              <w:right w:val="nil"/>
            </w:tcBorders>
            <w:shd w:val="clear" w:color="auto" w:fill="auto"/>
            <w:vAlign w:val="center"/>
            <w:hideMark/>
          </w:tcPr>
          <w:p w14:paraId="580E6AC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PANDEMIC_017</w:t>
            </w:r>
          </w:p>
        </w:tc>
        <w:tc>
          <w:tcPr>
            <w:tcW w:w="0" w:type="auto"/>
            <w:tcBorders>
              <w:top w:val="nil"/>
              <w:left w:val="nil"/>
              <w:bottom w:val="nil"/>
              <w:right w:val="nil"/>
            </w:tcBorders>
            <w:shd w:val="clear" w:color="auto" w:fill="auto"/>
            <w:noWrap/>
            <w:vAlign w:val="bottom"/>
            <w:hideMark/>
          </w:tcPr>
          <w:p w14:paraId="3C23678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2021</w:t>
            </w:r>
          </w:p>
        </w:tc>
        <w:tc>
          <w:tcPr>
            <w:tcW w:w="0" w:type="auto"/>
            <w:tcBorders>
              <w:top w:val="nil"/>
              <w:left w:val="nil"/>
              <w:bottom w:val="nil"/>
              <w:right w:val="nil"/>
            </w:tcBorders>
            <w:shd w:val="clear" w:color="auto" w:fill="auto"/>
            <w:noWrap/>
            <w:vAlign w:val="bottom"/>
            <w:hideMark/>
          </w:tcPr>
          <w:p w14:paraId="35477CF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1291B7D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bottom"/>
            <w:hideMark/>
          </w:tcPr>
          <w:p w14:paraId="7B45AD9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B21131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57</w:t>
            </w:r>
          </w:p>
        </w:tc>
        <w:tc>
          <w:tcPr>
            <w:tcW w:w="0" w:type="auto"/>
            <w:tcBorders>
              <w:top w:val="nil"/>
              <w:left w:val="nil"/>
              <w:bottom w:val="nil"/>
              <w:right w:val="nil"/>
            </w:tcBorders>
            <w:shd w:val="clear" w:color="auto" w:fill="auto"/>
            <w:vAlign w:val="center"/>
            <w:hideMark/>
          </w:tcPr>
          <w:p w14:paraId="7EE6D4E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vAlign w:val="center"/>
            <w:hideMark/>
          </w:tcPr>
          <w:p w14:paraId="7881FFB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bottom"/>
            <w:hideMark/>
          </w:tcPr>
          <w:p w14:paraId="2E3D492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02D613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67F796A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05C7C4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718D40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E8B3D1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2EB3F48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8B7951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45E03F5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6EBDE1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1B3727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C3A365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2043608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3DBDCD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4B4C36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5B849D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9F487C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509C79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33BC89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78A708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350B4BE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r>
      <w:tr w:rsidR="00CE05CD" w:rsidRPr="00C336CB" w14:paraId="3C996160" w14:textId="77777777" w:rsidTr="00C336CB">
        <w:trPr>
          <w:trHeight w:val="340"/>
        </w:trPr>
        <w:tc>
          <w:tcPr>
            <w:tcW w:w="0" w:type="auto"/>
            <w:tcBorders>
              <w:top w:val="nil"/>
              <w:left w:val="nil"/>
              <w:bottom w:val="nil"/>
              <w:right w:val="nil"/>
            </w:tcBorders>
            <w:shd w:val="clear" w:color="auto" w:fill="auto"/>
            <w:vAlign w:val="center"/>
            <w:hideMark/>
          </w:tcPr>
          <w:p w14:paraId="64D92EA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lastRenderedPageBreak/>
              <w:t>PANDEMIC_018</w:t>
            </w:r>
          </w:p>
        </w:tc>
        <w:tc>
          <w:tcPr>
            <w:tcW w:w="0" w:type="auto"/>
            <w:tcBorders>
              <w:top w:val="nil"/>
              <w:left w:val="nil"/>
              <w:bottom w:val="nil"/>
              <w:right w:val="nil"/>
            </w:tcBorders>
            <w:shd w:val="clear" w:color="auto" w:fill="auto"/>
            <w:noWrap/>
            <w:vAlign w:val="bottom"/>
            <w:hideMark/>
          </w:tcPr>
          <w:p w14:paraId="7ADE970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2021</w:t>
            </w:r>
          </w:p>
        </w:tc>
        <w:tc>
          <w:tcPr>
            <w:tcW w:w="0" w:type="auto"/>
            <w:tcBorders>
              <w:top w:val="nil"/>
              <w:left w:val="nil"/>
              <w:bottom w:val="nil"/>
              <w:right w:val="nil"/>
            </w:tcBorders>
            <w:shd w:val="clear" w:color="auto" w:fill="auto"/>
            <w:noWrap/>
            <w:vAlign w:val="bottom"/>
            <w:hideMark/>
          </w:tcPr>
          <w:p w14:paraId="4853C3E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508F33C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bottom"/>
            <w:hideMark/>
          </w:tcPr>
          <w:p w14:paraId="20C268B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5D37B48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78</w:t>
            </w:r>
          </w:p>
        </w:tc>
        <w:tc>
          <w:tcPr>
            <w:tcW w:w="0" w:type="auto"/>
            <w:tcBorders>
              <w:top w:val="nil"/>
              <w:left w:val="nil"/>
              <w:bottom w:val="nil"/>
              <w:right w:val="nil"/>
            </w:tcBorders>
            <w:shd w:val="clear" w:color="auto" w:fill="auto"/>
            <w:vAlign w:val="center"/>
            <w:hideMark/>
          </w:tcPr>
          <w:p w14:paraId="3D168C6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vAlign w:val="center"/>
            <w:hideMark/>
          </w:tcPr>
          <w:p w14:paraId="2514CC3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bottom"/>
            <w:hideMark/>
          </w:tcPr>
          <w:p w14:paraId="29EC404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76B219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13F4550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F6DD53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3996E4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027943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96D212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A9E7B1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CE5D11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7942DC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AAC5EB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1BA7A4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9F0FF6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7D8312E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879AEE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F38366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A8CD14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744ACC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0A4A23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6F0B92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1BFAFEF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1D5E0305" w14:textId="77777777" w:rsidTr="00C336CB">
        <w:trPr>
          <w:trHeight w:val="340"/>
        </w:trPr>
        <w:tc>
          <w:tcPr>
            <w:tcW w:w="0" w:type="auto"/>
            <w:tcBorders>
              <w:top w:val="nil"/>
              <w:left w:val="nil"/>
              <w:bottom w:val="nil"/>
              <w:right w:val="nil"/>
            </w:tcBorders>
            <w:shd w:val="clear" w:color="auto" w:fill="auto"/>
            <w:vAlign w:val="center"/>
            <w:hideMark/>
          </w:tcPr>
          <w:p w14:paraId="63396EF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PANDEMIC_019</w:t>
            </w:r>
          </w:p>
        </w:tc>
        <w:tc>
          <w:tcPr>
            <w:tcW w:w="0" w:type="auto"/>
            <w:tcBorders>
              <w:top w:val="nil"/>
              <w:left w:val="nil"/>
              <w:bottom w:val="nil"/>
              <w:right w:val="nil"/>
            </w:tcBorders>
            <w:shd w:val="clear" w:color="auto" w:fill="auto"/>
            <w:noWrap/>
            <w:vAlign w:val="bottom"/>
            <w:hideMark/>
          </w:tcPr>
          <w:p w14:paraId="2D6425A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2021</w:t>
            </w:r>
          </w:p>
        </w:tc>
        <w:tc>
          <w:tcPr>
            <w:tcW w:w="0" w:type="auto"/>
            <w:tcBorders>
              <w:top w:val="nil"/>
              <w:left w:val="nil"/>
              <w:bottom w:val="nil"/>
              <w:right w:val="nil"/>
            </w:tcBorders>
            <w:shd w:val="clear" w:color="auto" w:fill="auto"/>
            <w:noWrap/>
            <w:vAlign w:val="bottom"/>
            <w:hideMark/>
          </w:tcPr>
          <w:p w14:paraId="7605123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3B97C72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bottom"/>
            <w:hideMark/>
          </w:tcPr>
          <w:p w14:paraId="48C1006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F3987A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49</w:t>
            </w:r>
          </w:p>
        </w:tc>
        <w:tc>
          <w:tcPr>
            <w:tcW w:w="0" w:type="auto"/>
            <w:tcBorders>
              <w:top w:val="nil"/>
              <w:left w:val="nil"/>
              <w:bottom w:val="nil"/>
              <w:right w:val="nil"/>
            </w:tcBorders>
            <w:shd w:val="clear" w:color="auto" w:fill="auto"/>
            <w:vAlign w:val="center"/>
            <w:hideMark/>
          </w:tcPr>
          <w:p w14:paraId="4D16AEE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vAlign w:val="center"/>
            <w:hideMark/>
          </w:tcPr>
          <w:p w14:paraId="7A415A9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bottom"/>
            <w:hideMark/>
          </w:tcPr>
          <w:p w14:paraId="383E32C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52F760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48CFD40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8067A3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B8C8AF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9BC1BE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0086E4D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2055B2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3287B61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B61BFD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0095E0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268A12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2FB765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53F7B64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118B75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0C3EF7A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6B0649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810C0C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5C0D27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157B55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7CD5943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r>
      <w:tr w:rsidR="00CE05CD" w:rsidRPr="00C336CB" w14:paraId="23BE1B96" w14:textId="77777777" w:rsidTr="00C336CB">
        <w:trPr>
          <w:trHeight w:val="340"/>
        </w:trPr>
        <w:tc>
          <w:tcPr>
            <w:tcW w:w="0" w:type="auto"/>
            <w:tcBorders>
              <w:top w:val="nil"/>
              <w:left w:val="nil"/>
              <w:bottom w:val="nil"/>
              <w:right w:val="nil"/>
            </w:tcBorders>
            <w:shd w:val="clear" w:color="auto" w:fill="auto"/>
            <w:vAlign w:val="center"/>
            <w:hideMark/>
          </w:tcPr>
          <w:p w14:paraId="3AA68A9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PANDEMIC_020</w:t>
            </w:r>
          </w:p>
        </w:tc>
        <w:tc>
          <w:tcPr>
            <w:tcW w:w="0" w:type="auto"/>
            <w:tcBorders>
              <w:top w:val="nil"/>
              <w:left w:val="nil"/>
              <w:bottom w:val="nil"/>
              <w:right w:val="nil"/>
            </w:tcBorders>
            <w:shd w:val="clear" w:color="auto" w:fill="auto"/>
            <w:noWrap/>
            <w:vAlign w:val="bottom"/>
            <w:hideMark/>
          </w:tcPr>
          <w:p w14:paraId="221FB06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2021</w:t>
            </w:r>
          </w:p>
        </w:tc>
        <w:tc>
          <w:tcPr>
            <w:tcW w:w="0" w:type="auto"/>
            <w:tcBorders>
              <w:top w:val="nil"/>
              <w:left w:val="nil"/>
              <w:bottom w:val="nil"/>
              <w:right w:val="nil"/>
            </w:tcBorders>
            <w:shd w:val="clear" w:color="auto" w:fill="auto"/>
            <w:noWrap/>
            <w:vAlign w:val="bottom"/>
            <w:hideMark/>
          </w:tcPr>
          <w:p w14:paraId="34BF285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247AC7E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bottom"/>
            <w:hideMark/>
          </w:tcPr>
          <w:p w14:paraId="1552C06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2AC1C1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82</w:t>
            </w:r>
          </w:p>
        </w:tc>
        <w:tc>
          <w:tcPr>
            <w:tcW w:w="0" w:type="auto"/>
            <w:tcBorders>
              <w:top w:val="nil"/>
              <w:left w:val="nil"/>
              <w:bottom w:val="nil"/>
              <w:right w:val="nil"/>
            </w:tcBorders>
            <w:shd w:val="clear" w:color="auto" w:fill="auto"/>
            <w:vAlign w:val="center"/>
            <w:hideMark/>
          </w:tcPr>
          <w:p w14:paraId="3FBD7A3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vAlign w:val="center"/>
            <w:hideMark/>
          </w:tcPr>
          <w:p w14:paraId="63055E4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Uncomplicated</w:t>
            </w:r>
          </w:p>
        </w:tc>
        <w:tc>
          <w:tcPr>
            <w:tcW w:w="0" w:type="auto"/>
            <w:tcBorders>
              <w:top w:val="nil"/>
              <w:left w:val="nil"/>
              <w:bottom w:val="nil"/>
              <w:right w:val="nil"/>
            </w:tcBorders>
            <w:shd w:val="clear" w:color="auto" w:fill="auto"/>
            <w:noWrap/>
            <w:vAlign w:val="bottom"/>
            <w:hideMark/>
          </w:tcPr>
          <w:p w14:paraId="5FFD9CC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F74953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568C989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AC7F67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446D98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D13964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7378651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CCB6B7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2E77A8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555022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93FB1C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1B953BC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722F23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2B33FA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19D1C4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352448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61CCBF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9CA589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2B47A3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0C2152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60B3673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6478543B" w14:textId="77777777" w:rsidTr="00C336CB">
        <w:trPr>
          <w:trHeight w:val="340"/>
        </w:trPr>
        <w:tc>
          <w:tcPr>
            <w:tcW w:w="0" w:type="auto"/>
            <w:tcBorders>
              <w:top w:val="nil"/>
              <w:left w:val="nil"/>
              <w:bottom w:val="nil"/>
              <w:right w:val="nil"/>
            </w:tcBorders>
            <w:shd w:val="clear" w:color="auto" w:fill="auto"/>
            <w:vAlign w:val="center"/>
            <w:hideMark/>
          </w:tcPr>
          <w:p w14:paraId="4F35098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PANDEMIC_021</w:t>
            </w:r>
          </w:p>
        </w:tc>
        <w:tc>
          <w:tcPr>
            <w:tcW w:w="0" w:type="auto"/>
            <w:tcBorders>
              <w:top w:val="nil"/>
              <w:left w:val="nil"/>
              <w:bottom w:val="nil"/>
              <w:right w:val="nil"/>
            </w:tcBorders>
            <w:shd w:val="clear" w:color="auto" w:fill="auto"/>
            <w:noWrap/>
            <w:vAlign w:val="bottom"/>
            <w:hideMark/>
          </w:tcPr>
          <w:p w14:paraId="40BC720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2021</w:t>
            </w:r>
          </w:p>
        </w:tc>
        <w:tc>
          <w:tcPr>
            <w:tcW w:w="0" w:type="auto"/>
            <w:tcBorders>
              <w:top w:val="nil"/>
              <w:left w:val="nil"/>
              <w:bottom w:val="nil"/>
              <w:right w:val="nil"/>
            </w:tcBorders>
            <w:shd w:val="clear" w:color="auto" w:fill="auto"/>
            <w:noWrap/>
            <w:vAlign w:val="bottom"/>
            <w:hideMark/>
          </w:tcPr>
          <w:p w14:paraId="186FC13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12548E8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bottom"/>
            <w:hideMark/>
          </w:tcPr>
          <w:p w14:paraId="50EBF32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6DC2EE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78</w:t>
            </w:r>
          </w:p>
        </w:tc>
        <w:tc>
          <w:tcPr>
            <w:tcW w:w="0" w:type="auto"/>
            <w:tcBorders>
              <w:top w:val="nil"/>
              <w:left w:val="nil"/>
              <w:bottom w:val="nil"/>
              <w:right w:val="nil"/>
            </w:tcBorders>
            <w:shd w:val="clear" w:color="auto" w:fill="auto"/>
            <w:vAlign w:val="center"/>
            <w:hideMark/>
          </w:tcPr>
          <w:p w14:paraId="47FF566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vAlign w:val="center"/>
            <w:hideMark/>
          </w:tcPr>
          <w:p w14:paraId="29A2F0D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Uncomplicated</w:t>
            </w:r>
          </w:p>
        </w:tc>
        <w:tc>
          <w:tcPr>
            <w:tcW w:w="0" w:type="auto"/>
            <w:tcBorders>
              <w:top w:val="nil"/>
              <w:left w:val="nil"/>
              <w:bottom w:val="nil"/>
              <w:right w:val="nil"/>
            </w:tcBorders>
            <w:shd w:val="clear" w:color="auto" w:fill="auto"/>
            <w:noWrap/>
            <w:vAlign w:val="bottom"/>
            <w:hideMark/>
          </w:tcPr>
          <w:p w14:paraId="6AFDEA6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A1749A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5A70DDB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6F7683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C66B81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BB017B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4D8B133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B6CD3E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9097A1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B9CA67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3ABA16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3A5B319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78AA43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CCB499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DD4189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CC09C7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44071B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757D26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F2F671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89408D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3223442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5A514725" w14:textId="77777777" w:rsidTr="00C336CB">
        <w:trPr>
          <w:trHeight w:val="340"/>
        </w:trPr>
        <w:tc>
          <w:tcPr>
            <w:tcW w:w="0" w:type="auto"/>
            <w:tcBorders>
              <w:top w:val="nil"/>
              <w:left w:val="nil"/>
              <w:bottom w:val="nil"/>
              <w:right w:val="nil"/>
            </w:tcBorders>
            <w:shd w:val="clear" w:color="auto" w:fill="auto"/>
            <w:vAlign w:val="center"/>
            <w:hideMark/>
          </w:tcPr>
          <w:p w14:paraId="7744578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PANDEMIC_022</w:t>
            </w:r>
          </w:p>
        </w:tc>
        <w:tc>
          <w:tcPr>
            <w:tcW w:w="0" w:type="auto"/>
            <w:tcBorders>
              <w:top w:val="nil"/>
              <w:left w:val="nil"/>
              <w:bottom w:val="nil"/>
              <w:right w:val="nil"/>
            </w:tcBorders>
            <w:shd w:val="clear" w:color="auto" w:fill="auto"/>
            <w:noWrap/>
            <w:vAlign w:val="bottom"/>
            <w:hideMark/>
          </w:tcPr>
          <w:p w14:paraId="13DE350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2021</w:t>
            </w:r>
          </w:p>
        </w:tc>
        <w:tc>
          <w:tcPr>
            <w:tcW w:w="0" w:type="auto"/>
            <w:tcBorders>
              <w:top w:val="nil"/>
              <w:left w:val="nil"/>
              <w:bottom w:val="nil"/>
              <w:right w:val="nil"/>
            </w:tcBorders>
            <w:shd w:val="clear" w:color="auto" w:fill="auto"/>
            <w:noWrap/>
            <w:vAlign w:val="bottom"/>
            <w:hideMark/>
          </w:tcPr>
          <w:p w14:paraId="4EA416F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0811028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bottom"/>
            <w:hideMark/>
          </w:tcPr>
          <w:p w14:paraId="0F99D85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C0E6F4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51</w:t>
            </w:r>
          </w:p>
        </w:tc>
        <w:tc>
          <w:tcPr>
            <w:tcW w:w="0" w:type="auto"/>
            <w:tcBorders>
              <w:top w:val="nil"/>
              <w:left w:val="nil"/>
              <w:bottom w:val="nil"/>
              <w:right w:val="nil"/>
            </w:tcBorders>
            <w:shd w:val="clear" w:color="auto" w:fill="auto"/>
            <w:vAlign w:val="center"/>
            <w:hideMark/>
          </w:tcPr>
          <w:p w14:paraId="70CEFA0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f</w:t>
            </w:r>
          </w:p>
        </w:tc>
        <w:tc>
          <w:tcPr>
            <w:tcW w:w="0" w:type="auto"/>
            <w:tcBorders>
              <w:top w:val="nil"/>
              <w:left w:val="nil"/>
              <w:bottom w:val="nil"/>
              <w:right w:val="nil"/>
            </w:tcBorders>
            <w:shd w:val="clear" w:color="auto" w:fill="auto"/>
            <w:vAlign w:val="center"/>
            <w:hideMark/>
          </w:tcPr>
          <w:p w14:paraId="4F5B1AE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bottom"/>
            <w:hideMark/>
          </w:tcPr>
          <w:p w14:paraId="75244F5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D0559C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2152341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9A4EF1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774D03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764DB2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337FC5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5D9B1D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B892D9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8A716E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D26915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BA2358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8ED73F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4886630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69117D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74D9F2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7E0610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5F7480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A92D90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E9CF35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7630AFA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r>
      <w:tr w:rsidR="00CE05CD" w:rsidRPr="00C336CB" w14:paraId="620250ED" w14:textId="77777777" w:rsidTr="00C336CB">
        <w:trPr>
          <w:trHeight w:val="340"/>
        </w:trPr>
        <w:tc>
          <w:tcPr>
            <w:tcW w:w="0" w:type="auto"/>
            <w:tcBorders>
              <w:top w:val="nil"/>
              <w:left w:val="nil"/>
              <w:bottom w:val="nil"/>
              <w:right w:val="nil"/>
            </w:tcBorders>
            <w:shd w:val="clear" w:color="auto" w:fill="auto"/>
            <w:vAlign w:val="center"/>
            <w:hideMark/>
          </w:tcPr>
          <w:p w14:paraId="7B2337F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PANDEMIC_023</w:t>
            </w:r>
          </w:p>
        </w:tc>
        <w:tc>
          <w:tcPr>
            <w:tcW w:w="0" w:type="auto"/>
            <w:tcBorders>
              <w:top w:val="nil"/>
              <w:left w:val="nil"/>
              <w:bottom w:val="nil"/>
              <w:right w:val="nil"/>
            </w:tcBorders>
            <w:shd w:val="clear" w:color="auto" w:fill="auto"/>
            <w:noWrap/>
            <w:vAlign w:val="bottom"/>
            <w:hideMark/>
          </w:tcPr>
          <w:p w14:paraId="11281E8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2021</w:t>
            </w:r>
          </w:p>
        </w:tc>
        <w:tc>
          <w:tcPr>
            <w:tcW w:w="0" w:type="auto"/>
            <w:tcBorders>
              <w:top w:val="nil"/>
              <w:left w:val="nil"/>
              <w:bottom w:val="nil"/>
              <w:right w:val="nil"/>
            </w:tcBorders>
            <w:shd w:val="clear" w:color="auto" w:fill="auto"/>
            <w:noWrap/>
            <w:vAlign w:val="bottom"/>
            <w:hideMark/>
          </w:tcPr>
          <w:p w14:paraId="4B27383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3AA491C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bottom"/>
            <w:hideMark/>
          </w:tcPr>
          <w:p w14:paraId="5678C26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71C5C33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59</w:t>
            </w:r>
          </w:p>
        </w:tc>
        <w:tc>
          <w:tcPr>
            <w:tcW w:w="0" w:type="auto"/>
            <w:tcBorders>
              <w:top w:val="nil"/>
              <w:left w:val="nil"/>
              <w:bottom w:val="nil"/>
              <w:right w:val="nil"/>
            </w:tcBorders>
            <w:shd w:val="clear" w:color="auto" w:fill="auto"/>
            <w:vAlign w:val="center"/>
            <w:hideMark/>
          </w:tcPr>
          <w:p w14:paraId="4ADF668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vAlign w:val="center"/>
            <w:hideMark/>
          </w:tcPr>
          <w:p w14:paraId="776E315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Uncomplicated</w:t>
            </w:r>
          </w:p>
        </w:tc>
        <w:tc>
          <w:tcPr>
            <w:tcW w:w="0" w:type="auto"/>
            <w:tcBorders>
              <w:top w:val="nil"/>
              <w:left w:val="nil"/>
              <w:bottom w:val="nil"/>
              <w:right w:val="nil"/>
            </w:tcBorders>
            <w:shd w:val="clear" w:color="auto" w:fill="auto"/>
            <w:noWrap/>
            <w:vAlign w:val="bottom"/>
            <w:hideMark/>
          </w:tcPr>
          <w:p w14:paraId="5968F6E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AD5039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8F8760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7ED3C14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1CAAB47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BDABDE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1B4445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BAEE6B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FD5F95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ECB1F9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187213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4813357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3F61BC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395429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02880C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CE06D8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8D62F0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BD7121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4DE8B9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89E34B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685A0D6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0402E106" w14:textId="77777777" w:rsidTr="00C336CB">
        <w:trPr>
          <w:trHeight w:val="340"/>
        </w:trPr>
        <w:tc>
          <w:tcPr>
            <w:tcW w:w="0" w:type="auto"/>
            <w:tcBorders>
              <w:top w:val="nil"/>
              <w:left w:val="nil"/>
              <w:bottom w:val="nil"/>
              <w:right w:val="nil"/>
            </w:tcBorders>
            <w:shd w:val="clear" w:color="auto" w:fill="auto"/>
            <w:vAlign w:val="center"/>
            <w:hideMark/>
          </w:tcPr>
          <w:p w14:paraId="0DE7721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PANDEMIC_024</w:t>
            </w:r>
          </w:p>
        </w:tc>
        <w:tc>
          <w:tcPr>
            <w:tcW w:w="0" w:type="auto"/>
            <w:tcBorders>
              <w:top w:val="nil"/>
              <w:left w:val="nil"/>
              <w:bottom w:val="nil"/>
              <w:right w:val="nil"/>
            </w:tcBorders>
            <w:shd w:val="clear" w:color="auto" w:fill="auto"/>
            <w:noWrap/>
            <w:vAlign w:val="bottom"/>
            <w:hideMark/>
          </w:tcPr>
          <w:p w14:paraId="030F7AC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2021</w:t>
            </w:r>
          </w:p>
        </w:tc>
        <w:tc>
          <w:tcPr>
            <w:tcW w:w="0" w:type="auto"/>
            <w:tcBorders>
              <w:top w:val="nil"/>
              <w:left w:val="nil"/>
              <w:bottom w:val="nil"/>
              <w:right w:val="nil"/>
            </w:tcBorders>
            <w:shd w:val="clear" w:color="auto" w:fill="auto"/>
            <w:noWrap/>
            <w:vAlign w:val="bottom"/>
            <w:hideMark/>
          </w:tcPr>
          <w:p w14:paraId="03E4CE4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7BCB1C7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bottom"/>
            <w:hideMark/>
          </w:tcPr>
          <w:p w14:paraId="3A0EFBE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BE3786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60</w:t>
            </w:r>
          </w:p>
        </w:tc>
        <w:tc>
          <w:tcPr>
            <w:tcW w:w="0" w:type="auto"/>
            <w:tcBorders>
              <w:top w:val="nil"/>
              <w:left w:val="nil"/>
              <w:bottom w:val="nil"/>
              <w:right w:val="nil"/>
            </w:tcBorders>
            <w:shd w:val="clear" w:color="auto" w:fill="auto"/>
            <w:vAlign w:val="center"/>
            <w:hideMark/>
          </w:tcPr>
          <w:p w14:paraId="108F084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vAlign w:val="center"/>
            <w:hideMark/>
          </w:tcPr>
          <w:p w14:paraId="5A3E0F4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Uncomplicated</w:t>
            </w:r>
          </w:p>
        </w:tc>
        <w:tc>
          <w:tcPr>
            <w:tcW w:w="0" w:type="auto"/>
            <w:tcBorders>
              <w:top w:val="nil"/>
              <w:left w:val="nil"/>
              <w:bottom w:val="nil"/>
              <w:right w:val="nil"/>
            </w:tcBorders>
            <w:shd w:val="clear" w:color="auto" w:fill="auto"/>
            <w:noWrap/>
            <w:vAlign w:val="bottom"/>
            <w:hideMark/>
          </w:tcPr>
          <w:p w14:paraId="19DCA4B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0A86B8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83212D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5409215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7D51B82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312F2C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48F7CBA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54D857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A05E2F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EE2366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74D676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F85BD5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8BE101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3E7C3FD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FAABE4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4527E1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BBBF91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54FE52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5172EC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569B2A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72F772E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05300CFB" w14:textId="77777777" w:rsidTr="00C336CB">
        <w:trPr>
          <w:trHeight w:val="340"/>
        </w:trPr>
        <w:tc>
          <w:tcPr>
            <w:tcW w:w="0" w:type="auto"/>
            <w:tcBorders>
              <w:top w:val="nil"/>
              <w:left w:val="nil"/>
              <w:bottom w:val="nil"/>
              <w:right w:val="nil"/>
            </w:tcBorders>
            <w:shd w:val="clear" w:color="auto" w:fill="auto"/>
            <w:vAlign w:val="center"/>
            <w:hideMark/>
          </w:tcPr>
          <w:p w14:paraId="7D7F5BA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PANDEMIC_025</w:t>
            </w:r>
          </w:p>
        </w:tc>
        <w:tc>
          <w:tcPr>
            <w:tcW w:w="0" w:type="auto"/>
            <w:tcBorders>
              <w:top w:val="nil"/>
              <w:left w:val="nil"/>
              <w:bottom w:val="nil"/>
              <w:right w:val="nil"/>
            </w:tcBorders>
            <w:shd w:val="clear" w:color="auto" w:fill="auto"/>
            <w:noWrap/>
            <w:vAlign w:val="bottom"/>
            <w:hideMark/>
          </w:tcPr>
          <w:p w14:paraId="19ECD40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2021</w:t>
            </w:r>
          </w:p>
        </w:tc>
        <w:tc>
          <w:tcPr>
            <w:tcW w:w="0" w:type="auto"/>
            <w:tcBorders>
              <w:top w:val="nil"/>
              <w:left w:val="nil"/>
              <w:bottom w:val="nil"/>
              <w:right w:val="nil"/>
            </w:tcBorders>
            <w:shd w:val="clear" w:color="auto" w:fill="auto"/>
            <w:noWrap/>
            <w:vAlign w:val="bottom"/>
            <w:hideMark/>
          </w:tcPr>
          <w:p w14:paraId="2D8F558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6ED10A5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bottom"/>
            <w:hideMark/>
          </w:tcPr>
          <w:p w14:paraId="64866D7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422618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78</w:t>
            </w:r>
          </w:p>
        </w:tc>
        <w:tc>
          <w:tcPr>
            <w:tcW w:w="0" w:type="auto"/>
            <w:tcBorders>
              <w:top w:val="nil"/>
              <w:left w:val="nil"/>
              <w:bottom w:val="nil"/>
              <w:right w:val="nil"/>
            </w:tcBorders>
            <w:shd w:val="clear" w:color="auto" w:fill="auto"/>
            <w:vAlign w:val="center"/>
            <w:hideMark/>
          </w:tcPr>
          <w:p w14:paraId="0605003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vAlign w:val="center"/>
            <w:hideMark/>
          </w:tcPr>
          <w:p w14:paraId="08E70FD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Uncomplicated</w:t>
            </w:r>
          </w:p>
        </w:tc>
        <w:tc>
          <w:tcPr>
            <w:tcW w:w="0" w:type="auto"/>
            <w:tcBorders>
              <w:top w:val="nil"/>
              <w:left w:val="nil"/>
              <w:bottom w:val="nil"/>
              <w:right w:val="nil"/>
            </w:tcBorders>
            <w:shd w:val="clear" w:color="auto" w:fill="auto"/>
            <w:noWrap/>
            <w:vAlign w:val="bottom"/>
            <w:hideMark/>
          </w:tcPr>
          <w:p w14:paraId="235738E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42E6CD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412C1D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3EA3E68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30CF4EB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C0C7B0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25D7C71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1FE264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E1073D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838384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FD4A2E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B7B972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F633FA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D8D231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2A87D8C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894701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19DBAE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B1772B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D982DD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2248C9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7F33639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4BC03782" w14:textId="77777777" w:rsidTr="00C336CB">
        <w:trPr>
          <w:trHeight w:val="340"/>
        </w:trPr>
        <w:tc>
          <w:tcPr>
            <w:tcW w:w="0" w:type="auto"/>
            <w:tcBorders>
              <w:top w:val="nil"/>
              <w:left w:val="nil"/>
              <w:bottom w:val="nil"/>
              <w:right w:val="nil"/>
            </w:tcBorders>
            <w:shd w:val="clear" w:color="auto" w:fill="auto"/>
            <w:vAlign w:val="center"/>
            <w:hideMark/>
          </w:tcPr>
          <w:p w14:paraId="1F6EADE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PANDEMIC_026</w:t>
            </w:r>
          </w:p>
        </w:tc>
        <w:tc>
          <w:tcPr>
            <w:tcW w:w="0" w:type="auto"/>
            <w:tcBorders>
              <w:top w:val="nil"/>
              <w:left w:val="nil"/>
              <w:bottom w:val="nil"/>
              <w:right w:val="nil"/>
            </w:tcBorders>
            <w:shd w:val="clear" w:color="auto" w:fill="auto"/>
            <w:noWrap/>
            <w:vAlign w:val="bottom"/>
            <w:hideMark/>
          </w:tcPr>
          <w:p w14:paraId="74137ED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2021</w:t>
            </w:r>
          </w:p>
        </w:tc>
        <w:tc>
          <w:tcPr>
            <w:tcW w:w="0" w:type="auto"/>
            <w:tcBorders>
              <w:top w:val="nil"/>
              <w:left w:val="nil"/>
              <w:bottom w:val="nil"/>
              <w:right w:val="nil"/>
            </w:tcBorders>
            <w:shd w:val="clear" w:color="auto" w:fill="auto"/>
            <w:noWrap/>
            <w:vAlign w:val="bottom"/>
            <w:hideMark/>
          </w:tcPr>
          <w:p w14:paraId="2AF6EAB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5D96F67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bottom"/>
            <w:hideMark/>
          </w:tcPr>
          <w:p w14:paraId="037B50B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CD32EA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56</w:t>
            </w:r>
          </w:p>
        </w:tc>
        <w:tc>
          <w:tcPr>
            <w:tcW w:w="0" w:type="auto"/>
            <w:tcBorders>
              <w:top w:val="nil"/>
              <w:left w:val="nil"/>
              <w:bottom w:val="nil"/>
              <w:right w:val="nil"/>
            </w:tcBorders>
            <w:shd w:val="clear" w:color="auto" w:fill="auto"/>
            <w:vAlign w:val="center"/>
            <w:hideMark/>
          </w:tcPr>
          <w:p w14:paraId="3CB197C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vAlign w:val="center"/>
            <w:hideMark/>
          </w:tcPr>
          <w:p w14:paraId="0418A8B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Complicated</w:t>
            </w:r>
          </w:p>
        </w:tc>
        <w:tc>
          <w:tcPr>
            <w:tcW w:w="0" w:type="auto"/>
            <w:tcBorders>
              <w:top w:val="nil"/>
              <w:left w:val="nil"/>
              <w:bottom w:val="nil"/>
              <w:right w:val="nil"/>
            </w:tcBorders>
            <w:shd w:val="clear" w:color="auto" w:fill="auto"/>
            <w:noWrap/>
            <w:vAlign w:val="bottom"/>
            <w:hideMark/>
          </w:tcPr>
          <w:p w14:paraId="410CBB1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0720F9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52CCCA1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57234C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95F1D9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0FE1FC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20155EB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EE0963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8F0554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703C0A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603CF2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3B2E82B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258F91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A5824E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28C3A9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8B1663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8AB02E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39B373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4A287B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A3D0A3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02BDA33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r>
      <w:tr w:rsidR="00CE05CD" w:rsidRPr="00C336CB" w14:paraId="3EAD6472" w14:textId="77777777" w:rsidTr="00C336CB">
        <w:trPr>
          <w:trHeight w:val="340"/>
        </w:trPr>
        <w:tc>
          <w:tcPr>
            <w:tcW w:w="0" w:type="auto"/>
            <w:tcBorders>
              <w:top w:val="nil"/>
              <w:left w:val="nil"/>
              <w:bottom w:val="nil"/>
              <w:right w:val="nil"/>
            </w:tcBorders>
            <w:shd w:val="clear" w:color="auto" w:fill="auto"/>
            <w:vAlign w:val="center"/>
            <w:hideMark/>
          </w:tcPr>
          <w:p w14:paraId="281E4AD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PANDEMIC_027</w:t>
            </w:r>
          </w:p>
        </w:tc>
        <w:tc>
          <w:tcPr>
            <w:tcW w:w="0" w:type="auto"/>
            <w:tcBorders>
              <w:top w:val="nil"/>
              <w:left w:val="nil"/>
              <w:bottom w:val="nil"/>
              <w:right w:val="nil"/>
            </w:tcBorders>
            <w:shd w:val="clear" w:color="auto" w:fill="auto"/>
            <w:noWrap/>
            <w:vAlign w:val="bottom"/>
            <w:hideMark/>
          </w:tcPr>
          <w:p w14:paraId="2D2936E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2021</w:t>
            </w:r>
          </w:p>
        </w:tc>
        <w:tc>
          <w:tcPr>
            <w:tcW w:w="0" w:type="auto"/>
            <w:tcBorders>
              <w:top w:val="nil"/>
              <w:left w:val="nil"/>
              <w:bottom w:val="nil"/>
              <w:right w:val="nil"/>
            </w:tcBorders>
            <w:shd w:val="clear" w:color="auto" w:fill="auto"/>
            <w:noWrap/>
            <w:vAlign w:val="bottom"/>
            <w:hideMark/>
          </w:tcPr>
          <w:p w14:paraId="212C02E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307725B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bottom"/>
            <w:hideMark/>
          </w:tcPr>
          <w:p w14:paraId="65EF9FB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4D0454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40</w:t>
            </w:r>
          </w:p>
        </w:tc>
        <w:tc>
          <w:tcPr>
            <w:tcW w:w="0" w:type="auto"/>
            <w:tcBorders>
              <w:top w:val="nil"/>
              <w:left w:val="nil"/>
              <w:bottom w:val="nil"/>
              <w:right w:val="nil"/>
            </w:tcBorders>
            <w:shd w:val="clear" w:color="auto" w:fill="auto"/>
            <w:vAlign w:val="center"/>
            <w:hideMark/>
          </w:tcPr>
          <w:p w14:paraId="34FF1F1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vAlign w:val="center"/>
            <w:hideMark/>
          </w:tcPr>
          <w:p w14:paraId="3A58B52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Complicated</w:t>
            </w:r>
          </w:p>
        </w:tc>
        <w:tc>
          <w:tcPr>
            <w:tcW w:w="0" w:type="auto"/>
            <w:tcBorders>
              <w:top w:val="nil"/>
              <w:left w:val="nil"/>
              <w:bottom w:val="nil"/>
              <w:right w:val="nil"/>
            </w:tcBorders>
            <w:shd w:val="clear" w:color="auto" w:fill="auto"/>
            <w:noWrap/>
            <w:vAlign w:val="bottom"/>
            <w:hideMark/>
          </w:tcPr>
          <w:p w14:paraId="782BA14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CD69BB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101FEE6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408DC9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303BFD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1E4327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3A6FD28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EEC1E5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355E51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143C28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F8AC76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A0FA44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751D77E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68CCEE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2EA379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E63036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787648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029945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62DD2D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6FF0D4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61AE127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74DCDE51" w14:textId="77777777" w:rsidTr="00C336CB">
        <w:trPr>
          <w:trHeight w:val="340"/>
        </w:trPr>
        <w:tc>
          <w:tcPr>
            <w:tcW w:w="0" w:type="auto"/>
            <w:tcBorders>
              <w:top w:val="nil"/>
              <w:left w:val="nil"/>
              <w:bottom w:val="nil"/>
              <w:right w:val="nil"/>
            </w:tcBorders>
            <w:shd w:val="clear" w:color="auto" w:fill="auto"/>
            <w:vAlign w:val="center"/>
            <w:hideMark/>
          </w:tcPr>
          <w:p w14:paraId="1CF32C7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PANDEMIC_028</w:t>
            </w:r>
          </w:p>
        </w:tc>
        <w:tc>
          <w:tcPr>
            <w:tcW w:w="0" w:type="auto"/>
            <w:tcBorders>
              <w:top w:val="nil"/>
              <w:left w:val="nil"/>
              <w:bottom w:val="nil"/>
              <w:right w:val="nil"/>
            </w:tcBorders>
            <w:shd w:val="clear" w:color="auto" w:fill="auto"/>
            <w:noWrap/>
            <w:vAlign w:val="bottom"/>
            <w:hideMark/>
          </w:tcPr>
          <w:p w14:paraId="37FE0D9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2021</w:t>
            </w:r>
          </w:p>
        </w:tc>
        <w:tc>
          <w:tcPr>
            <w:tcW w:w="0" w:type="auto"/>
            <w:tcBorders>
              <w:top w:val="nil"/>
              <w:left w:val="nil"/>
              <w:bottom w:val="nil"/>
              <w:right w:val="nil"/>
            </w:tcBorders>
            <w:shd w:val="clear" w:color="auto" w:fill="auto"/>
            <w:noWrap/>
            <w:vAlign w:val="bottom"/>
            <w:hideMark/>
          </w:tcPr>
          <w:p w14:paraId="285C992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036C163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bottom"/>
            <w:hideMark/>
          </w:tcPr>
          <w:p w14:paraId="649D9D9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0DB380A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53</w:t>
            </w:r>
          </w:p>
        </w:tc>
        <w:tc>
          <w:tcPr>
            <w:tcW w:w="0" w:type="auto"/>
            <w:tcBorders>
              <w:top w:val="nil"/>
              <w:left w:val="nil"/>
              <w:bottom w:val="nil"/>
              <w:right w:val="nil"/>
            </w:tcBorders>
            <w:shd w:val="clear" w:color="auto" w:fill="auto"/>
            <w:vAlign w:val="center"/>
            <w:hideMark/>
          </w:tcPr>
          <w:p w14:paraId="3A5A3AA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vAlign w:val="center"/>
            <w:hideMark/>
          </w:tcPr>
          <w:p w14:paraId="3288681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bottom"/>
            <w:hideMark/>
          </w:tcPr>
          <w:p w14:paraId="360F05C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95CF2E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7DDEE1A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A82BE5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4CE171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159436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87C4D3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3AA2B2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246C65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03400D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612623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A4F152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6EC2B7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4D4CAFC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200319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C7A846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3375A5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D92529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17641B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0C4F14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6E69607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r>
      <w:tr w:rsidR="00CE05CD" w:rsidRPr="00C336CB" w14:paraId="1DF75DB7" w14:textId="77777777" w:rsidTr="00C336CB">
        <w:trPr>
          <w:trHeight w:val="340"/>
        </w:trPr>
        <w:tc>
          <w:tcPr>
            <w:tcW w:w="0" w:type="auto"/>
            <w:tcBorders>
              <w:top w:val="nil"/>
              <w:left w:val="nil"/>
              <w:bottom w:val="nil"/>
              <w:right w:val="nil"/>
            </w:tcBorders>
            <w:shd w:val="clear" w:color="auto" w:fill="auto"/>
            <w:vAlign w:val="center"/>
            <w:hideMark/>
          </w:tcPr>
          <w:p w14:paraId="5849C86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PANDEMIC_029</w:t>
            </w:r>
          </w:p>
        </w:tc>
        <w:tc>
          <w:tcPr>
            <w:tcW w:w="0" w:type="auto"/>
            <w:tcBorders>
              <w:top w:val="nil"/>
              <w:left w:val="nil"/>
              <w:bottom w:val="nil"/>
              <w:right w:val="nil"/>
            </w:tcBorders>
            <w:shd w:val="clear" w:color="auto" w:fill="auto"/>
            <w:noWrap/>
            <w:vAlign w:val="bottom"/>
            <w:hideMark/>
          </w:tcPr>
          <w:p w14:paraId="219AF94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2021</w:t>
            </w:r>
          </w:p>
        </w:tc>
        <w:tc>
          <w:tcPr>
            <w:tcW w:w="0" w:type="auto"/>
            <w:tcBorders>
              <w:top w:val="nil"/>
              <w:left w:val="nil"/>
              <w:bottom w:val="nil"/>
              <w:right w:val="nil"/>
            </w:tcBorders>
            <w:shd w:val="clear" w:color="auto" w:fill="auto"/>
            <w:noWrap/>
            <w:vAlign w:val="bottom"/>
            <w:hideMark/>
          </w:tcPr>
          <w:p w14:paraId="515AFAE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2A585A6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bottom"/>
            <w:hideMark/>
          </w:tcPr>
          <w:p w14:paraId="1A908C7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66883E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64</w:t>
            </w:r>
          </w:p>
        </w:tc>
        <w:tc>
          <w:tcPr>
            <w:tcW w:w="0" w:type="auto"/>
            <w:tcBorders>
              <w:top w:val="nil"/>
              <w:left w:val="nil"/>
              <w:bottom w:val="nil"/>
              <w:right w:val="nil"/>
            </w:tcBorders>
            <w:shd w:val="clear" w:color="auto" w:fill="auto"/>
            <w:vAlign w:val="center"/>
            <w:hideMark/>
          </w:tcPr>
          <w:p w14:paraId="6299C96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vAlign w:val="center"/>
            <w:hideMark/>
          </w:tcPr>
          <w:p w14:paraId="40D057F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bottom"/>
            <w:hideMark/>
          </w:tcPr>
          <w:p w14:paraId="13CCBAD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30287E7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1C890D4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0CE1E8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E76D9F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093E0C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4422C6D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5325DA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783F9C2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B5708E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4FDFD6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EEF570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EEB402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5208D51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7E37A6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CDB408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247014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908441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D296E7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980917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54597D3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0417E70E" w14:textId="77777777" w:rsidTr="00C336CB">
        <w:trPr>
          <w:trHeight w:val="340"/>
        </w:trPr>
        <w:tc>
          <w:tcPr>
            <w:tcW w:w="0" w:type="auto"/>
            <w:tcBorders>
              <w:top w:val="nil"/>
              <w:left w:val="nil"/>
              <w:bottom w:val="nil"/>
              <w:right w:val="nil"/>
            </w:tcBorders>
            <w:shd w:val="clear" w:color="auto" w:fill="auto"/>
            <w:vAlign w:val="center"/>
            <w:hideMark/>
          </w:tcPr>
          <w:p w14:paraId="35D303D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PANDEMIC_030</w:t>
            </w:r>
          </w:p>
        </w:tc>
        <w:tc>
          <w:tcPr>
            <w:tcW w:w="0" w:type="auto"/>
            <w:tcBorders>
              <w:top w:val="nil"/>
              <w:left w:val="nil"/>
              <w:bottom w:val="nil"/>
              <w:right w:val="nil"/>
            </w:tcBorders>
            <w:shd w:val="clear" w:color="auto" w:fill="auto"/>
            <w:noWrap/>
            <w:vAlign w:val="bottom"/>
            <w:hideMark/>
          </w:tcPr>
          <w:p w14:paraId="7B47C23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2021</w:t>
            </w:r>
          </w:p>
        </w:tc>
        <w:tc>
          <w:tcPr>
            <w:tcW w:w="0" w:type="auto"/>
            <w:tcBorders>
              <w:top w:val="nil"/>
              <w:left w:val="nil"/>
              <w:bottom w:val="nil"/>
              <w:right w:val="nil"/>
            </w:tcBorders>
            <w:shd w:val="clear" w:color="auto" w:fill="auto"/>
            <w:noWrap/>
            <w:vAlign w:val="bottom"/>
            <w:hideMark/>
          </w:tcPr>
          <w:p w14:paraId="0AF3D4F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473EA92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bottom"/>
            <w:hideMark/>
          </w:tcPr>
          <w:p w14:paraId="49ED173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279F5F3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66</w:t>
            </w:r>
          </w:p>
        </w:tc>
        <w:tc>
          <w:tcPr>
            <w:tcW w:w="0" w:type="auto"/>
            <w:tcBorders>
              <w:top w:val="nil"/>
              <w:left w:val="nil"/>
              <w:bottom w:val="nil"/>
              <w:right w:val="nil"/>
            </w:tcBorders>
            <w:shd w:val="clear" w:color="auto" w:fill="auto"/>
            <w:vAlign w:val="center"/>
            <w:hideMark/>
          </w:tcPr>
          <w:p w14:paraId="28154FA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vAlign w:val="center"/>
            <w:hideMark/>
          </w:tcPr>
          <w:p w14:paraId="549C63E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bottom"/>
            <w:hideMark/>
          </w:tcPr>
          <w:p w14:paraId="0EB13FE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0EE4AF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10BF378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2C226A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D51FB7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D289E1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A4558A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166F46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5BA14C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EBC644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C5F9D0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4B18204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779C5FD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514F56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0180D1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5BA476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652086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419CE1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D03D3F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6E7B0D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21787A4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7194D210" w14:textId="77777777" w:rsidTr="00C336CB">
        <w:trPr>
          <w:trHeight w:val="340"/>
        </w:trPr>
        <w:tc>
          <w:tcPr>
            <w:tcW w:w="0" w:type="auto"/>
            <w:tcBorders>
              <w:top w:val="nil"/>
              <w:left w:val="nil"/>
              <w:bottom w:val="nil"/>
              <w:right w:val="nil"/>
            </w:tcBorders>
            <w:shd w:val="clear" w:color="auto" w:fill="auto"/>
            <w:vAlign w:val="center"/>
            <w:hideMark/>
          </w:tcPr>
          <w:p w14:paraId="2407BC6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PANDEMIC_031</w:t>
            </w:r>
          </w:p>
        </w:tc>
        <w:tc>
          <w:tcPr>
            <w:tcW w:w="0" w:type="auto"/>
            <w:tcBorders>
              <w:top w:val="nil"/>
              <w:left w:val="nil"/>
              <w:bottom w:val="nil"/>
              <w:right w:val="nil"/>
            </w:tcBorders>
            <w:shd w:val="clear" w:color="auto" w:fill="auto"/>
            <w:noWrap/>
            <w:vAlign w:val="center"/>
            <w:hideMark/>
          </w:tcPr>
          <w:p w14:paraId="57D4B89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2021</w:t>
            </w:r>
          </w:p>
        </w:tc>
        <w:tc>
          <w:tcPr>
            <w:tcW w:w="0" w:type="auto"/>
            <w:tcBorders>
              <w:top w:val="nil"/>
              <w:left w:val="nil"/>
              <w:bottom w:val="nil"/>
              <w:right w:val="nil"/>
            </w:tcBorders>
            <w:shd w:val="clear" w:color="auto" w:fill="auto"/>
            <w:noWrap/>
            <w:vAlign w:val="center"/>
            <w:hideMark/>
          </w:tcPr>
          <w:p w14:paraId="16B9DFD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3CCAE9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center"/>
            <w:hideMark/>
          </w:tcPr>
          <w:p w14:paraId="0E52CA4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1925A23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85</w:t>
            </w:r>
          </w:p>
        </w:tc>
        <w:tc>
          <w:tcPr>
            <w:tcW w:w="0" w:type="auto"/>
            <w:tcBorders>
              <w:top w:val="nil"/>
              <w:left w:val="nil"/>
              <w:bottom w:val="nil"/>
              <w:right w:val="nil"/>
            </w:tcBorders>
            <w:shd w:val="clear" w:color="auto" w:fill="auto"/>
            <w:vAlign w:val="center"/>
            <w:hideMark/>
          </w:tcPr>
          <w:p w14:paraId="53CDBF5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vAlign w:val="center"/>
            <w:hideMark/>
          </w:tcPr>
          <w:p w14:paraId="1732943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center"/>
            <w:hideMark/>
          </w:tcPr>
          <w:p w14:paraId="0A6D0ED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14DF60E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5894DE4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220F0C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4C22D6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855A9B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95C48F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467044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F1B7FD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D0349F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62398F3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5387FA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7385425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A4EF14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218BEDD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center"/>
            <w:hideMark/>
          </w:tcPr>
          <w:p w14:paraId="102F326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7DADA48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098EE78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4A55F1C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center"/>
            <w:hideMark/>
          </w:tcPr>
          <w:p w14:paraId="5E28314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46F8866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35B989C3" w14:textId="77777777" w:rsidTr="00C336CB">
        <w:trPr>
          <w:trHeight w:val="340"/>
        </w:trPr>
        <w:tc>
          <w:tcPr>
            <w:tcW w:w="0" w:type="auto"/>
            <w:tcBorders>
              <w:top w:val="nil"/>
              <w:left w:val="nil"/>
              <w:bottom w:val="nil"/>
              <w:right w:val="nil"/>
            </w:tcBorders>
            <w:shd w:val="clear" w:color="auto" w:fill="auto"/>
            <w:vAlign w:val="center"/>
            <w:hideMark/>
          </w:tcPr>
          <w:p w14:paraId="754BAEE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PANDEMIC_032</w:t>
            </w:r>
          </w:p>
        </w:tc>
        <w:tc>
          <w:tcPr>
            <w:tcW w:w="0" w:type="auto"/>
            <w:tcBorders>
              <w:top w:val="nil"/>
              <w:left w:val="nil"/>
              <w:bottom w:val="nil"/>
              <w:right w:val="nil"/>
            </w:tcBorders>
            <w:shd w:val="clear" w:color="auto" w:fill="auto"/>
            <w:noWrap/>
            <w:vAlign w:val="bottom"/>
            <w:hideMark/>
          </w:tcPr>
          <w:p w14:paraId="73813D1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2021</w:t>
            </w:r>
          </w:p>
        </w:tc>
        <w:tc>
          <w:tcPr>
            <w:tcW w:w="0" w:type="auto"/>
            <w:tcBorders>
              <w:top w:val="nil"/>
              <w:left w:val="nil"/>
              <w:bottom w:val="nil"/>
              <w:right w:val="nil"/>
            </w:tcBorders>
            <w:shd w:val="clear" w:color="auto" w:fill="auto"/>
            <w:noWrap/>
            <w:vAlign w:val="bottom"/>
            <w:hideMark/>
          </w:tcPr>
          <w:p w14:paraId="40107FB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5400F89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bottom"/>
            <w:hideMark/>
          </w:tcPr>
          <w:p w14:paraId="444D493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63FDA73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42</w:t>
            </w:r>
          </w:p>
        </w:tc>
        <w:tc>
          <w:tcPr>
            <w:tcW w:w="0" w:type="auto"/>
            <w:tcBorders>
              <w:top w:val="nil"/>
              <w:left w:val="nil"/>
              <w:bottom w:val="nil"/>
              <w:right w:val="nil"/>
            </w:tcBorders>
            <w:shd w:val="clear" w:color="auto" w:fill="auto"/>
            <w:vAlign w:val="center"/>
            <w:hideMark/>
          </w:tcPr>
          <w:p w14:paraId="15045DE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vAlign w:val="center"/>
            <w:hideMark/>
          </w:tcPr>
          <w:p w14:paraId="6392D22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bottom"/>
            <w:hideMark/>
          </w:tcPr>
          <w:p w14:paraId="1295630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805189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68CA41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C807E7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87F9EB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2F8173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29F58D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61F40D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080735B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7A3D35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2EF9D1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D6AC8E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44A96929"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3234195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3BC26F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42EE8A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6A1421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3712EE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820C60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C5AF03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47BE1B6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r>
      <w:tr w:rsidR="00CE05CD" w:rsidRPr="00C336CB" w14:paraId="50B678A8" w14:textId="77777777" w:rsidTr="00C336CB">
        <w:trPr>
          <w:trHeight w:val="340"/>
        </w:trPr>
        <w:tc>
          <w:tcPr>
            <w:tcW w:w="0" w:type="auto"/>
            <w:tcBorders>
              <w:top w:val="nil"/>
              <w:left w:val="nil"/>
              <w:bottom w:val="nil"/>
              <w:right w:val="nil"/>
            </w:tcBorders>
            <w:shd w:val="clear" w:color="auto" w:fill="auto"/>
            <w:vAlign w:val="center"/>
            <w:hideMark/>
          </w:tcPr>
          <w:p w14:paraId="29E6C44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PANDEMIC_033</w:t>
            </w:r>
          </w:p>
        </w:tc>
        <w:tc>
          <w:tcPr>
            <w:tcW w:w="0" w:type="auto"/>
            <w:tcBorders>
              <w:top w:val="nil"/>
              <w:left w:val="nil"/>
              <w:bottom w:val="nil"/>
              <w:right w:val="nil"/>
            </w:tcBorders>
            <w:shd w:val="clear" w:color="auto" w:fill="auto"/>
            <w:noWrap/>
            <w:vAlign w:val="bottom"/>
            <w:hideMark/>
          </w:tcPr>
          <w:p w14:paraId="1504816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2021</w:t>
            </w:r>
          </w:p>
        </w:tc>
        <w:tc>
          <w:tcPr>
            <w:tcW w:w="0" w:type="auto"/>
            <w:tcBorders>
              <w:top w:val="nil"/>
              <w:left w:val="nil"/>
              <w:bottom w:val="nil"/>
              <w:right w:val="nil"/>
            </w:tcBorders>
            <w:shd w:val="clear" w:color="auto" w:fill="auto"/>
            <w:noWrap/>
            <w:vAlign w:val="bottom"/>
            <w:hideMark/>
          </w:tcPr>
          <w:p w14:paraId="68E438C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16643D7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bottom"/>
            <w:hideMark/>
          </w:tcPr>
          <w:p w14:paraId="1E97812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3543B853"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63</w:t>
            </w:r>
          </w:p>
        </w:tc>
        <w:tc>
          <w:tcPr>
            <w:tcW w:w="0" w:type="auto"/>
            <w:tcBorders>
              <w:top w:val="nil"/>
              <w:left w:val="nil"/>
              <w:bottom w:val="nil"/>
              <w:right w:val="nil"/>
            </w:tcBorders>
            <w:shd w:val="clear" w:color="auto" w:fill="auto"/>
            <w:vAlign w:val="center"/>
            <w:hideMark/>
          </w:tcPr>
          <w:p w14:paraId="0203103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vAlign w:val="center"/>
            <w:hideMark/>
          </w:tcPr>
          <w:p w14:paraId="4A929D9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bottom"/>
            <w:hideMark/>
          </w:tcPr>
          <w:p w14:paraId="75B4BB3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17F2C8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6DB570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7A7C08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990D7A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4ACE8E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86F75E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70A06A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26AE7E0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F24A27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B79684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BA141D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046849E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2FE7C02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8C2F8C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ACE99A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2E9475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A631D9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771FD4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B0F313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20E0C8D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r w:rsidR="00CE05CD" w:rsidRPr="00C336CB" w14:paraId="02BCD003" w14:textId="77777777" w:rsidTr="00C336CB">
        <w:trPr>
          <w:trHeight w:val="340"/>
        </w:trPr>
        <w:tc>
          <w:tcPr>
            <w:tcW w:w="0" w:type="auto"/>
            <w:tcBorders>
              <w:top w:val="nil"/>
              <w:left w:val="nil"/>
              <w:bottom w:val="nil"/>
              <w:right w:val="nil"/>
            </w:tcBorders>
            <w:shd w:val="clear" w:color="auto" w:fill="auto"/>
            <w:vAlign w:val="center"/>
            <w:hideMark/>
          </w:tcPr>
          <w:p w14:paraId="033FB42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PANDEMIC_034</w:t>
            </w:r>
          </w:p>
        </w:tc>
        <w:tc>
          <w:tcPr>
            <w:tcW w:w="0" w:type="auto"/>
            <w:tcBorders>
              <w:top w:val="nil"/>
              <w:left w:val="nil"/>
              <w:bottom w:val="nil"/>
              <w:right w:val="nil"/>
            </w:tcBorders>
            <w:shd w:val="clear" w:color="auto" w:fill="auto"/>
            <w:noWrap/>
            <w:vAlign w:val="bottom"/>
            <w:hideMark/>
          </w:tcPr>
          <w:p w14:paraId="3DEEFDF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2021</w:t>
            </w:r>
          </w:p>
        </w:tc>
        <w:tc>
          <w:tcPr>
            <w:tcW w:w="0" w:type="auto"/>
            <w:tcBorders>
              <w:top w:val="nil"/>
              <w:left w:val="nil"/>
              <w:bottom w:val="nil"/>
              <w:right w:val="nil"/>
            </w:tcBorders>
            <w:shd w:val="clear" w:color="auto" w:fill="auto"/>
            <w:noWrap/>
            <w:vAlign w:val="bottom"/>
            <w:hideMark/>
          </w:tcPr>
          <w:p w14:paraId="149165E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28FF9E8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noWrap/>
            <w:vAlign w:val="bottom"/>
            <w:hideMark/>
          </w:tcPr>
          <w:p w14:paraId="717220D8"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NK</w:t>
            </w:r>
          </w:p>
        </w:tc>
        <w:tc>
          <w:tcPr>
            <w:tcW w:w="0" w:type="auto"/>
            <w:tcBorders>
              <w:top w:val="nil"/>
              <w:left w:val="nil"/>
              <w:bottom w:val="nil"/>
              <w:right w:val="nil"/>
            </w:tcBorders>
            <w:shd w:val="clear" w:color="auto" w:fill="auto"/>
            <w:vAlign w:val="center"/>
            <w:hideMark/>
          </w:tcPr>
          <w:p w14:paraId="42630351"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62</w:t>
            </w:r>
          </w:p>
        </w:tc>
        <w:tc>
          <w:tcPr>
            <w:tcW w:w="0" w:type="auto"/>
            <w:tcBorders>
              <w:top w:val="nil"/>
              <w:left w:val="nil"/>
              <w:bottom w:val="nil"/>
              <w:right w:val="nil"/>
            </w:tcBorders>
            <w:shd w:val="clear" w:color="auto" w:fill="auto"/>
            <w:vAlign w:val="center"/>
            <w:hideMark/>
          </w:tcPr>
          <w:p w14:paraId="6B83163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w:t>
            </w:r>
          </w:p>
        </w:tc>
        <w:tc>
          <w:tcPr>
            <w:tcW w:w="0" w:type="auto"/>
            <w:tcBorders>
              <w:top w:val="nil"/>
              <w:left w:val="nil"/>
              <w:bottom w:val="nil"/>
              <w:right w:val="nil"/>
            </w:tcBorders>
            <w:shd w:val="clear" w:color="auto" w:fill="auto"/>
            <w:vAlign w:val="center"/>
            <w:hideMark/>
          </w:tcPr>
          <w:p w14:paraId="1EF8030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Critical</w:t>
            </w:r>
          </w:p>
        </w:tc>
        <w:tc>
          <w:tcPr>
            <w:tcW w:w="0" w:type="auto"/>
            <w:tcBorders>
              <w:top w:val="nil"/>
              <w:left w:val="nil"/>
              <w:bottom w:val="nil"/>
              <w:right w:val="nil"/>
            </w:tcBorders>
            <w:shd w:val="clear" w:color="auto" w:fill="auto"/>
            <w:noWrap/>
            <w:vAlign w:val="bottom"/>
            <w:hideMark/>
          </w:tcPr>
          <w:p w14:paraId="2B986B6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115DE63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A5515C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D327387"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386C6E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48962FC"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5A739E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5B665E3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013A30E4"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30724F6E"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C5DF612"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2BB5DDF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7B11A24F"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6E8CBB20"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noWrap/>
            <w:vAlign w:val="bottom"/>
            <w:hideMark/>
          </w:tcPr>
          <w:p w14:paraId="27F3BDFA"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CCBE35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44DD009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6D6D1425"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CAAC77B"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c>
          <w:tcPr>
            <w:tcW w:w="0" w:type="auto"/>
            <w:tcBorders>
              <w:top w:val="nil"/>
              <w:left w:val="nil"/>
              <w:bottom w:val="nil"/>
              <w:right w:val="nil"/>
            </w:tcBorders>
            <w:shd w:val="clear" w:color="auto" w:fill="auto"/>
            <w:noWrap/>
            <w:vAlign w:val="bottom"/>
            <w:hideMark/>
          </w:tcPr>
          <w:p w14:paraId="0EB36CDD"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1</w:t>
            </w:r>
          </w:p>
        </w:tc>
        <w:tc>
          <w:tcPr>
            <w:tcW w:w="0" w:type="auto"/>
            <w:tcBorders>
              <w:top w:val="nil"/>
              <w:left w:val="nil"/>
              <w:bottom w:val="nil"/>
              <w:right w:val="nil"/>
            </w:tcBorders>
            <w:shd w:val="clear" w:color="auto" w:fill="auto"/>
            <w:vAlign w:val="center"/>
            <w:hideMark/>
          </w:tcPr>
          <w:p w14:paraId="14641016" w14:textId="77777777" w:rsidR="00C336CB" w:rsidRPr="00C336CB" w:rsidRDefault="00C336CB" w:rsidP="00C336CB">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0</w:t>
            </w:r>
          </w:p>
        </w:tc>
      </w:tr>
    </w:tbl>
    <w:p w14:paraId="328FD153" w14:textId="29273A08" w:rsidR="00353BF6" w:rsidRPr="00C336CB" w:rsidRDefault="00353BF6" w:rsidP="00C336CB">
      <w:pPr>
        <w:rPr>
          <w:rFonts w:ascii="Times New Roman" w:hAnsi="Times New Roman" w:cs="Times New Roman"/>
          <w:sz w:val="13"/>
          <w:szCs w:val="13"/>
        </w:rPr>
      </w:pPr>
    </w:p>
    <w:p w14:paraId="489E2252" w14:textId="1198D34F" w:rsidR="001F1AC5" w:rsidRDefault="001F1AC5"/>
    <w:p w14:paraId="2EEF422F" w14:textId="2BCADFAA" w:rsidR="00B92A51" w:rsidRDefault="00B92A51"/>
    <w:p w14:paraId="20F34763" w14:textId="436298F2" w:rsidR="00B92A51" w:rsidRPr="00B92A51" w:rsidRDefault="00B92A51">
      <w:pPr>
        <w:rPr>
          <w:lang w:val="en-US"/>
        </w:rPr>
      </w:pPr>
      <w:r w:rsidRPr="00B92A51">
        <w:rPr>
          <w:lang w:val="en-US"/>
        </w:rPr>
        <w:t xml:space="preserve">NK not known; SAH subarachnoid hemorrhage; IPH intraparenchymal hemorrhage; </w:t>
      </w:r>
      <w:r>
        <w:rPr>
          <w:lang w:val="en-US"/>
        </w:rPr>
        <w:t xml:space="preserve">IVH intraventricular hemorrhage; EDH/SDH epidural/subdural hematoma; HT/PH hemorrhagic transformation/parenchymal hematoma in ischemic stroke; SVT cerebral sinus thrombosis; ECMO extracorporeal membrane </w:t>
      </w:r>
      <w:proofErr w:type="gramStart"/>
      <w:r>
        <w:rPr>
          <w:lang w:val="en-US"/>
        </w:rPr>
        <w:t>oxygenation;</w:t>
      </w:r>
      <w:proofErr w:type="gramEnd"/>
      <w:r>
        <w:rPr>
          <w:lang w:val="en-US"/>
        </w:rPr>
        <w:t xml:space="preserve"> </w:t>
      </w:r>
    </w:p>
    <w:p w14:paraId="5176073E" w14:textId="3800C072" w:rsidR="001F1AC5" w:rsidRDefault="001F1AC5">
      <w:r>
        <w:br w:type="page"/>
      </w:r>
    </w:p>
    <w:tbl>
      <w:tblPr>
        <w:tblW w:w="5000" w:type="pct"/>
        <w:tblCellMar>
          <w:left w:w="70" w:type="dxa"/>
          <w:right w:w="70" w:type="dxa"/>
        </w:tblCellMar>
        <w:tblLook w:val="04A0" w:firstRow="1" w:lastRow="0" w:firstColumn="1" w:lastColumn="0" w:noHBand="0" w:noVBand="1"/>
      </w:tblPr>
      <w:tblGrid>
        <w:gridCol w:w="2952"/>
        <w:gridCol w:w="976"/>
        <w:gridCol w:w="976"/>
        <w:gridCol w:w="1071"/>
        <w:gridCol w:w="767"/>
        <w:gridCol w:w="1071"/>
        <w:gridCol w:w="1356"/>
        <w:gridCol w:w="1375"/>
        <w:gridCol w:w="1755"/>
        <w:gridCol w:w="882"/>
        <w:gridCol w:w="767"/>
      </w:tblGrid>
      <w:tr w:rsidR="007B37AC" w:rsidRPr="007B37AC" w14:paraId="267BB0B2" w14:textId="77777777" w:rsidTr="007B37AC">
        <w:trPr>
          <w:cantSplit/>
          <w:trHeight w:val="3080"/>
        </w:trPr>
        <w:tc>
          <w:tcPr>
            <w:tcW w:w="1058" w:type="pct"/>
            <w:tcBorders>
              <w:top w:val="single" w:sz="4" w:space="0" w:color="auto"/>
              <w:left w:val="single" w:sz="4" w:space="0" w:color="auto"/>
              <w:bottom w:val="single" w:sz="8" w:space="0" w:color="auto"/>
              <w:right w:val="single" w:sz="4" w:space="0" w:color="auto"/>
            </w:tcBorders>
            <w:shd w:val="clear" w:color="auto" w:fill="auto"/>
            <w:textDirection w:val="btLr"/>
            <w:vAlign w:val="center"/>
            <w:hideMark/>
          </w:tcPr>
          <w:p w14:paraId="4B8684E7" w14:textId="77777777" w:rsidR="007B37AC" w:rsidRPr="007B37AC" w:rsidRDefault="007B37AC" w:rsidP="007B37AC">
            <w:pPr>
              <w:ind w:left="113" w:right="113"/>
              <w:jc w:val="center"/>
              <w:rPr>
                <w:rFonts w:ascii="Times New Roman" w:eastAsia="Times New Roman" w:hAnsi="Times New Roman" w:cs="Times New Roman"/>
                <w:b/>
                <w:bCs/>
                <w:color w:val="000000"/>
                <w:sz w:val="22"/>
                <w:szCs w:val="22"/>
                <w:lang w:eastAsia="de-DE"/>
              </w:rPr>
            </w:pPr>
            <w:r w:rsidRPr="007B37AC">
              <w:rPr>
                <w:rFonts w:ascii="Times New Roman" w:eastAsia="Times New Roman" w:hAnsi="Times New Roman" w:cs="Times New Roman"/>
                <w:b/>
                <w:bCs/>
                <w:color w:val="000000"/>
                <w:sz w:val="22"/>
                <w:szCs w:val="22"/>
                <w:lang w:eastAsia="de-DE"/>
              </w:rPr>
              <w:lastRenderedPageBreak/>
              <w:t>author</w:t>
            </w:r>
          </w:p>
        </w:tc>
        <w:tc>
          <w:tcPr>
            <w:tcW w:w="350" w:type="pct"/>
            <w:tcBorders>
              <w:top w:val="single" w:sz="4" w:space="0" w:color="auto"/>
              <w:left w:val="nil"/>
              <w:bottom w:val="single" w:sz="8" w:space="0" w:color="auto"/>
              <w:right w:val="single" w:sz="4" w:space="0" w:color="auto"/>
            </w:tcBorders>
            <w:shd w:val="clear" w:color="auto" w:fill="auto"/>
            <w:textDirection w:val="btLr"/>
            <w:vAlign w:val="center"/>
            <w:hideMark/>
          </w:tcPr>
          <w:p w14:paraId="02A56578" w14:textId="4910213C" w:rsidR="007B37AC" w:rsidRPr="007B37AC" w:rsidRDefault="00FC0BF0" w:rsidP="007B37AC">
            <w:pPr>
              <w:ind w:left="113" w:right="113"/>
              <w:jc w:val="center"/>
              <w:rPr>
                <w:rFonts w:ascii="Times New Roman" w:eastAsia="Times New Roman" w:hAnsi="Times New Roman" w:cs="Times New Roman"/>
                <w:b/>
                <w:bCs/>
                <w:color w:val="000000"/>
                <w:sz w:val="22"/>
                <w:szCs w:val="22"/>
                <w:lang w:val="de-DE" w:eastAsia="de-DE"/>
              </w:rPr>
            </w:pPr>
            <w:proofErr w:type="spellStart"/>
            <w:r>
              <w:rPr>
                <w:rFonts w:ascii="Times New Roman" w:eastAsia="Times New Roman" w:hAnsi="Times New Roman" w:cs="Times New Roman"/>
                <w:b/>
                <w:bCs/>
                <w:color w:val="000000"/>
                <w:sz w:val="22"/>
                <w:szCs w:val="22"/>
                <w:lang w:val="de-DE" w:eastAsia="de-DE"/>
              </w:rPr>
              <w:t>y</w:t>
            </w:r>
            <w:r w:rsidR="007B37AC">
              <w:rPr>
                <w:rFonts w:ascii="Times New Roman" w:eastAsia="Times New Roman" w:hAnsi="Times New Roman" w:cs="Times New Roman"/>
                <w:b/>
                <w:bCs/>
                <w:color w:val="000000"/>
                <w:sz w:val="22"/>
                <w:szCs w:val="22"/>
                <w:lang w:val="de-DE" w:eastAsia="de-DE"/>
              </w:rPr>
              <w:t>ear</w:t>
            </w:r>
            <w:proofErr w:type="spellEnd"/>
            <w:r w:rsidR="007B37AC">
              <w:rPr>
                <w:rFonts w:ascii="Times New Roman" w:eastAsia="Times New Roman" w:hAnsi="Times New Roman" w:cs="Times New Roman"/>
                <w:b/>
                <w:bCs/>
                <w:color w:val="000000"/>
                <w:sz w:val="22"/>
                <w:szCs w:val="22"/>
                <w:lang w:val="de-DE" w:eastAsia="de-DE"/>
              </w:rPr>
              <w:t xml:space="preserve"> of </w:t>
            </w:r>
            <w:proofErr w:type="spellStart"/>
            <w:r w:rsidR="007B37AC">
              <w:rPr>
                <w:rFonts w:ascii="Times New Roman" w:eastAsia="Times New Roman" w:hAnsi="Times New Roman" w:cs="Times New Roman"/>
                <w:b/>
                <w:bCs/>
                <w:color w:val="000000"/>
                <w:sz w:val="22"/>
                <w:szCs w:val="22"/>
                <w:lang w:val="de-DE" w:eastAsia="de-DE"/>
              </w:rPr>
              <w:t>publication</w:t>
            </w:r>
            <w:proofErr w:type="spellEnd"/>
          </w:p>
        </w:tc>
        <w:tc>
          <w:tcPr>
            <w:tcW w:w="350" w:type="pct"/>
            <w:tcBorders>
              <w:top w:val="single" w:sz="4" w:space="0" w:color="auto"/>
              <w:left w:val="nil"/>
              <w:bottom w:val="single" w:sz="8" w:space="0" w:color="auto"/>
              <w:right w:val="single" w:sz="4" w:space="0" w:color="auto"/>
            </w:tcBorders>
            <w:shd w:val="clear" w:color="auto" w:fill="auto"/>
            <w:textDirection w:val="btLr"/>
            <w:vAlign w:val="center"/>
            <w:hideMark/>
          </w:tcPr>
          <w:p w14:paraId="307B0521" w14:textId="68F39AF8" w:rsidR="007B37AC" w:rsidRPr="00FC0BF0" w:rsidRDefault="00FC0BF0" w:rsidP="007B37AC">
            <w:pPr>
              <w:ind w:left="113" w:right="113"/>
              <w:jc w:val="center"/>
              <w:rPr>
                <w:rFonts w:ascii="Times New Roman" w:eastAsia="Times New Roman" w:hAnsi="Times New Roman" w:cs="Times New Roman"/>
                <w:b/>
                <w:bCs/>
                <w:color w:val="000000"/>
                <w:sz w:val="22"/>
                <w:szCs w:val="22"/>
                <w:lang w:val="de-DE" w:eastAsia="de-DE"/>
              </w:rPr>
            </w:pPr>
            <w:r>
              <w:rPr>
                <w:rFonts w:ascii="Times New Roman" w:eastAsia="Times New Roman" w:hAnsi="Times New Roman" w:cs="Times New Roman"/>
                <w:b/>
                <w:bCs/>
                <w:color w:val="000000"/>
                <w:sz w:val="22"/>
                <w:szCs w:val="22"/>
                <w:lang w:eastAsia="de-DE"/>
              </w:rPr>
              <w:t>crp</w:t>
            </w:r>
            <w:r>
              <w:rPr>
                <w:rFonts w:ascii="Times New Roman" w:eastAsia="Times New Roman" w:hAnsi="Times New Roman" w:cs="Times New Roman"/>
                <w:b/>
                <w:bCs/>
                <w:color w:val="000000"/>
                <w:sz w:val="22"/>
                <w:szCs w:val="22"/>
                <w:lang w:val="de-DE" w:eastAsia="de-DE"/>
              </w:rPr>
              <w:t xml:space="preserve"> [mg/L]</w:t>
            </w:r>
          </w:p>
        </w:tc>
        <w:tc>
          <w:tcPr>
            <w:tcW w:w="384" w:type="pct"/>
            <w:tcBorders>
              <w:top w:val="single" w:sz="4" w:space="0" w:color="auto"/>
              <w:left w:val="nil"/>
              <w:bottom w:val="single" w:sz="8" w:space="0" w:color="auto"/>
              <w:right w:val="single" w:sz="4" w:space="0" w:color="auto"/>
            </w:tcBorders>
            <w:shd w:val="clear" w:color="auto" w:fill="auto"/>
            <w:textDirection w:val="btLr"/>
            <w:vAlign w:val="center"/>
            <w:hideMark/>
          </w:tcPr>
          <w:p w14:paraId="7A809D6C" w14:textId="4B813568" w:rsidR="007B37AC" w:rsidRPr="00FC0BF0" w:rsidRDefault="00FC0BF0" w:rsidP="00FC0BF0">
            <w:pPr>
              <w:ind w:left="113" w:right="113"/>
              <w:jc w:val="center"/>
              <w:rPr>
                <w:rFonts w:ascii="Times New Roman" w:eastAsia="Times New Roman" w:hAnsi="Times New Roman" w:cs="Times New Roman"/>
                <w:b/>
                <w:bCs/>
                <w:color w:val="000000"/>
                <w:sz w:val="22"/>
                <w:szCs w:val="22"/>
                <w:lang w:val="de-DE" w:eastAsia="de-DE"/>
              </w:rPr>
            </w:pPr>
            <w:r w:rsidRPr="00FC0BF0">
              <w:rPr>
                <w:rFonts w:ascii="Times New Roman" w:eastAsia="Times New Roman" w:hAnsi="Times New Roman" w:cs="Times New Roman"/>
                <w:b/>
                <w:bCs/>
                <w:color w:val="000000"/>
                <w:sz w:val="22"/>
                <w:szCs w:val="22"/>
                <w:lang w:val="de-DE" w:eastAsia="de-DE"/>
              </w:rPr>
              <w:t>leukocytes</w:t>
            </w:r>
            <w:r>
              <w:rPr>
                <w:rFonts w:ascii="Times New Roman" w:eastAsia="Times New Roman" w:hAnsi="Times New Roman" w:cs="Times New Roman"/>
                <w:b/>
                <w:bCs/>
                <w:color w:val="000000"/>
                <w:sz w:val="22"/>
                <w:szCs w:val="22"/>
                <w:lang w:val="de-DE" w:eastAsia="de-DE"/>
              </w:rPr>
              <w:t xml:space="preserve"> [</w:t>
            </w:r>
            <w:r w:rsidRPr="00FC0BF0">
              <w:rPr>
                <w:rFonts w:ascii="Times New Roman" w:eastAsia="Times New Roman" w:hAnsi="Times New Roman" w:cs="Times New Roman"/>
                <w:b/>
                <w:bCs/>
                <w:color w:val="000000"/>
                <w:sz w:val="22"/>
                <w:szCs w:val="22"/>
                <w:lang w:val="de-DE" w:eastAsia="de-DE"/>
              </w:rPr>
              <w:t>109/L]</w:t>
            </w:r>
          </w:p>
        </w:tc>
        <w:tc>
          <w:tcPr>
            <w:tcW w:w="275" w:type="pct"/>
            <w:tcBorders>
              <w:top w:val="single" w:sz="4" w:space="0" w:color="auto"/>
              <w:left w:val="nil"/>
              <w:bottom w:val="single" w:sz="8" w:space="0" w:color="auto"/>
              <w:right w:val="single" w:sz="4" w:space="0" w:color="auto"/>
            </w:tcBorders>
            <w:shd w:val="clear" w:color="auto" w:fill="auto"/>
            <w:textDirection w:val="btLr"/>
            <w:vAlign w:val="center"/>
            <w:hideMark/>
          </w:tcPr>
          <w:p w14:paraId="332441A7" w14:textId="77777777" w:rsidR="007B37AC" w:rsidRPr="007B37AC" w:rsidRDefault="007B37AC" w:rsidP="007B37AC">
            <w:pPr>
              <w:ind w:left="113" w:right="113"/>
              <w:jc w:val="center"/>
              <w:rPr>
                <w:rFonts w:ascii="Times New Roman" w:eastAsia="Times New Roman" w:hAnsi="Times New Roman" w:cs="Times New Roman"/>
                <w:b/>
                <w:bCs/>
                <w:color w:val="000000"/>
                <w:sz w:val="22"/>
                <w:szCs w:val="22"/>
                <w:lang w:eastAsia="de-DE"/>
              </w:rPr>
            </w:pPr>
            <w:r w:rsidRPr="007B37AC">
              <w:rPr>
                <w:rFonts w:ascii="Times New Roman" w:eastAsia="Times New Roman" w:hAnsi="Times New Roman" w:cs="Times New Roman"/>
                <w:b/>
                <w:bCs/>
                <w:color w:val="000000"/>
                <w:sz w:val="22"/>
                <w:szCs w:val="22"/>
                <w:lang w:eastAsia="de-DE"/>
              </w:rPr>
              <w:t>inr</w:t>
            </w:r>
          </w:p>
        </w:tc>
        <w:tc>
          <w:tcPr>
            <w:tcW w:w="384" w:type="pct"/>
            <w:tcBorders>
              <w:top w:val="single" w:sz="4" w:space="0" w:color="auto"/>
              <w:left w:val="nil"/>
              <w:bottom w:val="single" w:sz="8" w:space="0" w:color="auto"/>
              <w:right w:val="single" w:sz="4" w:space="0" w:color="auto"/>
            </w:tcBorders>
            <w:shd w:val="clear" w:color="auto" w:fill="auto"/>
            <w:textDirection w:val="btLr"/>
            <w:vAlign w:val="center"/>
            <w:hideMark/>
          </w:tcPr>
          <w:p w14:paraId="10F7829B" w14:textId="7DBB7478" w:rsidR="007B37AC" w:rsidRPr="00FC0BF0" w:rsidRDefault="00FC0BF0" w:rsidP="007B37AC">
            <w:pPr>
              <w:ind w:left="113" w:right="113"/>
              <w:jc w:val="center"/>
              <w:rPr>
                <w:rFonts w:ascii="Times New Roman" w:eastAsia="Times New Roman" w:hAnsi="Times New Roman" w:cs="Times New Roman"/>
                <w:b/>
                <w:bCs/>
                <w:color w:val="000000"/>
                <w:sz w:val="22"/>
                <w:szCs w:val="22"/>
                <w:lang w:val="de-DE" w:eastAsia="de-DE"/>
              </w:rPr>
            </w:pPr>
            <w:r>
              <w:rPr>
                <w:rFonts w:ascii="Times New Roman" w:eastAsia="Times New Roman" w:hAnsi="Times New Roman" w:cs="Times New Roman"/>
                <w:b/>
                <w:bCs/>
                <w:color w:val="000000"/>
                <w:sz w:val="22"/>
                <w:szCs w:val="22"/>
                <w:lang w:eastAsia="de-DE"/>
              </w:rPr>
              <w:t>aptt</w:t>
            </w:r>
            <w:r>
              <w:rPr>
                <w:rFonts w:ascii="Times New Roman" w:eastAsia="Times New Roman" w:hAnsi="Times New Roman" w:cs="Times New Roman"/>
                <w:b/>
                <w:bCs/>
                <w:color w:val="000000"/>
                <w:sz w:val="22"/>
                <w:szCs w:val="22"/>
                <w:lang w:val="de-DE" w:eastAsia="de-DE"/>
              </w:rPr>
              <w:t xml:space="preserve"> [</w:t>
            </w:r>
            <w:proofErr w:type="spellStart"/>
            <w:r>
              <w:rPr>
                <w:rFonts w:ascii="Times New Roman" w:eastAsia="Times New Roman" w:hAnsi="Times New Roman" w:cs="Times New Roman"/>
                <w:b/>
                <w:bCs/>
                <w:color w:val="000000"/>
                <w:sz w:val="22"/>
                <w:szCs w:val="22"/>
                <w:lang w:val="de-DE" w:eastAsia="de-DE"/>
              </w:rPr>
              <w:t>seconds</w:t>
            </w:r>
            <w:proofErr w:type="spellEnd"/>
            <w:r>
              <w:rPr>
                <w:rFonts w:ascii="Times New Roman" w:eastAsia="Times New Roman" w:hAnsi="Times New Roman" w:cs="Times New Roman"/>
                <w:b/>
                <w:bCs/>
                <w:color w:val="000000"/>
                <w:sz w:val="22"/>
                <w:szCs w:val="22"/>
                <w:lang w:val="de-DE" w:eastAsia="de-DE"/>
              </w:rPr>
              <w:t>]</w:t>
            </w:r>
          </w:p>
        </w:tc>
        <w:tc>
          <w:tcPr>
            <w:tcW w:w="486" w:type="pct"/>
            <w:tcBorders>
              <w:top w:val="single" w:sz="4" w:space="0" w:color="auto"/>
              <w:left w:val="nil"/>
              <w:bottom w:val="single" w:sz="8" w:space="0" w:color="auto"/>
              <w:right w:val="single" w:sz="4" w:space="0" w:color="auto"/>
            </w:tcBorders>
            <w:shd w:val="clear" w:color="auto" w:fill="auto"/>
            <w:textDirection w:val="btLr"/>
            <w:vAlign w:val="center"/>
            <w:hideMark/>
          </w:tcPr>
          <w:p w14:paraId="025A2D1C" w14:textId="6B80DDB6" w:rsidR="007B37AC" w:rsidRPr="00FC0BF0" w:rsidRDefault="00FC0BF0" w:rsidP="007B37AC">
            <w:pPr>
              <w:ind w:left="113" w:right="113"/>
              <w:jc w:val="center"/>
              <w:rPr>
                <w:rFonts w:ascii="Times New Roman" w:eastAsia="Times New Roman" w:hAnsi="Times New Roman" w:cs="Times New Roman"/>
                <w:b/>
                <w:bCs/>
                <w:color w:val="000000"/>
                <w:sz w:val="22"/>
                <w:szCs w:val="22"/>
                <w:lang w:val="de-DE" w:eastAsia="de-DE"/>
              </w:rPr>
            </w:pPr>
            <w:r>
              <w:rPr>
                <w:rFonts w:ascii="Times New Roman" w:eastAsia="Times New Roman" w:hAnsi="Times New Roman" w:cs="Times New Roman"/>
                <w:b/>
                <w:bCs/>
                <w:color w:val="000000"/>
                <w:sz w:val="22"/>
                <w:szCs w:val="22"/>
                <w:lang w:eastAsia="de-DE"/>
              </w:rPr>
              <w:t>thrombocytes</w:t>
            </w:r>
            <w:r>
              <w:rPr>
                <w:rFonts w:ascii="Times New Roman" w:eastAsia="Times New Roman" w:hAnsi="Times New Roman" w:cs="Times New Roman"/>
                <w:b/>
                <w:bCs/>
                <w:color w:val="000000"/>
                <w:sz w:val="22"/>
                <w:szCs w:val="22"/>
                <w:lang w:val="de-DE" w:eastAsia="de-DE"/>
              </w:rPr>
              <w:t xml:space="preserve">  [</w:t>
            </w:r>
            <w:r w:rsidRPr="00FC0BF0">
              <w:rPr>
                <w:rFonts w:ascii="Times New Roman" w:eastAsia="Times New Roman" w:hAnsi="Times New Roman" w:cs="Times New Roman"/>
                <w:b/>
                <w:bCs/>
                <w:color w:val="000000"/>
                <w:sz w:val="22"/>
                <w:szCs w:val="22"/>
                <w:lang w:val="de-DE" w:eastAsia="de-DE"/>
              </w:rPr>
              <w:t>109/L]</w:t>
            </w:r>
          </w:p>
        </w:tc>
        <w:tc>
          <w:tcPr>
            <w:tcW w:w="493" w:type="pct"/>
            <w:tcBorders>
              <w:top w:val="single" w:sz="4" w:space="0" w:color="auto"/>
              <w:left w:val="nil"/>
              <w:bottom w:val="single" w:sz="8" w:space="0" w:color="auto"/>
              <w:right w:val="single" w:sz="4" w:space="0" w:color="auto"/>
            </w:tcBorders>
            <w:shd w:val="clear" w:color="auto" w:fill="auto"/>
            <w:textDirection w:val="btLr"/>
            <w:vAlign w:val="center"/>
            <w:hideMark/>
          </w:tcPr>
          <w:p w14:paraId="58813282" w14:textId="481892E5" w:rsidR="007B37AC" w:rsidRPr="0007420A" w:rsidRDefault="007B37AC" w:rsidP="007B37AC">
            <w:pPr>
              <w:ind w:left="113" w:right="113"/>
              <w:jc w:val="center"/>
              <w:rPr>
                <w:rFonts w:ascii="Times New Roman" w:eastAsia="Times New Roman" w:hAnsi="Times New Roman" w:cs="Times New Roman"/>
                <w:b/>
                <w:bCs/>
                <w:color w:val="000000"/>
                <w:sz w:val="22"/>
                <w:szCs w:val="22"/>
                <w:lang w:val="de-DE" w:eastAsia="de-DE"/>
              </w:rPr>
            </w:pPr>
            <w:r w:rsidRPr="007B37AC">
              <w:rPr>
                <w:rFonts w:ascii="Times New Roman" w:eastAsia="Times New Roman" w:hAnsi="Times New Roman" w:cs="Times New Roman"/>
                <w:b/>
                <w:bCs/>
                <w:color w:val="000000"/>
                <w:sz w:val="22"/>
                <w:szCs w:val="22"/>
                <w:lang w:eastAsia="de-DE"/>
              </w:rPr>
              <w:t>d</w:t>
            </w:r>
            <w:r w:rsidR="00FC0BF0">
              <w:rPr>
                <w:rFonts w:ascii="Times New Roman" w:eastAsia="Times New Roman" w:hAnsi="Times New Roman" w:cs="Times New Roman"/>
                <w:b/>
                <w:bCs/>
                <w:color w:val="000000"/>
                <w:sz w:val="22"/>
                <w:szCs w:val="22"/>
                <w:lang w:val="de-DE" w:eastAsia="de-DE"/>
              </w:rPr>
              <w:t>-</w:t>
            </w:r>
            <w:r w:rsidRPr="007B37AC">
              <w:rPr>
                <w:rFonts w:ascii="Times New Roman" w:eastAsia="Times New Roman" w:hAnsi="Times New Roman" w:cs="Times New Roman"/>
                <w:b/>
                <w:bCs/>
                <w:color w:val="000000"/>
                <w:sz w:val="22"/>
                <w:szCs w:val="22"/>
                <w:lang w:eastAsia="de-DE"/>
              </w:rPr>
              <w:t>dimer</w:t>
            </w:r>
            <w:r w:rsidR="0007420A">
              <w:rPr>
                <w:rFonts w:ascii="Times New Roman" w:eastAsia="Times New Roman" w:hAnsi="Times New Roman" w:cs="Times New Roman"/>
                <w:b/>
                <w:bCs/>
                <w:color w:val="000000"/>
                <w:sz w:val="22"/>
                <w:szCs w:val="22"/>
                <w:lang w:val="de-DE" w:eastAsia="de-DE"/>
              </w:rPr>
              <w:t xml:space="preserve"> [mg/L]</w:t>
            </w:r>
          </w:p>
        </w:tc>
        <w:tc>
          <w:tcPr>
            <w:tcW w:w="629" w:type="pct"/>
            <w:tcBorders>
              <w:top w:val="single" w:sz="4" w:space="0" w:color="auto"/>
              <w:left w:val="nil"/>
              <w:bottom w:val="single" w:sz="8" w:space="0" w:color="auto"/>
              <w:right w:val="single" w:sz="4" w:space="0" w:color="auto"/>
            </w:tcBorders>
            <w:shd w:val="clear" w:color="auto" w:fill="auto"/>
            <w:textDirection w:val="btLr"/>
            <w:vAlign w:val="center"/>
            <w:hideMark/>
          </w:tcPr>
          <w:p w14:paraId="28E682BC" w14:textId="77777777" w:rsidR="0007420A" w:rsidRDefault="0007420A" w:rsidP="007B37AC">
            <w:pPr>
              <w:ind w:left="113" w:right="113"/>
              <w:jc w:val="center"/>
              <w:rPr>
                <w:rFonts w:ascii="Times New Roman" w:eastAsia="Times New Roman" w:hAnsi="Times New Roman" w:cs="Times New Roman"/>
                <w:b/>
                <w:bCs/>
                <w:color w:val="000000"/>
                <w:sz w:val="22"/>
                <w:szCs w:val="22"/>
                <w:lang w:eastAsia="de-DE"/>
              </w:rPr>
            </w:pPr>
          </w:p>
          <w:p w14:paraId="6F7B8CED" w14:textId="71C836AD" w:rsidR="007B37AC" w:rsidRPr="007B37AC" w:rsidRDefault="007B37AC" w:rsidP="007B37AC">
            <w:pPr>
              <w:ind w:left="113" w:right="113"/>
              <w:jc w:val="center"/>
              <w:rPr>
                <w:rFonts w:ascii="Times New Roman" w:eastAsia="Times New Roman" w:hAnsi="Times New Roman" w:cs="Times New Roman"/>
                <w:b/>
                <w:bCs/>
                <w:color w:val="000000"/>
                <w:sz w:val="22"/>
                <w:szCs w:val="22"/>
                <w:lang w:eastAsia="de-DE"/>
              </w:rPr>
            </w:pPr>
            <w:r w:rsidRPr="007B37AC">
              <w:rPr>
                <w:rFonts w:ascii="Times New Roman" w:eastAsia="Times New Roman" w:hAnsi="Times New Roman" w:cs="Times New Roman"/>
                <w:b/>
                <w:bCs/>
                <w:color w:val="000000"/>
                <w:sz w:val="22"/>
                <w:szCs w:val="22"/>
                <w:lang w:eastAsia="de-DE"/>
              </w:rPr>
              <w:t>imaging</w:t>
            </w:r>
          </w:p>
        </w:tc>
        <w:tc>
          <w:tcPr>
            <w:tcW w:w="316" w:type="pct"/>
            <w:tcBorders>
              <w:top w:val="single" w:sz="4" w:space="0" w:color="auto"/>
              <w:left w:val="nil"/>
              <w:bottom w:val="single" w:sz="8" w:space="0" w:color="auto"/>
              <w:right w:val="single" w:sz="4" w:space="0" w:color="auto"/>
            </w:tcBorders>
            <w:shd w:val="clear" w:color="auto" w:fill="auto"/>
            <w:textDirection w:val="btLr"/>
            <w:vAlign w:val="center"/>
            <w:hideMark/>
          </w:tcPr>
          <w:p w14:paraId="71DA5FEC" w14:textId="39FA4E00" w:rsidR="007B37AC" w:rsidRPr="00FC0BF0" w:rsidRDefault="00FC0BF0" w:rsidP="007B37AC">
            <w:pPr>
              <w:ind w:left="113" w:right="113"/>
              <w:jc w:val="center"/>
              <w:rPr>
                <w:rFonts w:ascii="Times New Roman" w:eastAsia="Times New Roman" w:hAnsi="Times New Roman" w:cs="Times New Roman"/>
                <w:b/>
                <w:bCs/>
                <w:color w:val="000000"/>
                <w:sz w:val="22"/>
                <w:szCs w:val="22"/>
                <w:lang w:val="en-US" w:eastAsia="de-DE"/>
              </w:rPr>
            </w:pPr>
            <w:r w:rsidRPr="00FC0BF0">
              <w:rPr>
                <w:rFonts w:ascii="Times New Roman" w:eastAsia="Times New Roman" w:hAnsi="Times New Roman" w:cs="Times New Roman"/>
                <w:b/>
                <w:bCs/>
                <w:color w:val="000000"/>
                <w:sz w:val="22"/>
                <w:szCs w:val="22"/>
                <w:lang w:val="en-US" w:eastAsia="de-DE"/>
              </w:rPr>
              <w:t>I</w:t>
            </w:r>
            <w:r>
              <w:rPr>
                <w:rFonts w:ascii="Times New Roman" w:eastAsia="Times New Roman" w:hAnsi="Times New Roman" w:cs="Times New Roman"/>
                <w:b/>
                <w:bCs/>
                <w:color w:val="000000"/>
                <w:sz w:val="22"/>
                <w:szCs w:val="22"/>
                <w:lang w:val="en-US" w:eastAsia="de-DE"/>
              </w:rPr>
              <w:t>CH</w:t>
            </w:r>
            <w:r w:rsidRPr="00FC0BF0">
              <w:rPr>
                <w:rFonts w:ascii="Times New Roman" w:eastAsia="Times New Roman" w:hAnsi="Times New Roman" w:cs="Times New Roman"/>
                <w:b/>
                <w:bCs/>
                <w:color w:val="000000"/>
                <w:sz w:val="22"/>
                <w:szCs w:val="22"/>
                <w:lang w:val="en-US" w:eastAsia="de-DE"/>
              </w:rPr>
              <w:t xml:space="preserve"> diagnosis after COVID-19 diagnosis</w:t>
            </w:r>
            <w:r w:rsidR="0007420A">
              <w:rPr>
                <w:rFonts w:ascii="Times New Roman" w:eastAsia="Times New Roman" w:hAnsi="Times New Roman" w:cs="Times New Roman"/>
                <w:b/>
                <w:bCs/>
                <w:color w:val="000000"/>
                <w:sz w:val="22"/>
                <w:szCs w:val="22"/>
                <w:lang w:val="en-US" w:eastAsia="de-DE"/>
              </w:rPr>
              <w:t xml:space="preserve"> [days]</w:t>
            </w:r>
          </w:p>
        </w:tc>
        <w:tc>
          <w:tcPr>
            <w:tcW w:w="275" w:type="pct"/>
            <w:tcBorders>
              <w:top w:val="single" w:sz="4" w:space="0" w:color="auto"/>
              <w:left w:val="nil"/>
              <w:bottom w:val="single" w:sz="8" w:space="0" w:color="auto"/>
              <w:right w:val="single" w:sz="4" w:space="0" w:color="auto"/>
            </w:tcBorders>
            <w:shd w:val="clear" w:color="auto" w:fill="auto"/>
            <w:textDirection w:val="btLr"/>
            <w:vAlign w:val="center"/>
            <w:hideMark/>
          </w:tcPr>
          <w:p w14:paraId="619EDC70" w14:textId="77777777" w:rsidR="007B37AC" w:rsidRPr="007B37AC" w:rsidRDefault="007B37AC" w:rsidP="007B37AC">
            <w:pPr>
              <w:ind w:left="113" w:right="113"/>
              <w:jc w:val="center"/>
              <w:rPr>
                <w:rFonts w:ascii="Times New Roman" w:eastAsia="Times New Roman" w:hAnsi="Times New Roman" w:cs="Times New Roman"/>
                <w:b/>
                <w:bCs/>
                <w:color w:val="000000"/>
                <w:sz w:val="22"/>
                <w:szCs w:val="22"/>
                <w:lang w:eastAsia="de-DE"/>
              </w:rPr>
            </w:pPr>
            <w:r w:rsidRPr="007B37AC">
              <w:rPr>
                <w:rFonts w:ascii="Times New Roman" w:eastAsia="Times New Roman" w:hAnsi="Times New Roman" w:cs="Times New Roman"/>
                <w:b/>
                <w:bCs/>
                <w:color w:val="000000"/>
                <w:sz w:val="22"/>
                <w:szCs w:val="22"/>
                <w:lang w:eastAsia="de-DE"/>
              </w:rPr>
              <w:t>mrs</w:t>
            </w:r>
          </w:p>
        </w:tc>
      </w:tr>
      <w:tr w:rsidR="007A62EC" w:rsidRPr="007B37AC" w14:paraId="79C6E691" w14:textId="77777777" w:rsidTr="007B37AC">
        <w:trPr>
          <w:trHeight w:val="320"/>
        </w:trPr>
        <w:tc>
          <w:tcPr>
            <w:tcW w:w="1058" w:type="pct"/>
            <w:tcBorders>
              <w:top w:val="nil"/>
              <w:left w:val="nil"/>
              <w:bottom w:val="nil"/>
              <w:right w:val="nil"/>
            </w:tcBorders>
            <w:shd w:val="clear" w:color="auto" w:fill="auto"/>
            <w:noWrap/>
            <w:vAlign w:val="center"/>
            <w:hideMark/>
          </w:tcPr>
          <w:p w14:paraId="723667BD" w14:textId="5245280B"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Agrawal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{"citationID":"fnTPEgDu","properties":{"formattedCitation":"\\super 1\\nosupersub{}","plainCitation":"1","noteIndex":0},"citationItems":[{"id":34,"uris":["http://zotero.org/users/local/4rfnQu81/items/9GLR9RSV"],"uri":["http://zotero.org/users/local/4rfnQu81/items/9GLR9RSV"],"itemData":{"id":34,"type":"article-journal","abstract":"BACKGROUND: Recent respiratory infection including SARS-CoV-2 is an independent risk factor for acute cerebrovascular disease. PURPOSE: There have been reports linking haemorrhagic strokes to SARS-CoV-2 infection during this pandemic, which lead us to evaluate if SARS-CoV-2 infection could be associated with increased risk of intracerebral haemorrhage (ICH). METHODS: A retrospective observational study evaluating all stroke cases admitted in our centre in the past one month. RESULTS: More than half (56%) had ICH, compared to 22% last year. Two patients with ICH were SARS-CoV-2 positive and they had no or mild respiratory symptoms and had higher occurrence of renal dysfunction. CONCLUSION: There could be possible association between ICH and SARS-CoV-2 infections. However, a prospective study with larger sample size is needed to elucidate the pathogenesis.","container-title":"Annals of Indian Academy of Neurology","DOI":"10.4103/aian.AIAN_362_20","ISSN":"0972-2327 (Print)","issue":"3","language":"eng","note":"PMID: 32606509","page":"261–264","title":"Intracerebral Hemorrhage and SARS-CoV-2: Association or Causation.","volume":"23","author":[{"family":"Agarwal","given":"Ayush"},{"family":"Vishnu","given":"Venugopalan Y"},{"family":"Vibha","given":"Deepti"},{"family":"Bhatia","given":"Rohit"},{"family":"Gupta","given":"Anu"},{"family":"Das","given":"Animesh"},{"family":"Srivastava","given":"M V Padma"}],"issued":{"date-parts":[["2020"]]}}}],"schema":"https://github.com/citation-style-language/schema/raw/master/csl-citation.json"}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529E7">
              <w:rPr>
                <w:rFonts w:ascii="Times New Roman" w:hAnsi="Times New Roman" w:cs="Times New Roman"/>
                <w:color w:val="000000"/>
                <w:sz w:val="13"/>
                <w:vertAlign w:val="superscript"/>
                <w:lang w:val="de-DE"/>
              </w:rPr>
              <w:t>1</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2C36BE0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201B6B6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41</w:t>
            </w:r>
          </w:p>
        </w:tc>
        <w:tc>
          <w:tcPr>
            <w:tcW w:w="384" w:type="pct"/>
            <w:tcBorders>
              <w:top w:val="nil"/>
              <w:left w:val="nil"/>
              <w:bottom w:val="nil"/>
              <w:right w:val="nil"/>
            </w:tcBorders>
            <w:shd w:val="clear" w:color="auto" w:fill="auto"/>
            <w:noWrap/>
            <w:vAlign w:val="center"/>
            <w:hideMark/>
          </w:tcPr>
          <w:p w14:paraId="56F487C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7E0A38C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noWrap/>
            <w:vAlign w:val="center"/>
            <w:hideMark/>
          </w:tcPr>
          <w:p w14:paraId="6930454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7BDF076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220</w:t>
            </w:r>
          </w:p>
        </w:tc>
        <w:tc>
          <w:tcPr>
            <w:tcW w:w="493" w:type="pct"/>
            <w:tcBorders>
              <w:top w:val="nil"/>
              <w:left w:val="nil"/>
              <w:bottom w:val="nil"/>
              <w:right w:val="nil"/>
            </w:tcBorders>
            <w:shd w:val="clear" w:color="auto" w:fill="auto"/>
            <w:noWrap/>
            <w:vAlign w:val="center"/>
            <w:hideMark/>
          </w:tcPr>
          <w:p w14:paraId="362C5E0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5F20EBF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0D095B5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275" w:type="pct"/>
            <w:tcBorders>
              <w:top w:val="nil"/>
              <w:left w:val="nil"/>
              <w:bottom w:val="nil"/>
              <w:right w:val="nil"/>
            </w:tcBorders>
            <w:shd w:val="clear" w:color="auto" w:fill="auto"/>
            <w:noWrap/>
            <w:vAlign w:val="center"/>
            <w:hideMark/>
          </w:tcPr>
          <w:p w14:paraId="3B02E98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0B31AFB9" w14:textId="77777777" w:rsidTr="007B37AC">
        <w:trPr>
          <w:trHeight w:val="320"/>
        </w:trPr>
        <w:tc>
          <w:tcPr>
            <w:tcW w:w="1058" w:type="pct"/>
            <w:tcBorders>
              <w:top w:val="nil"/>
              <w:left w:val="nil"/>
              <w:bottom w:val="nil"/>
              <w:right w:val="nil"/>
            </w:tcBorders>
            <w:shd w:val="clear" w:color="auto" w:fill="auto"/>
            <w:noWrap/>
            <w:vAlign w:val="center"/>
            <w:hideMark/>
          </w:tcPr>
          <w:p w14:paraId="5E883DCA" w14:textId="42FAEE55"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Agrawal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{"citationID":"PawoDl0d","properties":{"formattedCitation":"\\super 1\\nosupersub{}","plainCitation":"1","noteIndex":0},"citationItems":[{"id":34,"uris":["http://zotero.org/users/local/4rfnQu81/items/9GLR9RSV"],"uri":["http://zotero.org/users/local/4rfnQu81/items/9GLR9RSV"],"itemData":{"id":34,"type":"article-journal","abstract":"BACKGROUND: Recent respiratory infection including SARS-CoV-2 is an independent risk factor for acute cerebrovascular disease. PURPOSE: There have been reports linking haemorrhagic strokes to SARS-CoV-2 infection during this pandemic, which lead us to evaluate if SARS-CoV-2 infection could be associated with increased risk of intracerebral haemorrhage (ICH). METHODS: A retrospective observational study evaluating all stroke cases admitted in our centre in the past one month. RESULTS: More than half (56%) had ICH, compared to 22% last year. Two patients with ICH were SARS-CoV-2 positive and they had no or mild respiratory symptoms and had higher occurrence of renal dysfunction. CONCLUSION: There could be possible association between ICH and SARS-CoV-2 infections. However, a prospective study with larger sample size is needed to elucidate the pathogenesis.","container-title":"Annals of Indian Academy of Neurology","DOI":"10.4103/aian.AIAN_362_20","ISSN":"0972-2327 (Print)","issue":"3","language":"eng","note":"PMID: 32606509","page":"261–264","title":"Intracerebral Hemorrhage and SARS-CoV-2: Association or Causation.","volume":"23","author":[{"family":"Agarwal","given":"Ayush"},{"family":"Vishnu","given":"Venugopalan Y"},{"family":"Vibha","given":"Deepti"},{"family":"Bhatia","given":"Rohit"},{"family":"Gupta","given":"Anu"},{"family":"Das","given":"Animesh"},{"family":"Srivastava","given":"M V Padma"}],"issued":{"date-parts":[["2020"]]}}}],"schema":"https://github.com/citation-style-language/schema/raw/master/csl-citation.json"}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529E7">
              <w:rPr>
                <w:rFonts w:ascii="Times New Roman" w:hAnsi="Times New Roman" w:cs="Times New Roman"/>
                <w:color w:val="000000"/>
                <w:sz w:val="13"/>
                <w:vertAlign w:val="superscript"/>
                <w:lang w:val="de-DE"/>
              </w:rPr>
              <w:t>1</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2BB744A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6928AA9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5826300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4C0EA64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noWrap/>
            <w:vAlign w:val="center"/>
            <w:hideMark/>
          </w:tcPr>
          <w:p w14:paraId="690E1B8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5D420DA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165</w:t>
            </w:r>
          </w:p>
        </w:tc>
        <w:tc>
          <w:tcPr>
            <w:tcW w:w="493" w:type="pct"/>
            <w:tcBorders>
              <w:top w:val="nil"/>
              <w:left w:val="nil"/>
              <w:bottom w:val="nil"/>
              <w:right w:val="nil"/>
            </w:tcBorders>
            <w:shd w:val="clear" w:color="auto" w:fill="auto"/>
            <w:noWrap/>
            <w:vAlign w:val="center"/>
            <w:hideMark/>
          </w:tcPr>
          <w:p w14:paraId="4A12F88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54D4BDE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CT/MRI</w:t>
            </w:r>
          </w:p>
        </w:tc>
        <w:tc>
          <w:tcPr>
            <w:tcW w:w="316" w:type="pct"/>
            <w:tcBorders>
              <w:top w:val="nil"/>
              <w:left w:val="nil"/>
              <w:bottom w:val="nil"/>
              <w:right w:val="nil"/>
            </w:tcBorders>
            <w:shd w:val="clear" w:color="auto" w:fill="auto"/>
            <w:noWrap/>
            <w:vAlign w:val="center"/>
            <w:hideMark/>
          </w:tcPr>
          <w:p w14:paraId="00868B4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449B0C3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5303F936" w14:textId="77777777" w:rsidTr="007B37AC">
        <w:trPr>
          <w:trHeight w:val="320"/>
        </w:trPr>
        <w:tc>
          <w:tcPr>
            <w:tcW w:w="1058" w:type="pct"/>
            <w:tcBorders>
              <w:top w:val="nil"/>
              <w:left w:val="nil"/>
              <w:bottom w:val="nil"/>
              <w:right w:val="nil"/>
            </w:tcBorders>
            <w:shd w:val="clear" w:color="auto" w:fill="auto"/>
            <w:noWrap/>
            <w:vAlign w:val="center"/>
            <w:hideMark/>
          </w:tcPr>
          <w:p w14:paraId="0C2EFB31" w14:textId="61B929F4"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Saieght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{"citationID":"PfXHowUO","properties":{"formattedCitation":"\\super 2\\nosupersub{}","plainCitation":"2","noteIndex":0},"citationItems":[{"id":142,"uris":["http://zotero.org/users/local/4rfnQu81/items/X6E72J3T"],"uri":["http://zotero.org/users/local/4rfnQu81/items/X6E72J3T"],"itemData":{"id":142,"type":"article-journal","abstract":"Background Emergence of the novel corona virus (severe acute respiratory syndrome (SARS)-CoV-2) in December 2019 has led to the COVID-19 pandemic. The extent of COVID-19 involvement in the central nervous system is not well established, and the presence or the absence of SARS-CoV-2 particles in the cerebrospinal fluid (CSF) is a topic of debate. Case description We present two patients with COVID-19 and concurrent neurological symptoms. Our first patient is a 31-year-old man who had flu-like symptoms due to COVID-19 and later developed an acute-onset severe headache and loss of consciousness and was diagnosed with a Hunt and Hess grade 3 subarachnoid haemorrhage from a ruptured aneurysm. Our second patient is a 62-year-old woman who had an ischaemic stroke with massive haemorrhagic conversion requiring a decompressive hemicraniectomy. Both patients' CSF was repeatedly negative on real-time PCR analysis despite concurrent neurological disease. Conclusion Our report shows that patients' CSF may be devoid of viral particles even when they test positive for COVID-19 on a nasal swab. Whether SARS-CoV-2 is present in CSF may depend on the systemic disease severity and the degree of the virus' nervous tissue tropism and should be examined in future studies.","container-title":"Journal of Neurology, Neurosurgery and Psychiatry","DOI":"10.1136/jnnp-2020-323522","ISSN":"1468330X","issue":"8","note":"PMID: 32354770","page":"846–848","title":"Status of SARS-CoV-2 in cerebrospinal fluid of patients with COVID-19 and stroke","volume":"91","author":[{"family":"Al Saiegh","given":"Fadi"},{"family":"Ghosh","given":"Ritam"},{"family":"Leibold","given":"Adam"},{"family":"Avery","given":"Michael B."},{"family":"Schmidt","given":"Richard F."},{"family":"Theofanis","given":"Thana"},{"family":"Mouchtouris","given":"Nikolaos"},{"family":"Philipp","given":"Lucas"},{"family":"Peiper","given":"Stephen C."},{"family":"Wang","given":"Zi Xuan"},{"family":"Rincon","given":"Fred"},{"family":"Tjoumakaris","given":"Stavropoula I."},{"family":"Jabbour","given":"Pascal"},{"family":"Rosenwasser","given":"Robert H."},{"family":"Gooch","given":"M. Reid"}],"issued":{"date-parts":[["2020"]]}}}],"schema":"https://github.com/citation-style-language/schema/raw/master/csl-citation.json"}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529E7">
              <w:rPr>
                <w:rFonts w:ascii="Times New Roman" w:hAnsi="Times New Roman" w:cs="Times New Roman"/>
                <w:color w:val="000000"/>
                <w:sz w:val="13"/>
                <w:vertAlign w:val="superscript"/>
                <w:lang w:val="de-DE"/>
              </w:rPr>
              <w:t>2</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0167360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6FECAB0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656A17F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3226324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7E63959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4D6E02B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106A157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50C770C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0E3E01E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7</w:t>
            </w:r>
          </w:p>
        </w:tc>
        <w:tc>
          <w:tcPr>
            <w:tcW w:w="275" w:type="pct"/>
            <w:tcBorders>
              <w:top w:val="nil"/>
              <w:left w:val="nil"/>
              <w:bottom w:val="nil"/>
              <w:right w:val="nil"/>
            </w:tcBorders>
            <w:shd w:val="clear" w:color="auto" w:fill="auto"/>
            <w:noWrap/>
            <w:vAlign w:val="center"/>
            <w:hideMark/>
          </w:tcPr>
          <w:p w14:paraId="7BDC71B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2E8AAFD5" w14:textId="77777777" w:rsidTr="007B37AC">
        <w:trPr>
          <w:trHeight w:val="320"/>
        </w:trPr>
        <w:tc>
          <w:tcPr>
            <w:tcW w:w="1058" w:type="pct"/>
            <w:tcBorders>
              <w:top w:val="nil"/>
              <w:left w:val="nil"/>
              <w:bottom w:val="nil"/>
              <w:right w:val="nil"/>
            </w:tcBorders>
            <w:shd w:val="clear" w:color="auto" w:fill="auto"/>
            <w:noWrap/>
            <w:vAlign w:val="center"/>
            <w:hideMark/>
          </w:tcPr>
          <w:p w14:paraId="5A7C6435" w14:textId="0494D5D6"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Saieght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{"citationID":"GE40YERQ","properties":{"formattedCitation":"\\super 2\\nosupersub{}","plainCitation":"2","noteIndex":0},"citationItems":[{"id":142,"uris":["http://zotero.org/users/local/4rfnQu81/items/X6E72J3T"],"uri":["http://zotero.org/users/local/4rfnQu81/items/X6E72J3T"],"itemData":{"id":142,"type":"article-journal","abstract":"Background Emergence of the novel corona virus (severe acute respiratory syndrome (SARS)-CoV-2) in December 2019 has led to the COVID-19 pandemic. The extent of COVID-19 involvement in the central nervous system is not well established, and the presence or the absence of SARS-CoV-2 particles in the cerebrospinal fluid (CSF) is a topic of debate. Case description We present two patients with COVID-19 and concurrent neurological symptoms. Our first patient is a 31-year-old man who had flu-like symptoms due to COVID-19 and later developed an acute-onset severe headache and loss of consciousness and was diagnosed with a Hunt and Hess grade 3 subarachnoid haemorrhage from a ruptured aneurysm. Our second patient is a 62-year-old woman who had an ischaemic stroke with massive haemorrhagic conversion requiring a decompressive hemicraniectomy. Both patients' CSF was repeatedly negative on real-time PCR analysis despite concurrent neurological disease. Conclusion Our report shows that patients' CSF may be devoid of viral particles even when they test positive for COVID-19 on a nasal swab. Whether SARS-CoV-2 is present in CSF may depend on the systemic disease severity and the degree of the virus' nervous tissue tropism and should be examined in future studies.","container-title":"Journal of Neurology, Neurosurgery and Psychiatry","DOI":"10.1136/jnnp-2020-323522","ISSN":"1468330X","issue":"8","note":"PMID: 32354770","page":"846–848","title":"Status of SARS-CoV-2 in cerebrospinal fluid of patients with COVID-19 and stroke","volume":"91","author":[{"family":"Al Saiegh","given":"Fadi"},{"family":"Ghosh","given":"Ritam"},{"family":"Leibold","given":"Adam"},{"family":"Avery","given":"Michael B."},{"family":"Schmidt","given":"Richard F."},{"family":"Theofanis","given":"Thana"},{"family":"Mouchtouris","given":"Nikolaos"},{"family":"Philipp","given":"Lucas"},{"family":"Peiper","given":"Stephen C."},{"family":"Wang","given":"Zi Xuan"},{"family":"Rincon","given":"Fred"},{"family":"Tjoumakaris","given":"Stavropoula I."},{"family":"Jabbour","given":"Pascal"},{"family":"Rosenwasser","given":"Robert H."},{"family":"Gooch","given":"M. Reid"}],"issued":{"date-parts":[["2020"]]}}}],"schema":"https://github.com/citation-style-language/schema/raw/master/csl-citation.json"}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529E7">
              <w:rPr>
                <w:rFonts w:ascii="Times New Roman" w:hAnsi="Times New Roman" w:cs="Times New Roman"/>
                <w:color w:val="000000"/>
                <w:sz w:val="13"/>
                <w:vertAlign w:val="superscript"/>
                <w:lang w:val="de-DE"/>
              </w:rPr>
              <w:t>2</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711D2C0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5C58539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438BF15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6AB691D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79069D6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0DD17B9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3880385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29FE103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12C0C0B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07ADB87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5301620F" w14:textId="77777777" w:rsidTr="007B37AC">
        <w:trPr>
          <w:trHeight w:val="320"/>
        </w:trPr>
        <w:tc>
          <w:tcPr>
            <w:tcW w:w="1058" w:type="pct"/>
            <w:tcBorders>
              <w:top w:val="nil"/>
              <w:left w:val="nil"/>
              <w:bottom w:val="nil"/>
              <w:right w:val="nil"/>
            </w:tcBorders>
            <w:shd w:val="clear" w:color="auto" w:fill="auto"/>
            <w:noWrap/>
            <w:vAlign w:val="center"/>
            <w:hideMark/>
          </w:tcPr>
          <w:p w14:paraId="198848DC" w14:textId="0DFBAA83"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Al Dalahmah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{"citationID":"tzXXWStL","properties":{"formattedCitation":"\\super 3\\nosupersub{}","plainCitation":"3","noteIndex":0},"citationItems":[{"id":51,"uris":["http://zotero.org/users/local/4rfnQu81/items/7CBQUV8U"],"uri":["http://zotero.org/users/local/4rfnQu81/items/7CBQUV8U"],"itemData":{"id":51,"type":"article-journal","abstract":"We document the neuropathologic findings of a 73-year old man who died from acute cerebellar hemorrhage in the context of relatively mild SARS-CoV2 infection. The patient developed sudden onset of headache, nausea, and vomiting, immediately followed by loss of consciousness on the day of admission. Emergency medical services found him severely hypoxemic at home, and the patient suffered a cardiac arrest during transport to the emergency department. The emergency team achieved return of spontaneous circulation after over 17 min of resuscitation. A chest radiograph revealed hazy bilateral opacities; and real-time-PCR for SARS-CoV-2 on the nasopharyngeal swab was positive. Computed tomography of the head showed a large right cerebellar hemorrhage, with tonsillar herniation and intraventricular hemorrhage. One day after presentation, he was transitioned to comfort care and died shortly after palliative extubation. Autopsy performed 3 h after death showed cerebellar hemorrhage and acute infarcts in the dorsal pons and medulla. Remarkably, there were microglial nodules and neuronophagia bilaterally in the inferior olives and multifocally in the cerebellar dentate nuclei. This constellation of findings has not been reported thus far in the context of SARS-CoV-2 infection.","container-title":"Acta Neuropathologica Communications","DOI":"10.1186/s40478-020-01024-2","ISSN":"20515960","issue":"1","note":"publisher: BioMed Central\nPMID: 32847628","page":"1–7","title":"Neuronophagia and microglial nodules in a SARS-CoV-2 patient with cerebellar hemorrhage","volume":"8","author":[{"family":"Al-Dalahmah","given":"Osama"},{"family":"Thakur","given":"Kiran T."},{"family":"Nordvig","given":"Anna S."},{"family":"Prust","given":"Morgan L."},{"family":"Roth","given":"William"},{"family":"Lignelli","given":"Angela"},{"family":"Uhlemann","given":"Anne Catrin"},{"family":"Miller","given":"Emily Happy"},{"family":"Kunnath-Velayudhan","given":"Shajo"},{"family":"Del Portillo","given":"Armando"},{"family":"Liu","given":"Yang"},{"family":"Hargus","given":"Gunnar"},{"family":"Teich","given":"Andrew F."},{"family":"Hickman","given":"Richard A."},{"family":"Tanji","given":"Kurenai"},{"family":"Goldman","given":"James E."},{"family":"Faust","given":"Phyllis L."},{"family":"Canoll","given":"Peter"}],"issued":{"date-parts":[["2020"]]}}}],"schema":"https://github.com/citation-style-language/schema/raw/master/csl-citation.json"}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529E7">
              <w:rPr>
                <w:rFonts w:ascii="Times New Roman" w:hAnsi="Times New Roman" w:cs="Times New Roman"/>
                <w:color w:val="000000"/>
                <w:sz w:val="13"/>
                <w:vertAlign w:val="superscript"/>
                <w:lang w:val="de-DE"/>
              </w:rPr>
              <w:t>3</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1C5FE88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04F9B69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9</w:t>
            </w:r>
          </w:p>
        </w:tc>
        <w:tc>
          <w:tcPr>
            <w:tcW w:w="384" w:type="pct"/>
            <w:tcBorders>
              <w:top w:val="nil"/>
              <w:left w:val="nil"/>
              <w:bottom w:val="nil"/>
              <w:right w:val="nil"/>
            </w:tcBorders>
            <w:shd w:val="clear" w:color="auto" w:fill="auto"/>
            <w:noWrap/>
            <w:vAlign w:val="center"/>
            <w:hideMark/>
          </w:tcPr>
          <w:p w14:paraId="7ADDEE6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13</w:t>
            </w:r>
          </w:p>
        </w:tc>
        <w:tc>
          <w:tcPr>
            <w:tcW w:w="275" w:type="pct"/>
            <w:tcBorders>
              <w:top w:val="nil"/>
              <w:left w:val="nil"/>
              <w:bottom w:val="nil"/>
              <w:right w:val="nil"/>
            </w:tcBorders>
            <w:shd w:val="clear" w:color="auto" w:fill="auto"/>
            <w:noWrap/>
            <w:vAlign w:val="center"/>
            <w:hideMark/>
          </w:tcPr>
          <w:p w14:paraId="2F0EFC4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6CF1A93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0DF60A1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346</w:t>
            </w:r>
          </w:p>
        </w:tc>
        <w:tc>
          <w:tcPr>
            <w:tcW w:w="493" w:type="pct"/>
            <w:tcBorders>
              <w:top w:val="nil"/>
              <w:left w:val="nil"/>
              <w:bottom w:val="nil"/>
              <w:right w:val="nil"/>
            </w:tcBorders>
            <w:shd w:val="clear" w:color="auto" w:fill="auto"/>
            <w:noWrap/>
            <w:vAlign w:val="center"/>
            <w:hideMark/>
          </w:tcPr>
          <w:p w14:paraId="32ECC22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3FE24BA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677D49E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4C8986B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33100CD0" w14:textId="77777777" w:rsidTr="007B37AC">
        <w:trPr>
          <w:trHeight w:val="320"/>
        </w:trPr>
        <w:tc>
          <w:tcPr>
            <w:tcW w:w="1058" w:type="pct"/>
            <w:tcBorders>
              <w:top w:val="nil"/>
              <w:left w:val="nil"/>
              <w:bottom w:val="nil"/>
              <w:right w:val="nil"/>
            </w:tcBorders>
            <w:shd w:val="clear" w:color="auto" w:fill="auto"/>
            <w:noWrap/>
            <w:vAlign w:val="center"/>
            <w:hideMark/>
          </w:tcPr>
          <w:p w14:paraId="771BBBE7" w14:textId="3B144228"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Al-olama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{"citationID":"PWfq5ea2","properties":{"formattedCitation":"\\super 4\\nosupersub{}","plainCitation":"4","noteIndex":0},"citationItems":[{"id":169,"uris":["http://zotero.org/users/local/4rfnQu81/items/2LYSZPRS"],"uri":["http://zotero.org/users/local/4rfnQu81/items/2LYSZPRS"],"itemData":{"id":169,"type":"article-journal","abstract":"The coronavirus pandemic that started in December 2019 is mainly related to clinical pictures consistent with respiratory symptoms; nevertheless, reports about neurological complications have recently appeared in the medical literature. We describe a case of a 36-year-old coronavirus-positive patient that was admitted on emergency basis; his clinical presentation included neurological symptoms such as drowsiness and mild confusion. Imaging revealed findings consistent with meningoencephalitis complicated by intracerebral hematoma and subdural hematoma. The latter was surgically evacuated after it became chronic and evidence of coronavirus was found in the fluid. Our experience confirms that neurological complications might be a likely event in COVID-19. Although uncommon, the possible occurrence of meningoencephalitis should be kept in mind by physicians involved in the management of COVID-19 patients. Early recognition of brain involvement may provide better prognosis, preventing evolution into intracerebral hemorrhagic events.","container-title":"Acta neurochirurgica","DOI":"10.1007/s00701-020-04402-w","ISSN":"0942-0940 (Electronic)","issue":"7","language":"eng","note":"PMID: 32430637","page":"1495–1499","title":"COVID-19-associated meningoencephalitis complicated with intracranial hemorrhage: a case report.","volume":"162","author":[{"family":"Al-Olama","given":"Mohammad"},{"family":"Rashid","given":"Anas"},{"family":"Garozzo","given":"Debora"}],"issued":{"date-parts":[["2020",7]]}}}],"schema":"https://github.com/citation-style-language/schema/raw/master/csl-citation.json"}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529E7">
              <w:rPr>
                <w:rFonts w:ascii="Times New Roman" w:hAnsi="Times New Roman" w:cs="Times New Roman"/>
                <w:color w:val="000000"/>
                <w:sz w:val="13"/>
                <w:vertAlign w:val="superscript"/>
                <w:lang w:val="de-DE"/>
              </w:rPr>
              <w:t>4</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7E0480A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7E5D7B7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635626D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13</w:t>
            </w:r>
          </w:p>
        </w:tc>
        <w:tc>
          <w:tcPr>
            <w:tcW w:w="275" w:type="pct"/>
            <w:tcBorders>
              <w:top w:val="nil"/>
              <w:left w:val="nil"/>
              <w:bottom w:val="nil"/>
              <w:right w:val="nil"/>
            </w:tcBorders>
            <w:shd w:val="clear" w:color="auto" w:fill="auto"/>
            <w:noWrap/>
            <w:vAlign w:val="center"/>
            <w:hideMark/>
          </w:tcPr>
          <w:p w14:paraId="7B1D29A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noWrap/>
            <w:vAlign w:val="center"/>
            <w:hideMark/>
          </w:tcPr>
          <w:p w14:paraId="28D4995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30</w:t>
            </w:r>
          </w:p>
        </w:tc>
        <w:tc>
          <w:tcPr>
            <w:tcW w:w="486" w:type="pct"/>
            <w:tcBorders>
              <w:top w:val="nil"/>
              <w:left w:val="nil"/>
              <w:bottom w:val="nil"/>
              <w:right w:val="nil"/>
            </w:tcBorders>
            <w:shd w:val="clear" w:color="auto" w:fill="auto"/>
            <w:noWrap/>
            <w:vAlign w:val="center"/>
            <w:hideMark/>
          </w:tcPr>
          <w:p w14:paraId="7F0B107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6682B29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629" w:type="pct"/>
            <w:tcBorders>
              <w:top w:val="nil"/>
              <w:left w:val="nil"/>
              <w:bottom w:val="nil"/>
              <w:right w:val="nil"/>
            </w:tcBorders>
            <w:shd w:val="clear" w:color="auto" w:fill="auto"/>
            <w:noWrap/>
            <w:vAlign w:val="center"/>
            <w:hideMark/>
          </w:tcPr>
          <w:p w14:paraId="3F0A284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03B88C2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c>
          <w:tcPr>
            <w:tcW w:w="275" w:type="pct"/>
            <w:tcBorders>
              <w:top w:val="nil"/>
              <w:left w:val="nil"/>
              <w:bottom w:val="nil"/>
              <w:right w:val="nil"/>
            </w:tcBorders>
            <w:shd w:val="clear" w:color="auto" w:fill="auto"/>
            <w:noWrap/>
            <w:vAlign w:val="center"/>
            <w:hideMark/>
          </w:tcPr>
          <w:p w14:paraId="59E4A16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2724074A" w14:textId="77777777" w:rsidTr="007B37AC">
        <w:trPr>
          <w:trHeight w:val="320"/>
        </w:trPr>
        <w:tc>
          <w:tcPr>
            <w:tcW w:w="1058" w:type="pct"/>
            <w:tcBorders>
              <w:top w:val="nil"/>
              <w:left w:val="nil"/>
              <w:bottom w:val="nil"/>
              <w:right w:val="nil"/>
            </w:tcBorders>
            <w:shd w:val="clear" w:color="auto" w:fill="auto"/>
            <w:noWrap/>
            <w:vAlign w:val="center"/>
            <w:hideMark/>
          </w:tcPr>
          <w:p w14:paraId="09C843BC" w14:textId="6854A286"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Benger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{"citationID":"0ttWX7WE","properties":{"formattedCitation":"\\super 5\\nosupersub{}","plainCitation":"5","noteIndex":0},"citationItems":[{"id":150,"uris":["http://zotero.org/users/local/4rfnQu81/items/XU2SBFWE"],"uri":["http://zotero.org/users/local/4rfnQu81/items/XU2SBFWE"],"itemData":{"id":150,"type":"article-journal","container-title":"Brain, Behavior, and Immunity","DOI":"10.1016/j.bbi.2020.06.005","ISSN":"10902139","issue":"June","note":"publisher: Elsevier\nPMID: 32525049","page":"940–944","title":"Intracerebral haemorrhage and COVID-19: Clinical characteristics from a case series","volume":"88","author":[{"family":"Benger","given":"Matthew"},{"family":"Williams","given":"Owain"},{"family":"Siddiqui","given":"Juveria"},{"family":"Sztriha","given":"Laszlo"}],"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529E7">
              <w:rPr>
                <w:rFonts w:ascii="Times New Roman" w:hAnsi="Times New Roman" w:cs="Times New Roman"/>
                <w:color w:val="000000"/>
                <w:sz w:val="13"/>
                <w:vertAlign w:val="superscript"/>
                <w:lang w:val="de-DE"/>
              </w:rPr>
              <w:t>5</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62DB314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6E14BA0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100</w:t>
            </w:r>
          </w:p>
        </w:tc>
        <w:tc>
          <w:tcPr>
            <w:tcW w:w="384" w:type="pct"/>
            <w:tcBorders>
              <w:top w:val="nil"/>
              <w:left w:val="nil"/>
              <w:bottom w:val="nil"/>
              <w:right w:val="nil"/>
            </w:tcBorders>
            <w:shd w:val="clear" w:color="auto" w:fill="auto"/>
            <w:noWrap/>
            <w:vAlign w:val="center"/>
            <w:hideMark/>
          </w:tcPr>
          <w:p w14:paraId="2C30D05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w:t>
            </w:r>
          </w:p>
        </w:tc>
        <w:tc>
          <w:tcPr>
            <w:tcW w:w="275" w:type="pct"/>
            <w:tcBorders>
              <w:top w:val="nil"/>
              <w:left w:val="nil"/>
              <w:bottom w:val="nil"/>
              <w:right w:val="nil"/>
            </w:tcBorders>
            <w:shd w:val="clear" w:color="auto" w:fill="auto"/>
            <w:noWrap/>
            <w:vAlign w:val="center"/>
            <w:hideMark/>
          </w:tcPr>
          <w:p w14:paraId="67B49B5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noWrap/>
            <w:vAlign w:val="center"/>
            <w:hideMark/>
          </w:tcPr>
          <w:p w14:paraId="16B8A31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44546EB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510</w:t>
            </w:r>
          </w:p>
        </w:tc>
        <w:tc>
          <w:tcPr>
            <w:tcW w:w="493" w:type="pct"/>
            <w:tcBorders>
              <w:top w:val="nil"/>
              <w:left w:val="nil"/>
              <w:bottom w:val="nil"/>
              <w:right w:val="nil"/>
            </w:tcBorders>
            <w:shd w:val="clear" w:color="auto" w:fill="auto"/>
            <w:noWrap/>
            <w:vAlign w:val="center"/>
            <w:hideMark/>
          </w:tcPr>
          <w:p w14:paraId="7628040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w:t>
            </w:r>
          </w:p>
        </w:tc>
        <w:tc>
          <w:tcPr>
            <w:tcW w:w="629" w:type="pct"/>
            <w:tcBorders>
              <w:top w:val="nil"/>
              <w:left w:val="nil"/>
              <w:bottom w:val="nil"/>
              <w:right w:val="nil"/>
            </w:tcBorders>
            <w:shd w:val="clear" w:color="auto" w:fill="auto"/>
            <w:noWrap/>
            <w:vAlign w:val="center"/>
            <w:hideMark/>
          </w:tcPr>
          <w:p w14:paraId="7830289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6A91CF7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37</w:t>
            </w:r>
          </w:p>
        </w:tc>
        <w:tc>
          <w:tcPr>
            <w:tcW w:w="275" w:type="pct"/>
            <w:tcBorders>
              <w:top w:val="nil"/>
              <w:left w:val="nil"/>
              <w:bottom w:val="nil"/>
              <w:right w:val="nil"/>
            </w:tcBorders>
            <w:shd w:val="clear" w:color="auto" w:fill="auto"/>
            <w:noWrap/>
            <w:vAlign w:val="center"/>
            <w:hideMark/>
          </w:tcPr>
          <w:p w14:paraId="76D010D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095AB8A8" w14:textId="77777777" w:rsidTr="007B37AC">
        <w:trPr>
          <w:trHeight w:val="320"/>
        </w:trPr>
        <w:tc>
          <w:tcPr>
            <w:tcW w:w="1058" w:type="pct"/>
            <w:tcBorders>
              <w:top w:val="nil"/>
              <w:left w:val="nil"/>
              <w:bottom w:val="nil"/>
              <w:right w:val="nil"/>
            </w:tcBorders>
            <w:shd w:val="clear" w:color="auto" w:fill="auto"/>
            <w:noWrap/>
            <w:vAlign w:val="center"/>
            <w:hideMark/>
          </w:tcPr>
          <w:p w14:paraId="2C38786D" w14:textId="4B5DC911"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Benger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{"citationID":"SzT8Fpj8","properties":{"formattedCitation":"\\super 5\\nosupersub{}","plainCitation":"5","noteIndex":0},"citationItems":[{"id":150,"uris":["http://zotero.org/users/local/4rfnQu81/items/XU2SBFWE"],"uri":["http://zotero.org/users/local/4rfnQu81/items/XU2SBFWE"],"itemData":{"id":150,"type":"article-journal","container-title":"Brain, Behavior, and Immunity","DOI":"10.1016/j.bbi.2020.06.005","ISSN":"10902139","issue":"June","note":"publisher: Elsevier\nPMID: 32525049","page":"940–944","title":"Intracerebral haemorrhage and COVID-19: Clinical characteristics from a case series","volume":"88","author":[{"family":"Benger","given":"Matthew"},{"family":"Williams","given":"Owain"},{"family":"Siddiqui","given":"Juveria"},{"family":"Sztriha","given":"Laszlo"}],"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529E7">
              <w:rPr>
                <w:rFonts w:ascii="Times New Roman" w:hAnsi="Times New Roman" w:cs="Times New Roman"/>
                <w:color w:val="000000"/>
                <w:sz w:val="13"/>
                <w:vertAlign w:val="superscript"/>
                <w:lang w:val="de-DE"/>
              </w:rPr>
              <w:t>5</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0D70BF9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48E8F7F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7</w:t>
            </w:r>
          </w:p>
        </w:tc>
        <w:tc>
          <w:tcPr>
            <w:tcW w:w="384" w:type="pct"/>
            <w:tcBorders>
              <w:top w:val="nil"/>
              <w:left w:val="nil"/>
              <w:bottom w:val="nil"/>
              <w:right w:val="nil"/>
            </w:tcBorders>
            <w:shd w:val="clear" w:color="auto" w:fill="auto"/>
            <w:noWrap/>
            <w:vAlign w:val="center"/>
            <w:hideMark/>
          </w:tcPr>
          <w:p w14:paraId="2C7DA70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c>
          <w:tcPr>
            <w:tcW w:w="275" w:type="pct"/>
            <w:tcBorders>
              <w:top w:val="nil"/>
              <w:left w:val="nil"/>
              <w:bottom w:val="nil"/>
              <w:right w:val="nil"/>
            </w:tcBorders>
            <w:shd w:val="clear" w:color="auto" w:fill="auto"/>
            <w:noWrap/>
            <w:vAlign w:val="center"/>
            <w:hideMark/>
          </w:tcPr>
          <w:p w14:paraId="6B7DB1C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w:t>
            </w:r>
          </w:p>
        </w:tc>
        <w:tc>
          <w:tcPr>
            <w:tcW w:w="384" w:type="pct"/>
            <w:tcBorders>
              <w:top w:val="nil"/>
              <w:left w:val="nil"/>
              <w:bottom w:val="nil"/>
              <w:right w:val="nil"/>
            </w:tcBorders>
            <w:shd w:val="clear" w:color="auto" w:fill="auto"/>
            <w:noWrap/>
            <w:vAlign w:val="center"/>
            <w:hideMark/>
          </w:tcPr>
          <w:p w14:paraId="5018F66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68B1BDB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270</w:t>
            </w:r>
          </w:p>
        </w:tc>
        <w:tc>
          <w:tcPr>
            <w:tcW w:w="493" w:type="pct"/>
            <w:tcBorders>
              <w:top w:val="nil"/>
              <w:left w:val="nil"/>
              <w:bottom w:val="nil"/>
              <w:right w:val="nil"/>
            </w:tcBorders>
            <w:shd w:val="clear" w:color="auto" w:fill="auto"/>
            <w:noWrap/>
            <w:vAlign w:val="center"/>
            <w:hideMark/>
          </w:tcPr>
          <w:p w14:paraId="05C8B9D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629" w:type="pct"/>
            <w:tcBorders>
              <w:top w:val="nil"/>
              <w:left w:val="nil"/>
              <w:bottom w:val="nil"/>
              <w:right w:val="nil"/>
            </w:tcBorders>
            <w:shd w:val="clear" w:color="auto" w:fill="auto"/>
            <w:noWrap/>
            <w:vAlign w:val="center"/>
            <w:hideMark/>
          </w:tcPr>
          <w:p w14:paraId="008EB0E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7D250CB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14</w:t>
            </w:r>
          </w:p>
        </w:tc>
        <w:tc>
          <w:tcPr>
            <w:tcW w:w="275" w:type="pct"/>
            <w:tcBorders>
              <w:top w:val="nil"/>
              <w:left w:val="nil"/>
              <w:bottom w:val="nil"/>
              <w:right w:val="nil"/>
            </w:tcBorders>
            <w:shd w:val="clear" w:color="auto" w:fill="auto"/>
            <w:noWrap/>
            <w:vAlign w:val="center"/>
            <w:hideMark/>
          </w:tcPr>
          <w:p w14:paraId="1165CC4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5</w:t>
            </w:r>
          </w:p>
        </w:tc>
      </w:tr>
      <w:tr w:rsidR="007A62EC" w:rsidRPr="007B37AC" w14:paraId="7F2F9FD0" w14:textId="77777777" w:rsidTr="007B37AC">
        <w:trPr>
          <w:trHeight w:val="320"/>
        </w:trPr>
        <w:tc>
          <w:tcPr>
            <w:tcW w:w="1058" w:type="pct"/>
            <w:tcBorders>
              <w:top w:val="nil"/>
              <w:left w:val="nil"/>
              <w:bottom w:val="nil"/>
              <w:right w:val="nil"/>
            </w:tcBorders>
            <w:shd w:val="clear" w:color="auto" w:fill="auto"/>
            <w:noWrap/>
            <w:vAlign w:val="center"/>
            <w:hideMark/>
          </w:tcPr>
          <w:p w14:paraId="786AB7FB" w14:textId="699FE55E"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Benger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{"citationID":"AfORUFot","properties":{"formattedCitation":"\\super 5\\nosupersub{}","plainCitation":"5","noteIndex":0},"citationItems":[{"id":150,"uris":["http://zotero.org/users/local/4rfnQu81/items/XU2SBFWE"],"uri":["http://zotero.org/users/local/4rfnQu81/items/XU2SBFWE"],"itemData":{"id":150,"type":"article-journal","container-title":"Brain, Behavior, and Immunity","DOI":"10.1016/j.bbi.2020.06.005","ISSN":"10902139","issue":"June","note":"publisher: Elsevier\nPMID: 32525049","page":"940–944","title":"Intracerebral haemorrhage and COVID-19: Clinical characteristics from a case series","volume":"88","author":[{"family":"Benger","given":"Matthew"},{"family":"Williams","given":"Owain"},{"family":"Siddiqui","given":"Juveria"},{"family":"Sztriha","given":"Laszlo"}],"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529E7">
              <w:rPr>
                <w:rFonts w:ascii="Times New Roman" w:hAnsi="Times New Roman" w:cs="Times New Roman"/>
                <w:color w:val="000000"/>
                <w:sz w:val="13"/>
                <w:vertAlign w:val="superscript"/>
                <w:lang w:val="de-DE"/>
              </w:rPr>
              <w:t>5</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312105C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79F0944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138</w:t>
            </w:r>
          </w:p>
        </w:tc>
        <w:tc>
          <w:tcPr>
            <w:tcW w:w="384" w:type="pct"/>
            <w:tcBorders>
              <w:top w:val="nil"/>
              <w:left w:val="nil"/>
              <w:bottom w:val="nil"/>
              <w:right w:val="nil"/>
            </w:tcBorders>
            <w:shd w:val="clear" w:color="auto" w:fill="auto"/>
            <w:noWrap/>
            <w:vAlign w:val="center"/>
            <w:hideMark/>
          </w:tcPr>
          <w:p w14:paraId="1D76881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15</w:t>
            </w:r>
          </w:p>
        </w:tc>
        <w:tc>
          <w:tcPr>
            <w:tcW w:w="275" w:type="pct"/>
            <w:tcBorders>
              <w:top w:val="nil"/>
              <w:left w:val="nil"/>
              <w:bottom w:val="nil"/>
              <w:right w:val="nil"/>
            </w:tcBorders>
            <w:shd w:val="clear" w:color="auto" w:fill="auto"/>
            <w:noWrap/>
            <w:vAlign w:val="center"/>
            <w:hideMark/>
          </w:tcPr>
          <w:p w14:paraId="674FE20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noWrap/>
            <w:vAlign w:val="center"/>
            <w:hideMark/>
          </w:tcPr>
          <w:p w14:paraId="7E9FE4A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5715173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72</w:t>
            </w:r>
          </w:p>
        </w:tc>
        <w:tc>
          <w:tcPr>
            <w:tcW w:w="493" w:type="pct"/>
            <w:tcBorders>
              <w:top w:val="nil"/>
              <w:left w:val="nil"/>
              <w:bottom w:val="nil"/>
              <w:right w:val="nil"/>
            </w:tcBorders>
            <w:shd w:val="clear" w:color="auto" w:fill="auto"/>
            <w:noWrap/>
            <w:vAlign w:val="center"/>
            <w:hideMark/>
          </w:tcPr>
          <w:p w14:paraId="5F288CB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9</w:t>
            </w:r>
          </w:p>
        </w:tc>
        <w:tc>
          <w:tcPr>
            <w:tcW w:w="629" w:type="pct"/>
            <w:tcBorders>
              <w:top w:val="nil"/>
              <w:left w:val="nil"/>
              <w:bottom w:val="nil"/>
              <w:right w:val="nil"/>
            </w:tcBorders>
            <w:shd w:val="clear" w:color="auto" w:fill="auto"/>
            <w:noWrap/>
            <w:vAlign w:val="center"/>
            <w:hideMark/>
          </w:tcPr>
          <w:p w14:paraId="31AC473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3934DBE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32</w:t>
            </w:r>
          </w:p>
        </w:tc>
        <w:tc>
          <w:tcPr>
            <w:tcW w:w="275" w:type="pct"/>
            <w:tcBorders>
              <w:top w:val="nil"/>
              <w:left w:val="nil"/>
              <w:bottom w:val="nil"/>
              <w:right w:val="nil"/>
            </w:tcBorders>
            <w:shd w:val="clear" w:color="auto" w:fill="auto"/>
            <w:noWrap/>
            <w:vAlign w:val="center"/>
            <w:hideMark/>
          </w:tcPr>
          <w:p w14:paraId="3BE5EFD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5</w:t>
            </w:r>
          </w:p>
        </w:tc>
      </w:tr>
      <w:tr w:rsidR="007A62EC" w:rsidRPr="007B37AC" w14:paraId="6A13C00B" w14:textId="77777777" w:rsidTr="007B37AC">
        <w:trPr>
          <w:trHeight w:val="320"/>
        </w:trPr>
        <w:tc>
          <w:tcPr>
            <w:tcW w:w="1058" w:type="pct"/>
            <w:tcBorders>
              <w:top w:val="nil"/>
              <w:left w:val="nil"/>
              <w:bottom w:val="nil"/>
              <w:right w:val="nil"/>
            </w:tcBorders>
            <w:shd w:val="clear" w:color="auto" w:fill="auto"/>
            <w:noWrap/>
            <w:vAlign w:val="center"/>
            <w:hideMark/>
          </w:tcPr>
          <w:p w14:paraId="6112E70C" w14:textId="2874A147"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Benger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{"citationID":"8HOKHnQv","properties":{"formattedCitation":"\\super 5\\nosupersub{}","plainCitation":"5","noteIndex":0},"citationItems":[{"id":150,"uris":["http://zotero.org/users/local/4rfnQu81/items/XU2SBFWE"],"uri":["http://zotero.org/users/local/4rfnQu81/items/XU2SBFWE"],"itemData":{"id":150,"type":"article-journal","container-title":"Brain, Behavior, and Immunity","DOI":"10.1016/j.bbi.2020.06.005","ISSN":"10902139","issue":"June","note":"publisher: Elsevier\nPMID: 32525049","page":"940–944","title":"Intracerebral haemorrhage and COVID-19: Clinical characteristics from a case series","volume":"88","author":[{"family":"Benger","given":"Matthew"},{"family":"Williams","given":"Owain"},{"family":"Siddiqui","given":"Juveria"},{"family":"Sztriha","given":"Laszlo"}],"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529E7">
              <w:rPr>
                <w:rFonts w:ascii="Times New Roman" w:hAnsi="Times New Roman" w:cs="Times New Roman"/>
                <w:color w:val="000000"/>
                <w:sz w:val="13"/>
                <w:vertAlign w:val="superscript"/>
                <w:lang w:val="de-DE"/>
              </w:rPr>
              <w:t>5</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2D36943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1F08A87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330</w:t>
            </w:r>
          </w:p>
        </w:tc>
        <w:tc>
          <w:tcPr>
            <w:tcW w:w="384" w:type="pct"/>
            <w:tcBorders>
              <w:top w:val="nil"/>
              <w:left w:val="nil"/>
              <w:bottom w:val="nil"/>
              <w:right w:val="nil"/>
            </w:tcBorders>
            <w:shd w:val="clear" w:color="auto" w:fill="auto"/>
            <w:noWrap/>
            <w:vAlign w:val="center"/>
            <w:hideMark/>
          </w:tcPr>
          <w:p w14:paraId="2A34145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16</w:t>
            </w:r>
          </w:p>
        </w:tc>
        <w:tc>
          <w:tcPr>
            <w:tcW w:w="275" w:type="pct"/>
            <w:tcBorders>
              <w:top w:val="nil"/>
              <w:left w:val="nil"/>
              <w:bottom w:val="nil"/>
              <w:right w:val="nil"/>
            </w:tcBorders>
            <w:shd w:val="clear" w:color="auto" w:fill="auto"/>
            <w:noWrap/>
            <w:vAlign w:val="center"/>
            <w:hideMark/>
          </w:tcPr>
          <w:p w14:paraId="2AFDBE3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noWrap/>
            <w:vAlign w:val="center"/>
            <w:hideMark/>
          </w:tcPr>
          <w:p w14:paraId="63768DE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562DEB6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221</w:t>
            </w:r>
          </w:p>
        </w:tc>
        <w:tc>
          <w:tcPr>
            <w:tcW w:w="493" w:type="pct"/>
            <w:tcBorders>
              <w:top w:val="nil"/>
              <w:left w:val="nil"/>
              <w:bottom w:val="nil"/>
              <w:right w:val="nil"/>
            </w:tcBorders>
            <w:shd w:val="clear" w:color="auto" w:fill="auto"/>
            <w:noWrap/>
            <w:vAlign w:val="center"/>
            <w:hideMark/>
          </w:tcPr>
          <w:p w14:paraId="3AAC68C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8</w:t>
            </w:r>
          </w:p>
        </w:tc>
        <w:tc>
          <w:tcPr>
            <w:tcW w:w="629" w:type="pct"/>
            <w:tcBorders>
              <w:top w:val="nil"/>
              <w:left w:val="nil"/>
              <w:bottom w:val="nil"/>
              <w:right w:val="nil"/>
            </w:tcBorders>
            <w:shd w:val="clear" w:color="auto" w:fill="auto"/>
            <w:noWrap/>
            <w:vAlign w:val="center"/>
            <w:hideMark/>
          </w:tcPr>
          <w:p w14:paraId="033D0B3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57E3094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32</w:t>
            </w:r>
          </w:p>
        </w:tc>
        <w:tc>
          <w:tcPr>
            <w:tcW w:w="275" w:type="pct"/>
            <w:tcBorders>
              <w:top w:val="nil"/>
              <w:left w:val="nil"/>
              <w:bottom w:val="nil"/>
              <w:right w:val="nil"/>
            </w:tcBorders>
            <w:shd w:val="clear" w:color="auto" w:fill="auto"/>
            <w:noWrap/>
            <w:vAlign w:val="center"/>
            <w:hideMark/>
          </w:tcPr>
          <w:p w14:paraId="3BE8B92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5</w:t>
            </w:r>
          </w:p>
        </w:tc>
      </w:tr>
      <w:tr w:rsidR="007A62EC" w:rsidRPr="007B37AC" w14:paraId="07F32981" w14:textId="77777777" w:rsidTr="007B37AC">
        <w:trPr>
          <w:trHeight w:val="320"/>
        </w:trPr>
        <w:tc>
          <w:tcPr>
            <w:tcW w:w="1058" w:type="pct"/>
            <w:tcBorders>
              <w:top w:val="nil"/>
              <w:left w:val="nil"/>
              <w:bottom w:val="nil"/>
              <w:right w:val="nil"/>
            </w:tcBorders>
            <w:shd w:val="clear" w:color="auto" w:fill="auto"/>
            <w:noWrap/>
            <w:vAlign w:val="center"/>
            <w:hideMark/>
          </w:tcPr>
          <w:p w14:paraId="12BB4CA7" w14:textId="3EF2293B"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Benger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{"citationID":"CDtbuj7S","properties":{"formattedCitation":"\\super 5\\nosupersub{}","plainCitation":"5","noteIndex":0},"citationItems":[{"id":150,"uris":["http://zotero.org/users/local/4rfnQu81/items/XU2SBFWE"],"uri":["http://zotero.org/users/local/4rfnQu81/items/XU2SBFWE"],"itemData":{"id":150,"type":"article-journal","container-title":"Brain, Behavior, and Immunity","DOI":"10.1016/j.bbi.2020.06.005","ISSN":"10902139","issue":"June","note":"publisher: Elsevier\nPMID: 32525049","page":"940–944","title":"Intracerebral haemorrhage and COVID-19: Clinical characteristics from a case series","volume":"88","author":[{"family":"Benger","given":"Matthew"},{"family":"Williams","given":"Owain"},{"family":"Siddiqui","given":"Juveria"},{"family":"Sztriha","given":"Laszlo"}],"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529E7">
              <w:rPr>
                <w:rFonts w:ascii="Times New Roman" w:hAnsi="Times New Roman" w:cs="Times New Roman"/>
                <w:color w:val="000000"/>
                <w:sz w:val="13"/>
                <w:vertAlign w:val="superscript"/>
                <w:lang w:val="de-DE"/>
              </w:rPr>
              <w:t>5</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3678504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5D5B480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77</w:t>
            </w:r>
          </w:p>
        </w:tc>
        <w:tc>
          <w:tcPr>
            <w:tcW w:w="384" w:type="pct"/>
            <w:tcBorders>
              <w:top w:val="nil"/>
              <w:left w:val="nil"/>
              <w:bottom w:val="nil"/>
              <w:right w:val="nil"/>
            </w:tcBorders>
            <w:shd w:val="clear" w:color="auto" w:fill="auto"/>
            <w:noWrap/>
            <w:vAlign w:val="center"/>
            <w:hideMark/>
          </w:tcPr>
          <w:p w14:paraId="11E6606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15</w:t>
            </w:r>
          </w:p>
        </w:tc>
        <w:tc>
          <w:tcPr>
            <w:tcW w:w="275" w:type="pct"/>
            <w:tcBorders>
              <w:top w:val="nil"/>
              <w:left w:val="nil"/>
              <w:bottom w:val="nil"/>
              <w:right w:val="nil"/>
            </w:tcBorders>
            <w:shd w:val="clear" w:color="auto" w:fill="auto"/>
            <w:noWrap/>
            <w:vAlign w:val="center"/>
            <w:hideMark/>
          </w:tcPr>
          <w:p w14:paraId="4E0D039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noWrap/>
            <w:vAlign w:val="center"/>
            <w:hideMark/>
          </w:tcPr>
          <w:p w14:paraId="644EBBB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3B839CB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313</w:t>
            </w:r>
          </w:p>
        </w:tc>
        <w:tc>
          <w:tcPr>
            <w:tcW w:w="493" w:type="pct"/>
            <w:tcBorders>
              <w:top w:val="nil"/>
              <w:left w:val="nil"/>
              <w:bottom w:val="nil"/>
              <w:right w:val="nil"/>
            </w:tcBorders>
            <w:shd w:val="clear" w:color="auto" w:fill="auto"/>
            <w:noWrap/>
            <w:vAlign w:val="center"/>
            <w:hideMark/>
          </w:tcPr>
          <w:p w14:paraId="431F03E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8</w:t>
            </w:r>
          </w:p>
        </w:tc>
        <w:tc>
          <w:tcPr>
            <w:tcW w:w="629" w:type="pct"/>
            <w:tcBorders>
              <w:top w:val="nil"/>
              <w:left w:val="nil"/>
              <w:bottom w:val="nil"/>
              <w:right w:val="nil"/>
            </w:tcBorders>
            <w:shd w:val="clear" w:color="auto" w:fill="auto"/>
            <w:noWrap/>
            <w:vAlign w:val="center"/>
            <w:hideMark/>
          </w:tcPr>
          <w:p w14:paraId="17E560F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55C6292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38</w:t>
            </w:r>
          </w:p>
        </w:tc>
        <w:tc>
          <w:tcPr>
            <w:tcW w:w="275" w:type="pct"/>
            <w:tcBorders>
              <w:top w:val="nil"/>
              <w:left w:val="nil"/>
              <w:bottom w:val="nil"/>
              <w:right w:val="nil"/>
            </w:tcBorders>
            <w:shd w:val="clear" w:color="auto" w:fill="auto"/>
            <w:noWrap/>
            <w:vAlign w:val="center"/>
            <w:hideMark/>
          </w:tcPr>
          <w:p w14:paraId="2E26220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5</w:t>
            </w:r>
          </w:p>
        </w:tc>
      </w:tr>
      <w:tr w:rsidR="007A62EC" w:rsidRPr="007B37AC" w14:paraId="73D4783F" w14:textId="77777777" w:rsidTr="007B37AC">
        <w:trPr>
          <w:trHeight w:val="320"/>
        </w:trPr>
        <w:tc>
          <w:tcPr>
            <w:tcW w:w="1058" w:type="pct"/>
            <w:tcBorders>
              <w:top w:val="nil"/>
              <w:left w:val="nil"/>
              <w:bottom w:val="nil"/>
              <w:right w:val="nil"/>
            </w:tcBorders>
            <w:shd w:val="clear" w:color="auto" w:fill="auto"/>
            <w:noWrap/>
            <w:vAlign w:val="center"/>
            <w:hideMark/>
          </w:tcPr>
          <w:p w14:paraId="168BE2A1" w14:textId="444CCA74"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Ca</w:t>
            </w:r>
            <w:proofErr w:type="spellStart"/>
            <w:r>
              <w:rPr>
                <w:rFonts w:ascii="Times New Roman" w:eastAsia="Times New Roman" w:hAnsi="Times New Roman" w:cs="Times New Roman"/>
                <w:color w:val="000000"/>
                <w:sz w:val="13"/>
                <w:szCs w:val="13"/>
                <w:lang w:val="de-DE" w:eastAsia="de-DE"/>
              </w:rPr>
              <w:t>nnac</w:t>
            </w:r>
            <w:proofErr w:type="spellEnd"/>
            <w:r w:rsidRPr="00C336CB">
              <w:rPr>
                <w:rFonts w:ascii="Times New Roman" w:eastAsia="Times New Roman" w:hAnsi="Times New Roman" w:cs="Times New Roman"/>
                <w:color w:val="000000"/>
                <w:sz w:val="13"/>
                <w:szCs w:val="13"/>
                <w:lang w:eastAsia="de-DE"/>
              </w:rPr>
              <w:t xml:space="preserve">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{"citationID":"Mkd6c5fL","properties":{"formattedCitation":"\\super 6\\nosupersub{}","plainCitation":"6","noteIndex":0},"citationItems":[{"id":121,"uris":["http://zotero.org/users/local/4rfnQu81/items/VP36MLRL"],"uri":["http://zotero.org/users/local/4rfnQu81/items/VP36MLRL"],"itemData":{"id":121,"type":"article-journal","container-title":"Neurology","DOI":"10.1212/WNL.0000000000010537","ISSN":"1526632X","issue":"11","note":"ISBN: 0000000000\nPMID: 32727834","page":"498–499","title":"Critical illness-associated cerebral microbleeds in COVID-19 acute respiratory distress syndrome","volume":"95","author":[{"family":"Cannac","given":"Octave"},{"family":"Martinez-Almoyna","given":"Laurent"},{"family":"Hraiech","given":"Sami"}],"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529E7">
              <w:rPr>
                <w:rFonts w:ascii="Times New Roman" w:hAnsi="Times New Roman" w:cs="Times New Roman"/>
                <w:color w:val="000000"/>
                <w:sz w:val="13"/>
                <w:vertAlign w:val="superscript"/>
                <w:lang w:val="de-DE"/>
              </w:rPr>
              <w:t>6</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0F81E6C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5B13461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0D748AC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4AFC53B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4D23D35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726F9E3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3F15E6F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46499DA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MRI</w:t>
            </w:r>
          </w:p>
        </w:tc>
        <w:tc>
          <w:tcPr>
            <w:tcW w:w="316" w:type="pct"/>
            <w:tcBorders>
              <w:top w:val="nil"/>
              <w:left w:val="nil"/>
              <w:bottom w:val="nil"/>
              <w:right w:val="nil"/>
            </w:tcBorders>
            <w:shd w:val="clear" w:color="auto" w:fill="auto"/>
            <w:noWrap/>
            <w:vAlign w:val="center"/>
            <w:hideMark/>
          </w:tcPr>
          <w:p w14:paraId="1132751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57C320F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505AC0CB" w14:textId="77777777" w:rsidTr="007B37AC">
        <w:trPr>
          <w:trHeight w:val="320"/>
        </w:trPr>
        <w:tc>
          <w:tcPr>
            <w:tcW w:w="1058" w:type="pct"/>
            <w:tcBorders>
              <w:top w:val="nil"/>
              <w:left w:val="nil"/>
              <w:bottom w:val="nil"/>
              <w:right w:val="nil"/>
            </w:tcBorders>
            <w:shd w:val="clear" w:color="auto" w:fill="auto"/>
            <w:noWrap/>
            <w:vAlign w:val="center"/>
            <w:hideMark/>
          </w:tcPr>
          <w:p w14:paraId="391604E5" w14:textId="11A0B791"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Caroll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{"citationID":"1yo9UaPF","properties":{"formattedCitation":"\\super 7\\nosupersub{}","plainCitation":"7","noteIndex":0},"citationItems":[{"id":60,"uris":["http://zotero.org/users/local/4rfnQu81/items/GQTLXRJY"],"uri":["http://zotero.org/users/local/4rfnQu81/items/GQTLXRJY"],"itemData":{"id":60,"type":"article-journal","container-title":"Neurocritical care","DOI":"10.1007/s12028-020-00993-5","ISSN":"1556-0961 (Electronic)","language":"eng","note":"PMID: 32458333","page":"1–5","title":"Catastrophic Intracranial Hemorrhage in Two Critically Ill Patients with COVID-19.","author":[{"family":"Carroll","given":"Elizabeth"},{"family":"Lewis","given":"Ariane"}],"issued":{"date-parts":[["2020",5]]}}}],"schema":"https://github.com/citation-style-language/schema/raw/master/csl-citation.json"}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529E7">
              <w:rPr>
                <w:rFonts w:ascii="Times New Roman" w:hAnsi="Times New Roman" w:cs="Times New Roman"/>
                <w:color w:val="000000"/>
                <w:sz w:val="13"/>
                <w:vertAlign w:val="superscript"/>
                <w:lang w:val="de-DE"/>
              </w:rPr>
              <w:t>7</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1CC6905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6C2A6F6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370</w:t>
            </w:r>
          </w:p>
        </w:tc>
        <w:tc>
          <w:tcPr>
            <w:tcW w:w="384" w:type="pct"/>
            <w:tcBorders>
              <w:top w:val="nil"/>
              <w:left w:val="nil"/>
              <w:bottom w:val="nil"/>
              <w:right w:val="nil"/>
            </w:tcBorders>
            <w:shd w:val="clear" w:color="auto" w:fill="auto"/>
            <w:noWrap/>
            <w:vAlign w:val="center"/>
            <w:hideMark/>
          </w:tcPr>
          <w:p w14:paraId="3301C36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17</w:t>
            </w:r>
          </w:p>
        </w:tc>
        <w:tc>
          <w:tcPr>
            <w:tcW w:w="275" w:type="pct"/>
            <w:tcBorders>
              <w:top w:val="nil"/>
              <w:left w:val="nil"/>
              <w:bottom w:val="nil"/>
              <w:right w:val="nil"/>
            </w:tcBorders>
            <w:shd w:val="clear" w:color="auto" w:fill="auto"/>
            <w:noWrap/>
            <w:vAlign w:val="center"/>
            <w:hideMark/>
          </w:tcPr>
          <w:p w14:paraId="65B2046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795F05C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4D6CBB5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123</w:t>
            </w:r>
          </w:p>
        </w:tc>
        <w:tc>
          <w:tcPr>
            <w:tcW w:w="493" w:type="pct"/>
            <w:tcBorders>
              <w:top w:val="nil"/>
              <w:left w:val="nil"/>
              <w:bottom w:val="nil"/>
              <w:right w:val="nil"/>
            </w:tcBorders>
            <w:shd w:val="clear" w:color="auto" w:fill="auto"/>
            <w:noWrap/>
            <w:vAlign w:val="center"/>
            <w:hideMark/>
          </w:tcPr>
          <w:p w14:paraId="5F5CE18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10</w:t>
            </w:r>
          </w:p>
        </w:tc>
        <w:tc>
          <w:tcPr>
            <w:tcW w:w="629" w:type="pct"/>
            <w:tcBorders>
              <w:top w:val="nil"/>
              <w:left w:val="nil"/>
              <w:bottom w:val="nil"/>
              <w:right w:val="nil"/>
            </w:tcBorders>
            <w:shd w:val="clear" w:color="auto" w:fill="auto"/>
            <w:noWrap/>
            <w:vAlign w:val="center"/>
            <w:hideMark/>
          </w:tcPr>
          <w:p w14:paraId="09451D3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3B7D7AC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w:t>
            </w:r>
          </w:p>
        </w:tc>
        <w:tc>
          <w:tcPr>
            <w:tcW w:w="275" w:type="pct"/>
            <w:tcBorders>
              <w:top w:val="nil"/>
              <w:left w:val="nil"/>
              <w:bottom w:val="nil"/>
              <w:right w:val="nil"/>
            </w:tcBorders>
            <w:shd w:val="clear" w:color="auto" w:fill="auto"/>
            <w:noWrap/>
            <w:vAlign w:val="center"/>
            <w:hideMark/>
          </w:tcPr>
          <w:p w14:paraId="57DCE56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4145EFB1" w14:textId="77777777" w:rsidTr="007B37AC">
        <w:trPr>
          <w:trHeight w:val="320"/>
        </w:trPr>
        <w:tc>
          <w:tcPr>
            <w:tcW w:w="1058" w:type="pct"/>
            <w:tcBorders>
              <w:top w:val="nil"/>
              <w:left w:val="nil"/>
              <w:bottom w:val="nil"/>
              <w:right w:val="nil"/>
            </w:tcBorders>
            <w:shd w:val="clear" w:color="auto" w:fill="auto"/>
            <w:noWrap/>
            <w:vAlign w:val="center"/>
            <w:hideMark/>
          </w:tcPr>
          <w:p w14:paraId="44A3140C" w14:textId="555D2012"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Caroll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{"citationID":"Dpp8lqsZ","properties":{"formattedCitation":"\\super 7\\nosupersub{}","plainCitation":"7","noteIndex":0},"citationItems":[{"id":60,"uris":["http://zotero.org/users/local/4rfnQu81/items/GQTLXRJY"],"uri":["http://zotero.org/users/local/4rfnQu81/items/GQTLXRJY"],"itemData":{"id":60,"type":"article-journal","container-title":"Neurocritical care","DOI":"10.1007/s12028-020-00993-5","ISSN":"1556-0961 (Electronic)","language":"eng","note":"PMID: 32458333","page":"1–5","title":"Catastrophic Intracranial Hemorrhage in Two Critically Ill Patients with COVID-19.","author":[{"family":"Carroll","given":"Elizabeth"},{"family":"Lewis","given":"Ariane"}],"issued":{"date-parts":[["2020",5]]}}}],"schema":"https://github.com/citation-style-language/schema/raw/master/csl-citation.json"}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529E7">
              <w:rPr>
                <w:rFonts w:ascii="Times New Roman" w:hAnsi="Times New Roman" w:cs="Times New Roman"/>
                <w:color w:val="000000"/>
                <w:sz w:val="13"/>
                <w:vertAlign w:val="superscript"/>
                <w:lang w:val="de-DE"/>
              </w:rPr>
              <w:t>7</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3F44E43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7F4CAD1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415</w:t>
            </w:r>
          </w:p>
        </w:tc>
        <w:tc>
          <w:tcPr>
            <w:tcW w:w="384" w:type="pct"/>
            <w:tcBorders>
              <w:top w:val="nil"/>
              <w:left w:val="nil"/>
              <w:bottom w:val="nil"/>
              <w:right w:val="nil"/>
            </w:tcBorders>
            <w:shd w:val="clear" w:color="auto" w:fill="auto"/>
            <w:noWrap/>
            <w:vAlign w:val="center"/>
            <w:hideMark/>
          </w:tcPr>
          <w:p w14:paraId="3B99E20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18</w:t>
            </w:r>
          </w:p>
        </w:tc>
        <w:tc>
          <w:tcPr>
            <w:tcW w:w="275" w:type="pct"/>
            <w:tcBorders>
              <w:top w:val="nil"/>
              <w:left w:val="nil"/>
              <w:bottom w:val="nil"/>
              <w:right w:val="nil"/>
            </w:tcBorders>
            <w:shd w:val="clear" w:color="auto" w:fill="auto"/>
            <w:noWrap/>
            <w:vAlign w:val="center"/>
            <w:hideMark/>
          </w:tcPr>
          <w:p w14:paraId="19807B0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70FBE77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0AEBEE7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210</w:t>
            </w:r>
          </w:p>
        </w:tc>
        <w:tc>
          <w:tcPr>
            <w:tcW w:w="493" w:type="pct"/>
            <w:tcBorders>
              <w:top w:val="nil"/>
              <w:left w:val="nil"/>
              <w:bottom w:val="nil"/>
              <w:right w:val="nil"/>
            </w:tcBorders>
            <w:shd w:val="clear" w:color="auto" w:fill="auto"/>
            <w:noWrap/>
            <w:vAlign w:val="center"/>
            <w:hideMark/>
          </w:tcPr>
          <w:p w14:paraId="182724A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5</w:t>
            </w:r>
          </w:p>
        </w:tc>
        <w:tc>
          <w:tcPr>
            <w:tcW w:w="629" w:type="pct"/>
            <w:tcBorders>
              <w:top w:val="nil"/>
              <w:left w:val="nil"/>
              <w:bottom w:val="nil"/>
              <w:right w:val="nil"/>
            </w:tcBorders>
            <w:shd w:val="clear" w:color="auto" w:fill="auto"/>
            <w:noWrap/>
            <w:vAlign w:val="center"/>
            <w:hideMark/>
          </w:tcPr>
          <w:p w14:paraId="30B66FC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61EA7C2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17</w:t>
            </w:r>
          </w:p>
        </w:tc>
        <w:tc>
          <w:tcPr>
            <w:tcW w:w="275" w:type="pct"/>
            <w:tcBorders>
              <w:top w:val="nil"/>
              <w:left w:val="nil"/>
              <w:bottom w:val="nil"/>
              <w:right w:val="nil"/>
            </w:tcBorders>
            <w:shd w:val="clear" w:color="auto" w:fill="auto"/>
            <w:noWrap/>
            <w:vAlign w:val="center"/>
            <w:hideMark/>
          </w:tcPr>
          <w:p w14:paraId="7BA9EF1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44CE2D9A" w14:textId="77777777" w:rsidTr="007B37AC">
        <w:trPr>
          <w:trHeight w:val="320"/>
        </w:trPr>
        <w:tc>
          <w:tcPr>
            <w:tcW w:w="1058" w:type="pct"/>
            <w:tcBorders>
              <w:top w:val="nil"/>
              <w:left w:val="nil"/>
              <w:bottom w:val="nil"/>
              <w:right w:val="nil"/>
            </w:tcBorders>
            <w:shd w:val="clear" w:color="auto" w:fill="auto"/>
            <w:noWrap/>
            <w:vAlign w:val="center"/>
            <w:hideMark/>
          </w:tcPr>
          <w:p w14:paraId="330924E8" w14:textId="50F59FBC"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Chougar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{"citationID":"dRHBfV08","properties":{"formattedCitation":"\\super 8\\nosupersub{}","plainCitation":"8","noteIndex":0},"citationItems":[{"id":46,"uris":["http://zotero.org/users/local/4rfnQu81/items/PKDNPKE5"],"uri":["http://zotero.org/users/local/4rfnQu81/items/PKDNPKE5"],"itemData":{"id":46,"type":"article-journal","abstract":"There is growing evidence that Severe Acute Respiratory Syndrome coronavirus 2 (SARS-CoV-2) has a neurotropic and neuroinvasive potential. In particular, neurologic complications associated with the infection by SARS-CoV-2 include strokes that may result from a dysregulated inflammatory response to the infection. We report an atypical deep cerebral vein thrombosis complicated with hemorrhagic venous infarction in a patient positive for SARS-CoV-2 with no risk factors for thrombosis.","container-title":"AJNR. American journal of neuroradiology","DOI":"10.3174/ajnr.A6642","ISSN":"1936-959X (Electronic)","issue":"8","language":"eng","note":"PMID: 32554423","page":"1377–1379","title":"Atypical Deep Cerebral Vein Thrombosis with Hemorrhagic Venous Infarction in a Patient Positive for COVID-19.","volume":"41","author":[{"family":"Chougar","given":"L"},{"family":"Mathon","given":"B"},{"family":"Weiss","given":"N"},{"family":"Degos","given":"V"},{"family":"Shor","given":"N"}],"issued":{"date-parts":[["2020",8]]}}}],"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529E7">
              <w:rPr>
                <w:rFonts w:ascii="Times New Roman" w:hAnsi="Times New Roman" w:cs="Times New Roman"/>
                <w:color w:val="000000"/>
                <w:sz w:val="13"/>
                <w:vertAlign w:val="superscript"/>
                <w:lang w:val="de-DE"/>
              </w:rPr>
              <w:t>8</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00D9965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6AAAE89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39AA73E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5B2D267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6E2A140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5F50089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1C6783C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4A36E56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CT/MRI</w:t>
            </w:r>
          </w:p>
        </w:tc>
        <w:tc>
          <w:tcPr>
            <w:tcW w:w="316" w:type="pct"/>
            <w:tcBorders>
              <w:top w:val="nil"/>
              <w:left w:val="nil"/>
              <w:bottom w:val="nil"/>
              <w:right w:val="nil"/>
            </w:tcBorders>
            <w:shd w:val="clear" w:color="auto" w:fill="auto"/>
            <w:noWrap/>
            <w:vAlign w:val="center"/>
            <w:hideMark/>
          </w:tcPr>
          <w:p w14:paraId="370B42D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w:t>
            </w:r>
          </w:p>
        </w:tc>
        <w:tc>
          <w:tcPr>
            <w:tcW w:w="275" w:type="pct"/>
            <w:tcBorders>
              <w:top w:val="nil"/>
              <w:left w:val="nil"/>
              <w:bottom w:val="nil"/>
              <w:right w:val="nil"/>
            </w:tcBorders>
            <w:shd w:val="clear" w:color="auto" w:fill="auto"/>
            <w:noWrap/>
            <w:vAlign w:val="center"/>
            <w:hideMark/>
          </w:tcPr>
          <w:p w14:paraId="460EE75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722121C6" w14:textId="77777777" w:rsidTr="007B37AC">
        <w:trPr>
          <w:trHeight w:val="320"/>
        </w:trPr>
        <w:tc>
          <w:tcPr>
            <w:tcW w:w="1058" w:type="pct"/>
            <w:tcBorders>
              <w:top w:val="nil"/>
              <w:left w:val="nil"/>
              <w:bottom w:val="nil"/>
              <w:right w:val="nil"/>
            </w:tcBorders>
            <w:shd w:val="clear" w:color="auto" w:fill="auto"/>
            <w:noWrap/>
            <w:vAlign w:val="center"/>
            <w:hideMark/>
          </w:tcPr>
          <w:p w14:paraId="34B858D8" w14:textId="1DE5B3B8"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Daci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{"citationID":"9eDWBUk3","properties":{"formattedCitation":"\\super 9\\nosupersub{}","plainCitation":"9","noteIndex":0},"citationItems":[{"id":24,"uris":["http://zotero.org/users/local/4rfnQu81/items/FFPGQUUZ"],"uri":["http://zotero.org/users/local/4rfnQu81/items/FFPGQUUZ"],"itemData":{"id":24,"type":"article-journal","abstract":"Bilateral basal ganglia hemorrhage is exceedingly rare. To our knowledge, our patient is the first reported case of a confirmed coronavirus disease 2019 (COVID-19) patient who had bilateral basal ganglia hemorrhage. In the absence of other risk factors for bilateral deep cerebral involvement, we suspect that COVID-19 may be contributing to these rare pathologies. Most published data represent a correlation between COVID-19 and neurologic complications, and more research is still needed to prove causation.","container-title":"AJNR. American journal of neuroradiology","DOI":"10.3174/ajnr.A6712","ISSN":"1936-959X (Electronic)","issue":"10","language":"eng","note":"PMID: 32819902","page":"1797–1799","title":"Bilateral Basal Ganglia Hemorrhage in a Patient with Confirmed COVID-19.","volume":"41","author":[{"family":"Daci","given":"R"},{"family":"Kennelly","given":"M"},{"family":"Ferris","given":"A"},{"family":"Azeem","given":"M U"},{"family":"Johnson","given":"M D"},{"family":"Hamzei-Sichani","given":"F"},{"family":"Jun-O'Connell","given":"A H"},{"family":"Natarajan","given":"S K"}],"issued":{"date-parts":[["2020",10]]}}}],"schema":"https://github.com/citation-style-language/schema/raw/master/csl-citation.json"}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529E7">
              <w:rPr>
                <w:rFonts w:ascii="Times New Roman" w:hAnsi="Times New Roman" w:cs="Times New Roman"/>
                <w:color w:val="000000"/>
                <w:sz w:val="13"/>
                <w:vertAlign w:val="superscript"/>
                <w:lang w:val="de-DE"/>
              </w:rPr>
              <w:t>9</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1F351F8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17B037A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5E54EFC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7B7F1F1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56D7F2D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358B30B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37D9A35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335B406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CT/MRI</w:t>
            </w:r>
          </w:p>
        </w:tc>
        <w:tc>
          <w:tcPr>
            <w:tcW w:w="316" w:type="pct"/>
            <w:tcBorders>
              <w:top w:val="nil"/>
              <w:left w:val="nil"/>
              <w:bottom w:val="nil"/>
              <w:right w:val="nil"/>
            </w:tcBorders>
            <w:shd w:val="clear" w:color="auto" w:fill="auto"/>
            <w:noWrap/>
            <w:vAlign w:val="center"/>
            <w:hideMark/>
          </w:tcPr>
          <w:p w14:paraId="4EC2916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1951CC8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7BA4BE78" w14:textId="77777777" w:rsidTr="007B37AC">
        <w:trPr>
          <w:trHeight w:val="320"/>
        </w:trPr>
        <w:tc>
          <w:tcPr>
            <w:tcW w:w="1058" w:type="pct"/>
            <w:tcBorders>
              <w:top w:val="nil"/>
              <w:left w:val="nil"/>
              <w:bottom w:val="nil"/>
              <w:right w:val="nil"/>
            </w:tcBorders>
            <w:shd w:val="clear" w:color="auto" w:fill="auto"/>
            <w:noWrap/>
            <w:vAlign w:val="center"/>
            <w:hideMark/>
          </w:tcPr>
          <w:p w14:paraId="7C199FFD" w14:textId="2CBDD67B"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Dakay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{"citationID":"DwNGldOM","properties":{"formattedCitation":"\\super 10\\nosupersub{}","plainCitation":"10","noteIndex":0},"citationItems":[{"id":64,"uris":["http://zotero.org/users/local/4rfnQu81/items/FWCSC83V"],"uri":["http://zotero.org/users/local/4rfnQu81/items/FWCSC83V"],"itemData":{"id":64,"type":"book","abstract":"The current COVID-19 pandemic has recently brought to attention the myriad of neuro- logic sequelae associated with Coronavirus infection including the predilection for stroke, particularly in young patients. Reversible cerebral vasoconstriction syndrome (RCVS) is a well-described clinical syndrome leading to vasoconstriction in the intracra- nial vessels, and has been associated with convexity subarachnoid hemorrhage and oc- casionally cervical artery dissection. It is usually reported in the context of a trigger such as medications, recreational drugs, or the postpartum state; however, it has not been described in COVID-19 infection. We report a case of both cervical vertebral ar- tery dissection as well as convexity subarachnoid hemorrhage due to RCVS, in a pa- tient with COVID-19 infection and no other triggers.","collection-number":"9","language":"eng","note":"ISSN: 1532-8511 (Electronic)\ncontainer-title: Journal of stroke and cerebrovascular diseases : the official journal of National Stroke Association\nDOI: 10.1016/j.jstrokecerebrovasdis.2020.105011\nPMID: 32807426","number-of-pages":"105011","title":"Reversible cerebral vasoconstriction syndrome and dissection in the setting of COVID-19 infection.","volume":"29","author":[{"family":"Dakay","given":"Katarina"},{"family":"Kaur","given":"Gurmeen"},{"family":"Gulko","given":"Edwin"},{"family":"Santarelli","given":"Justin"},{"family":"Bowers","given":"Christian"},{"family":"Mayer","given":"Stephan A"},{"family":"Gandhi","given":"Chirag D"},{"family":"Al-Mufti","given":"Fawaz"}],"issued":{"date-parts":[["2020",9]]}}}],"schema":"https://github.com/citation-style-language/schema/raw/master/csl-citation.json"}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529E7">
              <w:rPr>
                <w:rFonts w:ascii="Times New Roman" w:hAnsi="Times New Roman" w:cs="Times New Roman"/>
                <w:color w:val="000000"/>
                <w:sz w:val="13"/>
                <w:vertAlign w:val="superscript"/>
                <w:lang w:val="de-DE"/>
              </w:rPr>
              <w:t>10</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7E1B9ED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6575BA5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707AD62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3377612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05D5EE4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7B23EC7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2C33920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5176200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3BB7DF0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12</w:t>
            </w:r>
          </w:p>
        </w:tc>
        <w:tc>
          <w:tcPr>
            <w:tcW w:w="275" w:type="pct"/>
            <w:tcBorders>
              <w:top w:val="nil"/>
              <w:left w:val="nil"/>
              <w:bottom w:val="nil"/>
              <w:right w:val="nil"/>
            </w:tcBorders>
            <w:shd w:val="clear" w:color="auto" w:fill="auto"/>
            <w:noWrap/>
            <w:vAlign w:val="center"/>
            <w:hideMark/>
          </w:tcPr>
          <w:p w14:paraId="17F3B64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0</w:t>
            </w:r>
          </w:p>
        </w:tc>
      </w:tr>
      <w:tr w:rsidR="007A62EC" w:rsidRPr="007B37AC" w14:paraId="33D25EF7" w14:textId="77777777" w:rsidTr="007B37AC">
        <w:trPr>
          <w:trHeight w:val="320"/>
        </w:trPr>
        <w:tc>
          <w:tcPr>
            <w:tcW w:w="1058" w:type="pct"/>
            <w:tcBorders>
              <w:top w:val="nil"/>
              <w:left w:val="nil"/>
              <w:bottom w:val="nil"/>
              <w:right w:val="nil"/>
            </w:tcBorders>
            <w:shd w:val="clear" w:color="auto" w:fill="auto"/>
            <w:noWrap/>
            <w:vAlign w:val="center"/>
            <w:hideMark/>
          </w:tcPr>
          <w:p w14:paraId="7A2C0B62" w14:textId="0861FE3C"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De Stefano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{"citationID":"rVrPqP76","properties":{"formattedCitation":"\\super 11\\nosupersub{}","plainCitation":"11","noteIndex":0},"citationItems":[{"id":1369,"uris":["http://zotero.org/users/local/4rfnQu81/items/N64RTUNJ"],"uri":["http://zotero.org/users/local/4rfnQu81/items/N64RTUNJ"],"itemData":{"id":1369,"type":"book","abstract":"OBJECTIVES: We describe a patient suffering from Covid19-related acute respiratory distress syndrome (ARDS), highlighting the diagnostic role of the EEG in ICU. HISTORY: A Covid-19 patient undergoing mechanical ventilation due to related acute respiratory distress syndrome (ARDS), presented altered mental status in the ICU. Video-EEG revealed a focal monomorphic theta slowing in bilateral frontal-central regions. Concordant with the EEG localization, MRI showed abundant microbleeds located in bilateral white matter junction, various regions of corpus callosum and internal capsule, suggestive of Critical Illness-Associated Cerebral Microbleeds. CSF analysis excluded the presence of encephalitis, SARS-Cov2 RNA-PCR in CSF was negative. Clinical and biological picture was suggestive of cytokine release syndrome. CONCLUSION: This is the first reported case of Critical Illness-Associated Cerebral Microbleeds in the context of Covid-19. Knowledge of Covid-19 is still partial and acute neurological complications should be explored systematically. In our case, EEG helped to rule out non-convulsive status epilepticus, but revealed focal dysfunction, justifying further investigations.EEG plays a crucial role in these patients, allowing investigating the presence of focal or diffuse cerebral dysfunction. This is particularly helpful for Covid-19 patients in the ICU, where the neurological examination is challenging by the severity of the respiratory illness.","language":"eng","note":"ISSN: 2467-981X (Electronic)\ncontainer-title: Clinical neurophysiology practice\nDOI: 10.1016/j.cnp.2020.05.004\nPMID: 32607454","number-of-pages":"125–129","title":"Focal EEG changes indicating critical illness associated cerebral microbleeds in a Covid-19 patient.","volume":"5","author":[{"family":"De Stefano","given":"Pia"},{"family":"Nencha","given":"Umberto"},{"family":"De Stefano","given":"Ludovico"},{"family":"Mégevand","given":"Pierre"},{"family":"Seeck","given":"Margitta"}],"issued":{"date-parts":[["2020"]]}}}],"schema":"https://github.com/citation-style-language/schema/raw/master/csl-citation.json"}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529E7">
              <w:rPr>
                <w:rFonts w:ascii="Times New Roman" w:hAnsi="Times New Roman" w:cs="Times New Roman"/>
                <w:color w:val="000000"/>
                <w:sz w:val="13"/>
                <w:vertAlign w:val="superscript"/>
                <w:lang w:val="de-DE"/>
              </w:rPr>
              <w:t>11</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06BDB04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1BA5F84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52</w:t>
            </w:r>
          </w:p>
        </w:tc>
        <w:tc>
          <w:tcPr>
            <w:tcW w:w="384" w:type="pct"/>
            <w:tcBorders>
              <w:top w:val="nil"/>
              <w:left w:val="nil"/>
              <w:bottom w:val="nil"/>
              <w:right w:val="nil"/>
            </w:tcBorders>
            <w:shd w:val="clear" w:color="auto" w:fill="auto"/>
            <w:noWrap/>
            <w:vAlign w:val="center"/>
            <w:hideMark/>
          </w:tcPr>
          <w:p w14:paraId="4932D1C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w:t>
            </w:r>
          </w:p>
        </w:tc>
        <w:tc>
          <w:tcPr>
            <w:tcW w:w="275" w:type="pct"/>
            <w:tcBorders>
              <w:top w:val="nil"/>
              <w:left w:val="nil"/>
              <w:bottom w:val="nil"/>
              <w:right w:val="nil"/>
            </w:tcBorders>
            <w:shd w:val="clear" w:color="auto" w:fill="auto"/>
            <w:noWrap/>
            <w:vAlign w:val="center"/>
            <w:hideMark/>
          </w:tcPr>
          <w:p w14:paraId="3DA771A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5BC0C94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0DF64A9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602</w:t>
            </w:r>
          </w:p>
        </w:tc>
        <w:tc>
          <w:tcPr>
            <w:tcW w:w="493" w:type="pct"/>
            <w:tcBorders>
              <w:top w:val="nil"/>
              <w:left w:val="nil"/>
              <w:bottom w:val="nil"/>
              <w:right w:val="nil"/>
            </w:tcBorders>
            <w:shd w:val="clear" w:color="auto" w:fill="auto"/>
            <w:noWrap/>
            <w:vAlign w:val="center"/>
            <w:hideMark/>
          </w:tcPr>
          <w:p w14:paraId="3C98334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w:t>
            </w:r>
          </w:p>
        </w:tc>
        <w:tc>
          <w:tcPr>
            <w:tcW w:w="629" w:type="pct"/>
            <w:tcBorders>
              <w:top w:val="nil"/>
              <w:left w:val="nil"/>
              <w:bottom w:val="nil"/>
              <w:right w:val="nil"/>
            </w:tcBorders>
            <w:shd w:val="clear" w:color="auto" w:fill="auto"/>
            <w:noWrap/>
            <w:vAlign w:val="center"/>
            <w:hideMark/>
          </w:tcPr>
          <w:p w14:paraId="35F351D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MRI</w:t>
            </w:r>
          </w:p>
        </w:tc>
        <w:tc>
          <w:tcPr>
            <w:tcW w:w="316" w:type="pct"/>
            <w:tcBorders>
              <w:top w:val="nil"/>
              <w:left w:val="nil"/>
              <w:bottom w:val="nil"/>
              <w:right w:val="nil"/>
            </w:tcBorders>
            <w:shd w:val="clear" w:color="auto" w:fill="auto"/>
            <w:noWrap/>
            <w:vAlign w:val="center"/>
            <w:hideMark/>
          </w:tcPr>
          <w:p w14:paraId="5298011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24</w:t>
            </w:r>
          </w:p>
        </w:tc>
        <w:tc>
          <w:tcPr>
            <w:tcW w:w="275" w:type="pct"/>
            <w:tcBorders>
              <w:top w:val="nil"/>
              <w:left w:val="nil"/>
              <w:bottom w:val="nil"/>
              <w:right w:val="nil"/>
            </w:tcBorders>
            <w:shd w:val="clear" w:color="auto" w:fill="auto"/>
            <w:noWrap/>
            <w:vAlign w:val="center"/>
            <w:hideMark/>
          </w:tcPr>
          <w:p w14:paraId="2C6EDAF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30E7C089" w14:textId="77777777" w:rsidTr="007B37AC">
        <w:trPr>
          <w:trHeight w:val="320"/>
        </w:trPr>
        <w:tc>
          <w:tcPr>
            <w:tcW w:w="1058" w:type="pct"/>
            <w:tcBorders>
              <w:top w:val="nil"/>
              <w:left w:val="nil"/>
              <w:bottom w:val="nil"/>
              <w:right w:val="nil"/>
            </w:tcBorders>
            <w:shd w:val="clear" w:color="auto" w:fill="auto"/>
            <w:noWrap/>
            <w:vAlign w:val="center"/>
            <w:hideMark/>
          </w:tcPr>
          <w:p w14:paraId="2891F689" w14:textId="2F46443C"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lastRenderedPageBreak/>
              <w:t xml:space="preserve">Dixon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{"citationID":"VJjfREJt","properties":{"formattedCitation":"\\super 12\\nosupersub{}","plainCitation":"12","noteIndex":0},"citationItems":[{"id":188,"uris":["http://zotero.org/users/local/4rfnQu81/items/22HHSYB6"],"uri":["http://zotero.org/users/local/4rfnQu81/items/22HHSYB6"],"itemData":{"id":188,"type":"article-journal","abstract":"OBJECTIVE: To describe a novel case of coronavirus disease 2019 (COVID-19)-associated acute necrotizing encephalopathy (ANE) in a patient with aplastic anemia where there was early brain stem-predominant involvement. METHODS: Evaluation of cause, clinical symptoms, and treatment response. RESULTS: A 59-year-old woman with a background of transfusion-dependent aplastic anemia presented with seizures and reduced level of consciousness 10 days after the onset of subjective fever, cough, and headache. Nasopharyngeal swab testing for severe acute respiratory syndrome coronavirus (SARS-CoV-2) was positive, and CT during admission demonstrated diffuse swelling of the brain stem. She required intubation and mechanical ventilation for airway protection, given her reduced level of consciousness. The patient's condition deteriorated, and MRI on day 6 demonstrated worsening brain stem swelling with symmetrical hemorrhagic lesions in the brain stem, amygdalae, putamina, and thalamic nuclei. Appearances were consistent with hemorrhagic ANE with early brain stem involvement. The patient showed no response to steroid therapy and died on the eighth day of admission. CONCLUSIONS: COVID-19 may be associated with an acute severe encephalopathy and, in this case, was considered most likely to represent an immune-mediated phenomenon. As the pandemic continues, we anticipate that the spectrum of neurologic presentation will broaden. It will be important to delineate the full clinical range of emergent COVID-19-related neurologic disease.","container-title":"Neurology(R) neuroimmunology &amp; neuroinflammation","DOI":"10.1212/NXI.0000000000000789","ISSN":"2332-7812 (Electronic)","issue":"5","language":"eng","note":"PMID: 32457227","title":"COVID-19-related acute necrotizing encephalopathy with brain stem involvement in a patient with aplastic anemia.","volume":"7","author":[{"family":"Dixon","given":"Luke"},{"family":"Varley","given":"James"},{"family":"Gontsarova","given":"Anastassia"},{"family":"Mallon","given":"Dermot"},{"family":"Tona","given":"Francesca"},{"family":"Muir","given":"David"},{"family":"Luqmani","given":"Asad"},{"family":"Jenkins","given":"Ieuan Harri"},{"family":"Nicholas","given":"Richard"},{"family":"Jones","given":"Brynmor"},{"family":"Everitt","given":"Alex"}],"issued":{"date-parts":[["2020",9]]}}}],"schema":"https://github.com/citation-style-language/schema/raw/master/csl-citation.json"}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529E7">
              <w:rPr>
                <w:rFonts w:ascii="Times New Roman" w:hAnsi="Times New Roman" w:cs="Times New Roman"/>
                <w:color w:val="000000"/>
                <w:sz w:val="13"/>
                <w:vertAlign w:val="superscript"/>
                <w:lang w:val="de-DE"/>
              </w:rPr>
              <w:t>12</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02ABA03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250367E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144</w:t>
            </w:r>
          </w:p>
        </w:tc>
        <w:tc>
          <w:tcPr>
            <w:tcW w:w="384" w:type="pct"/>
            <w:tcBorders>
              <w:top w:val="nil"/>
              <w:left w:val="nil"/>
              <w:bottom w:val="nil"/>
              <w:right w:val="nil"/>
            </w:tcBorders>
            <w:shd w:val="clear" w:color="auto" w:fill="auto"/>
            <w:noWrap/>
            <w:vAlign w:val="center"/>
            <w:hideMark/>
          </w:tcPr>
          <w:p w14:paraId="0EB627F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w:t>
            </w:r>
          </w:p>
        </w:tc>
        <w:tc>
          <w:tcPr>
            <w:tcW w:w="275" w:type="pct"/>
            <w:tcBorders>
              <w:top w:val="nil"/>
              <w:left w:val="nil"/>
              <w:bottom w:val="nil"/>
              <w:right w:val="nil"/>
            </w:tcBorders>
            <w:shd w:val="clear" w:color="auto" w:fill="auto"/>
            <w:noWrap/>
            <w:vAlign w:val="center"/>
            <w:hideMark/>
          </w:tcPr>
          <w:p w14:paraId="7D2906A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29F1042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1E39B4D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29</w:t>
            </w:r>
          </w:p>
        </w:tc>
        <w:tc>
          <w:tcPr>
            <w:tcW w:w="493" w:type="pct"/>
            <w:tcBorders>
              <w:top w:val="nil"/>
              <w:left w:val="nil"/>
              <w:bottom w:val="nil"/>
              <w:right w:val="nil"/>
            </w:tcBorders>
            <w:shd w:val="clear" w:color="auto" w:fill="auto"/>
            <w:noWrap/>
            <w:vAlign w:val="center"/>
            <w:hideMark/>
          </w:tcPr>
          <w:p w14:paraId="26DAB5E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2F81420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CT/MRI</w:t>
            </w:r>
          </w:p>
        </w:tc>
        <w:tc>
          <w:tcPr>
            <w:tcW w:w="316" w:type="pct"/>
            <w:tcBorders>
              <w:top w:val="nil"/>
              <w:left w:val="nil"/>
              <w:bottom w:val="nil"/>
              <w:right w:val="nil"/>
            </w:tcBorders>
            <w:shd w:val="clear" w:color="auto" w:fill="auto"/>
            <w:noWrap/>
            <w:vAlign w:val="center"/>
            <w:hideMark/>
          </w:tcPr>
          <w:p w14:paraId="0CCFAC1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10</w:t>
            </w:r>
          </w:p>
        </w:tc>
        <w:tc>
          <w:tcPr>
            <w:tcW w:w="275" w:type="pct"/>
            <w:tcBorders>
              <w:top w:val="nil"/>
              <w:left w:val="nil"/>
              <w:bottom w:val="nil"/>
              <w:right w:val="nil"/>
            </w:tcBorders>
            <w:shd w:val="clear" w:color="auto" w:fill="auto"/>
            <w:noWrap/>
            <w:vAlign w:val="center"/>
            <w:hideMark/>
          </w:tcPr>
          <w:p w14:paraId="160AA1A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566B8EE0" w14:textId="77777777" w:rsidTr="007B37AC">
        <w:trPr>
          <w:trHeight w:val="320"/>
        </w:trPr>
        <w:tc>
          <w:tcPr>
            <w:tcW w:w="1058" w:type="pct"/>
            <w:tcBorders>
              <w:top w:val="nil"/>
              <w:left w:val="nil"/>
              <w:bottom w:val="nil"/>
              <w:right w:val="nil"/>
            </w:tcBorders>
            <w:shd w:val="clear" w:color="auto" w:fill="auto"/>
            <w:noWrap/>
            <w:vAlign w:val="center"/>
            <w:hideMark/>
          </w:tcPr>
          <w:p w14:paraId="45D204D6" w14:textId="522253AC"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Franceschi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{"citationID":"4bnWeCHR","properties":{"formattedCitation":"\\super 13\\nosupersub{}","plainCitation":"13","noteIndex":0},"citationItems":[{"id":84,"uris":["http://zotero.org/users/local/4rfnQu81/items/TE75UUPP"],"uri":["http://zotero.org/users/local/4rfnQu81/items/TE75UUPP"],"itemData":{"id":84,"type":"article-journal","abstract":"We describe 2 hospitalized patients with confirmed coronavirus 19 (COVID-19) infection in whom brain imaging showed hemorrhagic posterior reversible encephalopathy syndrome, and we discuss the possible reasons for these findings and their relationship to the infection.","container-title":"AJNR. American journal of neuroradiology","DOI":"10.3174/ajnr.A6595","ISSN":"1936-959X (Electronic)","issue":"7","language":"eng","note":"PMID: 32439646","page":"1173–1176","title":"Hemorrhagic Posterior Reversible Encephalopathy Syndrome as a Manifestation of COVID-19 Infection.","volume":"41","author":[{"family":"Franceschi","given":"A M"},{"family":"Ahmed","given":"O"},{"family":"Giliberto","given":"L"},{"family":"Castillo","given":"M"}],"issued":{"date-parts":[["2020",7]]}}}],"schema":"https://github.com/citation-style-language/schema/raw/master/csl-citation.json"}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529E7">
              <w:rPr>
                <w:rFonts w:ascii="Times New Roman" w:hAnsi="Times New Roman" w:cs="Times New Roman"/>
                <w:color w:val="000000"/>
                <w:sz w:val="13"/>
                <w:vertAlign w:val="superscript"/>
                <w:lang w:val="de-DE"/>
              </w:rPr>
              <w:t>13</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2510610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61B3BB1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471D9B8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55E5588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5A81E08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438F585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6D3CA50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4A9493F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CT/MRI</w:t>
            </w:r>
          </w:p>
        </w:tc>
        <w:tc>
          <w:tcPr>
            <w:tcW w:w="316" w:type="pct"/>
            <w:tcBorders>
              <w:top w:val="nil"/>
              <w:left w:val="nil"/>
              <w:bottom w:val="nil"/>
              <w:right w:val="nil"/>
            </w:tcBorders>
            <w:shd w:val="clear" w:color="auto" w:fill="auto"/>
            <w:noWrap/>
            <w:vAlign w:val="center"/>
            <w:hideMark/>
          </w:tcPr>
          <w:p w14:paraId="40FDB6C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18</w:t>
            </w:r>
          </w:p>
        </w:tc>
        <w:tc>
          <w:tcPr>
            <w:tcW w:w="275" w:type="pct"/>
            <w:tcBorders>
              <w:top w:val="nil"/>
              <w:left w:val="nil"/>
              <w:bottom w:val="nil"/>
              <w:right w:val="nil"/>
            </w:tcBorders>
            <w:shd w:val="clear" w:color="auto" w:fill="auto"/>
            <w:noWrap/>
            <w:vAlign w:val="center"/>
            <w:hideMark/>
          </w:tcPr>
          <w:p w14:paraId="6059219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1E1912AA" w14:textId="77777777" w:rsidTr="007B37AC">
        <w:trPr>
          <w:trHeight w:val="320"/>
        </w:trPr>
        <w:tc>
          <w:tcPr>
            <w:tcW w:w="1058" w:type="pct"/>
            <w:tcBorders>
              <w:top w:val="nil"/>
              <w:left w:val="nil"/>
              <w:bottom w:val="nil"/>
              <w:right w:val="nil"/>
            </w:tcBorders>
            <w:shd w:val="clear" w:color="auto" w:fill="auto"/>
            <w:noWrap/>
            <w:vAlign w:val="center"/>
            <w:hideMark/>
          </w:tcPr>
          <w:p w14:paraId="77551777" w14:textId="3FE10CB4"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Franceschi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{"citationID":"SY0wjVfS","properties":{"formattedCitation":"\\super 13\\nosupersub{}","plainCitation":"13","noteIndex":0},"citationItems":[{"id":84,"uris":["http://zotero.org/users/local/4rfnQu81/items/TE75UUPP"],"uri":["http://zotero.org/users/local/4rfnQu81/items/TE75UUPP"],"itemData":{"id":84,"type":"article-journal","abstract":"We describe 2 hospitalized patients with confirmed coronavirus 19 (COVID-19) infection in whom brain imaging showed hemorrhagic posterior reversible encephalopathy syndrome, and we discuss the possible reasons for these findings and their relationship to the infection.","container-title":"AJNR. American journal of neuroradiology","DOI":"10.3174/ajnr.A6595","ISSN":"1936-959X (Electronic)","issue":"7","language":"eng","note":"PMID: 32439646","page":"1173–1176","title":"Hemorrhagic Posterior Reversible Encephalopathy Syndrome as a Manifestation of COVID-19 Infection.","volume":"41","author":[{"family":"Franceschi","given":"A M"},{"family":"Ahmed","given":"O"},{"family":"Giliberto","given":"L"},{"family":"Castillo","given":"M"}],"issued":{"date-parts":[["2020",7]]}}}],"schema":"https://github.com/citation-style-language/schema/raw/master/csl-citation.json"}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529E7">
              <w:rPr>
                <w:rFonts w:ascii="Times New Roman" w:hAnsi="Times New Roman" w:cs="Times New Roman"/>
                <w:color w:val="000000"/>
                <w:sz w:val="13"/>
                <w:vertAlign w:val="superscript"/>
                <w:lang w:val="de-DE"/>
              </w:rPr>
              <w:t>13</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1672263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7C6B868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44141DE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52CB86A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64F876F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2AF8256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0CC024E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4253AF9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CT/MRI</w:t>
            </w:r>
          </w:p>
        </w:tc>
        <w:tc>
          <w:tcPr>
            <w:tcW w:w="316" w:type="pct"/>
            <w:tcBorders>
              <w:top w:val="nil"/>
              <w:left w:val="nil"/>
              <w:bottom w:val="nil"/>
              <w:right w:val="nil"/>
            </w:tcBorders>
            <w:shd w:val="clear" w:color="auto" w:fill="auto"/>
            <w:noWrap/>
            <w:vAlign w:val="center"/>
            <w:hideMark/>
          </w:tcPr>
          <w:p w14:paraId="1F851F1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w:t>
            </w:r>
          </w:p>
        </w:tc>
        <w:tc>
          <w:tcPr>
            <w:tcW w:w="275" w:type="pct"/>
            <w:tcBorders>
              <w:top w:val="nil"/>
              <w:left w:val="nil"/>
              <w:bottom w:val="nil"/>
              <w:right w:val="nil"/>
            </w:tcBorders>
            <w:shd w:val="clear" w:color="auto" w:fill="auto"/>
            <w:noWrap/>
            <w:vAlign w:val="center"/>
            <w:hideMark/>
          </w:tcPr>
          <w:p w14:paraId="51073F6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r>
      <w:tr w:rsidR="007A62EC" w:rsidRPr="007B37AC" w14:paraId="4EAA34BE" w14:textId="77777777" w:rsidTr="007B37AC">
        <w:trPr>
          <w:trHeight w:val="320"/>
        </w:trPr>
        <w:tc>
          <w:tcPr>
            <w:tcW w:w="1058" w:type="pct"/>
            <w:tcBorders>
              <w:top w:val="nil"/>
              <w:left w:val="nil"/>
              <w:bottom w:val="nil"/>
              <w:right w:val="nil"/>
            </w:tcBorders>
            <w:shd w:val="clear" w:color="auto" w:fill="auto"/>
            <w:noWrap/>
            <w:vAlign w:val="center"/>
            <w:hideMark/>
          </w:tcPr>
          <w:p w14:paraId="42EDC3F9" w14:textId="62510126"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Ghani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{"citationID":"iIACFfob","properties":{"formattedCitation":"\\super 14\\nosupersub{}","plainCitation":"14","noteIndex":0},"citationItems":[{"id":217,"uris":["http://zotero.org/users/local/4rfnQu81/items/9NIDPAFH"],"uri":["http://zotero.org/users/local/4rfnQu81/items/9NIDPAFH"],"itemData":{"id":217,"type":"article-journal","abstract":"SARS-CoV2 has led to a global pandemic affecting almost 3 million people in almost over 3 months. Various clinical presentations have been reported so far and no definite therapy is established. Anticoagulation is recommended by several experts to address the potential prothrombotic complications from COVID-19, but its safety and regimen need further clinical trials and safety and efficacy profile. Here, we present three cases of intracranial hemorrhage in three critically ill patients with COVID-19 and discuss their course in relation to various regimens of anticoagulation used.","container-title":"Journal of neurovirology","DOI":"10.1007/s13365-020-00869-6","ISSN":"1538-2443 (Electronic)","issue":"4","language":"eng","note":"PMID: 32572835","page":"602–604","title":"Intracranial hemorrhage complicating anticoagulant prophylactic therapy in three hospitalized COVID-19 patients.","volume":"26","author":[{"family":"Ghani","given":"Muhammad Usman"},{"family":"Kumar","given":"Mukesh"},{"family":"Ghani","given":"Usman"},{"family":"Sonia","given":"Fnu"},{"family":"Abbas","given":"Syed Ali"}],"issued":{"date-parts":[["2020",8]]}}}],"schema":"https://github.com/citation-style-language/schema/raw/master/csl-citation.json"}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529E7">
              <w:rPr>
                <w:rFonts w:ascii="Times New Roman" w:hAnsi="Times New Roman" w:cs="Times New Roman"/>
                <w:color w:val="000000"/>
                <w:sz w:val="13"/>
                <w:vertAlign w:val="superscript"/>
                <w:lang w:val="de-DE"/>
              </w:rPr>
              <w:t>14</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3683F47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2C16AA5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7C9147C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6C7BB9B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6191920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57</w:t>
            </w:r>
          </w:p>
        </w:tc>
        <w:tc>
          <w:tcPr>
            <w:tcW w:w="486" w:type="pct"/>
            <w:tcBorders>
              <w:top w:val="nil"/>
              <w:left w:val="nil"/>
              <w:bottom w:val="nil"/>
              <w:right w:val="nil"/>
            </w:tcBorders>
            <w:shd w:val="clear" w:color="auto" w:fill="auto"/>
            <w:noWrap/>
            <w:vAlign w:val="center"/>
            <w:hideMark/>
          </w:tcPr>
          <w:p w14:paraId="289CE97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26B4836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&gt;3</w:t>
            </w:r>
          </w:p>
        </w:tc>
        <w:tc>
          <w:tcPr>
            <w:tcW w:w="629" w:type="pct"/>
            <w:tcBorders>
              <w:top w:val="nil"/>
              <w:left w:val="nil"/>
              <w:bottom w:val="nil"/>
              <w:right w:val="nil"/>
            </w:tcBorders>
            <w:shd w:val="clear" w:color="auto" w:fill="auto"/>
            <w:noWrap/>
            <w:vAlign w:val="center"/>
            <w:hideMark/>
          </w:tcPr>
          <w:p w14:paraId="7621906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00ACDF8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18</w:t>
            </w:r>
          </w:p>
        </w:tc>
        <w:tc>
          <w:tcPr>
            <w:tcW w:w="275" w:type="pct"/>
            <w:tcBorders>
              <w:top w:val="nil"/>
              <w:left w:val="nil"/>
              <w:bottom w:val="nil"/>
              <w:right w:val="nil"/>
            </w:tcBorders>
            <w:shd w:val="clear" w:color="auto" w:fill="auto"/>
            <w:noWrap/>
            <w:vAlign w:val="center"/>
            <w:hideMark/>
          </w:tcPr>
          <w:p w14:paraId="03076B4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15695D7E" w14:textId="77777777" w:rsidTr="007B37AC">
        <w:trPr>
          <w:trHeight w:val="320"/>
        </w:trPr>
        <w:tc>
          <w:tcPr>
            <w:tcW w:w="1058" w:type="pct"/>
            <w:tcBorders>
              <w:top w:val="nil"/>
              <w:left w:val="nil"/>
              <w:bottom w:val="nil"/>
              <w:right w:val="nil"/>
            </w:tcBorders>
            <w:shd w:val="clear" w:color="auto" w:fill="auto"/>
            <w:noWrap/>
            <w:vAlign w:val="center"/>
            <w:hideMark/>
          </w:tcPr>
          <w:p w14:paraId="72B62EBA" w14:textId="6A67E462"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Ghani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{"citationID":"Lvr4bWQO","properties":{"formattedCitation":"\\super 14\\nosupersub{}","plainCitation":"14","noteIndex":0},"citationItems":[{"id":217,"uris":["http://zotero.org/users/local/4rfnQu81/items/9NIDPAFH"],"uri":["http://zotero.org/users/local/4rfnQu81/items/9NIDPAFH"],"itemData":{"id":217,"type":"article-journal","abstract":"SARS-CoV2 has led to a global pandemic affecting almost 3 million people in almost over 3 months. Various clinical presentations have been reported so far and no definite therapy is established. Anticoagulation is recommended by several experts to address the potential prothrombotic complications from COVID-19, but its safety and regimen need further clinical trials and safety and efficacy profile. Here, we present three cases of intracranial hemorrhage in three critically ill patients with COVID-19 and discuss their course in relation to various regimens of anticoagulation used.","container-title":"Journal of neurovirology","DOI":"10.1007/s13365-020-00869-6","ISSN":"1538-2443 (Electronic)","issue":"4","language":"eng","note":"PMID: 32572835","page":"602–604","title":"Intracranial hemorrhage complicating anticoagulant prophylactic therapy in three hospitalized COVID-19 patients.","volume":"26","author":[{"family":"Ghani","given":"Muhammad Usman"},{"family":"Kumar","given":"Mukesh"},{"family":"Ghani","given":"Usman"},{"family":"Sonia","given":"Fnu"},{"family":"Abbas","given":"Syed Ali"}],"issued":{"date-parts":[["2020",8]]}}}],"schema":"https://github.com/citation-style-language/schema/raw/master/csl-citation.json"}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529E7">
              <w:rPr>
                <w:rFonts w:ascii="Times New Roman" w:hAnsi="Times New Roman" w:cs="Times New Roman"/>
                <w:color w:val="000000"/>
                <w:sz w:val="13"/>
                <w:vertAlign w:val="superscript"/>
                <w:lang w:val="de-DE"/>
              </w:rPr>
              <w:t>14</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522B950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73028E8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4423C10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2AB0A8B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564574C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63</w:t>
            </w:r>
          </w:p>
        </w:tc>
        <w:tc>
          <w:tcPr>
            <w:tcW w:w="486" w:type="pct"/>
            <w:tcBorders>
              <w:top w:val="nil"/>
              <w:left w:val="nil"/>
              <w:bottom w:val="nil"/>
              <w:right w:val="nil"/>
            </w:tcBorders>
            <w:shd w:val="clear" w:color="auto" w:fill="auto"/>
            <w:noWrap/>
            <w:vAlign w:val="center"/>
            <w:hideMark/>
          </w:tcPr>
          <w:p w14:paraId="419D0F1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4159C72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2C3A8B3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5CFBD1F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10</w:t>
            </w:r>
          </w:p>
        </w:tc>
        <w:tc>
          <w:tcPr>
            <w:tcW w:w="275" w:type="pct"/>
            <w:tcBorders>
              <w:top w:val="nil"/>
              <w:left w:val="nil"/>
              <w:bottom w:val="nil"/>
              <w:right w:val="nil"/>
            </w:tcBorders>
            <w:shd w:val="clear" w:color="auto" w:fill="auto"/>
            <w:noWrap/>
            <w:vAlign w:val="center"/>
            <w:hideMark/>
          </w:tcPr>
          <w:p w14:paraId="43B1C1E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18DA8144" w14:textId="77777777" w:rsidTr="007B37AC">
        <w:trPr>
          <w:trHeight w:val="320"/>
        </w:trPr>
        <w:tc>
          <w:tcPr>
            <w:tcW w:w="1058" w:type="pct"/>
            <w:tcBorders>
              <w:top w:val="nil"/>
              <w:left w:val="nil"/>
              <w:bottom w:val="nil"/>
              <w:right w:val="nil"/>
            </w:tcBorders>
            <w:shd w:val="clear" w:color="auto" w:fill="auto"/>
            <w:noWrap/>
            <w:vAlign w:val="center"/>
            <w:hideMark/>
          </w:tcPr>
          <w:p w14:paraId="06346DB0" w14:textId="2BDDEB27"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Ghani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{"citationID":"4n5q2GbP","properties":{"formattedCitation":"\\super 14\\nosupersub{}","plainCitation":"14","noteIndex":0},"citationItems":[{"id":217,"uris":["http://zotero.org/users/local/4rfnQu81/items/9NIDPAFH"],"uri":["http://zotero.org/users/local/4rfnQu81/items/9NIDPAFH"],"itemData":{"id":217,"type":"article-journal","abstract":"SARS-CoV2 has led to a global pandemic affecting almost 3 million people in almost over 3 months. Various clinical presentations have been reported so far and no definite therapy is established. Anticoagulation is recommended by several experts to address the potential prothrombotic complications from COVID-19, but its safety and regimen need further clinical trials and safety and efficacy profile. Here, we present three cases of intracranial hemorrhage in three critically ill patients with COVID-19 and discuss their course in relation to various regimens of anticoagulation used.","container-title":"Journal of neurovirology","DOI":"10.1007/s13365-020-00869-6","ISSN":"1538-2443 (Electronic)","issue":"4","language":"eng","note":"PMID: 32572835","page":"602–604","title":"Intracranial hemorrhage complicating anticoagulant prophylactic therapy in three hospitalized COVID-19 patients.","volume":"26","author":[{"family":"Ghani","given":"Muhammad Usman"},{"family":"Kumar","given":"Mukesh"},{"family":"Ghani","given":"Usman"},{"family":"Sonia","given":"Fnu"},{"family":"Abbas","given":"Syed Ali"}],"issued":{"date-parts":[["2020",8]]}}}],"schema":"https://github.com/citation-style-language/schema/raw/master/csl-citation.json"}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529E7">
              <w:rPr>
                <w:rFonts w:ascii="Times New Roman" w:hAnsi="Times New Roman" w:cs="Times New Roman"/>
                <w:color w:val="000000"/>
                <w:sz w:val="13"/>
                <w:vertAlign w:val="superscript"/>
                <w:lang w:val="de-DE"/>
              </w:rPr>
              <w:t>14</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2460B44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05CF024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7196799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34C45B7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6BF6DA7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78291F4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5CA23C1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56E9037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4436F1C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15</w:t>
            </w:r>
          </w:p>
        </w:tc>
        <w:tc>
          <w:tcPr>
            <w:tcW w:w="275" w:type="pct"/>
            <w:tcBorders>
              <w:top w:val="nil"/>
              <w:left w:val="nil"/>
              <w:bottom w:val="nil"/>
              <w:right w:val="nil"/>
            </w:tcBorders>
            <w:shd w:val="clear" w:color="auto" w:fill="auto"/>
            <w:noWrap/>
            <w:vAlign w:val="center"/>
            <w:hideMark/>
          </w:tcPr>
          <w:p w14:paraId="0AE546D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7B6AC436" w14:textId="77777777" w:rsidTr="007B37AC">
        <w:trPr>
          <w:trHeight w:val="320"/>
        </w:trPr>
        <w:tc>
          <w:tcPr>
            <w:tcW w:w="1058" w:type="pct"/>
            <w:tcBorders>
              <w:top w:val="nil"/>
              <w:left w:val="nil"/>
              <w:bottom w:val="nil"/>
              <w:right w:val="nil"/>
            </w:tcBorders>
            <w:shd w:val="clear" w:color="auto" w:fill="auto"/>
            <w:noWrap/>
            <w:vAlign w:val="center"/>
            <w:hideMark/>
          </w:tcPr>
          <w:p w14:paraId="119DD02B" w14:textId="0164CE05"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Ghosh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{"citationID":"w00wHFce","properties":{"formattedCitation":"\\super 14\\nosupersub{}","plainCitation":"14","noteIndex":0},"citationItems":[{"id":217,"uris":["http://zotero.org/users/local/4rfnQu81/items/9NIDPAFH"],"uri":["http://zotero.org/users/local/4rfnQu81/items/9NIDPAFH"],"itemData":{"id":217,"type":"article-journal","abstract":"SARS-CoV2 has led to a global pandemic affecting almost 3 million people in almost over 3 months. Various clinical presentations have been reported so far and no definite therapy is established. Anticoagulation is recommended by several experts to address the potential prothrombotic complications from COVID-19, but its safety and regimen need further clinical trials and safety and efficacy profile. Here, we present three cases of intracranial hemorrhage in three critically ill patients with COVID-19 and discuss their course in relation to various regimens of anticoagulation used.","container-title":"Journal of neurovirology","DOI":"10.1007/s13365-020-00869-6","ISSN":"1538-2443 (Electronic)","issue":"4","language":"eng","note":"PMID: 32572835","page":"602–604","title":"Intracranial hemorrhage complicating anticoagulant prophylactic therapy in three hospitalized COVID-19 patients.","volume":"26","author":[{"family":"Ghani","given":"Muhammad Usman"},{"family":"Kumar","given":"Mukesh"},{"family":"Ghani","given":"Usman"},{"family":"Sonia","given":"Fnu"},{"family":"Abbas","given":"Syed Ali"}],"issued":{"date-parts":[["2020",8]]}}}],"schema":"https://github.com/citation-style-language/schema/raw/master/csl-citation.json"}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529E7">
              <w:rPr>
                <w:rFonts w:ascii="Times New Roman" w:hAnsi="Times New Roman" w:cs="Times New Roman"/>
                <w:color w:val="000000"/>
                <w:sz w:val="13"/>
                <w:vertAlign w:val="superscript"/>
                <w:lang w:val="de-DE"/>
              </w:rPr>
              <w:t>14</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6E47B98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41D72C2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76C5ECD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221D07E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4EC4B0C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6ABEEBA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39626CC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0FF51B9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CT/MRI</w:t>
            </w:r>
          </w:p>
        </w:tc>
        <w:tc>
          <w:tcPr>
            <w:tcW w:w="316" w:type="pct"/>
            <w:tcBorders>
              <w:top w:val="nil"/>
              <w:left w:val="nil"/>
              <w:bottom w:val="nil"/>
              <w:right w:val="nil"/>
            </w:tcBorders>
            <w:shd w:val="clear" w:color="auto" w:fill="auto"/>
            <w:noWrap/>
            <w:vAlign w:val="center"/>
            <w:hideMark/>
          </w:tcPr>
          <w:p w14:paraId="492F3F6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34A00EF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0468AEA6" w14:textId="77777777" w:rsidTr="007B37AC">
        <w:trPr>
          <w:trHeight w:val="320"/>
        </w:trPr>
        <w:tc>
          <w:tcPr>
            <w:tcW w:w="1058" w:type="pct"/>
            <w:tcBorders>
              <w:top w:val="nil"/>
              <w:left w:val="nil"/>
              <w:bottom w:val="nil"/>
              <w:right w:val="nil"/>
            </w:tcBorders>
            <w:shd w:val="clear" w:color="auto" w:fill="auto"/>
            <w:noWrap/>
            <w:vAlign w:val="center"/>
            <w:hideMark/>
          </w:tcPr>
          <w:p w14:paraId="49F64B72" w14:textId="0F131E9E"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Gogia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{"citationID":"hTyQz4h4","properties":{"formattedCitation":"\\super 15\\nosupersub{}","plainCitation":"15","noteIndex":0},"citationItems":[{"id":3243,"uris":["http://zotero.org/users/local/4rfnQu81/items/GNX78HEE"],"uri":["http://zotero.org/users/local/4rfnQu81/items/GNX78HEE"],"itemData":{"id":3243,"type":"article-journal","abstract":"Some of the reported neurological manifestations of COVID-19 are encephalopathy,  headache, ischemic, hemorrhagic stroke, Miller Fisher syndrome, cranial neuropathies, and Guillain-Barre syndrome. We report a case of a 75-year-old COVID-19 patient with life-threatening intracranial hemorrhage. The initial labs on admission showed D-dimer of 1.04 µg/mL, which increased to 3.74 µg/mL the next day, PT/INR of 13.7 seconds/1.2, aPTT of 22 seconds, fibrinogen of 386 mg/dL, WBC of 9.71 K/µL, Hgb of 14.1 g/dL, platelet of 315 x 10(3)/µL, LDH of 965 U/L, and CRP of 35.2 mg/dL. In addition to aspirin and Plavix (clopidogrel), the patient was started on a therapeutic dose of enoxaparin due to elevated D-dimer. A few days later, the patient had a change in the neurological examination. The CT of the head without contrast revealed a left-sided acute subdural hematoma, causing left to right midline shift, a large left temporal intraparenchymal, and subarachnoid hemorrhage with transtentorial herniation, leading to death. This case illustrates a combination of factors including hypertension, triple therapy (aspirin, clopidogrel, and enoxaparin), and underlying coagulopathy due to COVID-19, which contributed to the life-threatening intracranial hemorrhage in this patient. Therefore, this raises a concern about the safety of starting these patients preemptively on a therapeutic dose of anticoagulation.","container-title":"Cureus","DOI":"10.7759/cureus.10159","ISSN":"2168-8184 (Print)","issue":"8","language":"eng","note":"PMID: 32884879","page":"e10159","title":"Intracranial Hemorrhage in a Patient With COVID-19: Possible Explanations and  Considerations.","volume":"12","author":[{"family":"Gogia","given":"Bhanu"},{"family":"Fang","given":"Xiang"},{"family":"Rai","given":"Prashant"}],"issued":{"date-parts":[["2020",8]]}}}],"schema":"https://github.com/citation-style-language/schema/raw/master/csl-citation.json"}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529E7">
              <w:rPr>
                <w:rFonts w:ascii="Times New Roman" w:hAnsi="Times New Roman" w:cs="Times New Roman"/>
                <w:color w:val="000000"/>
                <w:sz w:val="13"/>
                <w:vertAlign w:val="superscript"/>
                <w:lang w:val="de-DE"/>
              </w:rPr>
              <w:t>15</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08B929C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7521C39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352</w:t>
            </w:r>
          </w:p>
        </w:tc>
        <w:tc>
          <w:tcPr>
            <w:tcW w:w="384" w:type="pct"/>
            <w:tcBorders>
              <w:top w:val="nil"/>
              <w:left w:val="nil"/>
              <w:bottom w:val="nil"/>
              <w:right w:val="nil"/>
            </w:tcBorders>
            <w:shd w:val="clear" w:color="auto" w:fill="auto"/>
            <w:noWrap/>
            <w:vAlign w:val="center"/>
            <w:hideMark/>
          </w:tcPr>
          <w:p w14:paraId="2B59ABD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10</w:t>
            </w:r>
          </w:p>
        </w:tc>
        <w:tc>
          <w:tcPr>
            <w:tcW w:w="275" w:type="pct"/>
            <w:tcBorders>
              <w:top w:val="nil"/>
              <w:left w:val="nil"/>
              <w:bottom w:val="nil"/>
              <w:right w:val="nil"/>
            </w:tcBorders>
            <w:shd w:val="clear" w:color="auto" w:fill="auto"/>
            <w:noWrap/>
            <w:vAlign w:val="center"/>
            <w:hideMark/>
          </w:tcPr>
          <w:p w14:paraId="2A21EFE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noWrap/>
            <w:vAlign w:val="center"/>
            <w:hideMark/>
          </w:tcPr>
          <w:p w14:paraId="72FD75D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22</w:t>
            </w:r>
          </w:p>
        </w:tc>
        <w:tc>
          <w:tcPr>
            <w:tcW w:w="486" w:type="pct"/>
            <w:tcBorders>
              <w:top w:val="nil"/>
              <w:left w:val="nil"/>
              <w:bottom w:val="nil"/>
              <w:right w:val="nil"/>
            </w:tcBorders>
            <w:shd w:val="clear" w:color="auto" w:fill="auto"/>
            <w:noWrap/>
            <w:vAlign w:val="center"/>
            <w:hideMark/>
          </w:tcPr>
          <w:p w14:paraId="009E9BC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315</w:t>
            </w:r>
          </w:p>
        </w:tc>
        <w:tc>
          <w:tcPr>
            <w:tcW w:w="493" w:type="pct"/>
            <w:tcBorders>
              <w:top w:val="nil"/>
              <w:left w:val="nil"/>
              <w:bottom w:val="nil"/>
              <w:right w:val="nil"/>
            </w:tcBorders>
            <w:shd w:val="clear" w:color="auto" w:fill="auto"/>
            <w:noWrap/>
            <w:vAlign w:val="center"/>
            <w:hideMark/>
          </w:tcPr>
          <w:p w14:paraId="5FCB506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629" w:type="pct"/>
            <w:tcBorders>
              <w:top w:val="nil"/>
              <w:left w:val="nil"/>
              <w:bottom w:val="nil"/>
              <w:right w:val="nil"/>
            </w:tcBorders>
            <w:shd w:val="clear" w:color="auto" w:fill="auto"/>
            <w:noWrap/>
            <w:vAlign w:val="center"/>
            <w:hideMark/>
          </w:tcPr>
          <w:p w14:paraId="15D845D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24FC979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0951063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1B8DB0BD" w14:textId="77777777" w:rsidTr="007B37AC">
        <w:trPr>
          <w:trHeight w:val="320"/>
        </w:trPr>
        <w:tc>
          <w:tcPr>
            <w:tcW w:w="1058" w:type="pct"/>
            <w:tcBorders>
              <w:top w:val="nil"/>
              <w:left w:val="nil"/>
              <w:bottom w:val="nil"/>
              <w:right w:val="nil"/>
            </w:tcBorders>
            <w:shd w:val="clear" w:color="auto" w:fill="auto"/>
            <w:noWrap/>
            <w:vAlign w:val="center"/>
            <w:hideMark/>
          </w:tcPr>
          <w:p w14:paraId="3F00C609" w14:textId="122DFB31"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Goncalves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{"citationID":"87a5XlLW","properties":{"formattedCitation":"\\super 16\\nosupersub{}","plainCitation":"16","noteIndex":0},"citationItems":[{"id":99,"uris":["http://zotero.org/users/local/4rfnQu81/items/NMUAZ36G"],"uri":["http://zotero.org/users/local/4rfnQu81/items/NMUAZ36G"],"itemData":{"id":99,"type":"article-journal","container-title":"Neurocritical care","DOI":"10.1007/s12028-020-01078-z","ISSN":"1556-0961 (Electronic)","issue":"2","language":"eng","note":"PMID: 32789603","page":"587–590","title":"Thrombotic and Hemorrhagic Neurological Complications in Critically Ill COVID-19 Patients.","volume":"33","author":[{"family":"Gonçalves","given":"Bruno"},{"family":"Righy","given":"Cassia"},{"family":"Kurtz","given":"Pedro"}],"issued":{"date-parts":[["2020",10]]}}}],"schema":"https://github.com/citation-style-language/schema/raw/master/csl-citation.json"}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529E7">
              <w:rPr>
                <w:rFonts w:ascii="Times New Roman" w:hAnsi="Times New Roman" w:cs="Times New Roman"/>
                <w:color w:val="000000"/>
                <w:sz w:val="13"/>
                <w:vertAlign w:val="superscript"/>
                <w:lang w:val="de-DE"/>
              </w:rPr>
              <w:t>16</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1BBA15C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2E33CB0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13FFAE6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52D31C8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07FA693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59</w:t>
            </w:r>
          </w:p>
        </w:tc>
        <w:tc>
          <w:tcPr>
            <w:tcW w:w="486" w:type="pct"/>
            <w:tcBorders>
              <w:top w:val="nil"/>
              <w:left w:val="nil"/>
              <w:bottom w:val="nil"/>
              <w:right w:val="nil"/>
            </w:tcBorders>
            <w:shd w:val="clear" w:color="auto" w:fill="auto"/>
            <w:noWrap/>
            <w:vAlign w:val="center"/>
            <w:hideMark/>
          </w:tcPr>
          <w:p w14:paraId="2CA26A3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6DD0E17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c>
          <w:tcPr>
            <w:tcW w:w="629" w:type="pct"/>
            <w:tcBorders>
              <w:top w:val="nil"/>
              <w:left w:val="nil"/>
              <w:bottom w:val="nil"/>
              <w:right w:val="nil"/>
            </w:tcBorders>
            <w:shd w:val="clear" w:color="auto" w:fill="auto"/>
            <w:noWrap/>
            <w:vAlign w:val="center"/>
            <w:hideMark/>
          </w:tcPr>
          <w:p w14:paraId="01679D1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7F02D1D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15</w:t>
            </w:r>
          </w:p>
        </w:tc>
        <w:tc>
          <w:tcPr>
            <w:tcW w:w="275" w:type="pct"/>
            <w:tcBorders>
              <w:top w:val="nil"/>
              <w:left w:val="nil"/>
              <w:bottom w:val="nil"/>
              <w:right w:val="nil"/>
            </w:tcBorders>
            <w:shd w:val="clear" w:color="auto" w:fill="auto"/>
            <w:noWrap/>
            <w:vAlign w:val="center"/>
            <w:hideMark/>
          </w:tcPr>
          <w:p w14:paraId="2A3A59A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4B3DF643" w14:textId="77777777" w:rsidTr="007B37AC">
        <w:trPr>
          <w:trHeight w:val="320"/>
        </w:trPr>
        <w:tc>
          <w:tcPr>
            <w:tcW w:w="1058" w:type="pct"/>
            <w:tcBorders>
              <w:top w:val="nil"/>
              <w:left w:val="nil"/>
              <w:bottom w:val="nil"/>
              <w:right w:val="nil"/>
            </w:tcBorders>
            <w:shd w:val="clear" w:color="auto" w:fill="auto"/>
            <w:noWrap/>
            <w:vAlign w:val="center"/>
            <w:hideMark/>
          </w:tcPr>
          <w:p w14:paraId="25C1F311" w14:textId="1885A0C8"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Goncalves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{"citationID":"3Y1ePA4Z","properties":{"formattedCitation":"\\super 16\\nosupersub{}","plainCitation":"16","noteIndex":0},"citationItems":[{"id":99,"uris":["http://zotero.org/users/local/4rfnQu81/items/NMUAZ36G"],"uri":["http://zotero.org/users/local/4rfnQu81/items/NMUAZ36G"],"itemData":{"id":99,"type":"article-journal","container-title":"Neurocritical care","DOI":"10.1007/s12028-020-01078-z","ISSN":"1556-0961 (Electronic)","issue":"2","language":"eng","note":"PMID: 32789603","page":"587–590","title":"Thrombotic and Hemorrhagic Neurological Complications in Critically Ill COVID-19 Patients.","volume":"33","author":[{"family":"Gonçalves","given":"Bruno"},{"family":"Righy","given":"Cassia"},{"family":"Kurtz","given":"Pedro"}],"issued":{"date-parts":[["2020",10]]}}}],"schema":"https://github.com/citation-style-language/schema/raw/master/csl-citation.json"}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529E7">
              <w:rPr>
                <w:rFonts w:ascii="Times New Roman" w:hAnsi="Times New Roman" w:cs="Times New Roman"/>
                <w:color w:val="000000"/>
                <w:sz w:val="13"/>
                <w:vertAlign w:val="superscript"/>
                <w:lang w:val="de-DE"/>
              </w:rPr>
              <w:t>16</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1C9693B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1FBC6AE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1A5DF8B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221B1AF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04E615B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09DC498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62FE7CE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c>
          <w:tcPr>
            <w:tcW w:w="629" w:type="pct"/>
            <w:tcBorders>
              <w:top w:val="nil"/>
              <w:left w:val="nil"/>
              <w:bottom w:val="nil"/>
              <w:right w:val="nil"/>
            </w:tcBorders>
            <w:shd w:val="clear" w:color="auto" w:fill="auto"/>
            <w:noWrap/>
            <w:vAlign w:val="center"/>
            <w:hideMark/>
          </w:tcPr>
          <w:p w14:paraId="580AFCE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38958A0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16</w:t>
            </w:r>
          </w:p>
        </w:tc>
        <w:tc>
          <w:tcPr>
            <w:tcW w:w="275" w:type="pct"/>
            <w:tcBorders>
              <w:top w:val="nil"/>
              <w:left w:val="nil"/>
              <w:bottom w:val="nil"/>
              <w:right w:val="nil"/>
            </w:tcBorders>
            <w:shd w:val="clear" w:color="auto" w:fill="auto"/>
            <w:noWrap/>
            <w:vAlign w:val="center"/>
            <w:hideMark/>
          </w:tcPr>
          <w:p w14:paraId="5BDD136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480B47A1" w14:textId="77777777" w:rsidTr="007B37AC">
        <w:trPr>
          <w:trHeight w:val="320"/>
        </w:trPr>
        <w:tc>
          <w:tcPr>
            <w:tcW w:w="1058" w:type="pct"/>
            <w:tcBorders>
              <w:top w:val="nil"/>
              <w:left w:val="nil"/>
              <w:bottom w:val="nil"/>
              <w:right w:val="nil"/>
            </w:tcBorders>
            <w:shd w:val="clear" w:color="auto" w:fill="auto"/>
            <w:noWrap/>
            <w:vAlign w:val="center"/>
            <w:hideMark/>
          </w:tcPr>
          <w:p w14:paraId="231D49C0" w14:textId="22F65214"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Goncalves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{"citationID":"9ro84Ny8","properties":{"formattedCitation":"\\super 16\\nosupersub{}","plainCitation":"16","noteIndex":0},"citationItems":[{"id":99,"uris":["http://zotero.org/users/local/4rfnQu81/items/NMUAZ36G"],"uri":["http://zotero.org/users/local/4rfnQu81/items/NMUAZ36G"],"itemData":{"id":99,"type":"article-journal","container-title":"Neurocritical care","DOI":"10.1007/s12028-020-01078-z","ISSN":"1556-0961 (Electronic)","issue":"2","language":"eng","note":"PMID: 32789603","page":"587–590","title":"Thrombotic and Hemorrhagic Neurological Complications in Critically Ill COVID-19 Patients.","volume":"33","author":[{"family":"Gonçalves","given":"Bruno"},{"family":"Righy","given":"Cassia"},{"family":"Kurtz","given":"Pedro"}],"issued":{"date-parts":[["2020",10]]}}}],"schema":"https://github.com/citation-style-language/schema/raw/master/csl-citation.json"}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529E7">
              <w:rPr>
                <w:rFonts w:ascii="Times New Roman" w:hAnsi="Times New Roman" w:cs="Times New Roman"/>
                <w:color w:val="000000"/>
                <w:sz w:val="13"/>
                <w:vertAlign w:val="superscript"/>
                <w:lang w:val="de-DE"/>
              </w:rPr>
              <w:t>16</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35A3035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3778802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24DA5DC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684D22F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w:t>
            </w:r>
          </w:p>
        </w:tc>
        <w:tc>
          <w:tcPr>
            <w:tcW w:w="384" w:type="pct"/>
            <w:tcBorders>
              <w:top w:val="nil"/>
              <w:left w:val="nil"/>
              <w:bottom w:val="nil"/>
              <w:right w:val="nil"/>
            </w:tcBorders>
            <w:shd w:val="clear" w:color="auto" w:fill="auto"/>
            <w:noWrap/>
            <w:vAlign w:val="center"/>
            <w:hideMark/>
          </w:tcPr>
          <w:p w14:paraId="72433EF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18D440E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21CAEBC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00C3456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5E4A1E5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15</w:t>
            </w:r>
          </w:p>
        </w:tc>
        <w:tc>
          <w:tcPr>
            <w:tcW w:w="275" w:type="pct"/>
            <w:tcBorders>
              <w:top w:val="nil"/>
              <w:left w:val="nil"/>
              <w:bottom w:val="nil"/>
              <w:right w:val="nil"/>
            </w:tcBorders>
            <w:shd w:val="clear" w:color="auto" w:fill="auto"/>
            <w:noWrap/>
            <w:vAlign w:val="center"/>
            <w:hideMark/>
          </w:tcPr>
          <w:p w14:paraId="5C79CF1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11188756" w14:textId="77777777" w:rsidTr="007B37AC">
        <w:trPr>
          <w:trHeight w:val="320"/>
        </w:trPr>
        <w:tc>
          <w:tcPr>
            <w:tcW w:w="1058" w:type="pct"/>
            <w:tcBorders>
              <w:top w:val="nil"/>
              <w:left w:val="nil"/>
              <w:bottom w:val="nil"/>
              <w:right w:val="nil"/>
            </w:tcBorders>
            <w:shd w:val="clear" w:color="auto" w:fill="auto"/>
            <w:noWrap/>
            <w:vAlign w:val="center"/>
            <w:hideMark/>
          </w:tcPr>
          <w:p w14:paraId="73C7B8E3" w14:textId="6FA93C60"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Gupta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{"citationID":"Ky0QZp40","properties":{"formattedCitation":"\\super 17\\nosupersub{}","plainCitation":"17","noteIndex":0},"citationItems":[{"id":3133,"uris":["http://zotero.org/users/local/4rfnQu81/items/NWT45VLQ"],"uri":["http://zotero.org/users/local/4rfnQu81/items/NWT45VLQ"],"itemData":{"id":3133,"type":"article-journal","abstract":"Neurologic complications of COVID-19 infection have been recently described and  include dizziness, headache, loss of taste and smell, stroke, and encephalopathy. Brain MRI in these patients have revealed various findings including ischemia, hemorrhage, inflammation, and demyelination. In this article, we report a case of critical illness-associated cerebral microbleeds identified on MRI in a patient with severe COVID-19 infection and discuss the potential etiologies of these neuroimaging findings.","container-title":"Clinical imaging","DOI":"10.1016/j.clinimag.2020.08.029","ISSN":"1873-4499 (Electronic)","language":"eng","note":"PMID: 32911311\npublisher-place: United States","page":"239-241","title":"Critical illness-associated cerebral microbleeds in severe COVID-19 infection.","volume":"68","author":[{"family":"Gupta","given":"Nidhi Azad"},{"family":"Lien","given":"Conway"},{"family":"Iv","given":"Michael"}],"issued":{"date-parts":[["2020",8]]}}}],"schema":"https://github.com/citation-style-language/schema/raw/master/csl-citation.json"}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529E7">
              <w:rPr>
                <w:rFonts w:ascii="Times New Roman" w:hAnsi="Times New Roman" w:cs="Times New Roman"/>
                <w:color w:val="000000"/>
                <w:sz w:val="13"/>
                <w:vertAlign w:val="superscript"/>
                <w:lang w:val="de-DE"/>
              </w:rPr>
              <w:t>17</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500CCEA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7156018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47</w:t>
            </w:r>
          </w:p>
        </w:tc>
        <w:tc>
          <w:tcPr>
            <w:tcW w:w="384" w:type="pct"/>
            <w:tcBorders>
              <w:top w:val="nil"/>
              <w:left w:val="nil"/>
              <w:bottom w:val="nil"/>
              <w:right w:val="nil"/>
            </w:tcBorders>
            <w:shd w:val="clear" w:color="auto" w:fill="auto"/>
            <w:noWrap/>
            <w:vAlign w:val="center"/>
            <w:hideMark/>
          </w:tcPr>
          <w:p w14:paraId="0B85337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101448A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7534022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6742DFE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0B940C5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0</w:t>
            </w:r>
          </w:p>
        </w:tc>
        <w:tc>
          <w:tcPr>
            <w:tcW w:w="629" w:type="pct"/>
            <w:tcBorders>
              <w:top w:val="nil"/>
              <w:left w:val="nil"/>
              <w:bottom w:val="nil"/>
              <w:right w:val="nil"/>
            </w:tcBorders>
            <w:shd w:val="clear" w:color="auto" w:fill="auto"/>
            <w:noWrap/>
            <w:vAlign w:val="center"/>
            <w:hideMark/>
          </w:tcPr>
          <w:p w14:paraId="49A934C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MRI</w:t>
            </w:r>
          </w:p>
        </w:tc>
        <w:tc>
          <w:tcPr>
            <w:tcW w:w="316" w:type="pct"/>
            <w:tcBorders>
              <w:top w:val="nil"/>
              <w:left w:val="nil"/>
              <w:bottom w:val="nil"/>
              <w:right w:val="nil"/>
            </w:tcBorders>
            <w:shd w:val="clear" w:color="auto" w:fill="auto"/>
            <w:noWrap/>
            <w:vAlign w:val="center"/>
            <w:hideMark/>
          </w:tcPr>
          <w:p w14:paraId="7B5A765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23</w:t>
            </w:r>
          </w:p>
        </w:tc>
        <w:tc>
          <w:tcPr>
            <w:tcW w:w="275" w:type="pct"/>
            <w:tcBorders>
              <w:top w:val="nil"/>
              <w:left w:val="nil"/>
              <w:bottom w:val="nil"/>
              <w:right w:val="nil"/>
            </w:tcBorders>
            <w:shd w:val="clear" w:color="auto" w:fill="auto"/>
            <w:noWrap/>
            <w:vAlign w:val="center"/>
            <w:hideMark/>
          </w:tcPr>
          <w:p w14:paraId="587B668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6753FDC3" w14:textId="77777777" w:rsidTr="007B37AC">
        <w:trPr>
          <w:trHeight w:val="320"/>
        </w:trPr>
        <w:tc>
          <w:tcPr>
            <w:tcW w:w="1058" w:type="pct"/>
            <w:tcBorders>
              <w:top w:val="nil"/>
              <w:left w:val="nil"/>
              <w:bottom w:val="nil"/>
              <w:right w:val="nil"/>
            </w:tcBorders>
            <w:shd w:val="clear" w:color="auto" w:fill="auto"/>
            <w:noWrap/>
            <w:vAlign w:val="center"/>
            <w:hideMark/>
          </w:tcPr>
          <w:p w14:paraId="750C9640" w14:textId="0F588F75"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Harrogate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{"citationID":"SSvnmlGe","properties":{"formattedCitation":"\\super 18\\nosupersub{}","plainCitation":"18","noteIndex":0},"citationItems":[{"id":97,"uris":["http://zotero.org/users/local/4rfnQu81/items/2QB67I6Y"],"uri":["http://zotero.org/users/local/4rfnQu81/items/2QB67I6Y"],"itemData":{"id":97,"type":"article-journal","abstract":"Coronavirus disease of 2019 (COVID-19) is associated with hypercoagulopathy, but haemorrhage, including spontaneous intracerebral parenchymal haemorrhage and diffuse petechial cerebral haemorrhage, has also been reported. We present two cases of nonaneurysmal subarachnoid haemorrhage (SAH) in patients with severe COVID-19. Careful review of neuroimaging for haemorrhagic complications of COVID-19 should be undertaken, particularly for those patients receiving enhanced prophylaxis for venous thromboembolism. Although likely to be a marker of severe disease, non-aneurysmal SAH can be associated with favourable outcome.","container-title":"Neuroradiology","DOI":"10.1007/s00234-020-02535-4","ISSN":"1432-1920 (Electronic)","language":"eng","note":"PMID: 32857213","page":"1–4","title":"Non-aneurysmal subarachnoid haemorrhage in COVID-19.","author":[{"family":"Harrogate","given":"Suzanne"},{"family":"Mortimer","given":"Alex"},{"family":"Burrows","given":"Lorna"},{"family":"Fiddes","given":"Barnaby"},{"family":"Thomas","given":"Ian"},{"family":"Rice","given":"Claire M"}],"issued":{"date-parts":[["2020",8]]}}}],"schema":"https://github.com/citation-style-language/schema/raw/master/csl-citation.json"}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529E7">
              <w:rPr>
                <w:rFonts w:ascii="Times New Roman" w:hAnsi="Times New Roman" w:cs="Times New Roman"/>
                <w:color w:val="000000"/>
                <w:sz w:val="13"/>
                <w:vertAlign w:val="superscript"/>
                <w:lang w:val="de-DE"/>
              </w:rPr>
              <w:t>18</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7EED154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00320EB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1B6B2AB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79529D1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7160CE0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29CC9A3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36</w:t>
            </w:r>
          </w:p>
        </w:tc>
        <w:tc>
          <w:tcPr>
            <w:tcW w:w="493" w:type="pct"/>
            <w:tcBorders>
              <w:top w:val="nil"/>
              <w:left w:val="nil"/>
              <w:bottom w:val="nil"/>
              <w:right w:val="nil"/>
            </w:tcBorders>
            <w:shd w:val="clear" w:color="auto" w:fill="auto"/>
            <w:noWrap/>
            <w:vAlign w:val="center"/>
            <w:hideMark/>
          </w:tcPr>
          <w:p w14:paraId="2945085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55</w:t>
            </w:r>
          </w:p>
        </w:tc>
        <w:tc>
          <w:tcPr>
            <w:tcW w:w="629" w:type="pct"/>
            <w:tcBorders>
              <w:top w:val="nil"/>
              <w:left w:val="nil"/>
              <w:bottom w:val="nil"/>
              <w:right w:val="nil"/>
            </w:tcBorders>
            <w:shd w:val="clear" w:color="auto" w:fill="auto"/>
            <w:noWrap/>
            <w:vAlign w:val="center"/>
            <w:hideMark/>
          </w:tcPr>
          <w:p w14:paraId="585D118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CT/MRI</w:t>
            </w:r>
          </w:p>
        </w:tc>
        <w:tc>
          <w:tcPr>
            <w:tcW w:w="316" w:type="pct"/>
            <w:tcBorders>
              <w:top w:val="nil"/>
              <w:left w:val="nil"/>
              <w:bottom w:val="nil"/>
              <w:right w:val="nil"/>
            </w:tcBorders>
            <w:shd w:val="clear" w:color="auto" w:fill="auto"/>
            <w:noWrap/>
            <w:vAlign w:val="center"/>
            <w:hideMark/>
          </w:tcPr>
          <w:p w14:paraId="057706F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11</w:t>
            </w:r>
          </w:p>
        </w:tc>
        <w:tc>
          <w:tcPr>
            <w:tcW w:w="275" w:type="pct"/>
            <w:tcBorders>
              <w:top w:val="nil"/>
              <w:left w:val="nil"/>
              <w:bottom w:val="nil"/>
              <w:right w:val="nil"/>
            </w:tcBorders>
            <w:shd w:val="clear" w:color="auto" w:fill="auto"/>
            <w:noWrap/>
            <w:vAlign w:val="center"/>
            <w:hideMark/>
          </w:tcPr>
          <w:p w14:paraId="425238A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44E24BBB" w14:textId="77777777" w:rsidTr="007B37AC">
        <w:trPr>
          <w:trHeight w:val="320"/>
        </w:trPr>
        <w:tc>
          <w:tcPr>
            <w:tcW w:w="1058" w:type="pct"/>
            <w:tcBorders>
              <w:top w:val="nil"/>
              <w:left w:val="nil"/>
              <w:bottom w:val="nil"/>
              <w:right w:val="nil"/>
            </w:tcBorders>
            <w:shd w:val="clear" w:color="auto" w:fill="auto"/>
            <w:noWrap/>
            <w:vAlign w:val="center"/>
            <w:hideMark/>
          </w:tcPr>
          <w:p w14:paraId="1C3B0A4B" w14:textId="348E4663"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Harrogate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{"citationID":"eRkPbMk9","properties":{"formattedCitation":"\\super 18\\nosupersub{}","plainCitation":"18","noteIndex":0},"citationItems":[{"id":97,"uris":["http://zotero.org/users/local/4rfnQu81/items/2QB67I6Y"],"uri":["http://zotero.org/users/local/4rfnQu81/items/2QB67I6Y"],"itemData":{"id":97,"type":"article-journal","abstract":"Coronavirus disease of 2019 (COVID-19) is associated with hypercoagulopathy, but haemorrhage, including spontaneous intracerebral parenchymal haemorrhage and diffuse petechial cerebral haemorrhage, has also been reported. We present two cases of nonaneurysmal subarachnoid haemorrhage (SAH) in patients with severe COVID-19. Careful review of neuroimaging for haemorrhagic complications of COVID-19 should be undertaken, particularly for those patients receiving enhanced prophylaxis for venous thromboembolism. Although likely to be a marker of severe disease, non-aneurysmal SAH can be associated with favourable outcome.","container-title":"Neuroradiology","DOI":"10.1007/s00234-020-02535-4","ISSN":"1432-1920 (Electronic)","language":"eng","note":"PMID: 32857213","page":"1–4","title":"Non-aneurysmal subarachnoid haemorrhage in COVID-19.","author":[{"family":"Harrogate","given":"Suzanne"},{"family":"Mortimer","given":"Alex"},{"family":"Burrows","given":"Lorna"},{"family":"Fiddes","given":"Barnaby"},{"family":"Thomas","given":"Ian"},{"family":"Rice","given":"Claire M"}],"issued":{"date-parts":[["2020",8]]}}}],"schema":"https://github.com/citation-style-language/schema/raw/master/csl-citation.json"}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529E7">
              <w:rPr>
                <w:rFonts w:ascii="Times New Roman" w:hAnsi="Times New Roman" w:cs="Times New Roman"/>
                <w:color w:val="000000"/>
                <w:sz w:val="13"/>
                <w:vertAlign w:val="superscript"/>
                <w:lang w:val="de-DE"/>
              </w:rPr>
              <w:t>18</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20069AA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73F5279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1EFD081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6C2BA58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617A2A1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26ACE27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51788E4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19</w:t>
            </w:r>
          </w:p>
        </w:tc>
        <w:tc>
          <w:tcPr>
            <w:tcW w:w="629" w:type="pct"/>
            <w:tcBorders>
              <w:top w:val="nil"/>
              <w:left w:val="nil"/>
              <w:bottom w:val="nil"/>
              <w:right w:val="nil"/>
            </w:tcBorders>
            <w:shd w:val="clear" w:color="auto" w:fill="auto"/>
            <w:noWrap/>
            <w:vAlign w:val="center"/>
            <w:hideMark/>
          </w:tcPr>
          <w:p w14:paraId="18F60EB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32A001D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3F7349C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0BF532B5" w14:textId="77777777" w:rsidTr="007B37AC">
        <w:trPr>
          <w:trHeight w:val="320"/>
        </w:trPr>
        <w:tc>
          <w:tcPr>
            <w:tcW w:w="1058" w:type="pct"/>
            <w:tcBorders>
              <w:top w:val="nil"/>
              <w:left w:val="nil"/>
              <w:bottom w:val="nil"/>
              <w:right w:val="nil"/>
            </w:tcBorders>
            <w:shd w:val="clear" w:color="auto" w:fill="auto"/>
            <w:noWrap/>
            <w:vAlign w:val="center"/>
            <w:hideMark/>
          </w:tcPr>
          <w:p w14:paraId="3880291D" w14:textId="0442927F"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Heman-Ackah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{"citationID":"8xU66tws","properties":{"formattedCitation":"\\super 19\\nosupersub{}","plainCitation":"19","noteIndex":0},"citationItems":[{"id":62,"uris":["http://zotero.org/users/local/4rfnQu81/items/48WQMPGM"],"uri":["http://zotero.org/users/local/4rfnQu81/items/48WQMPGM"],"itemData":{"id":62,"type":"article-journal","abstract":"BACKGROUND AND IMPORTANCE: Extracorporeal membrane oxygenation (ECMO) represents a life-saving therapy in cases of refractory hypoxia and has been utilized in patients suffering from the most severe forms of coronavirus disease 2019 (COVID-19). A strikingly high mortality rate of 94% was described in early reports of patients with COVID-19 transitioned to ECMO. Later case reports and series demonstrating successful recovery from COVID-19 after ECMO have revived interest in this therapeutic modality, including the recent approval of ECMO for COVID-19 patients by the Food and Drug Administration (FDA). Here, we present the first reports of devastating intracranial hemorrhage as a complication of veno-venous (VV) ECMO in two COVID-19 patients. CLINICAL PRESENTATION: We performed a retrospective analysis of 2 cases of devastating intracranial hemorrhage in patients on VV-ECMO for the treatment of COVID-19. Collected data included clinical history, laboratory results, treatment, and review of all available imaging. Both patients demonstrated activated partial thromboplastin times (aPTT) within an appropriate therapeutic range. No risk factors that clearly predicted likelihood of this complication were identified. CONCLUSION: Understanding the complications of ECMO in this cohort and developing therapeutic algorithms to aid in optimal patient selection will be critical in the limited resource setting experienced as a result of global pandemic. We propose the use of head computed tomography (CT) to identify devastating neurological complications as early as possible, aiding in the resource allocation of ECMO machines to the most appropriately selected patients.","container-title":"Neurosurgery","DOI":"10.1093/neuros/nyaa198","ISSN":"15244040","issue":"2","note":"PMID: 32424429","page":"E147–E151","title":"Neurologically devastating intraparenchymal hemorrhage in COVID-19 patients on extracorporeal membrane oxygenation: A case series","volume":"87","author":[{"family":"Heman-Ackah","given":"Sabrina M."},{"family":"Su","given":"You Rong Sophie"},{"family":"Spadola","given":"Michael"},{"family":"Petrov","given":"Dmitriy"},{"family":"Chen","given":"H. Isaac"},{"family":"Schuster","given":"James"},{"family":"Lucas","given":"Timothy"}],"issued":{"date-parts":[["2020"]]}}}],"schema":"https://github.com/citation-style-language/schema/raw/master/csl-citation.json"}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529E7">
              <w:rPr>
                <w:rFonts w:ascii="Times New Roman" w:hAnsi="Times New Roman" w:cs="Times New Roman"/>
                <w:color w:val="000000"/>
                <w:sz w:val="13"/>
                <w:vertAlign w:val="superscript"/>
                <w:lang w:val="de-DE"/>
              </w:rPr>
              <w:t>19</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27B611C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2260DB8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78D3141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16</w:t>
            </w:r>
          </w:p>
        </w:tc>
        <w:tc>
          <w:tcPr>
            <w:tcW w:w="275" w:type="pct"/>
            <w:tcBorders>
              <w:top w:val="nil"/>
              <w:left w:val="nil"/>
              <w:bottom w:val="nil"/>
              <w:right w:val="nil"/>
            </w:tcBorders>
            <w:shd w:val="clear" w:color="auto" w:fill="auto"/>
            <w:noWrap/>
            <w:vAlign w:val="center"/>
            <w:hideMark/>
          </w:tcPr>
          <w:p w14:paraId="54B7E50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w:t>
            </w:r>
          </w:p>
        </w:tc>
        <w:tc>
          <w:tcPr>
            <w:tcW w:w="384" w:type="pct"/>
            <w:tcBorders>
              <w:top w:val="nil"/>
              <w:left w:val="nil"/>
              <w:bottom w:val="nil"/>
              <w:right w:val="nil"/>
            </w:tcBorders>
            <w:shd w:val="clear" w:color="auto" w:fill="auto"/>
            <w:noWrap/>
            <w:vAlign w:val="center"/>
            <w:hideMark/>
          </w:tcPr>
          <w:p w14:paraId="2DDAB38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60</w:t>
            </w:r>
          </w:p>
        </w:tc>
        <w:tc>
          <w:tcPr>
            <w:tcW w:w="486" w:type="pct"/>
            <w:tcBorders>
              <w:top w:val="nil"/>
              <w:left w:val="nil"/>
              <w:bottom w:val="nil"/>
              <w:right w:val="nil"/>
            </w:tcBorders>
            <w:shd w:val="clear" w:color="auto" w:fill="auto"/>
            <w:noWrap/>
            <w:vAlign w:val="center"/>
            <w:hideMark/>
          </w:tcPr>
          <w:p w14:paraId="3A264EC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139</w:t>
            </w:r>
          </w:p>
        </w:tc>
        <w:tc>
          <w:tcPr>
            <w:tcW w:w="493" w:type="pct"/>
            <w:tcBorders>
              <w:top w:val="nil"/>
              <w:left w:val="nil"/>
              <w:bottom w:val="nil"/>
              <w:right w:val="nil"/>
            </w:tcBorders>
            <w:shd w:val="clear" w:color="auto" w:fill="auto"/>
            <w:noWrap/>
            <w:vAlign w:val="center"/>
            <w:hideMark/>
          </w:tcPr>
          <w:p w14:paraId="6AA846F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w:t>
            </w:r>
          </w:p>
        </w:tc>
        <w:tc>
          <w:tcPr>
            <w:tcW w:w="629" w:type="pct"/>
            <w:tcBorders>
              <w:top w:val="nil"/>
              <w:left w:val="nil"/>
              <w:bottom w:val="nil"/>
              <w:right w:val="nil"/>
            </w:tcBorders>
            <w:shd w:val="clear" w:color="auto" w:fill="auto"/>
            <w:noWrap/>
            <w:vAlign w:val="center"/>
            <w:hideMark/>
          </w:tcPr>
          <w:p w14:paraId="54B7271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116310B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19</w:t>
            </w:r>
          </w:p>
        </w:tc>
        <w:tc>
          <w:tcPr>
            <w:tcW w:w="275" w:type="pct"/>
            <w:tcBorders>
              <w:top w:val="nil"/>
              <w:left w:val="nil"/>
              <w:bottom w:val="nil"/>
              <w:right w:val="nil"/>
            </w:tcBorders>
            <w:shd w:val="clear" w:color="auto" w:fill="auto"/>
            <w:noWrap/>
            <w:vAlign w:val="center"/>
            <w:hideMark/>
          </w:tcPr>
          <w:p w14:paraId="20843BC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6E70674C" w14:textId="77777777" w:rsidTr="007B37AC">
        <w:trPr>
          <w:trHeight w:val="320"/>
        </w:trPr>
        <w:tc>
          <w:tcPr>
            <w:tcW w:w="1058" w:type="pct"/>
            <w:tcBorders>
              <w:top w:val="nil"/>
              <w:left w:val="nil"/>
              <w:bottom w:val="nil"/>
              <w:right w:val="nil"/>
            </w:tcBorders>
            <w:shd w:val="clear" w:color="auto" w:fill="auto"/>
            <w:noWrap/>
            <w:vAlign w:val="center"/>
            <w:hideMark/>
          </w:tcPr>
          <w:p w14:paraId="58A70A31" w14:textId="0A7EDAC7"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Heman-Ackah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{"citationID":"kMTqr9qB","properties":{"formattedCitation":"\\super 19\\nosupersub{}","plainCitation":"19","noteIndex":0},"citationItems":[{"id":62,"uris":["http://zotero.org/users/local/4rfnQu81/items/48WQMPGM"],"uri":["http://zotero.org/users/local/4rfnQu81/items/48WQMPGM"],"itemData":{"id":62,"type":"article-journal","abstract":"BACKGROUND AND IMPORTANCE: Extracorporeal membrane oxygenation (ECMO) represents a life-saving therapy in cases of refractory hypoxia and has been utilized in patients suffering from the most severe forms of coronavirus disease 2019 (COVID-19). A strikingly high mortality rate of 94% was described in early reports of patients with COVID-19 transitioned to ECMO. Later case reports and series demonstrating successful recovery from COVID-19 after ECMO have revived interest in this therapeutic modality, including the recent approval of ECMO for COVID-19 patients by the Food and Drug Administration (FDA). Here, we present the first reports of devastating intracranial hemorrhage as a complication of veno-venous (VV) ECMO in two COVID-19 patients. CLINICAL PRESENTATION: We performed a retrospective analysis of 2 cases of devastating intracranial hemorrhage in patients on VV-ECMO for the treatment of COVID-19. Collected data included clinical history, laboratory results, treatment, and review of all available imaging. Both patients demonstrated activated partial thromboplastin times (aPTT) within an appropriate therapeutic range. No risk factors that clearly predicted likelihood of this complication were identified. CONCLUSION: Understanding the complications of ECMO in this cohort and developing therapeutic algorithms to aid in optimal patient selection will be critical in the limited resource setting experienced as a result of global pandemic. We propose the use of head computed tomography (CT) to identify devastating neurological complications as early as possible, aiding in the resource allocation of ECMO machines to the most appropriately selected patients.","container-title":"Neurosurgery","DOI":"10.1093/neuros/nyaa198","ISSN":"15244040","issue":"2","note":"PMID: 32424429","page":"E147–E151","title":"Neurologically devastating intraparenchymal hemorrhage in COVID-19 patients on extracorporeal membrane oxygenation: A case series","volume":"87","author":[{"family":"Heman-Ackah","given":"Sabrina M."},{"family":"Su","given":"You Rong Sophie"},{"family":"Spadola","given":"Michael"},{"family":"Petrov","given":"Dmitriy"},{"family":"Chen","given":"H. Isaac"},{"family":"Schuster","given":"James"},{"family":"Lucas","given":"Timothy"}],"issued":{"date-parts":[["2020"]]}}}],"schema":"https://github.com/citation-style-language/schema/raw/master/csl-citation.json"}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529E7">
              <w:rPr>
                <w:rFonts w:ascii="Times New Roman" w:hAnsi="Times New Roman" w:cs="Times New Roman"/>
                <w:color w:val="000000"/>
                <w:sz w:val="13"/>
                <w:vertAlign w:val="superscript"/>
                <w:lang w:val="de-DE"/>
              </w:rPr>
              <w:t>19</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1B3EDBB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4158FF9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0E513C6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41</w:t>
            </w:r>
          </w:p>
        </w:tc>
        <w:tc>
          <w:tcPr>
            <w:tcW w:w="275" w:type="pct"/>
            <w:tcBorders>
              <w:top w:val="nil"/>
              <w:left w:val="nil"/>
              <w:bottom w:val="nil"/>
              <w:right w:val="nil"/>
            </w:tcBorders>
            <w:shd w:val="clear" w:color="auto" w:fill="auto"/>
            <w:noWrap/>
            <w:vAlign w:val="center"/>
            <w:hideMark/>
          </w:tcPr>
          <w:p w14:paraId="5D866C3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noWrap/>
            <w:vAlign w:val="center"/>
            <w:hideMark/>
          </w:tcPr>
          <w:p w14:paraId="08F27A6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71</w:t>
            </w:r>
          </w:p>
        </w:tc>
        <w:tc>
          <w:tcPr>
            <w:tcW w:w="486" w:type="pct"/>
            <w:tcBorders>
              <w:top w:val="nil"/>
              <w:left w:val="nil"/>
              <w:bottom w:val="nil"/>
              <w:right w:val="nil"/>
            </w:tcBorders>
            <w:shd w:val="clear" w:color="auto" w:fill="auto"/>
            <w:noWrap/>
            <w:vAlign w:val="center"/>
            <w:hideMark/>
          </w:tcPr>
          <w:p w14:paraId="594ECE5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197</w:t>
            </w:r>
          </w:p>
        </w:tc>
        <w:tc>
          <w:tcPr>
            <w:tcW w:w="493" w:type="pct"/>
            <w:tcBorders>
              <w:top w:val="nil"/>
              <w:left w:val="nil"/>
              <w:bottom w:val="nil"/>
              <w:right w:val="nil"/>
            </w:tcBorders>
            <w:shd w:val="clear" w:color="auto" w:fill="auto"/>
            <w:noWrap/>
            <w:vAlign w:val="center"/>
            <w:hideMark/>
          </w:tcPr>
          <w:p w14:paraId="3F4F6C7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629" w:type="pct"/>
            <w:tcBorders>
              <w:top w:val="nil"/>
              <w:left w:val="nil"/>
              <w:bottom w:val="nil"/>
              <w:right w:val="nil"/>
            </w:tcBorders>
            <w:shd w:val="clear" w:color="auto" w:fill="auto"/>
            <w:noWrap/>
            <w:vAlign w:val="center"/>
            <w:hideMark/>
          </w:tcPr>
          <w:p w14:paraId="6500472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56B57E2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16</w:t>
            </w:r>
          </w:p>
        </w:tc>
        <w:tc>
          <w:tcPr>
            <w:tcW w:w="275" w:type="pct"/>
            <w:tcBorders>
              <w:top w:val="nil"/>
              <w:left w:val="nil"/>
              <w:bottom w:val="nil"/>
              <w:right w:val="nil"/>
            </w:tcBorders>
            <w:shd w:val="clear" w:color="auto" w:fill="auto"/>
            <w:noWrap/>
            <w:vAlign w:val="center"/>
            <w:hideMark/>
          </w:tcPr>
          <w:p w14:paraId="0BB65F3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01343F37" w14:textId="77777777" w:rsidTr="007B37AC">
        <w:trPr>
          <w:trHeight w:val="320"/>
        </w:trPr>
        <w:tc>
          <w:tcPr>
            <w:tcW w:w="1058" w:type="pct"/>
            <w:tcBorders>
              <w:top w:val="nil"/>
              <w:left w:val="nil"/>
              <w:bottom w:val="nil"/>
              <w:right w:val="nil"/>
            </w:tcBorders>
            <w:shd w:val="clear" w:color="auto" w:fill="auto"/>
            <w:noWrap/>
            <w:vAlign w:val="center"/>
            <w:hideMark/>
          </w:tcPr>
          <w:p w14:paraId="6937BB07" w14:textId="3C828303"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Hemasian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{"citationID":"FL6Tvdm0","properties":{"formattedCitation":"\\super 20\\nosupersub{}","plainCitation":"20","noteIndex":0},"citationItems":[{"id":44,"uris":["http://zotero.org/users/local/4rfnQu81/items/R4W3JYQH"],"uri":["http://zotero.org/users/local/4rfnQu81/items/R4W3JYQH"],"itemData":{"id":44,"type":"article-journal","container-title":"Revue Neurologique","DOI":"10.1016/j.neurol.2020.04.013","ISSN":"00353787","issue":"6","note":"publisher: Elsevier Masson SAS\nPMID: 32414532","page":"521–523","title":"First case of Covid-19 presented with cerebral venous thrombosis: A rare and dreaded case","volume":"176","author":[{"family":"Hemasian","given":"H."},{"family":"Ansari","given":"B."}],"issued":{"date-parts":[["2020"]]}}}],"schema":"https://github.com/citation-style-language/schema/raw/master/csl-citation.json"}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529E7">
              <w:rPr>
                <w:rFonts w:ascii="Times New Roman" w:hAnsi="Times New Roman" w:cs="Times New Roman"/>
                <w:color w:val="000000"/>
                <w:sz w:val="13"/>
                <w:vertAlign w:val="superscript"/>
                <w:lang w:val="de-DE"/>
              </w:rPr>
              <w:t>20</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1A0EF57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7D9141B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4893E52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6CCAB57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379FE40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0BFBC61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54EA7F1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431AC4C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74FB4F2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275" w:type="pct"/>
            <w:tcBorders>
              <w:top w:val="nil"/>
              <w:left w:val="nil"/>
              <w:bottom w:val="nil"/>
              <w:right w:val="nil"/>
            </w:tcBorders>
            <w:shd w:val="clear" w:color="auto" w:fill="auto"/>
            <w:noWrap/>
            <w:vAlign w:val="center"/>
            <w:hideMark/>
          </w:tcPr>
          <w:p w14:paraId="6818244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5FBF40E1" w14:textId="77777777" w:rsidTr="007B37AC">
        <w:trPr>
          <w:trHeight w:val="320"/>
        </w:trPr>
        <w:tc>
          <w:tcPr>
            <w:tcW w:w="1058" w:type="pct"/>
            <w:tcBorders>
              <w:top w:val="nil"/>
              <w:left w:val="nil"/>
              <w:bottom w:val="nil"/>
              <w:right w:val="nil"/>
            </w:tcBorders>
            <w:shd w:val="clear" w:color="auto" w:fill="auto"/>
            <w:noWrap/>
            <w:vAlign w:val="center"/>
            <w:hideMark/>
          </w:tcPr>
          <w:p w14:paraId="4C69D3C8" w14:textId="44253159"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Hernández-Fernández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{"citationID":"qzO2S9zn","properties":{"formattedCitation":"\\super 21\\nosupersub{}","plainCitation":"21","noteIndex":0},"citationItems":[{"id":1606,"uris":["http://zotero.org/users/local/4rfnQu81/items/TQT9WFLN"],"uri":["http://zotero.org/users/local/4rfnQu81/items/TQT9WFLN"],"itemData":{"id":1606,"type":"article-journal","abstract":"Since the appearance of the first case of coronavirus disease 2019 (COVID-19) a pandemic has emerged affecting millions of individuals worldwide. Although the main clinical manifestations are respiratory, an increase in neurological conditions, specifically acute cerebrovascular disease, has been detected. We present cerebrovascular disease case incidence in hospitalized patients with SARS-CoV-2 infection. Patients were confirmed by microbiological/serological testing, or on chest CT semiology. Available data on co-morbidity, laboratory parameters, treatment administered, neuroimaging, neuropathological studies and clinical evolution during hospitalization, measured by the modified Rankin scale, were analysed. A bivariate study was also designed to identify differences between ischaemic and haemorrhagic subtypes. A statistical model of binary logistic regression and sensitivity analysis was designed to study the influence of independent variables over prognosis. In our centre, there were 1683 admissions of patients with COVID-19 over 50 days, of which 23 (1.4%) developed cerebrovascular disease. Within this group of patients, cerebral and chest CT scans were performed in all cases, and MRI in six (26.1%). Histological samples were obtained in 6/23 cases (two brain biopsies, and four arterial thrombi). Seventeen patients were classified as cerebral ischaemia (73.9%, with two arterial dissections), five as intracerebral haemorrhage (21.7%), and one leukoencephalopathy of posterior reversible encephalopathy type. Haemorrhagic patients had higher ferritin levels at the time of stroke (1554.3 versus 519.2, P = 0.004). Ischaemic strokes were unexpectedly frequent in the vertebrobasilar territory (6/17, 35.3%). In the haemorrhagic group, a characteristic radiological pattern was identified showing subarachnoid haemorrhage, parieto-occipital leukoencephalopathy, microbleeds and single or multiple focal haematomas. Brain biopsies performed showed signs of thrombotic microangiopathy and endothelial injury, with no evidence of vasculitis or necrotizing encephalitis. The functional prognosis during the hospital period was unfavourable in 73.9% (17/23 modified Rankin scale 4-6), and age was the main predictive variable (odds ratio = 1.5; 95% confidence interval 1.012-2.225; P = 0.043). Our series shows cerebrovascular disease incidence of 1.4% in patients with COVID-19 with high morbidity and mortality. We describe pathological and radiological data consistent with thrombotic microangiopathy caused by endotheliopathy with a haemorrhagic predisposition.","container-title":"Brain","DOI":"10.1093/brain/awaa239","ISSN":"14602156","issue":"10","note":"PMID: 32645151","page":"3089–3103","title":"Cerebrovascular disease in patients with COVID-19: Neuroimaging, histological and clinical description","volume":"143","author":[{"family":"Hernandez-Fernandez","given":"Francisco"},{"family":"Sandoval Valencia","given":"Hernan"},{"family":"Barbella-Aponte","given":"Rosa Angelica"},{"family":"Collado-Jimenez","given":"Rosa"},{"family":"Ayo-Martin","given":"Oscar"},{"family":"Barrena","given":"Cristina"},{"family":"Molina-Nuevo","given":"Juan David"},{"family":"Garcia-Garcia","given":"Jorge"},{"family":"Lozano-Setien","given":"Elena"},{"family":"Alcahut-Rodriguez","given":"Cristian"},{"family":"Martinez-Martin","given":"Alvaro"},{"family":"Sanchez-Lopez","given":"Antonio"},{"family":"Segura","given":"Tomas"}],"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529E7">
              <w:rPr>
                <w:rFonts w:ascii="Times New Roman" w:hAnsi="Times New Roman" w:cs="Times New Roman"/>
                <w:color w:val="000000"/>
                <w:sz w:val="13"/>
                <w:vertAlign w:val="superscript"/>
                <w:lang w:val="de-DE"/>
              </w:rPr>
              <w:t>21</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12EE7F5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77AFE8C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3281A75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32FD32B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36901B6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5177443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67809BA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4BDFBC1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6140A70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275" w:type="pct"/>
            <w:tcBorders>
              <w:top w:val="nil"/>
              <w:left w:val="nil"/>
              <w:bottom w:val="nil"/>
              <w:right w:val="nil"/>
            </w:tcBorders>
            <w:shd w:val="clear" w:color="auto" w:fill="auto"/>
            <w:noWrap/>
            <w:vAlign w:val="center"/>
            <w:hideMark/>
          </w:tcPr>
          <w:p w14:paraId="0855D45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4B49A0D2" w14:textId="77777777" w:rsidTr="007B37AC">
        <w:trPr>
          <w:trHeight w:val="320"/>
        </w:trPr>
        <w:tc>
          <w:tcPr>
            <w:tcW w:w="1058" w:type="pct"/>
            <w:tcBorders>
              <w:top w:val="nil"/>
              <w:left w:val="nil"/>
              <w:bottom w:val="nil"/>
              <w:right w:val="nil"/>
            </w:tcBorders>
            <w:shd w:val="clear" w:color="auto" w:fill="auto"/>
            <w:noWrap/>
            <w:vAlign w:val="center"/>
            <w:hideMark/>
          </w:tcPr>
          <w:p w14:paraId="4728D194" w14:textId="7350D06B"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Hernández-Fernández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{"citationID":"kc2UhpI7","properties":{"formattedCitation":"\\super 21\\nosupersub{}","plainCitation":"21","noteIndex":0},"citationItems":[{"id":1606,"uris":["http://zotero.org/users/local/4rfnQu81/items/TQT9WFLN"],"uri":["http://zotero.org/users/local/4rfnQu81/items/TQT9WFLN"],"itemData":{"id":1606,"type":"article-journal","abstract":"Since the appearance of the first case of coronavirus disease 2019 (COVID-19) a pandemic has emerged affecting millions of individuals worldwide. Although the main clinical manifestations are respiratory, an increase in neurological conditions, specifically acute cerebrovascular disease, has been detected. We present cerebrovascular disease case incidence in hospitalized patients with SARS-CoV-2 infection. Patients were confirmed by microbiological/serological testing, or on chest CT semiology. Available data on co-morbidity, laboratory parameters, treatment administered, neuroimaging, neuropathological studies and clinical evolution during hospitalization, measured by the modified Rankin scale, were analysed. A bivariate study was also designed to identify differences between ischaemic and haemorrhagic subtypes. A statistical model of binary logistic regression and sensitivity analysis was designed to study the influence of independent variables over prognosis. In our centre, there were 1683 admissions of patients with COVID-19 over 50 days, of which 23 (1.4%) developed cerebrovascular disease. Within this group of patients, cerebral and chest CT scans were performed in all cases, and MRI in six (26.1%). Histological samples were obtained in 6/23 cases (two brain biopsies, and four arterial thrombi). Seventeen patients were classified as cerebral ischaemia (73.9%, with two arterial dissections), five as intracerebral haemorrhage (21.7%), and one leukoencephalopathy of posterior reversible encephalopathy type. Haemorrhagic patients had higher ferritin levels at the time of stroke (1554.3 versus 519.2, P = 0.004). Ischaemic strokes were unexpectedly frequent in the vertebrobasilar territory (6/17, 35.3%). In the haemorrhagic group, a characteristic radiological pattern was identified showing subarachnoid haemorrhage, parieto-occipital leukoencephalopathy, microbleeds and single or multiple focal haematomas. Brain biopsies performed showed signs of thrombotic microangiopathy and endothelial injury, with no evidence of vasculitis or necrotizing encephalitis. The functional prognosis during the hospital period was unfavourable in 73.9% (17/23 modified Rankin scale 4-6), and age was the main predictive variable (odds ratio = 1.5; 95% confidence interval 1.012-2.225; P = 0.043). Our series shows cerebrovascular disease incidence of 1.4% in patients with COVID-19 with high morbidity and mortality. We describe pathological and radiological data consistent with thrombotic microangiopathy caused by endotheliopathy with a haemorrhagic predisposition.","container-title":"Brain","DOI":"10.1093/brain/awaa239","ISSN":"14602156","issue":"10","note":"PMID: 32645151","page":"3089–3103","title":"Cerebrovascular disease in patients with COVID-19: Neuroimaging, histological and clinical description","volume":"143","author":[{"family":"Hernandez-Fernandez","given":"Francisco"},{"family":"Sandoval Valencia","given":"Hernan"},{"family":"Barbella-Aponte","given":"Rosa Angelica"},{"family":"Collado-Jimenez","given":"Rosa"},{"family":"Ayo-Martin","given":"Oscar"},{"family":"Barrena","given":"Cristina"},{"family":"Molina-Nuevo","given":"Juan David"},{"family":"Garcia-Garcia","given":"Jorge"},{"family":"Lozano-Setien","given":"Elena"},{"family":"Alcahut-Rodriguez","given":"Cristian"},{"family":"Martinez-Martin","given":"Alvaro"},{"family":"Sanchez-Lopez","given":"Antonio"},{"family":"Segura","given":"Tomas"}],"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7A62EC">
              <w:rPr>
                <w:rFonts w:ascii="Times New Roman" w:hAnsi="Times New Roman" w:cs="Times New Roman"/>
                <w:color w:val="000000"/>
                <w:sz w:val="13"/>
                <w:vertAlign w:val="superscript"/>
              </w:rPr>
              <w:t>21</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03FCEC7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7D65E9B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49C44A1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0A5BB6D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7B8319F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6F8734B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30FDA48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0D9C848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CT/MRI</w:t>
            </w:r>
          </w:p>
        </w:tc>
        <w:tc>
          <w:tcPr>
            <w:tcW w:w="316" w:type="pct"/>
            <w:tcBorders>
              <w:top w:val="nil"/>
              <w:left w:val="nil"/>
              <w:bottom w:val="nil"/>
              <w:right w:val="nil"/>
            </w:tcBorders>
            <w:shd w:val="clear" w:color="auto" w:fill="auto"/>
            <w:noWrap/>
            <w:vAlign w:val="center"/>
            <w:hideMark/>
          </w:tcPr>
          <w:p w14:paraId="4894706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13</w:t>
            </w:r>
          </w:p>
        </w:tc>
        <w:tc>
          <w:tcPr>
            <w:tcW w:w="275" w:type="pct"/>
            <w:tcBorders>
              <w:top w:val="nil"/>
              <w:left w:val="nil"/>
              <w:bottom w:val="nil"/>
              <w:right w:val="nil"/>
            </w:tcBorders>
            <w:shd w:val="clear" w:color="auto" w:fill="auto"/>
            <w:noWrap/>
            <w:vAlign w:val="center"/>
            <w:hideMark/>
          </w:tcPr>
          <w:p w14:paraId="01A8FEF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3E4BFA00" w14:textId="77777777" w:rsidTr="007B37AC">
        <w:trPr>
          <w:trHeight w:val="320"/>
        </w:trPr>
        <w:tc>
          <w:tcPr>
            <w:tcW w:w="1058" w:type="pct"/>
            <w:tcBorders>
              <w:top w:val="nil"/>
              <w:left w:val="nil"/>
              <w:bottom w:val="nil"/>
              <w:right w:val="nil"/>
            </w:tcBorders>
            <w:shd w:val="clear" w:color="auto" w:fill="auto"/>
            <w:noWrap/>
            <w:vAlign w:val="center"/>
            <w:hideMark/>
          </w:tcPr>
          <w:p w14:paraId="62AB6B62" w14:textId="1CCFB2AD"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Hernández-Fernández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{"citationID":"7RnxMiB8","properties":{"formattedCitation":"\\super 21\\nosupersub{}","plainCitation":"21","noteIndex":0},"citationItems":[{"id":1606,"uris":["http://zotero.org/users/local/4rfnQu81/items/TQT9WFLN"],"uri":["http://zotero.org/users/local/4rfnQu81/items/TQT9WFLN"],"itemData":{"id":1606,"type":"article-journal","abstract":"Since the appearance of the first case of coronavirus disease 2019 (COVID-19) a pandemic has emerged affecting millions of individuals worldwide. Although the main clinical manifestations are respiratory, an increase in neurological conditions, specifically acute cerebrovascular disease, has been detected. We present cerebrovascular disease case incidence in hospitalized patients with SARS-CoV-2 infection. Patients were confirmed by microbiological/serological testing, or on chest CT semiology. Available data on co-morbidity, laboratory parameters, treatment administered, neuroimaging, neuropathological studies and clinical evolution during hospitalization, measured by the modified Rankin scale, were analysed. A bivariate study was also designed to identify differences between ischaemic and haemorrhagic subtypes. A statistical model of binary logistic regression and sensitivity analysis was designed to study the influence of independent variables over prognosis. In our centre, there were 1683 admissions of patients with COVID-19 over 50 days, of which 23 (1.4%) developed cerebrovascular disease. Within this group of patients, cerebral and chest CT scans were performed in all cases, and MRI in six (26.1%). Histological samples were obtained in 6/23 cases (two brain biopsies, and four arterial thrombi). Seventeen patients were classified as cerebral ischaemia (73.9%, with two arterial dissections), five as intracerebral haemorrhage (21.7%), and one leukoencephalopathy of posterior reversible encephalopathy type. Haemorrhagic patients had higher ferritin levels at the time of stroke (1554.3 versus 519.2, P = 0.004). Ischaemic strokes were unexpectedly frequent in the vertebrobasilar territory (6/17, 35.3%). In the haemorrhagic group, a characteristic radiological pattern was identified showing subarachnoid haemorrhage, parieto-occipital leukoencephalopathy, microbleeds and single or multiple focal haematomas. Brain biopsies performed showed signs of thrombotic microangiopathy and endothelial injury, with no evidence of vasculitis or necrotizing encephalitis. The functional prognosis during the hospital period was unfavourable in 73.9% (17/23 modified Rankin scale 4-6), and age was the main predictive variable (odds ratio = 1.5; 95% confidence interval 1.012-2.225; P = 0.043). Our series shows cerebrovascular disease incidence of 1.4% in patients with COVID-19 with high morbidity and mortality. We describe pathological and radiological data consistent with thrombotic microangiopathy caused by endotheliopathy with a haemorrhagic predisposition.","container-title":"Brain","DOI":"10.1093/brain/awaa239","ISSN":"14602156","issue":"10","note":"PMID: 32645151","page":"3089–3103","title":"Cerebrovascular disease in patients with COVID-19: Neuroimaging, histological and clinical description","volume":"143","author":[{"family":"Hernandez-Fernandez","given":"Francisco"},{"family":"Sandoval Valencia","given":"Hernan"},{"family":"Barbella-Aponte","given":"Rosa Angelica"},{"family":"Collado-Jimenez","given":"Rosa"},{"family":"Ayo-Martin","given":"Oscar"},{"family":"Barrena","given":"Cristina"},{"family":"Molina-Nuevo","given":"Juan David"},{"family":"Garcia-Garcia","given":"Jorge"},{"family":"Lozano-Setien","given":"Elena"},{"family":"Alcahut-Rodriguez","given":"Cristian"},{"family":"Martinez-Martin","given":"Alvaro"},{"family":"Sanchez-Lopez","given":"Antonio"},{"family":"Segura","given":"Tomas"}],"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7A62EC">
              <w:rPr>
                <w:rFonts w:ascii="Times New Roman" w:hAnsi="Times New Roman" w:cs="Times New Roman"/>
                <w:color w:val="000000"/>
                <w:sz w:val="13"/>
                <w:vertAlign w:val="superscript"/>
              </w:rPr>
              <w:t>21</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654384C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6D1F9F8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7137303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6D40AC4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651E0FF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4D57270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23824A5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586B721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2D044E1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275" w:type="pct"/>
            <w:tcBorders>
              <w:top w:val="nil"/>
              <w:left w:val="nil"/>
              <w:bottom w:val="nil"/>
              <w:right w:val="nil"/>
            </w:tcBorders>
            <w:shd w:val="clear" w:color="auto" w:fill="auto"/>
            <w:noWrap/>
            <w:vAlign w:val="center"/>
            <w:hideMark/>
          </w:tcPr>
          <w:p w14:paraId="1935C17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52BE7771" w14:textId="77777777" w:rsidTr="007B37AC">
        <w:trPr>
          <w:trHeight w:val="320"/>
        </w:trPr>
        <w:tc>
          <w:tcPr>
            <w:tcW w:w="1058" w:type="pct"/>
            <w:tcBorders>
              <w:top w:val="nil"/>
              <w:left w:val="nil"/>
              <w:bottom w:val="nil"/>
              <w:right w:val="nil"/>
            </w:tcBorders>
            <w:shd w:val="clear" w:color="auto" w:fill="auto"/>
            <w:noWrap/>
            <w:vAlign w:val="center"/>
            <w:hideMark/>
          </w:tcPr>
          <w:p w14:paraId="03C2B0F0" w14:textId="37ED7A15"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Hernández-Fernández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{"citationID":"0sYeVkvS","properties":{"formattedCitation":"\\super 21\\nosupersub{}","plainCitation":"21","noteIndex":0},"citationItems":[{"id":1606,"uris":["http://zotero.org/users/local/4rfnQu81/items/TQT9WFLN"],"uri":["http://zotero.org/users/local/4rfnQu81/items/TQT9WFLN"],"itemData":{"id":1606,"type":"article-journal","abstract":"Since the appearance of the first case of coronavirus disease 2019 (COVID-19) a pandemic has emerged affecting millions of individuals worldwide. Although the main clinical manifestations are respiratory, an increase in neurological conditions, specifically acute cerebrovascular disease, has been detected. We present cerebrovascular disease case incidence in hospitalized patients with SARS-CoV-2 infection. Patients were confirmed by microbiological/serological testing, or on chest CT semiology. Available data on co-morbidity, laboratory parameters, treatment administered, neuroimaging, neuropathological studies and clinical evolution during hospitalization, measured by the modified Rankin scale, were analysed. A bivariate study was also designed to identify differences between ischaemic and haemorrhagic subtypes. A statistical model of binary logistic regression and sensitivity analysis was designed to study the influence of independent variables over prognosis. In our centre, there were 1683 admissions of patients with COVID-19 over 50 days, of which 23 (1.4%) developed cerebrovascular disease. Within this group of patients, cerebral and chest CT scans were performed in all cases, and MRI in six (26.1%). Histological samples were obtained in 6/23 cases (two brain biopsies, and four arterial thrombi). Seventeen patients were classified as cerebral ischaemia (73.9%, with two arterial dissections), five as intracerebral haemorrhage (21.7%), and one leukoencephalopathy of posterior reversible encephalopathy type. Haemorrhagic patients had higher ferritin levels at the time of stroke (1554.3 versus 519.2, P = 0.004). Ischaemic strokes were unexpectedly frequent in the vertebrobasilar territory (6/17, 35.3%). In the haemorrhagic group, a characteristic radiological pattern was identified showing subarachnoid haemorrhage, parieto-occipital leukoencephalopathy, microbleeds and single or multiple focal haematomas. Brain biopsies performed showed signs of thrombotic microangiopathy and endothelial injury, with no evidence of vasculitis or necrotizing encephalitis. The functional prognosis during the hospital period was unfavourable in 73.9% (17/23 modified Rankin scale 4-6), and age was the main predictive variable (odds ratio = 1.5; 95% confidence interval 1.012-2.225; P = 0.043). Our series shows cerebrovascular disease incidence of 1.4% in patients with COVID-19 with high morbidity and mortality. We describe pathological and radiological data consistent with thrombotic microangiopathy caused by endotheliopathy with a haemorrhagic predisposition.","container-title":"Brain","DOI":"10.1093/brain/awaa239","ISSN":"14602156","issue":"10","note":"PMID: 32645151","page":"3089–3103","title":"Cerebrovascular disease in patients with COVID-19: Neuroimaging, histological and clinical description","volume":"143","author":[{"family":"Hernandez-Fernandez","given":"Francisco"},{"family":"Sandoval Valencia","given":"Hernan"},{"family":"Barbella-Aponte","given":"Rosa Angelica"},{"family":"Collado-Jimenez","given":"Rosa"},{"family":"Ayo-Martin","given":"Oscar"},{"family":"Barrena","given":"Cristina"},{"family":"Molina-Nuevo","given":"Juan David"},{"family":"Garcia-Garcia","given":"Jorge"},{"family":"Lozano-Setien","given":"Elena"},{"family":"Alcahut-Rodriguez","given":"Cristian"},{"family":"Martinez-Martin","given":"Alvaro"},{"family":"Sanchez-Lopez","given":"Antonio"},{"family":"Segura","given":"Tomas"}],"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7A62EC">
              <w:rPr>
                <w:rFonts w:ascii="Times New Roman" w:hAnsi="Times New Roman" w:cs="Times New Roman"/>
                <w:color w:val="000000"/>
                <w:sz w:val="13"/>
                <w:vertAlign w:val="superscript"/>
              </w:rPr>
              <w:t>21</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5F0A9FF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297195D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058F186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5DA6F39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68DBC41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51FE973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2EFB482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790B1A9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CT/MRI</w:t>
            </w:r>
          </w:p>
        </w:tc>
        <w:tc>
          <w:tcPr>
            <w:tcW w:w="316" w:type="pct"/>
            <w:tcBorders>
              <w:top w:val="nil"/>
              <w:left w:val="nil"/>
              <w:bottom w:val="nil"/>
              <w:right w:val="nil"/>
            </w:tcBorders>
            <w:shd w:val="clear" w:color="auto" w:fill="auto"/>
            <w:noWrap/>
            <w:vAlign w:val="center"/>
            <w:hideMark/>
          </w:tcPr>
          <w:p w14:paraId="3A06FAD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15</w:t>
            </w:r>
          </w:p>
        </w:tc>
        <w:tc>
          <w:tcPr>
            <w:tcW w:w="275" w:type="pct"/>
            <w:tcBorders>
              <w:top w:val="nil"/>
              <w:left w:val="nil"/>
              <w:bottom w:val="nil"/>
              <w:right w:val="nil"/>
            </w:tcBorders>
            <w:shd w:val="clear" w:color="auto" w:fill="auto"/>
            <w:noWrap/>
            <w:vAlign w:val="center"/>
            <w:hideMark/>
          </w:tcPr>
          <w:p w14:paraId="38D15BE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15C33D54" w14:textId="77777777" w:rsidTr="007B37AC">
        <w:trPr>
          <w:trHeight w:val="320"/>
        </w:trPr>
        <w:tc>
          <w:tcPr>
            <w:tcW w:w="1058" w:type="pct"/>
            <w:tcBorders>
              <w:top w:val="nil"/>
              <w:left w:val="nil"/>
              <w:bottom w:val="nil"/>
              <w:right w:val="nil"/>
            </w:tcBorders>
            <w:shd w:val="clear" w:color="auto" w:fill="auto"/>
            <w:noWrap/>
            <w:vAlign w:val="center"/>
            <w:hideMark/>
          </w:tcPr>
          <w:p w14:paraId="6FF9066F" w14:textId="732F26B7"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Hernández-Fernández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{"citationID":"MNXkvKAY","properties":{"formattedCitation":"\\super 21\\nosupersub{}","plainCitation":"21","noteIndex":0},"citationItems":[{"id":1606,"uris":["http://zotero.org/users/local/4rfnQu81/items/TQT9WFLN"],"uri":["http://zotero.org/users/local/4rfnQu81/items/TQT9WFLN"],"itemData":{"id":1606,"type":"article-journal","abstract":"Since the appearance of the first case of coronavirus disease 2019 (COVID-19) a pandemic has emerged affecting millions of individuals worldwide. Although the main clinical manifestations are respiratory, an increase in neurological conditions, specifically acute cerebrovascular disease, has been detected. We present cerebrovascular disease case incidence in hospitalized patients with SARS-CoV-2 infection. Patients were confirmed by microbiological/serological testing, or on chest CT semiology. Available data on co-morbidity, laboratory parameters, treatment administered, neuroimaging, neuropathological studies and clinical evolution during hospitalization, measured by the modified Rankin scale, were analysed. A bivariate study was also designed to identify differences between ischaemic and haemorrhagic subtypes. A statistical model of binary logistic regression and sensitivity analysis was designed to study the influence of independent variables over prognosis. In our centre, there were 1683 admissions of patients with COVID-19 over 50 days, of which 23 (1.4%) developed cerebrovascular disease. Within this group of patients, cerebral and chest CT scans were performed in all cases, and MRI in six (26.1%). Histological samples were obtained in 6/23 cases (two brain biopsies, and four arterial thrombi). Seventeen patients were classified as cerebral ischaemia (73.9%, with two arterial dissections), five as intracerebral haemorrhage (21.7%), and one leukoencephalopathy of posterior reversible encephalopathy type. Haemorrhagic patients had higher ferritin levels at the time of stroke (1554.3 versus 519.2, P = 0.004). Ischaemic strokes were unexpectedly frequent in the vertebrobasilar territory (6/17, 35.3%). In the haemorrhagic group, a characteristic radiological pattern was identified showing subarachnoid haemorrhage, parieto-occipital leukoencephalopathy, microbleeds and single or multiple focal haematomas. Brain biopsies performed showed signs of thrombotic microangiopathy and endothelial injury, with no evidence of vasculitis or necrotizing encephalitis. The functional prognosis during the hospital period was unfavourable in 73.9% (17/23 modified Rankin scale 4-6), and age was the main predictive variable (odds ratio = 1.5; 95% confidence interval 1.012-2.225; P = 0.043). Our series shows cerebrovascular disease incidence of 1.4% in patients with COVID-19 with high morbidity and mortality. We describe pathological and radiological data consistent with thrombotic microangiopathy caused by endotheliopathy with a haemorrhagic predisposition.","container-title":"Brain","DOI":"10.1093/brain/awaa239","ISSN":"14602156","issue":"10","note":"PMID: 32645151","page":"3089–3103","title":"Cerebrovascular disease in patients with COVID-19: Neuroimaging, histological and clinical description","volume":"143","author":[{"family":"Hernandez-Fernandez","given":"Francisco"},{"family":"Sandoval Valencia","given":"Hernan"},{"family":"Barbella-Aponte","given":"Rosa Angelica"},{"family":"Collado-Jimenez","given":"Rosa"},{"family":"Ayo-Martin","given":"Oscar"},{"family":"Barrena","given":"Cristina"},{"family":"Molina-Nuevo","given":"Juan David"},{"family":"Garcia-Garcia","given":"Jorge"},{"family":"Lozano-Setien","given":"Elena"},{"family":"Alcahut-Rodriguez","given":"Cristian"},{"family":"Martinez-Martin","given":"Alvaro"},{"family":"Sanchez-Lopez","given":"Antonio"},{"family":"Segura","given":"Tomas"}],"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7A62EC">
              <w:rPr>
                <w:rFonts w:ascii="Times New Roman" w:hAnsi="Times New Roman" w:cs="Times New Roman"/>
                <w:color w:val="000000"/>
                <w:sz w:val="13"/>
                <w:vertAlign w:val="superscript"/>
              </w:rPr>
              <w:t>21</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3F78CF1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522BA5B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6F81E9F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65F8E22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1808A1C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1E32035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7FB6EA1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2740154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607D2E3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16</w:t>
            </w:r>
          </w:p>
        </w:tc>
        <w:tc>
          <w:tcPr>
            <w:tcW w:w="275" w:type="pct"/>
            <w:tcBorders>
              <w:top w:val="nil"/>
              <w:left w:val="nil"/>
              <w:bottom w:val="nil"/>
              <w:right w:val="nil"/>
            </w:tcBorders>
            <w:shd w:val="clear" w:color="auto" w:fill="auto"/>
            <w:noWrap/>
            <w:vAlign w:val="center"/>
            <w:hideMark/>
          </w:tcPr>
          <w:p w14:paraId="3D62E3A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6441DBD0" w14:textId="77777777" w:rsidTr="007B37AC">
        <w:trPr>
          <w:trHeight w:val="320"/>
        </w:trPr>
        <w:tc>
          <w:tcPr>
            <w:tcW w:w="1058" w:type="pct"/>
            <w:tcBorders>
              <w:top w:val="nil"/>
              <w:left w:val="nil"/>
              <w:bottom w:val="nil"/>
              <w:right w:val="nil"/>
            </w:tcBorders>
            <w:shd w:val="clear" w:color="auto" w:fill="auto"/>
            <w:noWrap/>
            <w:vAlign w:val="center"/>
            <w:hideMark/>
          </w:tcPr>
          <w:p w14:paraId="7E148EF0" w14:textId="09D2B20D"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Hernández-Fernández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{"citationID":"gxmJJXE7","properties":{"formattedCitation":"\\super 21\\nosupersub{}","plainCitation":"21","noteIndex":0},"citationItems":[{"id":1606,"uris":["http://zotero.org/users/local/4rfnQu81/items/TQT9WFLN"],"uri":["http://zotero.org/users/local/4rfnQu81/items/TQT9WFLN"],"itemData":{"id":1606,"type":"article-journal","abstract":"Since the appearance of the first case of coronavirus disease 2019 (COVID-19) a pandemic has emerged affecting millions of individuals worldwide. Although the main clinical manifestations are respiratory, an increase in neurological conditions, specifically acute cerebrovascular disease, has been detected. We present cerebrovascular disease case incidence in hospitalized patients with SARS-CoV-2 infection. Patients were confirmed by microbiological/serological testing, or on chest CT semiology. Available data on co-morbidity, laboratory parameters, treatment administered, neuroimaging, neuropathological studies and clinical evolution during hospitalization, measured by the modified Rankin scale, were analysed. A bivariate study was also designed to identify differences between ischaemic and haemorrhagic subtypes. A statistical model of binary logistic regression and sensitivity analysis was designed to study the influence of independent variables over prognosis. In our centre, there were 1683 admissions of patients with COVID-19 over 50 days, of which 23 (1.4%) developed cerebrovascular disease. Within this group of patients, cerebral and chest CT scans were performed in all cases, and MRI in six (26.1%). Histological samples were obtained in 6/23 cases (two brain biopsies, and four arterial thrombi). Seventeen patients were classified as cerebral ischaemia (73.9%, with two arterial dissections), five as intracerebral haemorrhage (21.7%), and one leukoencephalopathy of posterior reversible encephalopathy type. Haemorrhagic patients had higher ferritin levels at the time of stroke (1554.3 versus 519.2, P = 0.004). Ischaemic strokes were unexpectedly frequent in the vertebrobasilar territory (6/17, 35.3%). In the haemorrhagic group, a characteristic radiological pattern was identified showing subarachnoid haemorrhage, parieto-occipital leukoencephalopathy, microbleeds and single or multiple focal haematomas. Brain biopsies performed showed signs of thrombotic microangiopathy and endothelial injury, with no evidence of vasculitis or necrotizing encephalitis. The functional prognosis during the hospital period was unfavourable in 73.9% (17/23 modified Rankin scale 4-6), and age was the main predictive variable (odds ratio = 1.5; 95% confidence interval 1.012-2.225; P = 0.043). Our series shows cerebrovascular disease incidence of 1.4% in patients with COVID-19 with high morbidity and mortality. We describe pathological and radiological data consistent with thrombotic microangiopathy caused by endotheliopathy with a haemorrhagic predisposition.","container-title":"Brain","DOI":"10.1093/brain/awaa239","ISSN":"14602156","issue":"10","note":"PMID: 32645151","page":"3089–3103","title":"Cerebrovascular disease in patients with COVID-19: Neuroimaging, histological and clinical description","volume":"143","author":[{"family":"Hernandez-Fernandez","given":"Francisco"},{"family":"Sandoval Valencia","given":"Hernan"},{"family":"Barbella-Aponte","given":"Rosa Angelica"},{"family":"Collado-Jimenez","given":"Rosa"},{"family":"Ayo-Martin","given":"Oscar"},{"family":"Barrena","given":"Cristina"},{"family":"Molina-Nuevo","given":"Juan David"},{"family":"Garcia-Garcia","given":"Jorge"},{"family":"Lozano-Setien","given":"Elena"},{"family":"Alcahut-Rodriguez","given":"Cristian"},{"family":"Martinez-Martin","given":"Alvaro"},{"family":"Sanchez-Lopez","given":"Antonio"},{"family":"Segura","given":"Tomas"}],"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529E7">
              <w:rPr>
                <w:rFonts w:ascii="Times New Roman" w:hAnsi="Times New Roman" w:cs="Times New Roman"/>
                <w:color w:val="000000"/>
                <w:sz w:val="13"/>
                <w:vertAlign w:val="superscript"/>
                <w:lang w:val="de-DE"/>
              </w:rPr>
              <w:t>21</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75BC7BB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2D6B4C5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085C677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5BFA337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28956A5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071E87F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395202B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1A3E077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CT/MRI</w:t>
            </w:r>
          </w:p>
        </w:tc>
        <w:tc>
          <w:tcPr>
            <w:tcW w:w="316" w:type="pct"/>
            <w:tcBorders>
              <w:top w:val="nil"/>
              <w:left w:val="nil"/>
              <w:bottom w:val="nil"/>
              <w:right w:val="nil"/>
            </w:tcBorders>
            <w:shd w:val="clear" w:color="auto" w:fill="auto"/>
            <w:noWrap/>
            <w:vAlign w:val="center"/>
            <w:hideMark/>
          </w:tcPr>
          <w:p w14:paraId="58B1E8F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3C42A85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181DD727" w14:textId="77777777" w:rsidTr="007B37AC">
        <w:trPr>
          <w:trHeight w:val="320"/>
        </w:trPr>
        <w:tc>
          <w:tcPr>
            <w:tcW w:w="1058" w:type="pct"/>
            <w:tcBorders>
              <w:top w:val="nil"/>
              <w:left w:val="nil"/>
              <w:bottom w:val="nil"/>
              <w:right w:val="nil"/>
            </w:tcBorders>
            <w:shd w:val="clear" w:color="auto" w:fill="auto"/>
            <w:noWrap/>
            <w:vAlign w:val="center"/>
            <w:hideMark/>
          </w:tcPr>
          <w:p w14:paraId="4D9AA735" w14:textId="34A9883D"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Khattar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{"citationID":"IN9URXT9","properties":{"formattedCitation":"\\super 22\\nosupersub{}","plainCitation":"22","noteIndex":0},"citationItems":[{"id":3112,"uris":["http://zotero.org/users/local/4rfnQu81/items/A285GLC3"],"uri":["http://zotero.org/users/local/4rfnQu81/items/A285GLC3"],"itemData":{"id":3112,"type":"article-journal","abstract":"COVID-19 patients are increasingly understood to develop multisystem manifestations,  including neurologic involvement. We report the case of a 42-year old COVID-19 positive patient with a fatal intracerebral hemorrhage (ICH). The patient presented with fever and dyspnea, requiring intubation due to medical complications. After prolonged sedation and anticoagulation, the patient suddenly developed bilaterally fixed and dilated pupils, caused by a right-sided intracranial hemorrhage with uncal herniation. The course of this case illustrates the delicate balance between hypercoagulability and coagulation factor depletion; especially in the intubated and sedated patient, in whom regular neurological assessments are impeded. As we expand our understanding of the neurological ramifications of COVID-19, clinicians need to be increasingly aware of the precarious coagulation balance.","container-title":"Interdisciplinary neurosurgery : Advanced techniques and case management","DOI":"10.1016/j.inat.2020.100878","ISSN":"2214-7519 (Print)","language":"eng","note":"PMID: 32837915\nCitation Key: Khattar2020a","page":"100878","title":"Intracranial hemorrhage in a young COVID-19 patient.","volume":"22","author":[{"family":"Khattar","given":"Nicolas K"},{"family":"Sharma","given":"Mayur"},{"family":"McCallum","given":"Abigail P"},{"family":"Oxford","given":"Brent G"},{"family":"Zeb","given":"Hassan"},{"family":"Suliman","given":"Sally A"},{"family":"Sieg","given":"Emily P"},{"family":"Mocco","given":"J"},{"family":"Neimat","given":"Joseph S"},{"family":"Zemmar","given":"Ajmal"}],"issued":{"date-parts":[["2020",12]]}}}],"schema":"https://github.com/citation-style-language/schema/raw/master/csl-citation.json"}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529E7">
              <w:rPr>
                <w:rFonts w:ascii="Times New Roman" w:hAnsi="Times New Roman" w:cs="Times New Roman"/>
                <w:color w:val="000000"/>
                <w:sz w:val="13"/>
                <w:vertAlign w:val="superscript"/>
                <w:lang w:val="de-DE"/>
              </w:rPr>
              <w:t>22</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410D84A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67AE279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310</w:t>
            </w:r>
          </w:p>
        </w:tc>
        <w:tc>
          <w:tcPr>
            <w:tcW w:w="384" w:type="pct"/>
            <w:tcBorders>
              <w:top w:val="nil"/>
              <w:left w:val="nil"/>
              <w:bottom w:val="nil"/>
              <w:right w:val="nil"/>
            </w:tcBorders>
            <w:shd w:val="clear" w:color="auto" w:fill="auto"/>
            <w:noWrap/>
            <w:vAlign w:val="center"/>
            <w:hideMark/>
          </w:tcPr>
          <w:p w14:paraId="1F30E14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3140624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0E07EC3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110</w:t>
            </w:r>
          </w:p>
        </w:tc>
        <w:tc>
          <w:tcPr>
            <w:tcW w:w="486" w:type="pct"/>
            <w:tcBorders>
              <w:top w:val="nil"/>
              <w:left w:val="nil"/>
              <w:bottom w:val="nil"/>
              <w:right w:val="nil"/>
            </w:tcBorders>
            <w:shd w:val="clear" w:color="auto" w:fill="auto"/>
            <w:noWrap/>
            <w:vAlign w:val="center"/>
            <w:hideMark/>
          </w:tcPr>
          <w:p w14:paraId="60FD64A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120</w:t>
            </w:r>
          </w:p>
        </w:tc>
        <w:tc>
          <w:tcPr>
            <w:tcW w:w="493" w:type="pct"/>
            <w:tcBorders>
              <w:top w:val="nil"/>
              <w:left w:val="nil"/>
              <w:bottom w:val="nil"/>
              <w:right w:val="nil"/>
            </w:tcBorders>
            <w:shd w:val="clear" w:color="auto" w:fill="auto"/>
            <w:noWrap/>
            <w:vAlign w:val="center"/>
            <w:hideMark/>
          </w:tcPr>
          <w:p w14:paraId="740A30E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Normal</w:t>
            </w:r>
          </w:p>
        </w:tc>
        <w:tc>
          <w:tcPr>
            <w:tcW w:w="629" w:type="pct"/>
            <w:tcBorders>
              <w:top w:val="nil"/>
              <w:left w:val="nil"/>
              <w:bottom w:val="nil"/>
              <w:right w:val="nil"/>
            </w:tcBorders>
            <w:shd w:val="clear" w:color="auto" w:fill="auto"/>
            <w:noWrap/>
            <w:vAlign w:val="center"/>
            <w:hideMark/>
          </w:tcPr>
          <w:p w14:paraId="4602110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585381D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24</w:t>
            </w:r>
          </w:p>
        </w:tc>
        <w:tc>
          <w:tcPr>
            <w:tcW w:w="275" w:type="pct"/>
            <w:tcBorders>
              <w:top w:val="nil"/>
              <w:left w:val="nil"/>
              <w:bottom w:val="nil"/>
              <w:right w:val="nil"/>
            </w:tcBorders>
            <w:shd w:val="clear" w:color="auto" w:fill="auto"/>
            <w:noWrap/>
            <w:vAlign w:val="center"/>
            <w:hideMark/>
          </w:tcPr>
          <w:p w14:paraId="16AA236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4F1E26DE" w14:textId="77777777" w:rsidTr="007B37AC">
        <w:trPr>
          <w:trHeight w:val="320"/>
        </w:trPr>
        <w:tc>
          <w:tcPr>
            <w:tcW w:w="1058" w:type="pct"/>
            <w:tcBorders>
              <w:top w:val="nil"/>
              <w:left w:val="nil"/>
              <w:bottom w:val="nil"/>
              <w:right w:val="nil"/>
            </w:tcBorders>
            <w:shd w:val="clear" w:color="auto" w:fill="auto"/>
            <w:noWrap/>
            <w:vAlign w:val="center"/>
            <w:hideMark/>
          </w:tcPr>
          <w:p w14:paraId="4BD3C2BE" w14:textId="4D86D2E9"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Lévesque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{"citationID":"vwzdRd6N","properties":{"formattedCitation":"\\super 23\\nosupersub{}","plainCitation":"23","noteIndex":0},"citationItems":[{"id":68,"uris":["http://zotero.org/users/local/4rfnQu81/items/MJKR8HVB"],"uri":["http://zotero.org/users/local/4rfnQu81/items/MJKR8HVB"],"itemData":{"id":68,"type":"article-journal","abstract":"COVID-19 is a new disease with many undescribed clinical manifestations. We report herein a case of severe immune thrombocytopenic purpura (ITP) in a critical COVID-19 patient. A patient presented a severe episode of immune thrombocytopenia (&lt; 10 × 10(9)/L) 20 days after admission for a critical COVID-19. This thrombocytopenia was associated with a life-threatening bleeding. Response to first-line therapies was delayed as it took up to 13 days after initiation of intravenous immunoglobulin and high-dose dexamethasone to observe an increase in platelet count. COVID-19 may be associated with late presenting severe ITP. Such ITP may also be relatively resistant to first-line agents. Hematological manifestations of COVID-19, such as the ones associated with life-threatening bleeding, must be recognized.","container-title":"International journal of hematology","DOI":"10.1007/s12185-020-02931-9","ISSN":"1865-3774 (Electronic)","issue":"5","language":"eng","note":"PMID: 32613314","page":"746–750","title":"Severe immune thrombocytopenic purpura in critical COVID-19.","volume":"112","author":[{"family":"Lévesque","given":"Valérie"},{"family":"Millaire","given":"Émilie"},{"family":"Corsilli","given":"Daniel"},{"family":"Rioux-Massé","given":"Benjamin"},{"family":"Carrier","given":"François-Martin"}],"issued":{"date-parts":[["2020",11]]}}}],"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1404FA">
              <w:rPr>
                <w:rFonts w:ascii="Times New Roman" w:hAnsi="Times New Roman" w:cs="Times New Roman"/>
                <w:color w:val="000000"/>
                <w:sz w:val="13"/>
                <w:vertAlign w:val="superscript"/>
                <w:lang w:val="de-DE"/>
              </w:rPr>
              <w:t>23</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15E2C91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771F444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058AD03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10</w:t>
            </w:r>
          </w:p>
        </w:tc>
        <w:tc>
          <w:tcPr>
            <w:tcW w:w="275" w:type="pct"/>
            <w:tcBorders>
              <w:top w:val="nil"/>
              <w:left w:val="nil"/>
              <w:bottom w:val="nil"/>
              <w:right w:val="nil"/>
            </w:tcBorders>
            <w:shd w:val="clear" w:color="auto" w:fill="auto"/>
            <w:noWrap/>
            <w:vAlign w:val="center"/>
            <w:hideMark/>
          </w:tcPr>
          <w:p w14:paraId="39630DB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2812451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5FF0E60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23</w:t>
            </w:r>
          </w:p>
        </w:tc>
        <w:tc>
          <w:tcPr>
            <w:tcW w:w="493" w:type="pct"/>
            <w:tcBorders>
              <w:top w:val="nil"/>
              <w:left w:val="nil"/>
              <w:bottom w:val="nil"/>
              <w:right w:val="nil"/>
            </w:tcBorders>
            <w:shd w:val="clear" w:color="auto" w:fill="auto"/>
            <w:noWrap/>
            <w:vAlign w:val="center"/>
            <w:hideMark/>
          </w:tcPr>
          <w:p w14:paraId="37B6A67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Normal</w:t>
            </w:r>
          </w:p>
        </w:tc>
        <w:tc>
          <w:tcPr>
            <w:tcW w:w="629" w:type="pct"/>
            <w:tcBorders>
              <w:top w:val="nil"/>
              <w:left w:val="nil"/>
              <w:bottom w:val="nil"/>
              <w:right w:val="nil"/>
            </w:tcBorders>
            <w:shd w:val="clear" w:color="auto" w:fill="auto"/>
            <w:noWrap/>
            <w:vAlign w:val="center"/>
            <w:hideMark/>
          </w:tcPr>
          <w:p w14:paraId="751CF4F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72EEFB2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39</w:t>
            </w:r>
          </w:p>
        </w:tc>
        <w:tc>
          <w:tcPr>
            <w:tcW w:w="275" w:type="pct"/>
            <w:tcBorders>
              <w:top w:val="nil"/>
              <w:left w:val="nil"/>
              <w:bottom w:val="nil"/>
              <w:right w:val="nil"/>
            </w:tcBorders>
            <w:shd w:val="clear" w:color="auto" w:fill="auto"/>
            <w:noWrap/>
            <w:vAlign w:val="center"/>
            <w:hideMark/>
          </w:tcPr>
          <w:p w14:paraId="5526DDF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79266A6F" w14:textId="77777777" w:rsidTr="007B37AC">
        <w:trPr>
          <w:trHeight w:val="320"/>
        </w:trPr>
        <w:tc>
          <w:tcPr>
            <w:tcW w:w="1058" w:type="pct"/>
            <w:tcBorders>
              <w:top w:val="nil"/>
              <w:left w:val="nil"/>
              <w:bottom w:val="nil"/>
              <w:right w:val="nil"/>
            </w:tcBorders>
            <w:shd w:val="clear" w:color="auto" w:fill="auto"/>
            <w:noWrap/>
            <w:vAlign w:val="center"/>
            <w:hideMark/>
          </w:tcPr>
          <w:p w14:paraId="52C60031" w14:textId="63001A71"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Li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{"citationID":"nEZFhwdW","properties":{"formattedCitation":"\\super 24\\nosupersub{}","plainCitation":"24","noteIndex":0},"citationItems":[{"id":230,"uris":["http://zotero.org/users/local/4rfnQu81/items/PZNZDXYI"],"uri":["http://zotero.org/users/local/4rfnQu81/items/PZNZDXYI"],"itemData":{"id":230,"type":"article-journal","container-title":"Thrombosis Research","DOI":"10.1016/j.thromres.2020.05.050","ISSN":"18792472","issue":"May","note":"PMID: 32505080","page":"22–24","title":"A case of COVID-19 pneumonia with cerebral hemorrhage","volume":"193","author":[{"family":"Li","given":"Jingwen"},{"family":"Long","given":"Xi"},{"family":"Zhu","given":"Chunli"},{"family":"Hu","given":"Shaoping"},{"family":"Lin","given":"Zhicheng"},{"family":"Li","given":"Jinghong"},{"family":"Xiong","given":"Nian"}],"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1404FA">
              <w:rPr>
                <w:rFonts w:ascii="Times New Roman" w:hAnsi="Times New Roman" w:cs="Times New Roman"/>
                <w:color w:val="000000"/>
                <w:sz w:val="13"/>
                <w:vertAlign w:val="superscript"/>
                <w:lang w:val="de-DE"/>
              </w:rPr>
              <w:t>24</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1102471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6BF183B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2B5617F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20E1F92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w:t>
            </w:r>
          </w:p>
        </w:tc>
        <w:tc>
          <w:tcPr>
            <w:tcW w:w="384" w:type="pct"/>
            <w:tcBorders>
              <w:top w:val="nil"/>
              <w:left w:val="nil"/>
              <w:bottom w:val="nil"/>
              <w:right w:val="nil"/>
            </w:tcBorders>
            <w:shd w:val="clear" w:color="auto" w:fill="auto"/>
            <w:noWrap/>
            <w:vAlign w:val="center"/>
            <w:hideMark/>
          </w:tcPr>
          <w:p w14:paraId="1821382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4D72D20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48EF5AE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11</w:t>
            </w:r>
          </w:p>
        </w:tc>
        <w:tc>
          <w:tcPr>
            <w:tcW w:w="629" w:type="pct"/>
            <w:tcBorders>
              <w:top w:val="nil"/>
              <w:left w:val="nil"/>
              <w:bottom w:val="nil"/>
              <w:right w:val="nil"/>
            </w:tcBorders>
            <w:shd w:val="clear" w:color="auto" w:fill="auto"/>
            <w:noWrap/>
            <w:vAlign w:val="center"/>
            <w:hideMark/>
          </w:tcPr>
          <w:p w14:paraId="217F81B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33A0715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19</w:t>
            </w:r>
          </w:p>
        </w:tc>
        <w:tc>
          <w:tcPr>
            <w:tcW w:w="275" w:type="pct"/>
            <w:tcBorders>
              <w:top w:val="nil"/>
              <w:left w:val="nil"/>
              <w:bottom w:val="nil"/>
              <w:right w:val="nil"/>
            </w:tcBorders>
            <w:shd w:val="clear" w:color="auto" w:fill="auto"/>
            <w:noWrap/>
            <w:vAlign w:val="center"/>
            <w:hideMark/>
          </w:tcPr>
          <w:p w14:paraId="2D282BD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2DE253C3" w14:textId="77777777" w:rsidTr="007B37AC">
        <w:trPr>
          <w:trHeight w:val="320"/>
        </w:trPr>
        <w:tc>
          <w:tcPr>
            <w:tcW w:w="1058" w:type="pct"/>
            <w:tcBorders>
              <w:top w:val="nil"/>
              <w:left w:val="nil"/>
              <w:bottom w:val="nil"/>
              <w:right w:val="nil"/>
            </w:tcBorders>
            <w:shd w:val="clear" w:color="auto" w:fill="auto"/>
            <w:noWrap/>
            <w:vAlign w:val="center"/>
            <w:hideMark/>
          </w:tcPr>
          <w:p w14:paraId="51CE1F48" w14:textId="7B4FFAE3"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Montes-Ramirez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{"citationID":"V7r4tout","properties":{"formattedCitation":"\\super 25\\nosupersub{}","plainCitation":"25","noteIndex":0},"citationItems":[{"id":86,"uris":["http://zotero.org/users/local/4rfnQu81/items/GSUACXAF"],"uri":["http://zotero.org/users/local/4rfnQu81/items/GSUACXAF"],"itemData":{"id":86,"type":"article-journal","container-title":"International Journal of Gynecology and Obstetrics","DOI":"10.1002/ijgo.13399","ISSN":"18793479","issue":"3","note":"PMID: 32989729","page":"466–467","title":"COVID-19-associated diffuse leukoencephalopathy and cerebral microbleeds during puerperium","volume":"151","author":[{"family":"Montes-Ramirez","given":"Juan"},{"family":"Aquino-Lopez","given":"Edgar"}],"issued":{"date-parts":[["2020"]]}}}],"schema":"https://github.com/citation-style-language/schema/raw/master/csl-citation.json"}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1404FA">
              <w:rPr>
                <w:rFonts w:ascii="Times New Roman" w:hAnsi="Times New Roman" w:cs="Times New Roman"/>
                <w:color w:val="000000"/>
                <w:sz w:val="13"/>
                <w:vertAlign w:val="superscript"/>
                <w:lang w:val="de-DE"/>
              </w:rPr>
              <w:t>25</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6B92E9D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0A61FA8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6BD3A7C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31D7C49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3D9D020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4B64DE4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77B11C8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12</w:t>
            </w:r>
          </w:p>
        </w:tc>
        <w:tc>
          <w:tcPr>
            <w:tcW w:w="629" w:type="pct"/>
            <w:tcBorders>
              <w:top w:val="nil"/>
              <w:left w:val="nil"/>
              <w:bottom w:val="nil"/>
              <w:right w:val="nil"/>
            </w:tcBorders>
            <w:shd w:val="clear" w:color="auto" w:fill="auto"/>
            <w:noWrap/>
            <w:vAlign w:val="center"/>
            <w:hideMark/>
          </w:tcPr>
          <w:p w14:paraId="60A0E1E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CT/MRI</w:t>
            </w:r>
          </w:p>
        </w:tc>
        <w:tc>
          <w:tcPr>
            <w:tcW w:w="316" w:type="pct"/>
            <w:tcBorders>
              <w:top w:val="nil"/>
              <w:left w:val="nil"/>
              <w:bottom w:val="nil"/>
              <w:right w:val="nil"/>
            </w:tcBorders>
            <w:shd w:val="clear" w:color="auto" w:fill="auto"/>
            <w:noWrap/>
            <w:vAlign w:val="center"/>
            <w:hideMark/>
          </w:tcPr>
          <w:p w14:paraId="170739D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15</w:t>
            </w:r>
          </w:p>
        </w:tc>
        <w:tc>
          <w:tcPr>
            <w:tcW w:w="275" w:type="pct"/>
            <w:tcBorders>
              <w:top w:val="nil"/>
              <w:left w:val="nil"/>
              <w:bottom w:val="nil"/>
              <w:right w:val="nil"/>
            </w:tcBorders>
            <w:shd w:val="clear" w:color="auto" w:fill="auto"/>
            <w:noWrap/>
            <w:vAlign w:val="center"/>
            <w:hideMark/>
          </w:tcPr>
          <w:p w14:paraId="0B433F5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0</w:t>
            </w:r>
          </w:p>
        </w:tc>
      </w:tr>
      <w:tr w:rsidR="007A62EC" w:rsidRPr="007B37AC" w14:paraId="2437F446" w14:textId="77777777" w:rsidTr="007B37AC">
        <w:trPr>
          <w:trHeight w:val="320"/>
        </w:trPr>
        <w:tc>
          <w:tcPr>
            <w:tcW w:w="1058" w:type="pct"/>
            <w:tcBorders>
              <w:top w:val="nil"/>
              <w:left w:val="nil"/>
              <w:bottom w:val="nil"/>
              <w:right w:val="nil"/>
            </w:tcBorders>
            <w:shd w:val="clear" w:color="auto" w:fill="auto"/>
            <w:noWrap/>
            <w:vAlign w:val="center"/>
            <w:hideMark/>
          </w:tcPr>
          <w:p w14:paraId="5EB4212D" w14:textId="65859F0B"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Motoie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{"citationID":"rrWWZ0Nx","properties":{"formattedCitation":"\\super 26\\nosupersub{}","plainCitation":"26","noteIndex":0},"citationItems":[{"id":119,"uris":["http://zotero.org/users/local/4rfnQu81/items/47U67ZA7"],"uri":["http://zotero.org/users/local/4rfnQu81/items/47U67ZA7"],"itemData":{"id":119,"type":"article-journal","abstract":"The relationship between coronavirus disease 2019 (COVID-19) and intracerebral hemorrhage remains unclear. We herein report a case of severe COVID-19 pneumonia complicated by multiple simultaneous intracerebral hemorrhages (MSICH). The patient died eight days after the episode of MSICH. No apparent coagulopathy was observed; however, extracorporeal membrane oxygenation and anticoagulation might have caused the occurrence of MSICH. Laboratory findings showed hypercoagulability, suggesting that thrombotic etiologies, such as sinus thrombosis or cerebral infarction, might also have caused MSICH. MSICH can occur as a fatal complication of COVID-19, and this should be considered when providing treatment.","container-title":"Internal medicine (Tokyo, Japan)","DOI":"10.2169/internalmedicine.5697-20","ISSN":"1349-7235 (Electronic)","issue":"20","language":"eng","note":"PMID: 32893231","page":"2597–2600","title":"Coronavirus Disease 2019 Complicated by Multiple Simultaneous Intracerebral Hemorrhages.","volume":"59","author":[{"family":"Motoie","given":"Ryota"},{"family":"Akai","given":"Masaya"},{"family":"Kitahara","given":"Takahiro"},{"family":"Imamura","given":"Hisaji"},{"family":"Tanabe","given":"Takeshi"},{"family":"Sarazawa","given":"Katsuhiko"},{"family":"Takano","given":"Seiichiro"},{"family":"Toda","given":"Hiroki"},{"family":"Komatsu","given":"Kazuto"}],"issued":{"date-parts":[["2020",10]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1404FA">
              <w:rPr>
                <w:rFonts w:ascii="Times New Roman" w:hAnsi="Times New Roman" w:cs="Times New Roman"/>
                <w:color w:val="000000"/>
                <w:sz w:val="13"/>
                <w:vertAlign w:val="superscript"/>
                <w:lang w:val="de-DE"/>
              </w:rPr>
              <w:t>26</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3F69A42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281342B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05F39E5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6E0ED92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4AADB40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35</w:t>
            </w:r>
          </w:p>
        </w:tc>
        <w:tc>
          <w:tcPr>
            <w:tcW w:w="486" w:type="pct"/>
            <w:tcBorders>
              <w:top w:val="nil"/>
              <w:left w:val="nil"/>
              <w:bottom w:val="nil"/>
              <w:right w:val="nil"/>
            </w:tcBorders>
            <w:shd w:val="clear" w:color="auto" w:fill="auto"/>
            <w:noWrap/>
            <w:vAlign w:val="center"/>
            <w:hideMark/>
          </w:tcPr>
          <w:p w14:paraId="04E0BBA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66</w:t>
            </w:r>
          </w:p>
        </w:tc>
        <w:tc>
          <w:tcPr>
            <w:tcW w:w="493" w:type="pct"/>
            <w:tcBorders>
              <w:top w:val="nil"/>
              <w:left w:val="nil"/>
              <w:bottom w:val="nil"/>
              <w:right w:val="nil"/>
            </w:tcBorders>
            <w:shd w:val="clear" w:color="auto" w:fill="auto"/>
            <w:noWrap/>
            <w:vAlign w:val="center"/>
            <w:hideMark/>
          </w:tcPr>
          <w:p w14:paraId="3C8C9FB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w:t>
            </w:r>
          </w:p>
        </w:tc>
        <w:tc>
          <w:tcPr>
            <w:tcW w:w="629" w:type="pct"/>
            <w:tcBorders>
              <w:top w:val="nil"/>
              <w:left w:val="nil"/>
              <w:bottom w:val="nil"/>
              <w:right w:val="nil"/>
            </w:tcBorders>
            <w:shd w:val="clear" w:color="auto" w:fill="auto"/>
            <w:noWrap/>
            <w:vAlign w:val="center"/>
            <w:hideMark/>
          </w:tcPr>
          <w:p w14:paraId="79D8B88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0A2AF21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5</w:t>
            </w:r>
          </w:p>
        </w:tc>
        <w:tc>
          <w:tcPr>
            <w:tcW w:w="275" w:type="pct"/>
            <w:tcBorders>
              <w:top w:val="nil"/>
              <w:left w:val="nil"/>
              <w:bottom w:val="nil"/>
              <w:right w:val="nil"/>
            </w:tcBorders>
            <w:shd w:val="clear" w:color="auto" w:fill="auto"/>
            <w:noWrap/>
            <w:vAlign w:val="center"/>
            <w:hideMark/>
          </w:tcPr>
          <w:p w14:paraId="2C967CA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00539A1B" w14:textId="77777777" w:rsidTr="007B37AC">
        <w:trPr>
          <w:trHeight w:val="320"/>
        </w:trPr>
        <w:tc>
          <w:tcPr>
            <w:tcW w:w="1058" w:type="pct"/>
            <w:tcBorders>
              <w:top w:val="nil"/>
              <w:left w:val="nil"/>
              <w:bottom w:val="nil"/>
              <w:right w:val="nil"/>
            </w:tcBorders>
            <w:shd w:val="clear" w:color="auto" w:fill="auto"/>
            <w:noWrap/>
            <w:vAlign w:val="center"/>
            <w:hideMark/>
          </w:tcPr>
          <w:p w14:paraId="11A2D55C" w14:textId="1C3043DC"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lastRenderedPageBreak/>
              <w:t>M</w:t>
            </w:r>
            <w:r>
              <w:rPr>
                <w:rFonts w:ascii="Times New Roman" w:eastAsia="Times New Roman" w:hAnsi="Times New Roman" w:cs="Times New Roman"/>
                <w:color w:val="000000"/>
                <w:sz w:val="13"/>
                <w:szCs w:val="13"/>
                <w:lang w:val="de-DE" w:eastAsia="de-DE"/>
              </w:rPr>
              <w:t>u</w:t>
            </w:r>
            <w:r w:rsidRPr="00C336CB">
              <w:rPr>
                <w:rFonts w:ascii="Times New Roman" w:eastAsia="Times New Roman" w:hAnsi="Times New Roman" w:cs="Times New Roman"/>
                <w:color w:val="000000"/>
                <w:sz w:val="13"/>
                <w:szCs w:val="13"/>
                <w:lang w:eastAsia="de-DE"/>
              </w:rPr>
              <w:t xml:space="preserve">hammad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{"citationID":"UUz3Ztz0","properties":{"formattedCitation":"\\super 27\\nosupersub{}","plainCitation":"27","noteIndex":0},"citationItems":[{"id":3109,"uris":["http://zotero.org/users/local/4rfnQu81/items/J823JCPK"],"uri":["http://zotero.org/users/local/4rfnQu81/items/J823JCPK"],"itemData":{"id":3109,"type":"article-journal","container-title":"Brain, behavior, and immunity","DOI":"10.1016/j.bbi.2020.05.015","ISSN":"1090-2139 (Electronic)","language":"eng","note":"PMID: 32387342\nCitation Key: Muhammad2020","page":"150-151","title":"Letter to editor: Severe brain haemorrhage and concomitant COVID-19 Infection: A  neurovascular complication of COVID-19.","volume":"87","author":[{"family":"Muhammad","given":"Sajjad"},{"family":"Petridis","given":"Athanasios"},{"family":"Cornelius","given":"Jan Frederick"},{"family":"Hänggi","given":"Daniel"}],"issued":{"date-parts":[["2020",7]]}}}],"schema":"https://github.com/citation-style-language/schema/raw/master/csl-citation.json"}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1404FA">
              <w:rPr>
                <w:rFonts w:ascii="Times New Roman" w:hAnsi="Times New Roman" w:cs="Times New Roman"/>
                <w:color w:val="000000"/>
                <w:sz w:val="13"/>
                <w:vertAlign w:val="superscript"/>
                <w:lang w:val="de-DE"/>
              </w:rPr>
              <w:t>27</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2EDFD92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2591251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11</w:t>
            </w:r>
          </w:p>
        </w:tc>
        <w:tc>
          <w:tcPr>
            <w:tcW w:w="384" w:type="pct"/>
            <w:tcBorders>
              <w:top w:val="nil"/>
              <w:left w:val="nil"/>
              <w:bottom w:val="nil"/>
              <w:right w:val="nil"/>
            </w:tcBorders>
            <w:shd w:val="clear" w:color="auto" w:fill="auto"/>
            <w:noWrap/>
            <w:vAlign w:val="center"/>
            <w:hideMark/>
          </w:tcPr>
          <w:p w14:paraId="4C488BE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14</w:t>
            </w:r>
          </w:p>
        </w:tc>
        <w:tc>
          <w:tcPr>
            <w:tcW w:w="275" w:type="pct"/>
            <w:tcBorders>
              <w:top w:val="nil"/>
              <w:left w:val="nil"/>
              <w:bottom w:val="nil"/>
              <w:right w:val="nil"/>
            </w:tcBorders>
            <w:shd w:val="clear" w:color="auto" w:fill="auto"/>
            <w:noWrap/>
            <w:vAlign w:val="center"/>
            <w:hideMark/>
          </w:tcPr>
          <w:p w14:paraId="162B8DE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1FF0D71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7577D82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11AC51B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Normal</w:t>
            </w:r>
          </w:p>
        </w:tc>
        <w:tc>
          <w:tcPr>
            <w:tcW w:w="629" w:type="pct"/>
            <w:tcBorders>
              <w:top w:val="nil"/>
              <w:left w:val="nil"/>
              <w:bottom w:val="nil"/>
              <w:right w:val="nil"/>
            </w:tcBorders>
            <w:shd w:val="clear" w:color="auto" w:fill="auto"/>
            <w:noWrap/>
            <w:vAlign w:val="center"/>
            <w:hideMark/>
          </w:tcPr>
          <w:p w14:paraId="1AC7DBE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004D1C5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275" w:type="pct"/>
            <w:tcBorders>
              <w:top w:val="nil"/>
              <w:left w:val="nil"/>
              <w:bottom w:val="nil"/>
              <w:right w:val="nil"/>
            </w:tcBorders>
            <w:shd w:val="clear" w:color="auto" w:fill="auto"/>
            <w:noWrap/>
            <w:vAlign w:val="center"/>
            <w:hideMark/>
          </w:tcPr>
          <w:p w14:paraId="294612F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582071C3" w14:textId="77777777" w:rsidTr="007B37AC">
        <w:trPr>
          <w:trHeight w:val="320"/>
        </w:trPr>
        <w:tc>
          <w:tcPr>
            <w:tcW w:w="1058" w:type="pct"/>
            <w:tcBorders>
              <w:top w:val="nil"/>
              <w:left w:val="nil"/>
              <w:bottom w:val="nil"/>
              <w:right w:val="nil"/>
            </w:tcBorders>
            <w:shd w:val="clear" w:color="auto" w:fill="auto"/>
            <w:noWrap/>
            <w:vAlign w:val="center"/>
            <w:hideMark/>
          </w:tcPr>
          <w:p w14:paraId="224BBB07" w14:textId="084DE9D7"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Planinc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{"citationID":"VejrG4z9","properties":{"formattedCitation":"\\super 28\\nosupersub{}","plainCitation":"28","noteIndex":0},"citationItems":[{"id":199,"uris":["http://zotero.org/users/local/4rfnQu81/items/VG6FBJUY"],"uri":["http://zotero.org/users/local/4rfnQu81/items/VG6FBJUY"],"itemData":{"id":199,"type":"article-journal","container-title":"British Journal of Hospital Medicine","DOI":"10.12968/hmed.2020.0366","ISSN":"17597390","issue":"8","note":"PMID: 32845754","page":"6–8","title":"Acute stroke showing cerebral infarcts and microbleeds in a 31-year-old man with covid-19 pneumonia","volume":"81","author":[{"family":"Planinc","given":"Domen"},{"family":"El-Rekaby","given":"Aktham"},{"family":"Sivakumar","given":"Ramachandran"},{"family":"Saksena","given":"Rajesh"},{"family":"Ngeh","given":"Joseph"}],"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1404FA">
              <w:rPr>
                <w:rFonts w:ascii="Times New Roman" w:hAnsi="Times New Roman" w:cs="Times New Roman"/>
                <w:color w:val="000000"/>
                <w:sz w:val="13"/>
                <w:vertAlign w:val="superscript"/>
                <w:lang w:val="de-DE"/>
              </w:rPr>
              <w:t>28</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4E52BE6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1253A96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449</w:t>
            </w:r>
          </w:p>
        </w:tc>
        <w:tc>
          <w:tcPr>
            <w:tcW w:w="384" w:type="pct"/>
            <w:tcBorders>
              <w:top w:val="nil"/>
              <w:left w:val="nil"/>
              <w:bottom w:val="nil"/>
              <w:right w:val="nil"/>
            </w:tcBorders>
            <w:shd w:val="clear" w:color="auto" w:fill="auto"/>
            <w:noWrap/>
            <w:vAlign w:val="center"/>
            <w:hideMark/>
          </w:tcPr>
          <w:p w14:paraId="2E9617C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30</w:t>
            </w:r>
          </w:p>
        </w:tc>
        <w:tc>
          <w:tcPr>
            <w:tcW w:w="275" w:type="pct"/>
            <w:tcBorders>
              <w:top w:val="nil"/>
              <w:left w:val="nil"/>
              <w:bottom w:val="nil"/>
              <w:right w:val="nil"/>
            </w:tcBorders>
            <w:shd w:val="clear" w:color="auto" w:fill="auto"/>
            <w:noWrap/>
            <w:vAlign w:val="center"/>
            <w:hideMark/>
          </w:tcPr>
          <w:p w14:paraId="4F1BEF5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7DB9843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51131BB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92</w:t>
            </w:r>
          </w:p>
        </w:tc>
        <w:tc>
          <w:tcPr>
            <w:tcW w:w="493" w:type="pct"/>
            <w:tcBorders>
              <w:top w:val="nil"/>
              <w:left w:val="nil"/>
              <w:bottom w:val="nil"/>
              <w:right w:val="nil"/>
            </w:tcBorders>
            <w:shd w:val="clear" w:color="auto" w:fill="auto"/>
            <w:noWrap/>
            <w:vAlign w:val="center"/>
            <w:hideMark/>
          </w:tcPr>
          <w:p w14:paraId="651BD3A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59</w:t>
            </w:r>
          </w:p>
        </w:tc>
        <w:tc>
          <w:tcPr>
            <w:tcW w:w="629" w:type="pct"/>
            <w:tcBorders>
              <w:top w:val="nil"/>
              <w:left w:val="nil"/>
              <w:bottom w:val="nil"/>
              <w:right w:val="nil"/>
            </w:tcBorders>
            <w:shd w:val="clear" w:color="auto" w:fill="auto"/>
            <w:noWrap/>
            <w:vAlign w:val="center"/>
            <w:hideMark/>
          </w:tcPr>
          <w:p w14:paraId="7792F3F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CT/MRI</w:t>
            </w:r>
          </w:p>
        </w:tc>
        <w:tc>
          <w:tcPr>
            <w:tcW w:w="316" w:type="pct"/>
            <w:tcBorders>
              <w:top w:val="nil"/>
              <w:left w:val="nil"/>
              <w:bottom w:val="nil"/>
              <w:right w:val="nil"/>
            </w:tcBorders>
            <w:shd w:val="clear" w:color="auto" w:fill="auto"/>
            <w:noWrap/>
            <w:vAlign w:val="center"/>
            <w:hideMark/>
          </w:tcPr>
          <w:p w14:paraId="5BA6768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13</w:t>
            </w:r>
          </w:p>
        </w:tc>
        <w:tc>
          <w:tcPr>
            <w:tcW w:w="275" w:type="pct"/>
            <w:tcBorders>
              <w:top w:val="nil"/>
              <w:left w:val="nil"/>
              <w:bottom w:val="nil"/>
              <w:right w:val="nil"/>
            </w:tcBorders>
            <w:shd w:val="clear" w:color="auto" w:fill="auto"/>
            <w:noWrap/>
            <w:vAlign w:val="center"/>
            <w:hideMark/>
          </w:tcPr>
          <w:p w14:paraId="1C1E794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w:t>
            </w:r>
          </w:p>
        </w:tc>
      </w:tr>
      <w:tr w:rsidR="007A62EC" w:rsidRPr="007B37AC" w14:paraId="38F2C7E3" w14:textId="77777777" w:rsidTr="007B37AC">
        <w:trPr>
          <w:trHeight w:val="320"/>
        </w:trPr>
        <w:tc>
          <w:tcPr>
            <w:tcW w:w="1058" w:type="pct"/>
            <w:tcBorders>
              <w:top w:val="nil"/>
              <w:left w:val="nil"/>
              <w:bottom w:val="nil"/>
              <w:right w:val="nil"/>
            </w:tcBorders>
            <w:shd w:val="clear" w:color="auto" w:fill="auto"/>
            <w:noWrap/>
            <w:vAlign w:val="center"/>
            <w:hideMark/>
          </w:tcPr>
          <w:p w14:paraId="6FB92A2B" w14:textId="6BC6B0B9"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Shekhar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{"citationID":"eiy5Srhw","properties":{"formattedCitation":"\\super 29\\nosupersub{}","plainCitation":"29","noteIndex":0},"citationItems":[{"id":196,"uris":["http://zotero.org/users/local/4rfnQu81/items/6RCE9UEN"],"uri":["http://zotero.org/users/local/4rfnQu81/items/6RCE9UEN"],"itemData":{"id":196,"type":"article-journal","abstract":"OBJECTIVE: To study the central nervous system (CNS) complications in patients with COVID-19 infection especially among Native American population in the current pandemic of severe acute respiratory syndrome virus (COVID-19). METHODS: Patients with confirmed COVID-19 infection at University of New Mexico hospital (UNMH) were screened for development of neurological complications during Feb 01 to April 29, 2020 via retrospective chart review. RESULTS: Total of 90 hospitalized patients were screened. Out of seven patients, majority were Native Americans females, and developed neurological complications including subarachnoid hemorrhage (SAH), Intraparenchymal hemorrhage (IPH), Ischemic stroke (IS) and seizure. All 7 patients required Intensive care unit (ICU) level of care. Patients who developed CNS complications other than seizure were females in the younger age group (4 patients, 38-58 years) with poor outcome. Out of 7, three developed subarachnoid hemorrhage, two developed ischemic infarction, and four developed seizure. Two patients with hemorrhagic complication expired during the course of hospitalization. All three patients with seizure were discharged to home. CONCLUSION: Patients with serious CNS complications secondary to COVID-19 infection were observed to be Native Americans. Patients who developed hemorrhagic or ischemic events were observed to have poor outcomes as compared to patients who developed seizures.","container-title":"Journal of stroke and cerebrovascular diseases : the official journal of National Stroke Association","DOI":"10.1016/j.jstrokecerebrovasdis.2020.105260","ISSN":"1532-8511 (Electronic)","issue":"12","language":"eng","note":"PMID: 32992176","page":"105260","title":"Neurological Complications Among Native Americans with COVID-19: Our Experience at a Tertiary Care Academic Hospital in the U.S.","volume":"29","author":[{"family":"Shekhar","given":"Rahul"},{"family":"Sheikh","given":"Abu Baker"},{"family":"Suriya","given":"Sajid S"},{"family":"Upadhyay","given":"Shubra"},{"family":"Zafar","given":"Atif"}],"issued":{"date-parts":[["2020",8]]}}}],"schema":"https://github.com/citation-style-language/schema/raw/master/csl-citation.json"}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E090B">
              <w:rPr>
                <w:rFonts w:ascii="Times New Roman" w:hAnsi="Times New Roman" w:cs="Times New Roman"/>
                <w:color w:val="000000"/>
                <w:sz w:val="13"/>
                <w:vertAlign w:val="superscript"/>
                <w:lang w:val="de-DE"/>
              </w:rPr>
              <w:t>29</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2D9395C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56B1A42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178</w:t>
            </w:r>
          </w:p>
        </w:tc>
        <w:tc>
          <w:tcPr>
            <w:tcW w:w="384" w:type="pct"/>
            <w:tcBorders>
              <w:top w:val="nil"/>
              <w:left w:val="nil"/>
              <w:bottom w:val="nil"/>
              <w:right w:val="nil"/>
            </w:tcBorders>
            <w:shd w:val="clear" w:color="auto" w:fill="auto"/>
            <w:noWrap/>
            <w:vAlign w:val="center"/>
            <w:hideMark/>
          </w:tcPr>
          <w:p w14:paraId="77F2B3F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11</w:t>
            </w:r>
          </w:p>
        </w:tc>
        <w:tc>
          <w:tcPr>
            <w:tcW w:w="275" w:type="pct"/>
            <w:tcBorders>
              <w:top w:val="nil"/>
              <w:left w:val="nil"/>
              <w:bottom w:val="nil"/>
              <w:right w:val="nil"/>
            </w:tcBorders>
            <w:shd w:val="clear" w:color="auto" w:fill="auto"/>
            <w:noWrap/>
            <w:vAlign w:val="center"/>
            <w:hideMark/>
          </w:tcPr>
          <w:p w14:paraId="34EF287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noWrap/>
            <w:vAlign w:val="center"/>
            <w:hideMark/>
          </w:tcPr>
          <w:p w14:paraId="55EFD19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6C496E5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263</w:t>
            </w:r>
          </w:p>
        </w:tc>
        <w:tc>
          <w:tcPr>
            <w:tcW w:w="493" w:type="pct"/>
            <w:tcBorders>
              <w:top w:val="nil"/>
              <w:left w:val="nil"/>
              <w:bottom w:val="nil"/>
              <w:right w:val="nil"/>
            </w:tcBorders>
            <w:shd w:val="clear" w:color="auto" w:fill="auto"/>
            <w:noWrap/>
            <w:vAlign w:val="center"/>
            <w:hideMark/>
          </w:tcPr>
          <w:p w14:paraId="581A040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0</w:t>
            </w:r>
          </w:p>
        </w:tc>
        <w:tc>
          <w:tcPr>
            <w:tcW w:w="629" w:type="pct"/>
            <w:tcBorders>
              <w:top w:val="nil"/>
              <w:left w:val="nil"/>
              <w:bottom w:val="nil"/>
              <w:right w:val="nil"/>
            </w:tcBorders>
            <w:shd w:val="clear" w:color="auto" w:fill="auto"/>
            <w:noWrap/>
            <w:vAlign w:val="center"/>
            <w:hideMark/>
          </w:tcPr>
          <w:p w14:paraId="791A2C7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7C2948A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16</w:t>
            </w:r>
          </w:p>
        </w:tc>
        <w:tc>
          <w:tcPr>
            <w:tcW w:w="275" w:type="pct"/>
            <w:tcBorders>
              <w:top w:val="nil"/>
              <w:left w:val="nil"/>
              <w:bottom w:val="nil"/>
              <w:right w:val="nil"/>
            </w:tcBorders>
            <w:shd w:val="clear" w:color="auto" w:fill="auto"/>
            <w:noWrap/>
            <w:vAlign w:val="center"/>
            <w:hideMark/>
          </w:tcPr>
          <w:p w14:paraId="56D4B36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2583A995" w14:textId="77777777" w:rsidTr="007B37AC">
        <w:trPr>
          <w:trHeight w:val="320"/>
        </w:trPr>
        <w:tc>
          <w:tcPr>
            <w:tcW w:w="1058" w:type="pct"/>
            <w:tcBorders>
              <w:top w:val="nil"/>
              <w:left w:val="nil"/>
              <w:bottom w:val="nil"/>
              <w:right w:val="nil"/>
            </w:tcBorders>
            <w:shd w:val="clear" w:color="auto" w:fill="auto"/>
            <w:noWrap/>
            <w:vAlign w:val="center"/>
            <w:hideMark/>
          </w:tcPr>
          <w:p w14:paraId="54EB3105" w14:textId="1E96027A"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Shekhar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{"citationID":"oNG651X6","properties":{"formattedCitation":"\\super 29\\nosupersub{}","plainCitation":"29","noteIndex":0},"citationItems":[{"id":196,"uris":["http://zotero.org/users/local/4rfnQu81/items/6RCE9UEN"],"uri":["http://zotero.org/users/local/4rfnQu81/items/6RCE9UEN"],"itemData":{"id":196,"type":"article-journal","abstract":"OBJECTIVE: To study the central nervous system (CNS) complications in patients with COVID-19 infection especially among Native American population in the current pandemic of severe acute respiratory syndrome virus (COVID-19). METHODS: Patients with confirmed COVID-19 infection at University of New Mexico hospital (UNMH) were screened for development of neurological complications during Feb 01 to April 29, 2020 via retrospective chart review. RESULTS: Total of 90 hospitalized patients were screened. Out of seven patients, majority were Native Americans females, and developed neurological complications including subarachnoid hemorrhage (SAH), Intraparenchymal hemorrhage (IPH), Ischemic stroke (IS) and seizure. All 7 patients required Intensive care unit (ICU) level of care. Patients who developed CNS complications other than seizure were females in the younger age group (4 patients, 38-58 years) with poor outcome. Out of 7, three developed subarachnoid hemorrhage, two developed ischemic infarction, and four developed seizure. Two patients with hemorrhagic complication expired during the course of hospitalization. All three patients with seizure were discharged to home. CONCLUSION: Patients with serious CNS complications secondary to COVID-19 infection were observed to be Native Americans. Patients who developed hemorrhagic or ischemic events were observed to have poor outcomes as compared to patients who developed seizures.","container-title":"Journal of stroke and cerebrovascular diseases : the official journal of National Stroke Association","DOI":"10.1016/j.jstrokecerebrovasdis.2020.105260","ISSN":"1532-8511 (Electronic)","issue":"12","language":"eng","note":"PMID: 32992176","page":"105260","title":"Neurological Complications Among Native Americans with COVID-19: Our Experience at a Tertiary Care Academic Hospital in the U.S.","volume":"29","author":[{"family":"Shekhar","given":"Rahul"},{"family":"Sheikh","given":"Abu Baker"},{"family":"Suriya","given":"Sajid S"},{"family":"Upadhyay","given":"Shubra"},{"family":"Zafar","given":"Atif"}],"issued":{"date-parts":[["2020",8]]}}}],"schema":"https://github.com/citation-style-language/schema/raw/master/csl-citation.json"}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E090B">
              <w:rPr>
                <w:rFonts w:ascii="Times New Roman" w:hAnsi="Times New Roman" w:cs="Times New Roman"/>
                <w:color w:val="000000"/>
                <w:sz w:val="13"/>
                <w:vertAlign w:val="superscript"/>
                <w:lang w:val="de-DE"/>
              </w:rPr>
              <w:t>29</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5DC479B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5DAFD27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54</w:t>
            </w:r>
          </w:p>
        </w:tc>
        <w:tc>
          <w:tcPr>
            <w:tcW w:w="384" w:type="pct"/>
            <w:tcBorders>
              <w:top w:val="nil"/>
              <w:left w:val="nil"/>
              <w:bottom w:val="nil"/>
              <w:right w:val="nil"/>
            </w:tcBorders>
            <w:shd w:val="clear" w:color="auto" w:fill="auto"/>
            <w:noWrap/>
            <w:vAlign w:val="center"/>
            <w:hideMark/>
          </w:tcPr>
          <w:p w14:paraId="3D2AF93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11</w:t>
            </w:r>
          </w:p>
        </w:tc>
        <w:tc>
          <w:tcPr>
            <w:tcW w:w="275" w:type="pct"/>
            <w:tcBorders>
              <w:top w:val="nil"/>
              <w:left w:val="nil"/>
              <w:bottom w:val="nil"/>
              <w:right w:val="nil"/>
            </w:tcBorders>
            <w:shd w:val="clear" w:color="auto" w:fill="auto"/>
            <w:noWrap/>
            <w:vAlign w:val="center"/>
            <w:hideMark/>
          </w:tcPr>
          <w:p w14:paraId="34A8271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noWrap/>
            <w:vAlign w:val="center"/>
            <w:hideMark/>
          </w:tcPr>
          <w:p w14:paraId="31F0BBA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7B5CD4A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302</w:t>
            </w:r>
          </w:p>
        </w:tc>
        <w:tc>
          <w:tcPr>
            <w:tcW w:w="493" w:type="pct"/>
            <w:tcBorders>
              <w:top w:val="nil"/>
              <w:left w:val="nil"/>
              <w:bottom w:val="nil"/>
              <w:right w:val="nil"/>
            </w:tcBorders>
            <w:shd w:val="clear" w:color="auto" w:fill="auto"/>
            <w:noWrap/>
            <w:vAlign w:val="center"/>
            <w:hideMark/>
          </w:tcPr>
          <w:p w14:paraId="33561D3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629" w:type="pct"/>
            <w:tcBorders>
              <w:top w:val="nil"/>
              <w:left w:val="nil"/>
              <w:bottom w:val="nil"/>
              <w:right w:val="nil"/>
            </w:tcBorders>
            <w:shd w:val="clear" w:color="auto" w:fill="auto"/>
            <w:noWrap/>
            <w:vAlign w:val="center"/>
            <w:hideMark/>
          </w:tcPr>
          <w:p w14:paraId="09AAF8F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CT/MRI</w:t>
            </w:r>
          </w:p>
        </w:tc>
        <w:tc>
          <w:tcPr>
            <w:tcW w:w="316" w:type="pct"/>
            <w:tcBorders>
              <w:top w:val="nil"/>
              <w:left w:val="nil"/>
              <w:bottom w:val="nil"/>
              <w:right w:val="nil"/>
            </w:tcBorders>
            <w:shd w:val="clear" w:color="auto" w:fill="auto"/>
            <w:noWrap/>
            <w:vAlign w:val="center"/>
            <w:hideMark/>
          </w:tcPr>
          <w:p w14:paraId="7F1E8BA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c>
          <w:tcPr>
            <w:tcW w:w="275" w:type="pct"/>
            <w:tcBorders>
              <w:top w:val="nil"/>
              <w:left w:val="nil"/>
              <w:bottom w:val="nil"/>
              <w:right w:val="nil"/>
            </w:tcBorders>
            <w:shd w:val="clear" w:color="auto" w:fill="auto"/>
            <w:noWrap/>
            <w:vAlign w:val="center"/>
            <w:hideMark/>
          </w:tcPr>
          <w:p w14:paraId="51E050A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20528AAA" w14:textId="77777777" w:rsidTr="007B37AC">
        <w:trPr>
          <w:trHeight w:val="320"/>
        </w:trPr>
        <w:tc>
          <w:tcPr>
            <w:tcW w:w="1058" w:type="pct"/>
            <w:tcBorders>
              <w:top w:val="nil"/>
              <w:left w:val="nil"/>
              <w:bottom w:val="nil"/>
              <w:right w:val="nil"/>
            </w:tcBorders>
            <w:shd w:val="clear" w:color="auto" w:fill="auto"/>
            <w:noWrap/>
            <w:vAlign w:val="center"/>
            <w:hideMark/>
          </w:tcPr>
          <w:p w14:paraId="470D7D77" w14:textId="198D31F9"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Shekhar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{"citationID":"ce4lavgK","properties":{"formattedCitation":"\\super 29\\nosupersub{}","plainCitation":"29","noteIndex":0},"citationItems":[{"id":196,"uris":["http://zotero.org/users/local/4rfnQu81/items/6RCE9UEN"],"uri":["http://zotero.org/users/local/4rfnQu81/items/6RCE9UEN"],"itemData":{"id":196,"type":"article-journal","abstract":"OBJECTIVE: To study the central nervous system (CNS) complications in patients with COVID-19 infection especially among Native American population in the current pandemic of severe acute respiratory syndrome virus (COVID-19). METHODS: Patients with confirmed COVID-19 infection at University of New Mexico hospital (UNMH) were screened for development of neurological complications during Feb 01 to April 29, 2020 via retrospective chart review. RESULTS: Total of 90 hospitalized patients were screened. Out of seven patients, majority were Native Americans females, and developed neurological complications including subarachnoid hemorrhage (SAH), Intraparenchymal hemorrhage (IPH), Ischemic stroke (IS) and seizure. All 7 patients required Intensive care unit (ICU) level of care. Patients who developed CNS complications other than seizure were females in the younger age group (4 patients, 38-58 years) with poor outcome. Out of 7, three developed subarachnoid hemorrhage, two developed ischemic infarction, and four developed seizure. Two patients with hemorrhagic complication expired during the course of hospitalization. All three patients with seizure were discharged to home. CONCLUSION: Patients with serious CNS complications secondary to COVID-19 infection were observed to be Native Americans. Patients who developed hemorrhagic or ischemic events were observed to have poor outcomes as compared to patients who developed seizures.","container-title":"Journal of stroke and cerebrovascular diseases : the official journal of National Stroke Association","DOI":"10.1016/j.jstrokecerebrovasdis.2020.105260","ISSN":"1532-8511 (Electronic)","issue":"12","language":"eng","note":"PMID: 32992176","page":"105260","title":"Neurological Complications Among Native Americans with COVID-19: Our Experience at a Tertiary Care Academic Hospital in the U.S.","volume":"29","author":[{"family":"Shekhar","given":"Rahul"},{"family":"Sheikh","given":"Abu Baker"},{"family":"Suriya","given":"Sajid S"},{"family":"Upadhyay","given":"Shubra"},{"family":"Zafar","given":"Atif"}],"issued":{"date-parts":[["2020",8]]}}}],"schema":"https://github.com/citation-style-language/schema/raw/master/csl-citation.json"}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E090B">
              <w:rPr>
                <w:rFonts w:ascii="Times New Roman" w:hAnsi="Times New Roman" w:cs="Times New Roman"/>
                <w:color w:val="000000"/>
                <w:sz w:val="13"/>
                <w:vertAlign w:val="superscript"/>
                <w:lang w:val="de-DE"/>
              </w:rPr>
              <w:t>29</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6B930AE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7AA1711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1E7CAC4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16</w:t>
            </w:r>
          </w:p>
        </w:tc>
        <w:tc>
          <w:tcPr>
            <w:tcW w:w="275" w:type="pct"/>
            <w:tcBorders>
              <w:top w:val="nil"/>
              <w:left w:val="nil"/>
              <w:bottom w:val="nil"/>
              <w:right w:val="nil"/>
            </w:tcBorders>
            <w:shd w:val="clear" w:color="auto" w:fill="auto"/>
            <w:noWrap/>
            <w:vAlign w:val="center"/>
            <w:hideMark/>
          </w:tcPr>
          <w:p w14:paraId="2FEA756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noWrap/>
            <w:vAlign w:val="center"/>
            <w:hideMark/>
          </w:tcPr>
          <w:p w14:paraId="50A737E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3A177A7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239</w:t>
            </w:r>
          </w:p>
        </w:tc>
        <w:tc>
          <w:tcPr>
            <w:tcW w:w="493" w:type="pct"/>
            <w:tcBorders>
              <w:top w:val="nil"/>
              <w:left w:val="nil"/>
              <w:bottom w:val="nil"/>
              <w:right w:val="nil"/>
            </w:tcBorders>
            <w:shd w:val="clear" w:color="auto" w:fill="auto"/>
            <w:noWrap/>
            <w:vAlign w:val="center"/>
            <w:hideMark/>
          </w:tcPr>
          <w:p w14:paraId="31C13AB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629" w:type="pct"/>
            <w:tcBorders>
              <w:top w:val="nil"/>
              <w:left w:val="nil"/>
              <w:bottom w:val="nil"/>
              <w:right w:val="nil"/>
            </w:tcBorders>
            <w:shd w:val="clear" w:color="auto" w:fill="auto"/>
            <w:noWrap/>
            <w:vAlign w:val="center"/>
            <w:hideMark/>
          </w:tcPr>
          <w:p w14:paraId="5CF7178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0E4EC96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19</w:t>
            </w:r>
          </w:p>
        </w:tc>
        <w:tc>
          <w:tcPr>
            <w:tcW w:w="275" w:type="pct"/>
            <w:tcBorders>
              <w:top w:val="nil"/>
              <w:left w:val="nil"/>
              <w:bottom w:val="nil"/>
              <w:right w:val="nil"/>
            </w:tcBorders>
            <w:shd w:val="clear" w:color="auto" w:fill="auto"/>
            <w:noWrap/>
            <w:vAlign w:val="center"/>
            <w:hideMark/>
          </w:tcPr>
          <w:p w14:paraId="7F92083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37BD5352" w14:textId="77777777" w:rsidTr="007B37AC">
        <w:trPr>
          <w:trHeight w:val="320"/>
        </w:trPr>
        <w:tc>
          <w:tcPr>
            <w:tcW w:w="1058" w:type="pct"/>
            <w:tcBorders>
              <w:top w:val="nil"/>
              <w:left w:val="nil"/>
              <w:bottom w:val="nil"/>
              <w:right w:val="nil"/>
            </w:tcBorders>
            <w:shd w:val="clear" w:color="auto" w:fill="auto"/>
            <w:noWrap/>
            <w:vAlign w:val="center"/>
            <w:hideMark/>
          </w:tcPr>
          <w:p w14:paraId="199E5D53" w14:textId="10760AF0"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Shoskes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{"citationID":"Ku7dlGc1","properties":{"formattedCitation":"\\super 29\\nosupersub{}","plainCitation":"29","noteIndex":0},"citationItems":[{"id":196,"uris":["http://zotero.org/users/local/4rfnQu81/items/6RCE9UEN"],"uri":["http://zotero.org/users/local/4rfnQu81/items/6RCE9UEN"],"itemData":{"id":196,"type":"article-journal","abstract":"OBJECTIVE: To study the central nervous system (CNS) complications in patients with COVID-19 infection especially among Native American population in the current pandemic of severe acute respiratory syndrome virus (COVID-19). METHODS: Patients with confirmed COVID-19 infection at University of New Mexico hospital (UNMH) were screened for development of neurological complications during Feb 01 to April 29, 2020 via retrospective chart review. RESULTS: Total of 90 hospitalized patients were screened. Out of seven patients, majority were Native Americans females, and developed neurological complications including subarachnoid hemorrhage (SAH), Intraparenchymal hemorrhage (IPH), Ischemic stroke (IS) and seizure. All 7 patients required Intensive care unit (ICU) level of care. Patients who developed CNS complications other than seizure were females in the younger age group (4 patients, 38-58 years) with poor outcome. Out of 7, three developed subarachnoid hemorrhage, two developed ischemic infarction, and four developed seizure. Two patients with hemorrhagic complication expired during the course of hospitalization. All three patients with seizure were discharged to home. CONCLUSION: Patients with serious CNS complications secondary to COVID-19 infection were observed to be Native Americans. Patients who developed hemorrhagic or ischemic events were observed to have poor outcomes as compared to patients who developed seizures.","container-title":"Journal of stroke and cerebrovascular diseases : the official journal of National Stroke Association","DOI":"10.1016/j.jstrokecerebrovasdis.2020.105260","ISSN":"1532-8511 (Electronic)","issue":"12","language":"eng","note":"PMID: 32992176","page":"105260","title":"Neurological Complications Among Native Americans with COVID-19: Our Experience at a Tertiary Care Academic Hospital in the U.S.","volume":"29","author":[{"family":"Shekhar","given":"Rahul"},{"family":"Sheikh","given":"Abu Baker"},{"family":"Suriya","given":"Sajid S"},{"family":"Upadhyay","given":"Shubra"},{"family":"Zafar","given":"Atif"}],"issued":{"date-parts":[["2020",8]]}}}],"schema":"https://github.com/citation-style-language/schema/raw/master/csl-citation.json"}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E090B">
              <w:rPr>
                <w:rFonts w:ascii="Times New Roman" w:hAnsi="Times New Roman" w:cs="Times New Roman"/>
                <w:color w:val="000000"/>
                <w:sz w:val="13"/>
                <w:vertAlign w:val="superscript"/>
                <w:lang w:val="de-DE"/>
              </w:rPr>
              <w:t>29</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6B6EEA2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224DB8D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51</w:t>
            </w:r>
          </w:p>
        </w:tc>
        <w:tc>
          <w:tcPr>
            <w:tcW w:w="384" w:type="pct"/>
            <w:tcBorders>
              <w:top w:val="nil"/>
              <w:left w:val="nil"/>
              <w:bottom w:val="nil"/>
              <w:right w:val="nil"/>
            </w:tcBorders>
            <w:shd w:val="clear" w:color="auto" w:fill="auto"/>
            <w:noWrap/>
            <w:vAlign w:val="center"/>
            <w:hideMark/>
          </w:tcPr>
          <w:p w14:paraId="1AB85C7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2DC0AEC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53FCF44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2A355E8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5C77529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11</w:t>
            </w:r>
          </w:p>
        </w:tc>
        <w:tc>
          <w:tcPr>
            <w:tcW w:w="629" w:type="pct"/>
            <w:tcBorders>
              <w:top w:val="nil"/>
              <w:left w:val="nil"/>
              <w:bottom w:val="nil"/>
              <w:right w:val="nil"/>
            </w:tcBorders>
            <w:shd w:val="clear" w:color="auto" w:fill="auto"/>
            <w:noWrap/>
            <w:vAlign w:val="center"/>
            <w:hideMark/>
          </w:tcPr>
          <w:p w14:paraId="68A8D2A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MRI</w:t>
            </w:r>
          </w:p>
        </w:tc>
        <w:tc>
          <w:tcPr>
            <w:tcW w:w="316" w:type="pct"/>
            <w:tcBorders>
              <w:top w:val="nil"/>
              <w:left w:val="nil"/>
              <w:bottom w:val="nil"/>
              <w:right w:val="nil"/>
            </w:tcBorders>
            <w:shd w:val="clear" w:color="auto" w:fill="auto"/>
            <w:noWrap/>
            <w:vAlign w:val="center"/>
            <w:hideMark/>
          </w:tcPr>
          <w:p w14:paraId="2FA75D4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42B1BD7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4ACE92DC" w14:textId="77777777" w:rsidTr="007B37AC">
        <w:trPr>
          <w:trHeight w:val="320"/>
        </w:trPr>
        <w:tc>
          <w:tcPr>
            <w:tcW w:w="1058" w:type="pct"/>
            <w:tcBorders>
              <w:top w:val="nil"/>
              <w:left w:val="nil"/>
              <w:bottom w:val="nil"/>
              <w:right w:val="nil"/>
            </w:tcBorders>
            <w:shd w:val="clear" w:color="auto" w:fill="auto"/>
            <w:noWrap/>
            <w:vAlign w:val="center"/>
            <w:hideMark/>
          </w:tcPr>
          <w:p w14:paraId="75323E43" w14:textId="3F7CA7A0"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Soldatelli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{"citationID":"NVnTPIAD","properties":{"formattedCitation":"\\super 30\\nosupersub{}","plainCitation":"30","noteIndex":0},"citationItems":[{"id":1,"uris":["http://zotero.org/users/local/4rfnQu81/items/UC9SNC33"],"uri":["http://zotero.org/users/local/4rfnQu81/items/UC9SNC33"],"itemData":{"id":1,"type":"article-journal","abstract":"Central nervous system involvement in severe acute respiratory syndrome caused by coronavirus disease 2019 (COVID-19) has increasingly been recognised in the literature, and possible mechanisms of neuroinvasion, neurotropism and neurovirulence have been described. Neurological signs have been described in 84% of COVID-19 intensive care unit patients, and haemostatic abnormalities in such patients may play an important role, with a broad spectrum of neuroimaging findings. This report describes the magnetic resonance imaging neurovascular findings in an acutely ill patient with COVID-19, including perfusion abnormalities depicted in the arterial spin labelling technique.","container-title":"The neuroradiology journal","DOI":"10.1177/1971400920941652","ISSN":"2385-1996 (Electronic)","issue":"5","language":"eng","note":"PMID: 32666873","page":"368–373","title":"Neurovascular and perfusion imaging findings in coronavirus disease 2019: Case report and literature review.","volume":"33","author":[{"family":"Soldatelli","given":"Matheus Dorigatti"},{"family":"Amaral","given":"Lázaro Faria","non-dropping-particle":"do"},{"family":"Veiga","given":"Viviane Cordeiro"},{"family":"Rojas","given":"Salomón Soriano Ordinola"},{"family":"Omar","given":"Samir"},{"family":"Marussi","given":"Victor Hugo Rocha"}],"issued":{"date-parts":[["2020",10]]}}}],"schema":"https://github.com/citation-style-language/schema/raw/master/csl-citation.json"}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E090B">
              <w:rPr>
                <w:rFonts w:ascii="Times New Roman" w:hAnsi="Times New Roman" w:cs="Times New Roman"/>
                <w:color w:val="000000"/>
                <w:sz w:val="13"/>
                <w:vertAlign w:val="superscript"/>
                <w:lang w:val="de-DE"/>
              </w:rPr>
              <w:t>30</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238B898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24C1955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318A93E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2C58DD5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682FEC9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1194D14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152D318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01D23D1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MRI</w:t>
            </w:r>
          </w:p>
        </w:tc>
        <w:tc>
          <w:tcPr>
            <w:tcW w:w="316" w:type="pct"/>
            <w:tcBorders>
              <w:top w:val="nil"/>
              <w:left w:val="nil"/>
              <w:bottom w:val="nil"/>
              <w:right w:val="nil"/>
            </w:tcBorders>
            <w:shd w:val="clear" w:color="auto" w:fill="auto"/>
            <w:noWrap/>
            <w:vAlign w:val="center"/>
            <w:hideMark/>
          </w:tcPr>
          <w:p w14:paraId="797DAF6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65BE264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6E551244" w14:textId="77777777" w:rsidTr="007B37AC">
        <w:trPr>
          <w:trHeight w:val="320"/>
        </w:trPr>
        <w:tc>
          <w:tcPr>
            <w:tcW w:w="1058" w:type="pct"/>
            <w:tcBorders>
              <w:top w:val="nil"/>
              <w:left w:val="nil"/>
              <w:bottom w:val="nil"/>
              <w:right w:val="nil"/>
            </w:tcBorders>
            <w:shd w:val="clear" w:color="auto" w:fill="auto"/>
            <w:noWrap/>
            <w:vAlign w:val="center"/>
            <w:hideMark/>
          </w:tcPr>
          <w:p w14:paraId="71E4D670" w14:textId="00C4AB6C"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Thu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{"citationID":"zZ95JfLM","properties":{"formattedCitation":"\\super 31\\nosupersub{}","plainCitation":"31","noteIndex":0},"citationItems":[{"id":154,"uris":["http://zotero.org/users/local/4rfnQu81/items/AIVUMRYE"],"uri":["http://zotero.org/users/local/4rfnQu81/items/AIVUMRYE"],"itemData":{"id":154,"type":"article-journal","abstract":"Since the outbreak with novel corona virus in December 2019, a myriad of different neurological manifestations in patients with COVID-19 infection have been reported. We present a case of non-traumatic intracranial hemorrhage in the olfactory gyrus in a patient who tested positive for SARS-COV-2. The area of hemorrhage is not a common location for spontaneous hemorrhage. Given that loss of smell is considered a relatively common symptom of this pandemic, it is an intriguing association of COVID-19 and olfactory gyrus ICH for neurotropism of SARS-CoV2 for olfactory bulb and glia cells through nasal mucosa. Future studies will need to elucidate the exact mechanism of anosmia from COVID-19 and potential mechanisms leading to ICH.","container-title":"Journal of Clinical Neuroscience","DOI":"10.1016/j.jocn.2020.07.033","ISSN":"15322653","note":"publisher: Elsevier Ltd\nPMID: 33070912","page":"275–276","title":"Olfactory gyrus intracerebral hemorrhage in a patient with COVID-19 infection","volume":"79","author":[{"family":"Thu","given":"Sai Si"},{"family":"Matin","given":"Nassim"},{"family":"Levine","given":"Steven R."}],"issued":{"date-parts":[["2020"]]}}}],"schema":"https://github.com/citation-style-language/schema/raw/master/csl-citation.json"}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E090B">
              <w:rPr>
                <w:rFonts w:ascii="Times New Roman" w:hAnsi="Times New Roman" w:cs="Times New Roman"/>
                <w:color w:val="000000"/>
                <w:sz w:val="13"/>
                <w:vertAlign w:val="superscript"/>
                <w:lang w:val="de-DE"/>
              </w:rPr>
              <w:t>31</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730382B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112B028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164</w:t>
            </w:r>
          </w:p>
        </w:tc>
        <w:tc>
          <w:tcPr>
            <w:tcW w:w="384" w:type="pct"/>
            <w:tcBorders>
              <w:top w:val="nil"/>
              <w:left w:val="nil"/>
              <w:bottom w:val="nil"/>
              <w:right w:val="nil"/>
            </w:tcBorders>
            <w:shd w:val="clear" w:color="auto" w:fill="auto"/>
            <w:noWrap/>
            <w:vAlign w:val="center"/>
            <w:hideMark/>
          </w:tcPr>
          <w:p w14:paraId="3A0CDDB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1AA2AC2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6DB3BCA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2359DE2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49ACB66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01DEF37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CT/MRI</w:t>
            </w:r>
          </w:p>
        </w:tc>
        <w:tc>
          <w:tcPr>
            <w:tcW w:w="316" w:type="pct"/>
            <w:tcBorders>
              <w:top w:val="nil"/>
              <w:left w:val="nil"/>
              <w:bottom w:val="nil"/>
              <w:right w:val="nil"/>
            </w:tcBorders>
            <w:shd w:val="clear" w:color="auto" w:fill="auto"/>
            <w:noWrap/>
            <w:vAlign w:val="center"/>
            <w:hideMark/>
          </w:tcPr>
          <w:p w14:paraId="612E4EA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275" w:type="pct"/>
            <w:tcBorders>
              <w:top w:val="nil"/>
              <w:left w:val="nil"/>
              <w:bottom w:val="nil"/>
              <w:right w:val="nil"/>
            </w:tcBorders>
            <w:shd w:val="clear" w:color="auto" w:fill="auto"/>
            <w:noWrap/>
            <w:vAlign w:val="center"/>
            <w:hideMark/>
          </w:tcPr>
          <w:p w14:paraId="488D432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0</w:t>
            </w:r>
          </w:p>
        </w:tc>
      </w:tr>
      <w:tr w:rsidR="007A62EC" w:rsidRPr="007B37AC" w14:paraId="5330434B" w14:textId="77777777" w:rsidTr="007B37AC">
        <w:trPr>
          <w:trHeight w:val="320"/>
        </w:trPr>
        <w:tc>
          <w:tcPr>
            <w:tcW w:w="1058" w:type="pct"/>
            <w:tcBorders>
              <w:top w:val="nil"/>
              <w:left w:val="nil"/>
              <w:bottom w:val="nil"/>
              <w:right w:val="nil"/>
            </w:tcBorders>
            <w:shd w:val="clear" w:color="auto" w:fill="auto"/>
            <w:noWrap/>
            <w:vAlign w:val="center"/>
            <w:hideMark/>
          </w:tcPr>
          <w:p w14:paraId="50AAAD45" w14:textId="7E61D0BA"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Usman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{"citationID":"qIC10md0","properties":{"formattedCitation":"\\super 32\\nosupersub{}","plainCitation":"32","noteIndex":0},"citationItems":[{"id":171,"uris":["http://zotero.org/users/local/4rfnQu81/items/PQ4724H5"],"uri":["http://zotero.org/users/local/4rfnQu81/items/PQ4724H5"],"itemData":{"id":171,"type":"article-journal","abstract":"OBJECTIVE: Anticoagulation may be a challenge in coronavirus disease 2019 (COVID-19) extracorporeal membrane oxygenation due to endothelial injury and dysregulation of coagulation, which may increase the risk of thrombotic and bleeding complications. This report was created to describe the authors' single institutional experience, with emphasis on the high rate of intracranial hemorrhage for the first 10 patients with COVID-19 placed on venovenous extracorporeal membrane oxygenation (VV ECMO). DESIGN: Case series, retrospective analysis. SETTING: Single institution. PARTICIPANTS: Ten patients. INTERVENTIONS: None. MEASUREMENTS AND MAIN RESULTS: Patient characteristics, mortality, stroke rate, and length of stay data were collected in all patients. In addition, laboratory values of D-dimer and C-reactive protein and standard measurements of prothrombin and activated partial thromboplastin time were collected on all patients. Ten patients, each confirmed with COVID-19 via reverse transcription-polymerase chain reaction, were supported on VV ECMO for acute respiratory distress syndrome (ARDS) for a mean duration of 9.4 ± 7 days. Four of 10 patients had hemorrhagic strokes, 3 of which resulted in death. At 30 days after initiation of VV ECMO, a total of 7 survivors included 6 patients discharged from the hospital and 1 patient who remained in the intensive care unit. CONCLUSIONS: In this small study of 10 patients, intracranial hemorrhage was a common complication, resulting in a high rate of death. The authors urge caution in the anticoagulation management of VV ECMO for patients with severe ARDS and COVID-19 patients. Close monitoring of all hematologic parameters is recommended during ECMO support while awaiting larger, multicenter studies to examine the best practice.","container-title":"Journal of cardiothoracic and vascular anesthesia","DOI":"10.1053/j.jvca.2020.07.063","ISSN":"1532-8422 (Electronic)","issue":"11","language":"eng","note":"PMID: 32828653","page":"3006–3012","title":"A Case Series of Devastating Intracranial Hemorrhage During Venovenous Extracorporeal Membrane Oxygenation for COVID-19.","volume":"34","author":[{"family":"Usman","given":"Asad Ali"},{"family":"Han","given":"Jason"},{"family":"Acker","given":"Andrew"},{"family":"Olia","given":"Salim E"},{"family":"Bermudez","given":"Christian"},{"family":"Cucchiara","given":"Brett"},{"family":"Mikkelsen","given":"Mark E"},{"family":"Wald","given":"Joyce"},{"family":"Mackay","given":"Emily"},{"family":"Szeto","given":"Wilson"},{"family":"Vernick","given":"William J"},{"family":"Gutsche","given":"Jacob T"}],"issued":{"date-parts":[["2020",11]]}}}],"schema":"https://github.com/citation-style-language/schema/raw/master/csl-citation.json"}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E090B">
              <w:rPr>
                <w:rFonts w:ascii="Times New Roman" w:hAnsi="Times New Roman" w:cs="Times New Roman"/>
                <w:color w:val="000000"/>
                <w:sz w:val="13"/>
                <w:vertAlign w:val="superscript"/>
                <w:lang w:val="de-DE"/>
              </w:rPr>
              <w:t>32</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3EC5FF9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1C96F4E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663D517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596A905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682FC16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60</w:t>
            </w:r>
          </w:p>
        </w:tc>
        <w:tc>
          <w:tcPr>
            <w:tcW w:w="486" w:type="pct"/>
            <w:tcBorders>
              <w:top w:val="nil"/>
              <w:left w:val="nil"/>
              <w:bottom w:val="nil"/>
              <w:right w:val="nil"/>
            </w:tcBorders>
            <w:shd w:val="clear" w:color="auto" w:fill="auto"/>
            <w:noWrap/>
            <w:vAlign w:val="center"/>
            <w:hideMark/>
          </w:tcPr>
          <w:p w14:paraId="0B1B72E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37148DC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w:t>
            </w:r>
          </w:p>
        </w:tc>
        <w:tc>
          <w:tcPr>
            <w:tcW w:w="629" w:type="pct"/>
            <w:tcBorders>
              <w:top w:val="nil"/>
              <w:left w:val="nil"/>
              <w:bottom w:val="nil"/>
              <w:right w:val="nil"/>
            </w:tcBorders>
            <w:shd w:val="clear" w:color="auto" w:fill="auto"/>
            <w:noWrap/>
            <w:vAlign w:val="center"/>
            <w:hideMark/>
          </w:tcPr>
          <w:p w14:paraId="2A90783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0360BD2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22</w:t>
            </w:r>
          </w:p>
        </w:tc>
        <w:tc>
          <w:tcPr>
            <w:tcW w:w="275" w:type="pct"/>
            <w:tcBorders>
              <w:top w:val="nil"/>
              <w:left w:val="nil"/>
              <w:bottom w:val="nil"/>
              <w:right w:val="nil"/>
            </w:tcBorders>
            <w:shd w:val="clear" w:color="auto" w:fill="auto"/>
            <w:noWrap/>
            <w:vAlign w:val="center"/>
            <w:hideMark/>
          </w:tcPr>
          <w:p w14:paraId="314585F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0EFAC4F1" w14:textId="77777777" w:rsidTr="007B37AC">
        <w:trPr>
          <w:trHeight w:val="320"/>
        </w:trPr>
        <w:tc>
          <w:tcPr>
            <w:tcW w:w="1058" w:type="pct"/>
            <w:tcBorders>
              <w:top w:val="nil"/>
              <w:left w:val="nil"/>
              <w:bottom w:val="nil"/>
              <w:right w:val="nil"/>
            </w:tcBorders>
            <w:shd w:val="clear" w:color="auto" w:fill="auto"/>
            <w:noWrap/>
            <w:vAlign w:val="center"/>
            <w:hideMark/>
          </w:tcPr>
          <w:p w14:paraId="7D927ECA" w14:textId="58F2E7DF"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Usman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{"citationID":"oGlUgRST","properties":{"formattedCitation":"\\super 32\\nosupersub{}","plainCitation":"32","noteIndex":0},"citationItems":[{"id":171,"uris":["http://zotero.org/users/local/4rfnQu81/items/PQ4724H5"],"uri":["http://zotero.org/users/local/4rfnQu81/items/PQ4724H5"],"itemData":{"id":171,"type":"article-journal","abstract":"OBJECTIVE: Anticoagulation may be a challenge in coronavirus disease 2019 (COVID-19) extracorporeal membrane oxygenation due to endothelial injury and dysregulation of coagulation, which may increase the risk of thrombotic and bleeding complications. This report was created to describe the authors' single institutional experience, with emphasis on the high rate of intracranial hemorrhage for the first 10 patients with COVID-19 placed on venovenous extracorporeal membrane oxygenation (VV ECMO). DESIGN: Case series, retrospective analysis. SETTING: Single institution. PARTICIPANTS: Ten patients. INTERVENTIONS: None. MEASUREMENTS AND MAIN RESULTS: Patient characteristics, mortality, stroke rate, and length of stay data were collected in all patients. In addition, laboratory values of D-dimer and C-reactive protein and standard measurements of prothrombin and activated partial thromboplastin time were collected on all patients. Ten patients, each confirmed with COVID-19 via reverse transcription-polymerase chain reaction, were supported on VV ECMO for acute respiratory distress syndrome (ARDS) for a mean duration of 9.4 ± 7 days. Four of 10 patients had hemorrhagic strokes, 3 of which resulted in death. At 30 days after initiation of VV ECMO, a total of 7 survivors included 6 patients discharged from the hospital and 1 patient who remained in the intensive care unit. CONCLUSIONS: In this small study of 10 patients, intracranial hemorrhage was a common complication, resulting in a high rate of death. The authors urge caution in the anticoagulation management of VV ECMO for patients with severe ARDS and COVID-19 patients. Close monitoring of all hematologic parameters is recommended during ECMO support while awaiting larger, multicenter studies to examine the best practice.","container-title":"Journal of cardiothoracic and vascular anesthesia","DOI":"10.1053/j.jvca.2020.07.063","ISSN":"1532-8422 (Electronic)","issue":"11","language":"eng","note":"PMID: 32828653","page":"3006–3012","title":"A Case Series of Devastating Intracranial Hemorrhage During Venovenous Extracorporeal Membrane Oxygenation for COVID-19.","volume":"34","author":[{"family":"Usman","given":"Asad Ali"},{"family":"Han","given":"Jason"},{"family":"Acker","given":"Andrew"},{"family":"Olia","given":"Salim E"},{"family":"Bermudez","given":"Christian"},{"family":"Cucchiara","given":"Brett"},{"family":"Mikkelsen","given":"Mark E"},{"family":"Wald","given":"Joyce"},{"family":"Mackay","given":"Emily"},{"family":"Szeto","given":"Wilson"},{"family":"Vernick","given":"William J"},{"family":"Gutsche","given":"Jacob T"}],"issued":{"date-parts":[["2020",11]]}}}],"schema":"https://github.com/citation-style-language/schema/raw/master/csl-citation.json"}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E090B">
              <w:rPr>
                <w:rFonts w:ascii="Times New Roman" w:hAnsi="Times New Roman" w:cs="Times New Roman"/>
                <w:color w:val="000000"/>
                <w:sz w:val="13"/>
                <w:vertAlign w:val="superscript"/>
                <w:lang w:val="de-DE"/>
              </w:rPr>
              <w:t>32</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781716D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5BD1B44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16FE689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38FECC9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21FC442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71</w:t>
            </w:r>
          </w:p>
        </w:tc>
        <w:tc>
          <w:tcPr>
            <w:tcW w:w="486" w:type="pct"/>
            <w:tcBorders>
              <w:top w:val="nil"/>
              <w:left w:val="nil"/>
              <w:bottom w:val="nil"/>
              <w:right w:val="nil"/>
            </w:tcBorders>
            <w:shd w:val="clear" w:color="auto" w:fill="auto"/>
            <w:noWrap/>
            <w:vAlign w:val="center"/>
            <w:hideMark/>
          </w:tcPr>
          <w:p w14:paraId="65CF70F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622CD98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629" w:type="pct"/>
            <w:tcBorders>
              <w:top w:val="nil"/>
              <w:left w:val="nil"/>
              <w:bottom w:val="nil"/>
              <w:right w:val="nil"/>
            </w:tcBorders>
            <w:shd w:val="clear" w:color="auto" w:fill="auto"/>
            <w:noWrap/>
            <w:vAlign w:val="center"/>
            <w:hideMark/>
          </w:tcPr>
          <w:p w14:paraId="6DA1827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6817873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7</w:t>
            </w:r>
          </w:p>
        </w:tc>
        <w:tc>
          <w:tcPr>
            <w:tcW w:w="275" w:type="pct"/>
            <w:tcBorders>
              <w:top w:val="nil"/>
              <w:left w:val="nil"/>
              <w:bottom w:val="nil"/>
              <w:right w:val="nil"/>
            </w:tcBorders>
            <w:shd w:val="clear" w:color="auto" w:fill="auto"/>
            <w:noWrap/>
            <w:vAlign w:val="center"/>
            <w:hideMark/>
          </w:tcPr>
          <w:p w14:paraId="69AC385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32779385" w14:textId="77777777" w:rsidTr="007B37AC">
        <w:trPr>
          <w:trHeight w:val="320"/>
        </w:trPr>
        <w:tc>
          <w:tcPr>
            <w:tcW w:w="1058" w:type="pct"/>
            <w:tcBorders>
              <w:top w:val="nil"/>
              <w:left w:val="nil"/>
              <w:bottom w:val="nil"/>
              <w:right w:val="nil"/>
            </w:tcBorders>
            <w:shd w:val="clear" w:color="auto" w:fill="auto"/>
            <w:noWrap/>
            <w:vAlign w:val="center"/>
            <w:hideMark/>
          </w:tcPr>
          <w:p w14:paraId="456208C6" w14:textId="068A4118"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Usman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{"citationID":"igRI3PIg","properties":{"formattedCitation":"\\super 32\\nosupersub{}","plainCitation":"32","noteIndex":0},"citationItems":[{"id":171,"uris":["http://zotero.org/users/local/4rfnQu81/items/PQ4724H5"],"uri":["http://zotero.org/users/local/4rfnQu81/items/PQ4724H5"],"itemData":{"id":171,"type":"article-journal","abstract":"OBJECTIVE: Anticoagulation may be a challenge in coronavirus disease 2019 (COVID-19) extracorporeal membrane oxygenation due to endothelial injury and dysregulation of coagulation, which may increase the risk of thrombotic and bleeding complications. This report was created to describe the authors' single institutional experience, with emphasis on the high rate of intracranial hemorrhage for the first 10 patients with COVID-19 placed on venovenous extracorporeal membrane oxygenation (VV ECMO). DESIGN: Case series, retrospective analysis. SETTING: Single institution. PARTICIPANTS: Ten patients. INTERVENTIONS: None. MEASUREMENTS AND MAIN RESULTS: Patient characteristics, mortality, stroke rate, and length of stay data were collected in all patients. In addition, laboratory values of D-dimer and C-reactive protein and standard measurements of prothrombin and activated partial thromboplastin time were collected on all patients. Ten patients, each confirmed with COVID-19 via reverse transcription-polymerase chain reaction, were supported on VV ECMO for acute respiratory distress syndrome (ARDS) for a mean duration of 9.4 ± 7 days. Four of 10 patients had hemorrhagic strokes, 3 of which resulted in death. At 30 days after initiation of VV ECMO, a total of 7 survivors included 6 patients discharged from the hospital and 1 patient who remained in the intensive care unit. CONCLUSIONS: In this small study of 10 patients, intracranial hemorrhage was a common complication, resulting in a high rate of death. The authors urge caution in the anticoagulation management of VV ECMO for patients with severe ARDS and COVID-19 patients. Close monitoring of all hematologic parameters is recommended during ECMO support while awaiting larger, multicenter studies to examine the best practice.","container-title":"Journal of cardiothoracic and vascular anesthesia","DOI":"10.1053/j.jvca.2020.07.063","ISSN":"1532-8422 (Electronic)","issue":"11","language":"eng","note":"PMID: 32828653","page":"3006–3012","title":"A Case Series of Devastating Intracranial Hemorrhage During Venovenous Extracorporeal Membrane Oxygenation for COVID-19.","volume":"34","author":[{"family":"Usman","given":"Asad Ali"},{"family":"Han","given":"Jason"},{"family":"Acker","given":"Andrew"},{"family":"Olia","given":"Salim E"},{"family":"Bermudez","given":"Christian"},{"family":"Cucchiara","given":"Brett"},{"family":"Mikkelsen","given":"Mark E"},{"family":"Wald","given":"Joyce"},{"family":"Mackay","given":"Emily"},{"family":"Szeto","given":"Wilson"},{"family":"Vernick","given":"William J"},{"family":"Gutsche","given":"Jacob T"}],"issued":{"date-parts":[["2020",11]]}}}],"schema":"https://github.com/citation-style-language/schema/raw/master/csl-citation.json"}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E090B">
              <w:rPr>
                <w:rFonts w:ascii="Times New Roman" w:hAnsi="Times New Roman" w:cs="Times New Roman"/>
                <w:color w:val="000000"/>
                <w:sz w:val="13"/>
                <w:vertAlign w:val="superscript"/>
                <w:lang w:val="de-DE"/>
              </w:rPr>
              <w:t>32</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5CF768B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7B04C29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00AB0AD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3CCB425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5CBD60A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38</w:t>
            </w:r>
          </w:p>
        </w:tc>
        <w:tc>
          <w:tcPr>
            <w:tcW w:w="486" w:type="pct"/>
            <w:tcBorders>
              <w:top w:val="nil"/>
              <w:left w:val="nil"/>
              <w:bottom w:val="nil"/>
              <w:right w:val="nil"/>
            </w:tcBorders>
            <w:shd w:val="clear" w:color="auto" w:fill="auto"/>
            <w:noWrap/>
            <w:vAlign w:val="center"/>
            <w:hideMark/>
          </w:tcPr>
          <w:p w14:paraId="6831791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4CFFA82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5</w:t>
            </w:r>
          </w:p>
        </w:tc>
        <w:tc>
          <w:tcPr>
            <w:tcW w:w="629" w:type="pct"/>
            <w:tcBorders>
              <w:top w:val="nil"/>
              <w:left w:val="nil"/>
              <w:bottom w:val="nil"/>
              <w:right w:val="nil"/>
            </w:tcBorders>
            <w:shd w:val="clear" w:color="auto" w:fill="auto"/>
            <w:noWrap/>
            <w:vAlign w:val="center"/>
            <w:hideMark/>
          </w:tcPr>
          <w:p w14:paraId="06E27B2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399AFCE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w:t>
            </w:r>
          </w:p>
        </w:tc>
        <w:tc>
          <w:tcPr>
            <w:tcW w:w="275" w:type="pct"/>
            <w:tcBorders>
              <w:top w:val="nil"/>
              <w:left w:val="nil"/>
              <w:bottom w:val="nil"/>
              <w:right w:val="nil"/>
            </w:tcBorders>
            <w:shd w:val="clear" w:color="auto" w:fill="auto"/>
            <w:noWrap/>
            <w:vAlign w:val="center"/>
            <w:hideMark/>
          </w:tcPr>
          <w:p w14:paraId="09E5082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56ECDE15" w14:textId="77777777" w:rsidTr="007B37AC">
        <w:trPr>
          <w:trHeight w:val="320"/>
        </w:trPr>
        <w:tc>
          <w:tcPr>
            <w:tcW w:w="1058" w:type="pct"/>
            <w:tcBorders>
              <w:top w:val="nil"/>
              <w:left w:val="nil"/>
              <w:bottom w:val="nil"/>
              <w:right w:val="nil"/>
            </w:tcBorders>
            <w:shd w:val="clear" w:color="auto" w:fill="auto"/>
            <w:noWrap/>
            <w:vAlign w:val="center"/>
            <w:hideMark/>
          </w:tcPr>
          <w:p w14:paraId="306321BF" w14:textId="7B011C2F"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Usman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{"citationID":"kyfAtmhz","properties":{"formattedCitation":"\\super 32\\nosupersub{}","plainCitation":"32","noteIndex":0},"citationItems":[{"id":171,"uris":["http://zotero.org/users/local/4rfnQu81/items/PQ4724H5"],"uri":["http://zotero.org/users/local/4rfnQu81/items/PQ4724H5"],"itemData":{"id":171,"type":"article-journal","abstract":"OBJECTIVE: Anticoagulation may be a challenge in coronavirus disease 2019 (COVID-19) extracorporeal membrane oxygenation due to endothelial injury and dysregulation of coagulation, which may increase the risk of thrombotic and bleeding complications. This report was created to describe the authors' single institutional experience, with emphasis on the high rate of intracranial hemorrhage for the first 10 patients with COVID-19 placed on venovenous extracorporeal membrane oxygenation (VV ECMO). DESIGN: Case series, retrospective analysis. SETTING: Single institution. PARTICIPANTS: Ten patients. INTERVENTIONS: None. MEASUREMENTS AND MAIN RESULTS: Patient characteristics, mortality, stroke rate, and length of stay data were collected in all patients. In addition, laboratory values of D-dimer and C-reactive protein and standard measurements of prothrombin and activated partial thromboplastin time were collected on all patients. Ten patients, each confirmed with COVID-19 via reverse transcription-polymerase chain reaction, were supported on VV ECMO for acute respiratory distress syndrome (ARDS) for a mean duration of 9.4 ± 7 days. Four of 10 patients had hemorrhagic strokes, 3 of which resulted in death. At 30 days after initiation of VV ECMO, a total of 7 survivors included 6 patients discharged from the hospital and 1 patient who remained in the intensive care unit. CONCLUSIONS: In this small study of 10 patients, intracranial hemorrhage was a common complication, resulting in a high rate of death. The authors urge caution in the anticoagulation management of VV ECMO for patients with severe ARDS and COVID-19 patients. Close monitoring of all hematologic parameters is recommended during ECMO support while awaiting larger, multicenter studies to examine the best practice.","container-title":"Journal of cardiothoracic and vascular anesthesia","DOI":"10.1053/j.jvca.2020.07.063","ISSN":"1532-8422 (Electronic)","issue":"11","language":"eng","note":"PMID: 32828653","page":"3006–3012","title":"A Case Series of Devastating Intracranial Hemorrhage During Venovenous Extracorporeal Membrane Oxygenation for COVID-19.","volume":"34","author":[{"family":"Usman","given":"Asad Ali"},{"family":"Han","given":"Jason"},{"family":"Acker","given":"Andrew"},{"family":"Olia","given":"Salim E"},{"family":"Bermudez","given":"Christian"},{"family":"Cucchiara","given":"Brett"},{"family":"Mikkelsen","given":"Mark E"},{"family":"Wald","given":"Joyce"},{"family":"Mackay","given":"Emily"},{"family":"Szeto","given":"Wilson"},{"family":"Vernick","given":"William J"},{"family":"Gutsche","given":"Jacob T"}],"issued":{"date-parts":[["2020",11]]}}}],"schema":"https://github.com/citation-style-language/schema/raw/master/csl-citation.json"}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E090B">
              <w:rPr>
                <w:rFonts w:ascii="Times New Roman" w:hAnsi="Times New Roman" w:cs="Times New Roman"/>
                <w:color w:val="000000"/>
                <w:sz w:val="13"/>
                <w:vertAlign w:val="superscript"/>
                <w:lang w:val="de-DE"/>
              </w:rPr>
              <w:t>32</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66125A5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326FAF3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01A2D00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5E12F1E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17D743E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61</w:t>
            </w:r>
          </w:p>
        </w:tc>
        <w:tc>
          <w:tcPr>
            <w:tcW w:w="486" w:type="pct"/>
            <w:tcBorders>
              <w:top w:val="nil"/>
              <w:left w:val="nil"/>
              <w:bottom w:val="nil"/>
              <w:right w:val="nil"/>
            </w:tcBorders>
            <w:shd w:val="clear" w:color="auto" w:fill="auto"/>
            <w:noWrap/>
            <w:vAlign w:val="center"/>
            <w:hideMark/>
          </w:tcPr>
          <w:p w14:paraId="3855969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467F013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9</w:t>
            </w:r>
          </w:p>
        </w:tc>
        <w:tc>
          <w:tcPr>
            <w:tcW w:w="629" w:type="pct"/>
            <w:tcBorders>
              <w:top w:val="nil"/>
              <w:left w:val="nil"/>
              <w:bottom w:val="nil"/>
              <w:right w:val="nil"/>
            </w:tcBorders>
            <w:shd w:val="clear" w:color="auto" w:fill="auto"/>
            <w:noWrap/>
            <w:vAlign w:val="center"/>
            <w:hideMark/>
          </w:tcPr>
          <w:p w14:paraId="115F479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0F4A622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w:t>
            </w:r>
          </w:p>
        </w:tc>
        <w:tc>
          <w:tcPr>
            <w:tcW w:w="275" w:type="pct"/>
            <w:tcBorders>
              <w:top w:val="nil"/>
              <w:left w:val="nil"/>
              <w:bottom w:val="nil"/>
              <w:right w:val="nil"/>
            </w:tcBorders>
            <w:shd w:val="clear" w:color="auto" w:fill="auto"/>
            <w:noWrap/>
            <w:vAlign w:val="center"/>
            <w:hideMark/>
          </w:tcPr>
          <w:p w14:paraId="33A4DE3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34A1FC41" w14:textId="77777777" w:rsidTr="007B37AC">
        <w:trPr>
          <w:trHeight w:val="340"/>
        </w:trPr>
        <w:tc>
          <w:tcPr>
            <w:tcW w:w="1058" w:type="pct"/>
            <w:tcBorders>
              <w:top w:val="nil"/>
              <w:left w:val="nil"/>
              <w:bottom w:val="nil"/>
              <w:right w:val="nil"/>
            </w:tcBorders>
            <w:shd w:val="clear" w:color="auto" w:fill="auto"/>
            <w:noWrap/>
            <w:vAlign w:val="center"/>
            <w:hideMark/>
          </w:tcPr>
          <w:p w14:paraId="5810B520" w14:textId="14DB7939"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Vattoth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{"citationID":"YxQXtxnw","properties":{"formattedCitation":"\\super 33\\nosupersub{}","plainCitation":"33","noteIndex":0},"citationItems":[{"id":113,"uris":["http://zotero.org/users/local/4rfnQu81/items/AF8HHIA5"],"uri":["http://zotero.org/users/local/4rfnQu81/items/AF8HHIA5"],"itemData":{"id":113,"type":"article-journal","abstract":"We are reporting the imaging findings of the rare entity of critical illness-associated cerebral microbleeds in a COVID-19-positive 66-year-old woman with hypoxic respiratory failure, who was eventually intubated and ventilated. Multiple scattered cerebral microhaemorrhages diffusely distributed in the juxtacortical white matter and internal capsule region, sparing the deep and periventricular white matter, basal ganglia, thalami and cortex were seen, which is a unique imaging finding in critically ill patients with respiratory failure and hypoxemia requiring mechanical ventilation. The mechanism underlying these microhaemorrhages relates to the endpoint of critical illness, rather than a specific underlying disease.","container-title":"The neuroradiology journal","DOI":"10.1177/1971400920939229","ISSN":"2385-1996 (Electronic)","issue":"5","language":"eng","note":"PMID: 32757827","page":"374–376","title":"Critical illness-associated cerebral microbleeds in COVID-19.","volume":"33","author":[{"family":"Vattoth","given":"Surjith"},{"family":"Abdelhady","given":"Mohamed"},{"family":"Alsoub","given":"Hussam"},{"family":"Own","given":"Ahmed"},{"family":"Elsotouhy","given":"Ahmed"}],"issued":{"date-parts":[["2020",10]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E090B">
              <w:rPr>
                <w:rFonts w:ascii="Times New Roman" w:hAnsi="Times New Roman" w:cs="Times New Roman"/>
                <w:color w:val="000000"/>
                <w:sz w:val="13"/>
                <w:vertAlign w:val="superscript"/>
                <w:lang w:val="de-DE"/>
              </w:rPr>
              <w:t>33</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1401833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2EA28E4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68</w:t>
            </w:r>
          </w:p>
        </w:tc>
        <w:tc>
          <w:tcPr>
            <w:tcW w:w="384" w:type="pct"/>
            <w:tcBorders>
              <w:top w:val="nil"/>
              <w:left w:val="nil"/>
              <w:bottom w:val="nil"/>
              <w:right w:val="nil"/>
            </w:tcBorders>
            <w:shd w:val="clear" w:color="auto" w:fill="auto"/>
            <w:noWrap/>
            <w:vAlign w:val="center"/>
            <w:hideMark/>
          </w:tcPr>
          <w:p w14:paraId="2D38800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15</w:t>
            </w:r>
          </w:p>
        </w:tc>
        <w:tc>
          <w:tcPr>
            <w:tcW w:w="275" w:type="pct"/>
            <w:tcBorders>
              <w:top w:val="nil"/>
              <w:left w:val="nil"/>
              <w:bottom w:val="nil"/>
              <w:right w:val="nil"/>
            </w:tcBorders>
            <w:shd w:val="clear" w:color="auto" w:fill="auto"/>
            <w:noWrap/>
            <w:vAlign w:val="center"/>
            <w:hideMark/>
          </w:tcPr>
          <w:p w14:paraId="6B943E4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noWrap/>
            <w:vAlign w:val="center"/>
            <w:hideMark/>
          </w:tcPr>
          <w:p w14:paraId="3126B47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64</w:t>
            </w:r>
          </w:p>
        </w:tc>
        <w:tc>
          <w:tcPr>
            <w:tcW w:w="486" w:type="pct"/>
            <w:tcBorders>
              <w:top w:val="nil"/>
              <w:left w:val="nil"/>
              <w:bottom w:val="nil"/>
              <w:right w:val="nil"/>
            </w:tcBorders>
            <w:shd w:val="clear" w:color="auto" w:fill="auto"/>
            <w:noWrap/>
            <w:vAlign w:val="center"/>
            <w:hideMark/>
          </w:tcPr>
          <w:p w14:paraId="34E5FE6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145</w:t>
            </w:r>
          </w:p>
        </w:tc>
        <w:tc>
          <w:tcPr>
            <w:tcW w:w="493" w:type="pct"/>
            <w:tcBorders>
              <w:top w:val="nil"/>
              <w:left w:val="nil"/>
              <w:bottom w:val="nil"/>
              <w:right w:val="nil"/>
            </w:tcBorders>
            <w:shd w:val="clear" w:color="auto" w:fill="auto"/>
            <w:noWrap/>
            <w:vAlign w:val="center"/>
            <w:hideMark/>
          </w:tcPr>
          <w:p w14:paraId="765D0EE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w:t>
            </w:r>
          </w:p>
        </w:tc>
        <w:tc>
          <w:tcPr>
            <w:tcW w:w="629" w:type="pct"/>
            <w:tcBorders>
              <w:top w:val="nil"/>
              <w:left w:val="nil"/>
              <w:bottom w:val="nil"/>
              <w:right w:val="nil"/>
            </w:tcBorders>
            <w:shd w:val="clear" w:color="auto" w:fill="auto"/>
            <w:noWrap/>
            <w:vAlign w:val="center"/>
            <w:hideMark/>
          </w:tcPr>
          <w:p w14:paraId="6B11A62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CT/MRI</w:t>
            </w:r>
          </w:p>
        </w:tc>
        <w:tc>
          <w:tcPr>
            <w:tcW w:w="316" w:type="pct"/>
            <w:tcBorders>
              <w:top w:val="nil"/>
              <w:left w:val="nil"/>
              <w:bottom w:val="nil"/>
              <w:right w:val="nil"/>
            </w:tcBorders>
            <w:shd w:val="clear" w:color="auto" w:fill="auto"/>
            <w:noWrap/>
            <w:vAlign w:val="center"/>
            <w:hideMark/>
          </w:tcPr>
          <w:p w14:paraId="1F21331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57B0CC7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0CBD4915" w14:textId="77777777" w:rsidTr="007B37AC">
        <w:trPr>
          <w:trHeight w:val="320"/>
        </w:trPr>
        <w:tc>
          <w:tcPr>
            <w:tcW w:w="1058" w:type="pct"/>
            <w:tcBorders>
              <w:top w:val="nil"/>
              <w:left w:val="nil"/>
              <w:bottom w:val="nil"/>
              <w:right w:val="nil"/>
            </w:tcBorders>
            <w:shd w:val="clear" w:color="auto" w:fill="auto"/>
            <w:noWrap/>
            <w:vAlign w:val="center"/>
            <w:hideMark/>
          </w:tcPr>
          <w:p w14:paraId="45571477" w14:textId="15EC36E6"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Vu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{"citationID":"L23PLILq","properties":{"formattedCitation":"\\super 34\\nosupersub{}","plainCitation":"34","noteIndex":0},"citationItems":[{"id":165,"uris":["http://zotero.org/users/local/4rfnQu81/items/DFSPSXQD"],"uri":["http://zotero.org/users/local/4rfnQu81/items/DFSPSXQD"],"itemData":{"id":165,"type":"article-journal","abstract":"PURPOSE: Coronavirus disease 2019 (COVID-19) is caused by a novel strain of coronavirus named severe acute respiratory syndrome coronavirus 2 (SARS-CoV-2) that has quickly spread around the globe. Health care facilities in the USA currently do not have an adequate supply of COVID-19 tests to meet the growing demand. Imaging findings for COVID-19 are non-specific but include pulmonary parenchymal ground-glass opacities in a predominantly basal and peripheral distribution. METHODS: Three patients were imaged for non-respiratory-related symptoms with a portion of the lungs in the imaged field. RESULTS: Each patient had suspicious imaging findings for COVID-19, prompting the interpreting radiologist to suggest testing for COVID-19. All 3 patients turned out to be infected with COVID-19, and one patient is the first reported case of the coincident presentation of COVID-19 and an intraparenchymal hemorrhage. CONCLUSION: Using imaging characteristics of COVID-19 on abdominal or neck CT when a portion of the lungs is included, patients not initially suspected of COVID-19 infection can be quarantined earlier to limit exposure to others.","container-title":"Emergency radiology","DOI":"10.1007/s10140-020-01775-4","ISSN":"1438-1435 (Electronic)","issue":"3","language":"eng","note":"PMID: 32285222","page":"229–232","title":"Three unsuspected CT diagnoses of COVID-19.","volume":"27","author":[{"family":"Vu","given":"David"},{"family":"Ruggiero","given":"Maryanne"},{"family":"Choi","given":"Woo Sung"},{"family":"Masri","given":"Daniel"},{"family":"Flyer","given":"Mark"},{"family":"Shyknevsky","given":"Inna"},{"family":"Stein","given":"Evan G"}],"issued":{"date-parts":[["2020",6]]}}}],"schema":"https://github.com/citation-style-language/schema/raw/master/csl-citation.json"}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E090B">
              <w:rPr>
                <w:rFonts w:ascii="Times New Roman" w:hAnsi="Times New Roman" w:cs="Times New Roman"/>
                <w:color w:val="000000"/>
                <w:sz w:val="13"/>
                <w:vertAlign w:val="superscript"/>
                <w:lang w:val="de-DE"/>
              </w:rPr>
              <w:t>34</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38B904A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25F2D7C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704B98B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1F2EBEF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5F61920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3D2AFCA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352AF5F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4C2B157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2BE459E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275" w:type="pct"/>
            <w:tcBorders>
              <w:top w:val="nil"/>
              <w:left w:val="nil"/>
              <w:bottom w:val="nil"/>
              <w:right w:val="nil"/>
            </w:tcBorders>
            <w:shd w:val="clear" w:color="auto" w:fill="auto"/>
            <w:noWrap/>
            <w:vAlign w:val="center"/>
            <w:hideMark/>
          </w:tcPr>
          <w:p w14:paraId="725A495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2EDB9B26" w14:textId="77777777" w:rsidTr="007B37AC">
        <w:trPr>
          <w:trHeight w:val="320"/>
        </w:trPr>
        <w:tc>
          <w:tcPr>
            <w:tcW w:w="1058" w:type="pct"/>
            <w:tcBorders>
              <w:top w:val="nil"/>
              <w:left w:val="nil"/>
              <w:bottom w:val="nil"/>
              <w:right w:val="nil"/>
            </w:tcBorders>
            <w:shd w:val="clear" w:color="auto" w:fill="auto"/>
            <w:noWrap/>
            <w:vAlign w:val="center"/>
            <w:hideMark/>
          </w:tcPr>
          <w:p w14:paraId="54A96B71" w14:textId="73C981A7"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Wee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{"citationID":"ucgCL4dP","properties":{"formattedCitation":"\\super 35\\nosupersub{}","plainCitation":"35","noteIndex":0},"citationItems":[{"id":132,"uris":["http://zotero.org/users/local/4rfnQu81/items/UK26R4MD"],"uri":["http://zotero.org/users/local/4rfnQu81/items/UK26R4MD"],"itemData":{"id":132,"type":"article-journal","container-title":"American Journal of Neuroradiology","DOI":"10.3174/ajnr.A6672","ISSN":"1936959X","issue":"9","note":"PMID: 32554426","page":"E76–E77","title":"CT Fluid-blood levels in COVID-19 intracranial hemorrhage","volume":"41","author":[{"family":"Wee","given":"N. K."},{"family":"Fan","given":"E. B."},{"family":"Lee","given":"K. C.H."},{"family":"Chia","given":"Y. W."},{"family":"Lim","given":"T. C.C."}],"issued":{"date-parts":[["2020"]]}}}],"schema":"https://github.com/citation-style-language/schema/raw/master/csl-citation.json"}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E090B">
              <w:rPr>
                <w:rFonts w:ascii="Times New Roman" w:hAnsi="Times New Roman" w:cs="Times New Roman"/>
                <w:color w:val="000000"/>
                <w:sz w:val="13"/>
                <w:vertAlign w:val="superscript"/>
                <w:lang w:val="de-DE"/>
              </w:rPr>
              <w:t>35</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028BAC7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39E5347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291AF3A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0A02248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0F3F7D1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11AE005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5B4F090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021A371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42BF8C1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496E7DC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6096FD0D" w14:textId="77777777" w:rsidTr="007B37AC">
        <w:trPr>
          <w:trHeight w:val="320"/>
        </w:trPr>
        <w:tc>
          <w:tcPr>
            <w:tcW w:w="1058" w:type="pct"/>
            <w:tcBorders>
              <w:top w:val="nil"/>
              <w:left w:val="nil"/>
              <w:bottom w:val="nil"/>
              <w:right w:val="nil"/>
            </w:tcBorders>
            <w:shd w:val="clear" w:color="auto" w:fill="auto"/>
            <w:noWrap/>
            <w:vAlign w:val="center"/>
            <w:hideMark/>
          </w:tcPr>
          <w:p w14:paraId="39DBDD91" w14:textId="647C7483" w:rsidR="007A62EC" w:rsidRPr="007B37AC" w:rsidRDefault="007A62EC" w:rsidP="007A62EC">
            <w:pPr>
              <w:rPr>
                <w:rFonts w:ascii="Times New Roman" w:eastAsia="Times New Roman" w:hAnsi="Times New Roman" w:cs="Times New Roman"/>
                <w:color w:val="000000"/>
                <w:sz w:val="13"/>
                <w:szCs w:val="13"/>
                <w:lang w:eastAsia="de-DE"/>
              </w:rPr>
            </w:pPr>
            <w:r w:rsidRPr="000E090B">
              <w:rPr>
                <w:rFonts w:ascii="Times New Roman" w:eastAsia="Times New Roman" w:hAnsi="Times New Roman" w:cs="Times New Roman"/>
                <w:color w:val="000000"/>
                <w:sz w:val="13"/>
                <w:szCs w:val="13"/>
                <w:lang w:eastAsia="de-DE"/>
              </w:rPr>
              <w:t>Zulfiqar</w:t>
            </w:r>
            <w:r w:rsidRPr="00C336CB">
              <w:rPr>
                <w:rFonts w:ascii="Times New Roman" w:eastAsia="Times New Roman" w:hAnsi="Times New Roman" w:cs="Times New Roman"/>
                <w:color w:val="000000"/>
                <w:sz w:val="13"/>
                <w:szCs w:val="13"/>
                <w:lang w:eastAsia="de-DE"/>
              </w:rPr>
              <w:t xml:space="preserve"> et al. </w:t>
            </w:r>
            <w:r>
              <w:rPr>
                <w:rFonts w:ascii="Times New Roman" w:eastAsia="Times New Roman" w:hAnsi="Times New Roman" w:cs="Times New Roman"/>
                <w:color w:val="000000"/>
                <w:sz w:val="13"/>
                <w:szCs w:val="13"/>
                <w:lang w:eastAsia="de-DE"/>
              </w:rPr>
              <w:fldChar w:fldCharType="begin"/>
            </w:r>
            <w:r>
              <w:rPr>
                <w:rFonts w:ascii="Times New Roman" w:eastAsia="Times New Roman" w:hAnsi="Times New Roman" w:cs="Times New Roman"/>
                <w:color w:val="000000"/>
                <w:sz w:val="13"/>
                <w:szCs w:val="13"/>
                <w:lang w:eastAsia="de-DE"/>
              </w:rPr>
              <w:instrText xml:space="preserve"> ADDIN ZOTERO_TEMP </w:instrText>
            </w:r>
            <w:r>
              <w:rPr>
                <w:rFonts w:ascii="Times New Roman" w:eastAsia="Times New Roman" w:hAnsi="Times New Roman" w:cs="Times New Roman"/>
                <w:color w:val="000000"/>
                <w:sz w:val="13"/>
                <w:szCs w:val="13"/>
                <w:lang w:eastAsia="de-DE"/>
              </w:rPr>
              <w:fldChar w:fldCharType="separate"/>
            </w:r>
            <w:r>
              <w:rPr>
                <w:rFonts w:ascii="Times New Roman" w:eastAsia="Times New Roman" w:hAnsi="Times New Roman" w:cs="Times New Roman"/>
                <w:noProof/>
                <w:color w:val="000000"/>
                <w:sz w:val="13"/>
                <w:szCs w:val="13"/>
                <w:lang w:eastAsia="de-DE"/>
              </w:rPr>
              <w:t xml:space="preserve"> </w:t>
            </w:r>
            <w:r>
              <w:rPr>
                <w:rFonts w:ascii="Times New Roman" w:eastAsia="Times New Roman" w:hAnsi="Times New Roman" w:cs="Times New Roman"/>
                <w:color w:val="000000"/>
                <w:sz w:val="13"/>
                <w:szCs w:val="13"/>
                <w:lang w:eastAsia="de-DE"/>
              </w:rPr>
              <w:fldChar w:fldCharType="end"/>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{"citationID":"0NUcuvmK","properties":{"formattedCitation":"\\super 36\\nosupersub{}","plainCitation":"36","noteIndex":0},"citationItems":[{"id":115,"uris":["http://zotero.org/users/local/4rfnQu81/items/QBLKZJBK"],"uri":["http://zotero.org/users/local/4rfnQu81/items/QBLKZJBK"],"itemData":{"id":115,"type":"article-journal","abstract":"We described three COVID-19-infected patients with profound immune thrombocytopenia causing haemorrhagic mucocutaneous complications. We conclude that an immune mechanism was responsible as common causes were excluded. Since corticoids were considered harmful in the circumstances, the patients were successfully treated with intravenous immunoglobulins without later relapse. LEARNING POINTS The severity of haemorrhagic syndrome is not correlated with the severity of COVID-19 infection.Thrombocytopenia in mild COVID-19 infection seems to have an autoimmune mechanism.Intravenous immunoglobulins (1 g/kg) should be the first line of treatment.","container-title":"New England Journal of Medicine","DOI":"10.1056/nejmc2010472","ISSN":"0028-4793","issue":"18","note":"PMID: 32665935","page":"e43","title":"Immune Thrombocytopenic Purpura in a Patient with Covid-19","volume":"382","author":[{"family":"Zulfiqar","given":"Abrar-Ahmad"},{"family":"Lorenzo-Villalba","given":"Noël"},{"family":"Hassler","given":"Patrick"},{"family":"Andrès","given":"Emmanuel"}],"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E090B">
              <w:rPr>
                <w:rFonts w:ascii="Times New Roman" w:hAnsi="Times New Roman" w:cs="Times New Roman"/>
                <w:color w:val="000000"/>
                <w:sz w:val="13"/>
                <w:vertAlign w:val="superscript"/>
                <w:lang w:val="de-DE"/>
              </w:rPr>
              <w:t>36</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42CFD89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4CB169C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55</w:t>
            </w:r>
          </w:p>
        </w:tc>
        <w:tc>
          <w:tcPr>
            <w:tcW w:w="384" w:type="pct"/>
            <w:tcBorders>
              <w:top w:val="nil"/>
              <w:left w:val="nil"/>
              <w:bottom w:val="nil"/>
              <w:right w:val="nil"/>
            </w:tcBorders>
            <w:shd w:val="clear" w:color="auto" w:fill="auto"/>
            <w:noWrap/>
            <w:vAlign w:val="center"/>
            <w:hideMark/>
          </w:tcPr>
          <w:p w14:paraId="4D33F6E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5D9395D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01E8537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48D6C77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w:t>
            </w:r>
          </w:p>
        </w:tc>
        <w:tc>
          <w:tcPr>
            <w:tcW w:w="493" w:type="pct"/>
            <w:tcBorders>
              <w:top w:val="nil"/>
              <w:left w:val="nil"/>
              <w:bottom w:val="nil"/>
              <w:right w:val="nil"/>
            </w:tcBorders>
            <w:shd w:val="clear" w:color="auto" w:fill="auto"/>
            <w:noWrap/>
            <w:vAlign w:val="center"/>
            <w:hideMark/>
          </w:tcPr>
          <w:p w14:paraId="72AEBB6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3459595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62C4DAC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9</w:t>
            </w:r>
          </w:p>
        </w:tc>
        <w:tc>
          <w:tcPr>
            <w:tcW w:w="275" w:type="pct"/>
            <w:tcBorders>
              <w:top w:val="nil"/>
              <w:left w:val="nil"/>
              <w:bottom w:val="nil"/>
              <w:right w:val="nil"/>
            </w:tcBorders>
            <w:shd w:val="clear" w:color="auto" w:fill="auto"/>
            <w:noWrap/>
            <w:vAlign w:val="center"/>
            <w:hideMark/>
          </w:tcPr>
          <w:p w14:paraId="350A20B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0</w:t>
            </w:r>
          </w:p>
        </w:tc>
      </w:tr>
      <w:tr w:rsidR="007A62EC" w:rsidRPr="007B37AC" w14:paraId="350994D6" w14:textId="77777777" w:rsidTr="007B37AC">
        <w:trPr>
          <w:trHeight w:val="320"/>
        </w:trPr>
        <w:tc>
          <w:tcPr>
            <w:tcW w:w="1058" w:type="pct"/>
            <w:tcBorders>
              <w:top w:val="nil"/>
              <w:left w:val="nil"/>
              <w:bottom w:val="nil"/>
              <w:right w:val="nil"/>
            </w:tcBorders>
            <w:shd w:val="clear" w:color="auto" w:fill="auto"/>
            <w:noWrap/>
            <w:vAlign w:val="center"/>
            <w:hideMark/>
          </w:tcPr>
          <w:p w14:paraId="1B76C85F" w14:textId="449096B4"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Sharifi-Razavi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{"citationID":"4LYKwQG4","properties":{"formattedCitation":"\\super 37\\nosupersub{}","plainCitation":"37","noteIndex":0},"citationItems":[{"id":91,"uris":["http://zotero.org/users/local/4rfnQu81/items/56SIX5VZ"],"uri":["http://zotero.org/users/local/4rfnQu81/items/56SIX5VZ"],"itemData":{"id":91,"type":"article-journal","abstract":"Pneumonia appears to be the most common manifestation of coronavirus disease 2019 (COVID-19), but some extrapulmonary involvement, such as gastrointestinal, cardiac and renal, has been reported. The limited clinical data about the virus's behavior to date, especially extrapulmonary symptoms, suggest that we should be aware of the possibility of initial cerebrovascular manifestations of COVID-19.","container-title":"New Microbes and New Infections","DOI":"10.1016/j.nmni.2020.100669","ISSN":"20522975","note":"PMID: 32322398","title":"COVID-19 and intracerebral haemorrhage: causative or coincidental?","volume":"35","author":[{"family":"Sharifi-Razavi","given":"A."},{"family":"Karimi","given":"N."},{"family":"Rouhani","given":"N."}],"issued":{"date-parts":[["2020"]]}}}],"schema":"https://github.com/citation-style-language/schema/raw/master/csl-citation.json"}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E090B">
              <w:rPr>
                <w:rFonts w:ascii="Times New Roman" w:hAnsi="Times New Roman" w:cs="Times New Roman"/>
                <w:color w:val="000000"/>
                <w:sz w:val="13"/>
                <w:vertAlign w:val="superscript"/>
                <w:lang w:val="de-DE"/>
              </w:rPr>
              <w:t>37</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36F1A68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290599C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10</w:t>
            </w:r>
          </w:p>
        </w:tc>
        <w:tc>
          <w:tcPr>
            <w:tcW w:w="384" w:type="pct"/>
            <w:tcBorders>
              <w:top w:val="nil"/>
              <w:left w:val="nil"/>
              <w:bottom w:val="nil"/>
              <w:right w:val="nil"/>
            </w:tcBorders>
            <w:shd w:val="clear" w:color="auto" w:fill="auto"/>
            <w:noWrap/>
            <w:vAlign w:val="center"/>
            <w:hideMark/>
          </w:tcPr>
          <w:p w14:paraId="56E8107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1FCCD4D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noWrap/>
            <w:vAlign w:val="center"/>
            <w:hideMark/>
          </w:tcPr>
          <w:p w14:paraId="100EF32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64</w:t>
            </w:r>
          </w:p>
        </w:tc>
        <w:tc>
          <w:tcPr>
            <w:tcW w:w="486" w:type="pct"/>
            <w:tcBorders>
              <w:top w:val="nil"/>
              <w:left w:val="nil"/>
              <w:bottom w:val="nil"/>
              <w:right w:val="nil"/>
            </w:tcBorders>
            <w:shd w:val="clear" w:color="auto" w:fill="auto"/>
            <w:noWrap/>
            <w:vAlign w:val="center"/>
            <w:hideMark/>
          </w:tcPr>
          <w:p w14:paraId="289238D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210</w:t>
            </w:r>
          </w:p>
        </w:tc>
        <w:tc>
          <w:tcPr>
            <w:tcW w:w="493" w:type="pct"/>
            <w:tcBorders>
              <w:top w:val="nil"/>
              <w:left w:val="nil"/>
              <w:bottom w:val="nil"/>
              <w:right w:val="nil"/>
            </w:tcBorders>
            <w:shd w:val="clear" w:color="auto" w:fill="auto"/>
            <w:noWrap/>
            <w:vAlign w:val="center"/>
            <w:hideMark/>
          </w:tcPr>
          <w:p w14:paraId="0C9A7F1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1E0B8FE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3C9C108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w:t>
            </w:r>
          </w:p>
        </w:tc>
        <w:tc>
          <w:tcPr>
            <w:tcW w:w="275" w:type="pct"/>
            <w:tcBorders>
              <w:top w:val="nil"/>
              <w:left w:val="nil"/>
              <w:bottom w:val="nil"/>
              <w:right w:val="nil"/>
            </w:tcBorders>
            <w:shd w:val="clear" w:color="auto" w:fill="auto"/>
            <w:noWrap/>
            <w:vAlign w:val="center"/>
            <w:hideMark/>
          </w:tcPr>
          <w:p w14:paraId="4A3381D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4485D59F" w14:textId="77777777" w:rsidTr="007B37AC">
        <w:trPr>
          <w:trHeight w:val="320"/>
        </w:trPr>
        <w:tc>
          <w:tcPr>
            <w:tcW w:w="1058" w:type="pct"/>
            <w:tcBorders>
              <w:top w:val="nil"/>
              <w:left w:val="nil"/>
              <w:bottom w:val="nil"/>
              <w:right w:val="nil"/>
            </w:tcBorders>
            <w:shd w:val="clear" w:color="auto" w:fill="auto"/>
            <w:noWrap/>
            <w:vAlign w:val="center"/>
            <w:hideMark/>
          </w:tcPr>
          <w:p w14:paraId="4B9FAD42" w14:textId="59BB1C79"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Rustemi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{"citationID":"eSpg3z3c","properties":{"formattedCitation":"\\super 38\\nosupersub{}","plainCitation":"38","noteIndex":0},"citationItems":[{"id":58,"uris":["http://zotero.org/users/local/4rfnQu81/items/XJIGWBLZ"],"uri":["http://zotero.org/users/local/4rfnQu81/items/XJIGWBLZ"],"itemData":{"id":58,"type":"article-journal","container-title":"British Journal of Neurosurgery","DOI":"10.1080/02688697.2020.1787343","ISSN":"1360046X","issue":"0","note":"publisher: Taylor &amp; Francis\nPMID: 32614633","page":"1–2","title":"Aneurysmal subarachnoid hemorrhage in a SARS-CoV-2 positive testing: casual or causal?","volume":"0","author":[{"family":"Rustemi","given":"Oriela"},{"family":"Raneri","given":"Fabio"},{"family":"Iannucci","given":"Giuseppe"},{"family":"Volpin","given":"Lorenzo"},{"family":"Segna","given":"Alessandro"}],"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E090B">
              <w:rPr>
                <w:rFonts w:ascii="Times New Roman" w:hAnsi="Times New Roman" w:cs="Times New Roman"/>
                <w:color w:val="000000"/>
                <w:sz w:val="13"/>
                <w:vertAlign w:val="superscript"/>
                <w:lang w:val="de-DE"/>
              </w:rPr>
              <w:t>38</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47C69CC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7FE20A5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1DB350C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032E730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27FEB43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7155A84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7E25C95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0AAAF4B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5B79E02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275" w:type="pct"/>
            <w:tcBorders>
              <w:top w:val="nil"/>
              <w:left w:val="nil"/>
              <w:bottom w:val="nil"/>
              <w:right w:val="nil"/>
            </w:tcBorders>
            <w:shd w:val="clear" w:color="auto" w:fill="auto"/>
            <w:noWrap/>
            <w:vAlign w:val="center"/>
            <w:hideMark/>
          </w:tcPr>
          <w:p w14:paraId="6D99E8D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0</w:t>
            </w:r>
          </w:p>
        </w:tc>
      </w:tr>
      <w:tr w:rsidR="007A62EC" w:rsidRPr="007B37AC" w14:paraId="1DA62004" w14:textId="77777777" w:rsidTr="007B37AC">
        <w:trPr>
          <w:trHeight w:val="320"/>
        </w:trPr>
        <w:tc>
          <w:tcPr>
            <w:tcW w:w="1058" w:type="pct"/>
            <w:tcBorders>
              <w:top w:val="nil"/>
              <w:left w:val="nil"/>
              <w:bottom w:val="nil"/>
              <w:right w:val="nil"/>
            </w:tcBorders>
            <w:shd w:val="clear" w:color="auto" w:fill="auto"/>
            <w:noWrap/>
            <w:vAlign w:val="center"/>
            <w:hideMark/>
          </w:tcPr>
          <w:p w14:paraId="5D610F0D" w14:textId="2F644868"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Batcik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{"citationID":"npWF3K1f","properties":{"formattedCitation":"\\super 39\\nosupersub{}","plainCitation":"39","noteIndex":0},"citationItems":[{"id":3544,"uris":["http://zotero.org/users/local/4rfnQu81/items/PH84DYZ8"],"uri":["http://zotero.org/users/local/4rfnQu81/items/PH84DYZ8"],"itemData":{"id":3544,"type":"article-journal","abstract":"In the medical literature, some case reports on the association of the COVID-19 infection and occurrence of spontaneous subarachnoid hemorrhage (SAH)have been reported Aim of the present paper is to search the causes of this association The diagnosis of COVID-19 was based on the real-time reverse-transcription polymerase chain reaction (PCR) test and computed tomography (CT) of the chest. There were four patients, whose median ages were 46,758, ranged 36–54 years). In conclusion, Spontaneous SAH can occur in the early and late course of COVID-19 infection. Its early recognition of the patient with spontaneous SAH is imperative.","container-title":"Clinical Neurology and Neurosurgery","language":"en","page":"4","source":"Zotero","title":"COVID-19 infection produces subarachnoid hemorrhage; acting now to understand its cause: A short communication","author":[{"family":"Batcik","given":"Osman Ersegun"},{"family":"Kanat","given":"Ayhan"},{"family":"Cankay","given":"Tuba Uyar"},{"family":"Ozturk","given":"Gulsah"},{"family":"Kazancıoglu","given":"Leyla"},{"family":"Kazdal","given":"Hizir"},{"family":"Gundogdu","given":"Hasan"},{"family":"Ozdemir","given":"Bulent"},{"family":"Bahceci","given":"Ilkay"},{"family":"Kostakoglu","given":"Ugur"},{"family":"Batcik","given":"Sule"},{"family":"Gundogdu","given":"Omer"},{"family":"Sevilgen","given":"Gokcen"}],"issued":{"date-parts":[["2021"]]}}}],"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E090B">
              <w:rPr>
                <w:rFonts w:ascii="Times New Roman" w:hAnsi="Times New Roman" w:cs="Times New Roman"/>
                <w:color w:val="000000"/>
                <w:sz w:val="13"/>
                <w:vertAlign w:val="superscript"/>
                <w:lang w:val="de-DE"/>
              </w:rPr>
              <w:t>39</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6F8B3AD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2021</w:t>
            </w:r>
          </w:p>
        </w:tc>
        <w:tc>
          <w:tcPr>
            <w:tcW w:w="350" w:type="pct"/>
            <w:tcBorders>
              <w:top w:val="nil"/>
              <w:left w:val="nil"/>
              <w:bottom w:val="nil"/>
              <w:right w:val="nil"/>
            </w:tcBorders>
            <w:shd w:val="clear" w:color="auto" w:fill="auto"/>
            <w:noWrap/>
            <w:vAlign w:val="center"/>
            <w:hideMark/>
          </w:tcPr>
          <w:p w14:paraId="3D73DC3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20D3A88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72F63E7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6BC7C7E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6A4DC7C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44F71BA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56ECAC2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509485B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6CDAB6D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0E3AF78A" w14:textId="77777777" w:rsidTr="007B37AC">
        <w:trPr>
          <w:trHeight w:val="320"/>
        </w:trPr>
        <w:tc>
          <w:tcPr>
            <w:tcW w:w="1058" w:type="pct"/>
            <w:tcBorders>
              <w:top w:val="nil"/>
              <w:left w:val="nil"/>
              <w:bottom w:val="nil"/>
              <w:right w:val="nil"/>
            </w:tcBorders>
            <w:shd w:val="clear" w:color="auto" w:fill="auto"/>
            <w:noWrap/>
            <w:vAlign w:val="center"/>
            <w:hideMark/>
          </w:tcPr>
          <w:p w14:paraId="09270A4E" w14:textId="03020F96"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Batcik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{"citationID":"HZAwXWlQ","properties":{"formattedCitation":"\\super 39\\nosupersub{}","plainCitation":"39","noteIndex":0},"citationItems":[{"id":3544,"uris":["http://zotero.org/users/local/4rfnQu81/items/PH84DYZ8"],"uri":["http://zotero.org/users/local/4rfnQu81/items/PH84DYZ8"],"itemData":{"id":3544,"type":"article-journal","abstract":"In the medical literature, some case reports on the association of the COVID-19 infection and occurrence of spontaneous subarachnoid hemorrhage (SAH)have been reported Aim of the present paper is to search the causes of this association The diagnosis of COVID-19 was based on the real-time reverse-transcription polymerase chain reaction (PCR) test and computed tomography (CT) of the chest. There were four patients, whose median ages were 46,758, ranged 36–54 years). In conclusion, Spontaneous SAH can occur in the early and late course of COVID-19 infection. Its early recognition of the patient with spontaneous SAH is imperative.","container-title":"Clinical Neurology and Neurosurgery","language":"en","page":"4","source":"Zotero","title":"COVID-19 infection produces subarachnoid hemorrhage; acting now to understand its cause: A short communication","author":[{"family":"Batcik","given":"Osman Ersegun"},{"family":"Kanat","given":"Ayhan"},{"family":"Cankay","given":"Tuba Uyar"},{"family":"Ozturk","given":"Gulsah"},{"family":"Kazancıoglu","given":"Leyla"},{"family":"Kazdal","given":"Hizir"},{"family":"Gundogdu","given":"Hasan"},{"family":"Ozdemir","given":"Bulent"},{"family":"Bahceci","given":"Ilkay"},{"family":"Kostakoglu","given":"Ugur"},{"family":"Batcik","given":"Sule"},{"family":"Gundogdu","given":"Omer"},{"family":"Sevilgen","given":"Gokcen"}],"issued":{"date-parts":[["2021"]]}}}],"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E090B">
              <w:rPr>
                <w:rFonts w:ascii="Times New Roman" w:hAnsi="Times New Roman" w:cs="Times New Roman"/>
                <w:color w:val="000000"/>
                <w:sz w:val="13"/>
                <w:vertAlign w:val="superscript"/>
                <w:lang w:val="de-DE"/>
              </w:rPr>
              <w:t>39</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39C3057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2021</w:t>
            </w:r>
          </w:p>
        </w:tc>
        <w:tc>
          <w:tcPr>
            <w:tcW w:w="350" w:type="pct"/>
            <w:tcBorders>
              <w:top w:val="nil"/>
              <w:left w:val="nil"/>
              <w:bottom w:val="nil"/>
              <w:right w:val="nil"/>
            </w:tcBorders>
            <w:shd w:val="clear" w:color="auto" w:fill="auto"/>
            <w:noWrap/>
            <w:vAlign w:val="center"/>
            <w:hideMark/>
          </w:tcPr>
          <w:p w14:paraId="1C3D61C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79DBC1F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7EADEC6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7154635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4D732A8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5632C8D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754EE2F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6E665D9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68227DA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10FDB487" w14:textId="77777777" w:rsidTr="007B37AC">
        <w:trPr>
          <w:trHeight w:val="320"/>
        </w:trPr>
        <w:tc>
          <w:tcPr>
            <w:tcW w:w="1058" w:type="pct"/>
            <w:tcBorders>
              <w:top w:val="nil"/>
              <w:left w:val="nil"/>
              <w:bottom w:val="nil"/>
              <w:right w:val="nil"/>
            </w:tcBorders>
            <w:shd w:val="clear" w:color="auto" w:fill="auto"/>
            <w:noWrap/>
            <w:vAlign w:val="center"/>
            <w:hideMark/>
          </w:tcPr>
          <w:p w14:paraId="07371F62" w14:textId="16CDEBAB"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Batcik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{"citationID":"sOgSlPJY","properties":{"formattedCitation":"\\super 39\\nosupersub{}","plainCitation":"39","noteIndex":0},"citationItems":[{"id":3544,"uris":["http://zotero.org/users/local/4rfnQu81/items/PH84DYZ8"],"uri":["http://zotero.org/users/local/4rfnQu81/items/PH84DYZ8"],"itemData":{"id":3544,"type":"article-journal","abstract":"In the medical literature, some case reports on the association of the COVID-19 infection and occurrence of spontaneous subarachnoid hemorrhage (SAH)have been reported Aim of the present paper is to search the causes of this association The diagnosis of COVID-19 was based on the real-time reverse-transcription polymerase chain reaction (PCR) test and computed tomography (CT) of the chest. There were four patients, whose median ages were 46,758, ranged 36–54 years). In conclusion, Spontaneous SAH can occur in the early and late course of COVID-19 infection. Its early recognition of the patient with spontaneous SAH is imperative.","container-title":"Clinical Neurology and Neurosurgery","language":"en","page":"4","source":"Zotero","title":"COVID-19 infection produces subarachnoid hemorrhage; acting now to understand its cause: A short communication","author":[{"family":"Batcik","given":"Osman Ersegun"},{"family":"Kanat","given":"Ayhan"},{"family":"Cankay","given":"Tuba Uyar"},{"family":"Ozturk","given":"Gulsah"},{"family":"Kazancıoglu","given":"Leyla"},{"family":"Kazdal","given":"Hizir"},{"family":"Gundogdu","given":"Hasan"},{"family":"Ozdemir","given":"Bulent"},{"family":"Bahceci","given":"Ilkay"},{"family":"Kostakoglu","given":"Ugur"},{"family":"Batcik","given":"Sule"},{"family":"Gundogdu","given":"Omer"},{"family":"Sevilgen","given":"Gokcen"}],"issued":{"date-parts":[["2021"]]}}}],"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E090B">
              <w:rPr>
                <w:rFonts w:ascii="Times New Roman" w:hAnsi="Times New Roman" w:cs="Times New Roman"/>
                <w:color w:val="000000"/>
                <w:sz w:val="13"/>
                <w:vertAlign w:val="superscript"/>
                <w:lang w:val="de-DE"/>
              </w:rPr>
              <w:t>39</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68BBB98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2021</w:t>
            </w:r>
          </w:p>
        </w:tc>
        <w:tc>
          <w:tcPr>
            <w:tcW w:w="350" w:type="pct"/>
            <w:tcBorders>
              <w:top w:val="nil"/>
              <w:left w:val="nil"/>
              <w:bottom w:val="nil"/>
              <w:right w:val="nil"/>
            </w:tcBorders>
            <w:shd w:val="clear" w:color="auto" w:fill="auto"/>
            <w:noWrap/>
            <w:vAlign w:val="center"/>
            <w:hideMark/>
          </w:tcPr>
          <w:p w14:paraId="0BED87C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327DF8B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25BC4DA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43FB646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1E474C0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303CCAD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273E5E3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1EB1421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11414B9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4F36D723" w14:textId="77777777" w:rsidTr="007B37AC">
        <w:trPr>
          <w:trHeight w:val="320"/>
        </w:trPr>
        <w:tc>
          <w:tcPr>
            <w:tcW w:w="1058" w:type="pct"/>
            <w:tcBorders>
              <w:top w:val="nil"/>
              <w:left w:val="nil"/>
              <w:bottom w:val="nil"/>
              <w:right w:val="nil"/>
            </w:tcBorders>
            <w:shd w:val="clear" w:color="auto" w:fill="auto"/>
            <w:noWrap/>
            <w:vAlign w:val="center"/>
            <w:hideMark/>
          </w:tcPr>
          <w:p w14:paraId="70035C42" w14:textId="7F6F4378" w:rsidR="007A62EC" w:rsidRPr="007B37AC" w:rsidRDefault="007A62EC" w:rsidP="007A62EC">
            <w:pPr>
              <w:rPr>
                <w:rFonts w:ascii="Times New Roman" w:eastAsia="Times New Roman" w:hAnsi="Times New Roman" w:cs="Times New Roman"/>
                <w:color w:val="000000"/>
                <w:sz w:val="13"/>
                <w:szCs w:val="13"/>
                <w:lang w:eastAsia="de-DE"/>
              </w:rPr>
            </w:pPr>
            <w:r w:rsidRPr="000E090B">
              <w:rPr>
                <w:rFonts w:ascii="Times New Roman" w:eastAsia="Times New Roman" w:hAnsi="Times New Roman" w:cs="Times New Roman"/>
                <w:color w:val="000000"/>
                <w:sz w:val="13"/>
                <w:szCs w:val="13"/>
                <w:lang w:eastAsia="de-DE"/>
              </w:rPr>
              <w:t>Cezar-Junior</w:t>
            </w:r>
            <w:r w:rsidRPr="00C336CB">
              <w:rPr>
                <w:rFonts w:ascii="Times New Roman" w:eastAsia="Times New Roman" w:hAnsi="Times New Roman" w:cs="Times New Roman"/>
                <w:color w:val="000000"/>
                <w:sz w:val="13"/>
                <w:szCs w:val="13"/>
                <w:lang w:eastAsia="de-DE"/>
              </w:rPr>
              <w:t xml:space="preserve">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{"citationID":"nTB1NiqF","properties":{"formattedCitation":"\\super 40\\nosupersub{}","plainCitation":"40","noteIndex":0},"citationItems":[{"id":152,"uris":["http://zotero.org/users/local/4rfnQu81/items/7RA5LIJK"],"uri":["http://zotero.org/users/local/4rfnQu81/items/7RA5LIJK"],"itemData":{"id":152,"type":"article-journal","abstract":"Some evidences suggest the involvement of the central nervous system in patients infected with SARS-CoV-2. We aim to analyze possible associations between coronavirus disease 2019 (COVID-19) pandemic and spontaneous subarachnoid hemorrhage (SAH), in a comprehensive neurological center. We conducted a retrospective case series of 4 patients infected by COVID-19, who developed spontaneous SAH. Clinical data were extracted from electronic medical records. Between March 24, 2020, and May 22, 2020, 4 cases (3 females; 1 male) of SAH were identified in patients infected with SARS-CoV-2, in a comprehensive neurological center in Brazil. The median age was 55.25 years (range 36-71). COVID-19-related pneumonia was severe in 3 out of 4 cases, and all patients required critical care support during hospitalization. The patients developed Fisher grade III and IV SAH. Digital subtraction angiography (DSA) was performed in 3 of the 4 patients. However, in only 1 case, an aneurysm was identified. Inflammatory blood tests were elevated in all cases, with an average D-dimer of 2336 mg/L and mean C-reactive protein (CRP) of 3835 mg/dl The outcome was poor in the majority of the patients, with 1 death (25%); 2 (50%) remained severely neurologically affected (mRS:4); and 1 (25%) had slight disability (mRS:2). This study shows a series of 4 rare cases of SHA associated with COVID-19. The possible mechanisms underlying the involvement of SARSCoV-2 and SHA is yet to be fully understood. Therefore, SHA should be included in severe neurological manifestations in patients infected by this virus. Abbreviations: AVM = arteriovenous malformations, CNS = nentral nervous system, COVID-19 = coronavirus disease 2019, EVD = external ventricular drain, ICA = internal carotid artery, IHSDH = Interhemispheric Subdural Hemorrhage, mRS = modified Rankin Scale, n.v. = normal value, SAH = Subarachnoide Hemorrhage, WHO = World Health Organization.","container-title":"Medicine","DOI":"10.1097/md.0000000000023862","ISSN":"0025-7974","issue":"51","note":"ISBN: 0000000000","page":"e23862","title":"Subarachnoid hemorrhage and COVID-19","volume":"99","author":[{"family":"Cezar-Junior","given":"Auricelio Batista"},{"family":"Faquini","given":"Igor Vilela"},{"family":"Silva","given":"José Laercio Junior"},{"family":"Carvalho Junior","given":"Eduardo Vieira","non-dropping-particle":"de"},{"family":"Lemos","given":"Luiz Euripedes Almondes Santana"},{"family":"Freire Filho","given":"João Batista Monte"},{"family":"Lira Filho","given":"Hetevaldo Tavares","non-dropping-particle":"de"},{"family":"Pontes","given":"Erton Cesar de Albuquerque"},{"family":"Almeida","given":"Nivaldo Sena"},{"family":"Azevedo-Filho","given":"Hildo Rocha Cirne"}],"issued":{"date-parts":[["2020"]]}}}],"schema":"https://github.com/citation-style-language/schema/raw/master/csl-citation.json"}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E090B">
              <w:rPr>
                <w:rFonts w:ascii="Times New Roman" w:hAnsi="Times New Roman" w:cs="Times New Roman"/>
                <w:color w:val="000000"/>
                <w:sz w:val="13"/>
                <w:vertAlign w:val="superscript"/>
              </w:rPr>
              <w:t>40</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4BF7392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6B24DF8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40</w:t>
            </w:r>
          </w:p>
        </w:tc>
        <w:tc>
          <w:tcPr>
            <w:tcW w:w="384" w:type="pct"/>
            <w:tcBorders>
              <w:top w:val="nil"/>
              <w:left w:val="nil"/>
              <w:bottom w:val="nil"/>
              <w:right w:val="nil"/>
            </w:tcBorders>
            <w:shd w:val="clear" w:color="auto" w:fill="auto"/>
            <w:noWrap/>
            <w:vAlign w:val="center"/>
            <w:hideMark/>
          </w:tcPr>
          <w:p w14:paraId="00A0DA1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35DBBBA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49BA2BC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062EC5F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4B6C750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w:t>
            </w:r>
          </w:p>
        </w:tc>
        <w:tc>
          <w:tcPr>
            <w:tcW w:w="629" w:type="pct"/>
            <w:tcBorders>
              <w:top w:val="nil"/>
              <w:left w:val="nil"/>
              <w:bottom w:val="nil"/>
              <w:right w:val="nil"/>
            </w:tcBorders>
            <w:shd w:val="clear" w:color="auto" w:fill="auto"/>
            <w:noWrap/>
            <w:vAlign w:val="center"/>
            <w:hideMark/>
          </w:tcPr>
          <w:p w14:paraId="1AD3975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4262BF9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615D313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w:t>
            </w:r>
          </w:p>
        </w:tc>
      </w:tr>
      <w:tr w:rsidR="007A62EC" w:rsidRPr="007B37AC" w14:paraId="5C00277F" w14:textId="77777777" w:rsidTr="007B37AC">
        <w:trPr>
          <w:trHeight w:val="320"/>
        </w:trPr>
        <w:tc>
          <w:tcPr>
            <w:tcW w:w="1058" w:type="pct"/>
            <w:tcBorders>
              <w:top w:val="nil"/>
              <w:left w:val="nil"/>
              <w:bottom w:val="nil"/>
              <w:right w:val="nil"/>
            </w:tcBorders>
            <w:shd w:val="clear" w:color="auto" w:fill="auto"/>
            <w:noWrap/>
            <w:vAlign w:val="center"/>
            <w:hideMark/>
          </w:tcPr>
          <w:p w14:paraId="05E83BBA" w14:textId="0220F67F" w:rsidR="007A62EC" w:rsidRPr="007B37AC" w:rsidRDefault="007A62EC" w:rsidP="007A62EC">
            <w:pPr>
              <w:rPr>
                <w:rFonts w:ascii="Times New Roman" w:eastAsia="Times New Roman" w:hAnsi="Times New Roman" w:cs="Times New Roman"/>
                <w:color w:val="000000"/>
                <w:sz w:val="13"/>
                <w:szCs w:val="13"/>
                <w:lang w:eastAsia="de-DE"/>
              </w:rPr>
            </w:pPr>
            <w:r w:rsidRPr="000E090B">
              <w:rPr>
                <w:rFonts w:ascii="Times New Roman" w:eastAsia="Times New Roman" w:hAnsi="Times New Roman" w:cs="Times New Roman"/>
                <w:color w:val="000000"/>
                <w:sz w:val="13"/>
                <w:szCs w:val="13"/>
                <w:lang w:eastAsia="de-DE"/>
              </w:rPr>
              <w:t>Cezar-Junior</w:t>
            </w:r>
            <w:r w:rsidRPr="00C336CB">
              <w:rPr>
                <w:rFonts w:ascii="Times New Roman" w:eastAsia="Times New Roman" w:hAnsi="Times New Roman" w:cs="Times New Roman"/>
                <w:color w:val="000000"/>
                <w:sz w:val="13"/>
                <w:szCs w:val="13"/>
                <w:lang w:eastAsia="de-DE"/>
              </w:rPr>
              <w:t xml:space="preserve">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{"citationID":"CB6MSMSy","properties":{"formattedCitation":"\\super 40\\nosupersub{}","plainCitation":"40","noteIndex":0},"citationItems":[{"id":152,"uris":["http://zotero.org/users/local/4rfnQu81/items/7RA5LIJK"],"uri":["http://zotero.org/users/local/4rfnQu81/items/7RA5LIJK"],"itemData":{"id":152,"type":"article-journal","abstract":"Some evidences suggest the involvement of the central nervous system in patients infected with SARS-CoV-2. We aim to analyze possible associations between coronavirus disease 2019 (COVID-19) pandemic and spontaneous subarachnoid hemorrhage (SAH), in a comprehensive neurological center. We conducted a retrospective case series of 4 patients infected by COVID-19, who developed spontaneous SAH. Clinical data were extracted from electronic medical records. Between March 24, 2020, and May 22, 2020, 4 cases (3 females; 1 male) of SAH were identified in patients infected with SARS-CoV-2, in a comprehensive neurological center in Brazil. The median age was 55.25 years (range 36-71). COVID-19-related pneumonia was severe in 3 out of 4 cases, and all patients required critical care support during hospitalization. The patients developed Fisher grade III and IV SAH. Digital subtraction angiography (DSA) was performed in 3 of the 4 patients. However, in only 1 case, an aneurysm was identified. Inflammatory blood tests were elevated in all cases, with an average D-dimer of 2336 mg/L and mean C-reactive protein (CRP) of 3835 mg/dl The outcome was poor in the majority of the patients, with 1 death (25%); 2 (50%) remained severely neurologically affected (mRS:4); and 1 (25%) had slight disability (mRS:2). This study shows a series of 4 rare cases of SHA associated with COVID-19. The possible mechanisms underlying the involvement of SARSCoV-2 and SHA is yet to be fully understood. Therefore, SHA should be included in severe neurological manifestations in patients infected by this virus. Abbreviations: AVM = arteriovenous malformations, CNS = nentral nervous system, COVID-19 = coronavirus disease 2019, EVD = external ventricular drain, ICA = internal carotid artery, IHSDH = Interhemispheric Subdural Hemorrhage, mRS = modified Rankin Scale, n.v. = normal value, SAH = Subarachnoide Hemorrhage, WHO = World Health Organization.","container-title":"Medicine","DOI":"10.1097/md.0000000000023862","ISSN":"0025-7974","issue":"51","note":"ISBN: 0000000000","page":"e23862","title":"Subarachnoid hemorrhage and COVID-19","volume":"99","author":[{"family":"Cezar-Junior","given":"Auricelio Batista"},{"family":"Faquini","given":"Igor Vilela"},{"family":"Silva","given":"José Laercio Junior"},{"family":"Carvalho Junior","given":"Eduardo Vieira","non-dropping-particle":"de"},{"family":"Lemos","given":"Luiz Euripedes Almondes Santana"},{"family":"Freire Filho","given":"João Batista Monte"},{"family":"Lira Filho","given":"Hetevaldo Tavares","non-dropping-particle":"de"},{"family":"Pontes","given":"Erton Cesar de Albuquerque"},{"family":"Almeida","given":"Nivaldo Sena"},{"family":"Azevedo-Filho","given":"Hildo Rocha Cirne"}],"issued":{"date-parts":[["2020"]]}}}],"schema":"https://github.com/citation-style-language/schema/raw/master/csl-citation.json"}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E090B">
              <w:rPr>
                <w:rFonts w:ascii="Times New Roman" w:hAnsi="Times New Roman" w:cs="Times New Roman"/>
                <w:color w:val="000000"/>
                <w:sz w:val="13"/>
                <w:vertAlign w:val="superscript"/>
              </w:rPr>
              <w:t>40</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3947F22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0A561BA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34</w:t>
            </w:r>
          </w:p>
        </w:tc>
        <w:tc>
          <w:tcPr>
            <w:tcW w:w="384" w:type="pct"/>
            <w:tcBorders>
              <w:top w:val="nil"/>
              <w:left w:val="nil"/>
              <w:bottom w:val="nil"/>
              <w:right w:val="nil"/>
            </w:tcBorders>
            <w:shd w:val="clear" w:color="auto" w:fill="auto"/>
            <w:noWrap/>
            <w:vAlign w:val="center"/>
            <w:hideMark/>
          </w:tcPr>
          <w:p w14:paraId="246EB58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46378F5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5C8270B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132A14B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50695ED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629" w:type="pct"/>
            <w:tcBorders>
              <w:top w:val="nil"/>
              <w:left w:val="nil"/>
              <w:bottom w:val="nil"/>
              <w:right w:val="nil"/>
            </w:tcBorders>
            <w:shd w:val="clear" w:color="auto" w:fill="auto"/>
            <w:noWrap/>
            <w:vAlign w:val="center"/>
            <w:hideMark/>
          </w:tcPr>
          <w:p w14:paraId="7569087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5976C8A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w:t>
            </w:r>
          </w:p>
        </w:tc>
        <w:tc>
          <w:tcPr>
            <w:tcW w:w="275" w:type="pct"/>
            <w:tcBorders>
              <w:top w:val="nil"/>
              <w:left w:val="nil"/>
              <w:bottom w:val="nil"/>
              <w:right w:val="nil"/>
            </w:tcBorders>
            <w:shd w:val="clear" w:color="auto" w:fill="auto"/>
            <w:noWrap/>
            <w:vAlign w:val="center"/>
            <w:hideMark/>
          </w:tcPr>
          <w:p w14:paraId="3CFD49A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w:t>
            </w:r>
          </w:p>
        </w:tc>
      </w:tr>
      <w:tr w:rsidR="007A62EC" w:rsidRPr="007B37AC" w14:paraId="6017BDB8" w14:textId="77777777" w:rsidTr="007B37AC">
        <w:trPr>
          <w:trHeight w:val="320"/>
        </w:trPr>
        <w:tc>
          <w:tcPr>
            <w:tcW w:w="1058" w:type="pct"/>
            <w:tcBorders>
              <w:top w:val="nil"/>
              <w:left w:val="nil"/>
              <w:bottom w:val="nil"/>
              <w:right w:val="nil"/>
            </w:tcBorders>
            <w:shd w:val="clear" w:color="auto" w:fill="auto"/>
            <w:noWrap/>
            <w:vAlign w:val="center"/>
            <w:hideMark/>
          </w:tcPr>
          <w:p w14:paraId="0CF80F14" w14:textId="30C8C85B" w:rsidR="007A62EC" w:rsidRPr="007B37AC" w:rsidRDefault="007A62EC" w:rsidP="007A62EC">
            <w:pPr>
              <w:rPr>
                <w:rFonts w:ascii="Times New Roman" w:eastAsia="Times New Roman" w:hAnsi="Times New Roman" w:cs="Times New Roman"/>
                <w:color w:val="000000"/>
                <w:sz w:val="13"/>
                <w:szCs w:val="13"/>
                <w:lang w:eastAsia="de-DE"/>
              </w:rPr>
            </w:pPr>
            <w:r w:rsidRPr="000E090B">
              <w:rPr>
                <w:rFonts w:ascii="Times New Roman" w:eastAsia="Times New Roman" w:hAnsi="Times New Roman" w:cs="Times New Roman"/>
                <w:color w:val="000000"/>
                <w:sz w:val="13"/>
                <w:szCs w:val="13"/>
                <w:lang w:eastAsia="de-DE"/>
              </w:rPr>
              <w:t>Cezar-Junior</w:t>
            </w:r>
            <w:r w:rsidRPr="00C336CB">
              <w:rPr>
                <w:rFonts w:ascii="Times New Roman" w:eastAsia="Times New Roman" w:hAnsi="Times New Roman" w:cs="Times New Roman"/>
                <w:color w:val="000000"/>
                <w:sz w:val="13"/>
                <w:szCs w:val="13"/>
                <w:lang w:eastAsia="de-DE"/>
              </w:rPr>
              <w:t xml:space="preserve">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{"citationID":"on35oNFH","properties":{"formattedCitation":"\\super 40\\nosupersub{}","plainCitation":"40","noteIndex":0},"citationItems":[{"id":152,"uris":["http://zotero.org/users/local/4rfnQu81/items/7RA5LIJK"],"uri":["http://zotero.org/users/local/4rfnQu81/items/7RA5LIJK"],"itemData":{"id":152,"type":"article-journal","abstract":"Some evidences suggest the involvement of the central nervous system in patients infected with SARS-CoV-2. We aim to analyze possible associations between coronavirus disease 2019 (COVID-19) pandemic and spontaneous subarachnoid hemorrhage (SAH), in a comprehensive neurological center. We conducted a retrospective case series of 4 patients infected by COVID-19, who developed spontaneous SAH. Clinical data were extracted from electronic medical records. Between March 24, 2020, and May 22, 2020, 4 cases (3 females; 1 male) of SAH were identified in patients infected with SARS-CoV-2, in a comprehensive neurological center in Brazil. The median age was 55.25 years (range 36-71). COVID-19-related pneumonia was severe in 3 out of 4 cases, and all patients required critical care support during hospitalization. The patients developed Fisher grade III and IV SAH. Digital subtraction angiography (DSA) was performed in 3 of the 4 patients. However, in only 1 case, an aneurysm was identified. Inflammatory blood tests were elevated in all cases, with an average D-dimer of 2336 mg/L and mean C-reactive protein (CRP) of 3835 mg/dl The outcome was poor in the majority of the patients, with 1 death (25%); 2 (50%) remained severely neurologically affected (mRS:4); and 1 (25%) had slight disability (mRS:2). This study shows a series of 4 rare cases of SHA associated with COVID-19. The possible mechanisms underlying the involvement of SARSCoV-2 and SHA is yet to be fully understood. Therefore, SHA should be included in severe neurological manifestations in patients infected by this virus. Abbreviations: AVM = arteriovenous malformations, CNS = nentral nervous system, COVID-19 = coronavirus disease 2019, EVD = external ventricular drain, ICA = internal carotid artery, IHSDH = Interhemispheric Subdural Hemorrhage, mRS = modified Rankin Scale, n.v. = normal value, SAH = Subarachnoide Hemorrhage, WHO = World Health Organization.","container-title":"Medicine","DOI":"10.1097/md.0000000000023862","ISSN":"0025-7974","issue":"51","note":"ISBN: 0000000000","page":"e23862","title":"Subarachnoid hemorrhage and COVID-19","volume":"99","author":[{"family":"Cezar-Junior","given":"Auricelio Batista"},{"family":"Faquini","given":"Igor Vilela"},{"family":"Silva","given":"José Laercio Junior"},{"family":"Carvalho Junior","given":"Eduardo Vieira","non-dropping-particle":"de"},{"family":"Lemos","given":"Luiz Euripedes Almondes Santana"},{"family":"Freire Filho","given":"João Batista Monte"},{"family":"Lira Filho","given":"Hetevaldo Tavares","non-dropping-particle":"de"},{"family":"Pontes","given":"Erton Cesar de Albuquerque"},{"family":"Almeida","given":"Nivaldo Sena"},{"family":"Azevedo-Filho","given":"Hildo Rocha Cirne"}],"issued":{"date-parts":[["2020"]]}}}],"schema":"https://github.com/citation-style-language/schema/raw/master/csl-citation.json"}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E090B">
              <w:rPr>
                <w:rFonts w:ascii="Times New Roman" w:hAnsi="Times New Roman" w:cs="Times New Roman"/>
                <w:color w:val="000000"/>
                <w:sz w:val="13"/>
                <w:vertAlign w:val="superscript"/>
              </w:rPr>
              <w:t>40</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236720E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02B6676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56</w:t>
            </w:r>
          </w:p>
        </w:tc>
        <w:tc>
          <w:tcPr>
            <w:tcW w:w="384" w:type="pct"/>
            <w:tcBorders>
              <w:top w:val="nil"/>
              <w:left w:val="nil"/>
              <w:bottom w:val="nil"/>
              <w:right w:val="nil"/>
            </w:tcBorders>
            <w:shd w:val="clear" w:color="auto" w:fill="auto"/>
            <w:noWrap/>
            <w:vAlign w:val="center"/>
            <w:hideMark/>
          </w:tcPr>
          <w:p w14:paraId="2AA8EB3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2D54D4A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2A6E1D0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5D5D392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5C66D7F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w:t>
            </w:r>
          </w:p>
        </w:tc>
        <w:tc>
          <w:tcPr>
            <w:tcW w:w="629" w:type="pct"/>
            <w:tcBorders>
              <w:top w:val="nil"/>
              <w:left w:val="nil"/>
              <w:bottom w:val="nil"/>
              <w:right w:val="nil"/>
            </w:tcBorders>
            <w:shd w:val="clear" w:color="auto" w:fill="auto"/>
            <w:noWrap/>
            <w:vAlign w:val="center"/>
            <w:hideMark/>
          </w:tcPr>
          <w:p w14:paraId="7079465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778DAA9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23</w:t>
            </w:r>
          </w:p>
        </w:tc>
        <w:tc>
          <w:tcPr>
            <w:tcW w:w="275" w:type="pct"/>
            <w:tcBorders>
              <w:top w:val="nil"/>
              <w:left w:val="nil"/>
              <w:bottom w:val="nil"/>
              <w:right w:val="nil"/>
            </w:tcBorders>
            <w:shd w:val="clear" w:color="auto" w:fill="auto"/>
            <w:noWrap/>
            <w:vAlign w:val="center"/>
            <w:hideMark/>
          </w:tcPr>
          <w:p w14:paraId="10D5407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0CC0B52C" w14:textId="77777777" w:rsidTr="007B37AC">
        <w:trPr>
          <w:trHeight w:val="320"/>
        </w:trPr>
        <w:tc>
          <w:tcPr>
            <w:tcW w:w="1058" w:type="pct"/>
            <w:tcBorders>
              <w:top w:val="nil"/>
              <w:left w:val="nil"/>
              <w:bottom w:val="nil"/>
              <w:right w:val="nil"/>
            </w:tcBorders>
            <w:shd w:val="clear" w:color="auto" w:fill="auto"/>
            <w:noWrap/>
            <w:vAlign w:val="center"/>
            <w:hideMark/>
          </w:tcPr>
          <w:p w14:paraId="09D63289" w14:textId="4F77C775" w:rsidR="007A62EC" w:rsidRPr="007B37AC" w:rsidRDefault="007A62EC" w:rsidP="007A62EC">
            <w:pPr>
              <w:rPr>
                <w:rFonts w:ascii="Times New Roman" w:eastAsia="Times New Roman" w:hAnsi="Times New Roman" w:cs="Times New Roman"/>
                <w:color w:val="000000"/>
                <w:sz w:val="13"/>
                <w:szCs w:val="13"/>
                <w:lang w:eastAsia="de-DE"/>
              </w:rPr>
            </w:pPr>
            <w:r w:rsidRPr="000E090B">
              <w:rPr>
                <w:rFonts w:ascii="Times New Roman" w:eastAsia="Times New Roman" w:hAnsi="Times New Roman" w:cs="Times New Roman"/>
                <w:color w:val="000000"/>
                <w:sz w:val="13"/>
                <w:szCs w:val="13"/>
                <w:lang w:eastAsia="de-DE"/>
              </w:rPr>
              <w:t>Cezar-Junior</w:t>
            </w:r>
            <w:r w:rsidRPr="00C336CB">
              <w:rPr>
                <w:rFonts w:ascii="Times New Roman" w:eastAsia="Times New Roman" w:hAnsi="Times New Roman" w:cs="Times New Roman"/>
                <w:color w:val="000000"/>
                <w:sz w:val="13"/>
                <w:szCs w:val="13"/>
                <w:lang w:eastAsia="de-DE"/>
              </w:rPr>
              <w:t xml:space="preserve">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{"citationID":"sup6fBzu","properties":{"formattedCitation":"\\super 40\\nosupersub{}","plainCitation":"40","noteIndex":0},"citationItems":[{"id":152,"uris":["http://zotero.org/users/local/4rfnQu81/items/7RA5LIJK"],"uri":["http://zotero.org/users/local/4rfnQu81/items/7RA5LIJK"],"itemData":{"id":152,"type":"article-journal","abstract":"Some evidences suggest the involvement of the central nervous system in patients infected with SARS-CoV-2. We aim to analyze possible associations between coronavirus disease 2019 (COVID-19) pandemic and spontaneous subarachnoid hemorrhage (SAH), in a comprehensive neurological center. We conducted a retrospective case series of 4 patients infected by COVID-19, who developed spontaneous SAH. Clinical data were extracted from electronic medical records. Between March 24, 2020, and May 22, 2020, 4 cases (3 females; 1 male) of SAH were identified in patients infected with SARS-CoV-2, in a comprehensive neurological center in Brazil. The median age was 55.25 years (range 36-71). COVID-19-related pneumonia was severe in 3 out of 4 cases, and all patients required critical care support during hospitalization. The patients developed Fisher grade III and IV SAH. Digital subtraction angiography (DSA) was performed in 3 of the 4 patients. However, in only 1 case, an aneurysm was identified. Inflammatory blood tests were elevated in all cases, with an average D-dimer of 2336 mg/L and mean C-reactive protein (CRP) of 3835 mg/dl The outcome was poor in the majority of the patients, with 1 death (25%); 2 (50%) remained severely neurologically affected (mRS:4); and 1 (25%) had slight disability (mRS:2). This study shows a series of 4 rare cases of SHA associated with COVID-19. The possible mechanisms underlying the involvement of SARSCoV-2 and SHA is yet to be fully understood. Therefore, SHA should be included in severe neurological manifestations in patients infected by this virus. Abbreviations: AVM = arteriovenous malformations, CNS = nentral nervous system, COVID-19 = coronavirus disease 2019, EVD = external ventricular drain, ICA = internal carotid artery, IHSDH = Interhemispheric Subdural Hemorrhage, mRS = modified Rankin Scale, n.v. = normal value, SAH = Subarachnoide Hemorrhage, WHO = World Health Organization.","container-title":"Medicine","DOI":"10.1097/md.0000000000023862","ISSN":"0025-7974","issue":"51","note":"ISBN: 0000000000","page":"e23862","title":"Subarachnoid hemorrhage and COVID-19","volume":"99","author":[{"family":"Cezar-Junior","given":"Auricelio Batista"},{"family":"Faquini","given":"Igor Vilela"},{"family":"Silva","given":"José Laercio Junior"},{"family":"Carvalho Junior","given":"Eduardo Vieira","non-dropping-particle":"de"},{"family":"Lemos","given":"Luiz Euripedes Almondes Santana"},{"family":"Freire Filho","given":"João Batista Monte"},{"family":"Lira Filho","given":"Hetevaldo Tavares","non-dropping-particle":"de"},{"family":"Pontes","given":"Erton Cesar de Albuquerque"},{"family":"Almeida","given":"Nivaldo Sena"},{"family":"Azevedo-Filho","given":"Hildo Rocha Cirne"}],"issued":{"date-parts":[["2020"]]}}}],"schema":"https://github.com/citation-style-language/schema/raw/master/csl-citation.json"}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E090B">
              <w:rPr>
                <w:rFonts w:ascii="Times New Roman" w:hAnsi="Times New Roman" w:cs="Times New Roman"/>
                <w:color w:val="000000"/>
                <w:sz w:val="13"/>
                <w:vertAlign w:val="superscript"/>
              </w:rPr>
              <w:t>40</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795D5A7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7C34242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27</w:t>
            </w:r>
          </w:p>
        </w:tc>
        <w:tc>
          <w:tcPr>
            <w:tcW w:w="384" w:type="pct"/>
            <w:tcBorders>
              <w:top w:val="nil"/>
              <w:left w:val="nil"/>
              <w:bottom w:val="nil"/>
              <w:right w:val="nil"/>
            </w:tcBorders>
            <w:shd w:val="clear" w:color="auto" w:fill="auto"/>
            <w:noWrap/>
            <w:vAlign w:val="center"/>
            <w:hideMark/>
          </w:tcPr>
          <w:p w14:paraId="775D172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494F468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0150BA6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110AC3D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650846E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629" w:type="pct"/>
            <w:tcBorders>
              <w:top w:val="nil"/>
              <w:left w:val="nil"/>
              <w:bottom w:val="nil"/>
              <w:right w:val="nil"/>
            </w:tcBorders>
            <w:shd w:val="clear" w:color="auto" w:fill="auto"/>
            <w:noWrap/>
            <w:vAlign w:val="center"/>
            <w:hideMark/>
          </w:tcPr>
          <w:p w14:paraId="099506E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35370BE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7</w:t>
            </w:r>
          </w:p>
        </w:tc>
        <w:tc>
          <w:tcPr>
            <w:tcW w:w="275" w:type="pct"/>
            <w:tcBorders>
              <w:top w:val="nil"/>
              <w:left w:val="nil"/>
              <w:bottom w:val="nil"/>
              <w:right w:val="nil"/>
            </w:tcBorders>
            <w:shd w:val="clear" w:color="auto" w:fill="auto"/>
            <w:noWrap/>
            <w:vAlign w:val="center"/>
            <w:hideMark/>
          </w:tcPr>
          <w:p w14:paraId="1BCFC4E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w:t>
            </w:r>
          </w:p>
        </w:tc>
      </w:tr>
      <w:tr w:rsidR="007A62EC" w:rsidRPr="007B37AC" w14:paraId="211DD8AA" w14:textId="77777777" w:rsidTr="007B37AC">
        <w:trPr>
          <w:trHeight w:val="320"/>
        </w:trPr>
        <w:tc>
          <w:tcPr>
            <w:tcW w:w="1058" w:type="pct"/>
            <w:tcBorders>
              <w:top w:val="nil"/>
              <w:left w:val="nil"/>
              <w:bottom w:val="nil"/>
              <w:right w:val="nil"/>
            </w:tcBorders>
            <w:shd w:val="clear" w:color="auto" w:fill="auto"/>
            <w:noWrap/>
            <w:vAlign w:val="center"/>
            <w:hideMark/>
          </w:tcPr>
          <w:p w14:paraId="57F30CC2" w14:textId="33BCECE6"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Fayed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{"citationID":"w7fJASni","properties":{"formattedCitation":"\\super 41\\nosupersub{}","plainCitation":"41","noteIndex":0},"citationItems":[{"id":3541,"uris":["http://zotero.org/users/local/4rfnQu81/items/YXQZLCF6"],"uri":["http://zotero.org/users/local/4rfnQu81/items/YXQZLCF6"],"itemData":{"id":3541,"type":"article-journal","abstract":"In this study, we report three cases of spontaneous intracranial hemorrhage in patients who were initially hospitalized at our tertiary care center in Washington, DC with symptoms of COVID-19. Severe acute respiratory syndrome coronavirus 2 (SARS-CoV-2) infection was diagnosed in all three patients, who were critically ill, requiring intubation and ventilatory support. During their protracted hospitalizations, subsequent imaging disclosed intracranial hemorrhages, including intracerebral and subarachnoid hemorrhages, in the context of anticoagulation and coagulopathy. We believe this is related to the tropism of SARS-CoV-2 to the endothelial lining of the cerebral vasculature via their angiotensin-converting enzyme (ACE) II receptors. Given our ﬁndings, we advocate heightened vigilance for intracerebral hemorrhage events, and scanning when practicable, in COVID-19 patients which have prolonged ventilatory support and depressed neurologic examinations.","container-title":"Journal of Clinical Neuroscience","language":"en","page":"5","source":"Zotero","title":"Intracranial hemorrhage in critically ill patients hospitalized for","author":[{"family":"Fayed","given":"Islam"},{"family":"Pivazyan","given":"Gnel"},{"family":"Conte","given":"Anthony G"},{"family":"Chang","given":"Jason"},{"family":"Mai","given":"Jeffrey C"}],"issued":{"date-parts":[["2020"]]}}}],"schema":"https://github.com/citation-style-language/schema/raw/master/csl-citation.json"}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E090B">
              <w:rPr>
                <w:rFonts w:ascii="Times New Roman" w:hAnsi="Times New Roman" w:cs="Times New Roman"/>
                <w:color w:val="000000"/>
                <w:sz w:val="13"/>
                <w:vertAlign w:val="superscript"/>
                <w:lang w:val="de-DE"/>
              </w:rPr>
              <w:t>41</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223D5C0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57935A6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4AFEF08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315DB10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725E02E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1BA3620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65F503F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03A59E2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03B20BD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14</w:t>
            </w:r>
          </w:p>
        </w:tc>
        <w:tc>
          <w:tcPr>
            <w:tcW w:w="275" w:type="pct"/>
            <w:tcBorders>
              <w:top w:val="nil"/>
              <w:left w:val="nil"/>
              <w:bottom w:val="nil"/>
              <w:right w:val="nil"/>
            </w:tcBorders>
            <w:shd w:val="clear" w:color="auto" w:fill="auto"/>
            <w:noWrap/>
            <w:vAlign w:val="center"/>
            <w:hideMark/>
          </w:tcPr>
          <w:p w14:paraId="607C719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7027C61C" w14:textId="77777777" w:rsidTr="007B37AC">
        <w:trPr>
          <w:trHeight w:val="320"/>
        </w:trPr>
        <w:tc>
          <w:tcPr>
            <w:tcW w:w="1058" w:type="pct"/>
            <w:tcBorders>
              <w:top w:val="nil"/>
              <w:left w:val="nil"/>
              <w:bottom w:val="nil"/>
              <w:right w:val="nil"/>
            </w:tcBorders>
            <w:shd w:val="clear" w:color="auto" w:fill="auto"/>
            <w:noWrap/>
            <w:vAlign w:val="center"/>
            <w:hideMark/>
          </w:tcPr>
          <w:p w14:paraId="110DB772" w14:textId="51C0C14F"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Fayed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{"citationID":"ZIyLJS7U","properties":{"formattedCitation":"\\super 41\\nosupersub{}","plainCitation":"41","noteIndex":0},"citationItems":[{"id":3541,"uris":["http://zotero.org/users/local/4rfnQu81/items/YXQZLCF6"],"uri":["http://zotero.org/users/local/4rfnQu81/items/YXQZLCF6"],"itemData":{"id":3541,"type":"article-journal","abstract":"In this study, we report three cases of spontaneous intracranial hemorrhage in patients who were initially hospitalized at our tertiary care center in Washington, DC with symptoms of COVID-19. Severe acute respiratory syndrome coronavirus 2 (SARS-CoV-2) infection was diagnosed in all three patients, who were critically ill, requiring intubation and ventilatory support. During their protracted hospitalizations, subsequent imaging disclosed intracranial hemorrhages, including intracerebral and subarachnoid hemorrhages, in the context of anticoagulation and coagulopathy. We believe this is related to the tropism of SARS-CoV-2 to the endothelial lining of the cerebral vasculature via their angiotensin-converting enzyme (ACE) II receptors. Given our ﬁndings, we advocate heightened vigilance for intracerebral hemorrhage events, and scanning when practicable, in COVID-19 patients which have prolonged ventilatory support and depressed neurologic examinations.","container-title":"Journal of Clinical Neuroscience","language":"en","page":"5","source":"Zotero","title":"Intracranial hemorrhage in critically ill patients hospitalized for","author":[{"family":"Fayed","given":"Islam"},{"family":"Pivazyan","given":"Gnel"},{"family":"Conte","given":"Anthony G"},{"family":"Chang","given":"Jason"},{"family":"Mai","given":"Jeffrey C"}],"issued":{"date-parts":[["2020"]]}}}],"schema":"https://github.com/citation-style-language/schema/raw/master/csl-citation.json"}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E090B">
              <w:rPr>
                <w:rFonts w:ascii="Times New Roman" w:hAnsi="Times New Roman" w:cs="Times New Roman"/>
                <w:color w:val="000000"/>
                <w:sz w:val="13"/>
                <w:vertAlign w:val="superscript"/>
                <w:lang w:val="de-DE"/>
              </w:rPr>
              <w:t>41</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5643410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13ED9F6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1E08AEC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4E24B30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70F5AF2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1C4D0BD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52CBF21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75129AD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65CC19E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11</w:t>
            </w:r>
          </w:p>
        </w:tc>
        <w:tc>
          <w:tcPr>
            <w:tcW w:w="275" w:type="pct"/>
            <w:tcBorders>
              <w:top w:val="nil"/>
              <w:left w:val="nil"/>
              <w:bottom w:val="nil"/>
              <w:right w:val="nil"/>
            </w:tcBorders>
            <w:shd w:val="clear" w:color="auto" w:fill="auto"/>
            <w:noWrap/>
            <w:vAlign w:val="center"/>
            <w:hideMark/>
          </w:tcPr>
          <w:p w14:paraId="620B8CD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2B242306" w14:textId="77777777" w:rsidTr="007B37AC">
        <w:trPr>
          <w:trHeight w:val="320"/>
        </w:trPr>
        <w:tc>
          <w:tcPr>
            <w:tcW w:w="1058" w:type="pct"/>
            <w:tcBorders>
              <w:top w:val="nil"/>
              <w:left w:val="nil"/>
              <w:bottom w:val="nil"/>
              <w:right w:val="nil"/>
            </w:tcBorders>
            <w:shd w:val="clear" w:color="auto" w:fill="auto"/>
            <w:noWrap/>
            <w:vAlign w:val="center"/>
            <w:hideMark/>
          </w:tcPr>
          <w:p w14:paraId="40E8197B" w14:textId="7D3A8FF2"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Fayed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{"citationID":"bj1oAhlE","properties":{"formattedCitation":"\\super 41\\nosupersub{}","plainCitation":"41","noteIndex":0},"citationItems":[{"id":3541,"uris":["http://zotero.org/users/local/4rfnQu81/items/YXQZLCF6"],"uri":["http://zotero.org/users/local/4rfnQu81/items/YXQZLCF6"],"itemData":{"id":3541,"type":"article-journal","abstract":"In this study, we report three cases of spontaneous intracranial hemorrhage in patients who were initially hospitalized at our tertiary care center in Washington, DC with symptoms of COVID-19. Severe acute respiratory syndrome coronavirus 2 (SARS-CoV-2) infection was diagnosed in all three patients, who were critically ill, requiring intubation and ventilatory support. During their protracted hospitalizations, subsequent imaging disclosed intracranial hemorrhages, including intracerebral and subarachnoid hemorrhages, in the context of anticoagulation and coagulopathy. We believe this is related to the tropism of SARS-CoV-2 to the endothelial lining of the cerebral vasculature via their angiotensin-converting enzyme (ACE) II receptors. Given our ﬁndings, we advocate heightened vigilance for intracerebral hemorrhage events, and scanning when practicable, in COVID-19 patients which have prolonged ventilatory support and depressed neurologic examinations.","container-title":"Journal of Clinical Neuroscience","language":"en","page":"5","source":"Zotero","title":"Intracranial hemorrhage in critically ill patients hospitalized for","author":[{"family":"Fayed","given":"Islam"},{"family":"Pivazyan","given":"Gnel"},{"family":"Conte","given":"Anthony G"},{"family":"Chang","given":"Jason"},{"family":"Mai","given":"Jeffrey C"}],"issued":{"date-parts":[["2020"]]}}}],"schema":"https://github.com/citation-style-language/schema/raw/master/csl-citation.json"}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E090B">
              <w:rPr>
                <w:rFonts w:ascii="Times New Roman" w:hAnsi="Times New Roman" w:cs="Times New Roman"/>
                <w:color w:val="000000"/>
                <w:sz w:val="13"/>
                <w:vertAlign w:val="superscript"/>
                <w:lang w:val="de-DE"/>
              </w:rPr>
              <w:t>41</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2326608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3E825FC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2AA1137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0073DCC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77E9620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4F62BF6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1A55800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w:t>
            </w:r>
          </w:p>
        </w:tc>
        <w:tc>
          <w:tcPr>
            <w:tcW w:w="629" w:type="pct"/>
            <w:tcBorders>
              <w:top w:val="nil"/>
              <w:left w:val="nil"/>
              <w:bottom w:val="nil"/>
              <w:right w:val="nil"/>
            </w:tcBorders>
            <w:shd w:val="clear" w:color="auto" w:fill="auto"/>
            <w:noWrap/>
            <w:vAlign w:val="center"/>
            <w:hideMark/>
          </w:tcPr>
          <w:p w14:paraId="5D1E3DF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6C3B7B3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19</w:t>
            </w:r>
          </w:p>
        </w:tc>
        <w:tc>
          <w:tcPr>
            <w:tcW w:w="275" w:type="pct"/>
            <w:tcBorders>
              <w:top w:val="nil"/>
              <w:left w:val="nil"/>
              <w:bottom w:val="nil"/>
              <w:right w:val="nil"/>
            </w:tcBorders>
            <w:shd w:val="clear" w:color="auto" w:fill="auto"/>
            <w:noWrap/>
            <w:vAlign w:val="center"/>
            <w:hideMark/>
          </w:tcPr>
          <w:p w14:paraId="40F2514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2AE85331" w14:textId="77777777" w:rsidTr="007B37AC">
        <w:trPr>
          <w:trHeight w:val="320"/>
        </w:trPr>
        <w:tc>
          <w:tcPr>
            <w:tcW w:w="1058" w:type="pct"/>
            <w:tcBorders>
              <w:top w:val="nil"/>
              <w:left w:val="nil"/>
              <w:bottom w:val="nil"/>
              <w:right w:val="nil"/>
            </w:tcBorders>
            <w:shd w:val="clear" w:color="auto" w:fill="auto"/>
            <w:noWrap/>
            <w:vAlign w:val="center"/>
            <w:hideMark/>
          </w:tcPr>
          <w:p w14:paraId="2460730D" w14:textId="33B3777B"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lastRenderedPageBreak/>
              <w:t xml:space="preserve">Gosh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{"citationID":"PxpyBVrs","properties":{"formattedCitation":"\\super 42\\nosupersub{}","plainCitation":"42","noteIndex":0},"citationItems":[{"id":3589,"uris":["http://zotero.org/users/local/4rfnQu81/items/Z8WW963E"],"uri":["http://zotero.org/users/local/4rfnQu81/items/Z8WW963E"],"itemData":{"id":3589,"type":"article-journal","container-title":"The Canadian Journal of Neurological Sciences. Le Journal Canadien Des Sciences Neurologiques","DOI":"10.1017/cjn.2020.117","ISSN":"0317-1671","issue":"6","journalAbbreviation":"Can J Neurol Sci","language":"eng","note":"PMID: 32493536\nPMCID: PMC7327161","page":"849-851","source":"PubMed","title":"COVID-19 Presenting With Thalamic Hemorrhage Unmasking Moyamoya Angiopathy","volume":"47","author":[{"family":"Ghosh","given":"Ritwik"},{"family":"Dubey","given":"Souvik"},{"family":"Kanti Ray","given":"Biman"},{"family":"Chatterjee","given":"Subhankar"},{"family":"Benito-León","given":"Julián"}],"issued":{"date-parts":[["2020",11]]}}}],"schema":"https://github.com/citation-style-language/schema/raw/master/csl-citation.json"}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E090B">
              <w:rPr>
                <w:rFonts w:ascii="Times New Roman" w:hAnsi="Times New Roman" w:cs="Times New Roman"/>
                <w:color w:val="000000"/>
                <w:sz w:val="13"/>
                <w:vertAlign w:val="superscript"/>
                <w:lang w:val="de-DE"/>
              </w:rPr>
              <w:t>42</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232A735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7FB065B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2D3BB8B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6729E8A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4DCFDE0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3A86BB8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5DD5920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654FB17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MRI</w:t>
            </w:r>
          </w:p>
        </w:tc>
        <w:tc>
          <w:tcPr>
            <w:tcW w:w="316" w:type="pct"/>
            <w:tcBorders>
              <w:top w:val="nil"/>
              <w:left w:val="nil"/>
              <w:bottom w:val="nil"/>
              <w:right w:val="nil"/>
            </w:tcBorders>
            <w:shd w:val="clear" w:color="auto" w:fill="auto"/>
            <w:noWrap/>
            <w:vAlign w:val="center"/>
            <w:hideMark/>
          </w:tcPr>
          <w:p w14:paraId="3D571DE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52232FA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63759FF4" w14:textId="77777777" w:rsidTr="007B37AC">
        <w:trPr>
          <w:trHeight w:val="320"/>
        </w:trPr>
        <w:tc>
          <w:tcPr>
            <w:tcW w:w="1058" w:type="pct"/>
            <w:tcBorders>
              <w:top w:val="nil"/>
              <w:left w:val="nil"/>
              <w:bottom w:val="nil"/>
              <w:right w:val="nil"/>
            </w:tcBorders>
            <w:shd w:val="clear" w:color="auto" w:fill="auto"/>
            <w:noWrap/>
            <w:vAlign w:val="center"/>
            <w:hideMark/>
          </w:tcPr>
          <w:p w14:paraId="2DCC4EC0" w14:textId="37E418A9"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Haroon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{"citationID":"FKuXljBr","properties":{"formattedCitation":"\\super 43\\nosupersub{}","plainCitation":"43","noteIndex":0},"citationItems":[{"id":76,"uris":["http://zotero.org/users/local/4rfnQu81/items/WSFTPZPJ"],"uri":["http://zotero.org/users/local/4rfnQu81/items/WSFTPZPJ"],"itemData":{"id":76,"type":"article-journal","abstract":"Coronavirus disease 2019 (COVID-19) is a viral illness caused by the novel severe acute respiratory syndrome coronavirus 2 (SARS-CoV-2). There is worldwide emerging evidence of multisystem involvement including different neurological manifestations in COVID-19 patients. As a result, healthcare systems worldwide are not only experiencing diagnostic but also therapeutic and prognostic challenges with COVID-19-related complications. Cerebral microbleeds and leukoencephalopathy have been described in COVID-19 patients; although the mechanism remains unknown, possibilities include endotheliitis with thrombotic microangiopathy, excessive inflammation, prolonged respiratory failure, and hypoxemia. We describe here the clinical, radiological, and laboratory findings as well as the 90-day outcome of a 72-year-old gentleman who presented with severe SARS-CoV-2 infection, leading to diffuse cerebral microhemorrhages and ischemic infarct causing severe morbidity. He was tested positive for COVID-19 confirmed by reverse transcriptase polymerase chain reaction.","container-title":"Case Reports in Neurology","DOI":"10.1159/000512322","ISSN":"1662680X","page":"373–377","title":"Multiple Microbleeds: A Serious Neurological Manifestation in a Critically Ill COVID-19 Patient","volume":"3050","author":[{"family":"Haroon","given":"Khawaja Hassan"},{"family":"Patro","given":"Satya Narayana"},{"family":"Hussain","given":"Suhail"},{"family":"Zafar","given":"Abdulaziz"},{"family":"Muhammad","given":"Ahmad"}],"issued":{"date-parts":[["2020"]]}}}],"schema":"https://github.com/citation-style-language/schema/raw/master/csl-citation.json"}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E090B">
              <w:rPr>
                <w:rFonts w:ascii="Times New Roman" w:hAnsi="Times New Roman" w:cs="Times New Roman"/>
                <w:color w:val="000000"/>
                <w:sz w:val="13"/>
                <w:vertAlign w:val="superscript"/>
                <w:lang w:val="de-DE"/>
              </w:rPr>
              <w:t>43</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11F5EE5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499D5AF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23</w:t>
            </w:r>
          </w:p>
        </w:tc>
        <w:tc>
          <w:tcPr>
            <w:tcW w:w="384" w:type="pct"/>
            <w:tcBorders>
              <w:top w:val="nil"/>
              <w:left w:val="nil"/>
              <w:bottom w:val="nil"/>
              <w:right w:val="nil"/>
            </w:tcBorders>
            <w:shd w:val="clear" w:color="auto" w:fill="auto"/>
            <w:noWrap/>
            <w:vAlign w:val="center"/>
            <w:hideMark/>
          </w:tcPr>
          <w:p w14:paraId="34B88D5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18</w:t>
            </w:r>
          </w:p>
        </w:tc>
        <w:tc>
          <w:tcPr>
            <w:tcW w:w="275" w:type="pct"/>
            <w:tcBorders>
              <w:top w:val="nil"/>
              <w:left w:val="nil"/>
              <w:bottom w:val="nil"/>
              <w:right w:val="nil"/>
            </w:tcBorders>
            <w:shd w:val="clear" w:color="auto" w:fill="auto"/>
            <w:noWrap/>
            <w:vAlign w:val="center"/>
            <w:hideMark/>
          </w:tcPr>
          <w:p w14:paraId="27138FB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347C0C2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15EC383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2235B1A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w:t>
            </w:r>
          </w:p>
        </w:tc>
        <w:tc>
          <w:tcPr>
            <w:tcW w:w="629" w:type="pct"/>
            <w:tcBorders>
              <w:top w:val="nil"/>
              <w:left w:val="nil"/>
              <w:bottom w:val="nil"/>
              <w:right w:val="nil"/>
            </w:tcBorders>
            <w:shd w:val="clear" w:color="auto" w:fill="auto"/>
            <w:noWrap/>
            <w:vAlign w:val="center"/>
            <w:hideMark/>
          </w:tcPr>
          <w:p w14:paraId="00EE4B4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MRI</w:t>
            </w:r>
          </w:p>
        </w:tc>
        <w:tc>
          <w:tcPr>
            <w:tcW w:w="316" w:type="pct"/>
            <w:tcBorders>
              <w:top w:val="nil"/>
              <w:left w:val="nil"/>
              <w:bottom w:val="nil"/>
              <w:right w:val="nil"/>
            </w:tcBorders>
            <w:shd w:val="clear" w:color="auto" w:fill="auto"/>
            <w:noWrap/>
            <w:vAlign w:val="center"/>
            <w:hideMark/>
          </w:tcPr>
          <w:p w14:paraId="50CAF8A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15B1DCF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5</w:t>
            </w:r>
          </w:p>
        </w:tc>
      </w:tr>
      <w:tr w:rsidR="007A62EC" w:rsidRPr="007B37AC" w14:paraId="6D93C090" w14:textId="77777777" w:rsidTr="007B37AC">
        <w:trPr>
          <w:trHeight w:val="340"/>
        </w:trPr>
        <w:tc>
          <w:tcPr>
            <w:tcW w:w="1058" w:type="pct"/>
            <w:tcBorders>
              <w:top w:val="nil"/>
              <w:left w:val="nil"/>
              <w:bottom w:val="nil"/>
              <w:right w:val="nil"/>
            </w:tcBorders>
            <w:shd w:val="clear" w:color="auto" w:fill="auto"/>
            <w:noWrap/>
            <w:vAlign w:val="center"/>
            <w:hideMark/>
          </w:tcPr>
          <w:p w14:paraId="32863965" w14:textId="1F8F7FE2"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Mousa-Ibrahim et al.</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{"citationID":"ncCwiSO5","properties":{"formattedCitation":"\\super 44\\nosupersub{}","plainCitation":"44","noteIndex":0},"citationItems":[{"id":3538,"uris":["http://zotero.org/users/local/4rfnQu81/items/ZS7SKB5K"],"uri":["http://zotero.org/users/local/4rfnQu81/items/ZS7SKB5K"],"itemData":{"id":3538,"type":"article-journal","language":"en","page":"8","source":"Zotero","title":"Intracranial Hemorrhage in Hospitalized SARS-CoV-2 Patients: A Case Series","author":[{"family":"Mousa-Ibrahim","given":"Fady"},{"family":"Berg","given":"Stephanie"},{"family":"OdTPDetola","given":"Oluwatobi"},{"family":"Teitcher","given":"Michael"},{"family":"Ruland","given":"Sean"}]}}],"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E090B">
              <w:rPr>
                <w:rFonts w:ascii="Times New Roman" w:hAnsi="Times New Roman" w:cs="Times New Roman"/>
                <w:color w:val="000000"/>
                <w:sz w:val="13"/>
                <w:vertAlign w:val="superscript"/>
                <w:lang w:val="de-DE"/>
              </w:rPr>
              <w:t>44</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6254A4C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2ECB602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1070</w:t>
            </w:r>
          </w:p>
        </w:tc>
        <w:tc>
          <w:tcPr>
            <w:tcW w:w="384" w:type="pct"/>
            <w:tcBorders>
              <w:top w:val="nil"/>
              <w:left w:val="nil"/>
              <w:bottom w:val="nil"/>
              <w:right w:val="nil"/>
            </w:tcBorders>
            <w:shd w:val="clear" w:color="auto" w:fill="auto"/>
            <w:noWrap/>
            <w:vAlign w:val="center"/>
            <w:hideMark/>
          </w:tcPr>
          <w:p w14:paraId="4B35B7F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10</w:t>
            </w:r>
          </w:p>
        </w:tc>
        <w:tc>
          <w:tcPr>
            <w:tcW w:w="275" w:type="pct"/>
            <w:tcBorders>
              <w:top w:val="nil"/>
              <w:left w:val="nil"/>
              <w:bottom w:val="nil"/>
              <w:right w:val="nil"/>
            </w:tcBorders>
            <w:shd w:val="clear" w:color="auto" w:fill="auto"/>
            <w:noWrap/>
            <w:vAlign w:val="center"/>
            <w:hideMark/>
          </w:tcPr>
          <w:p w14:paraId="66DECD0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noWrap/>
            <w:vAlign w:val="center"/>
            <w:hideMark/>
          </w:tcPr>
          <w:p w14:paraId="0C6D5B8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46</w:t>
            </w:r>
          </w:p>
        </w:tc>
        <w:tc>
          <w:tcPr>
            <w:tcW w:w="486" w:type="pct"/>
            <w:tcBorders>
              <w:top w:val="nil"/>
              <w:left w:val="nil"/>
              <w:bottom w:val="nil"/>
              <w:right w:val="nil"/>
            </w:tcBorders>
            <w:shd w:val="clear" w:color="auto" w:fill="auto"/>
            <w:noWrap/>
            <w:vAlign w:val="center"/>
            <w:hideMark/>
          </w:tcPr>
          <w:p w14:paraId="5A5CB11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131</w:t>
            </w:r>
          </w:p>
        </w:tc>
        <w:tc>
          <w:tcPr>
            <w:tcW w:w="493" w:type="pct"/>
            <w:tcBorders>
              <w:top w:val="nil"/>
              <w:left w:val="nil"/>
              <w:bottom w:val="nil"/>
              <w:right w:val="nil"/>
            </w:tcBorders>
            <w:shd w:val="clear" w:color="auto" w:fill="auto"/>
            <w:noWrap/>
            <w:vAlign w:val="center"/>
            <w:hideMark/>
          </w:tcPr>
          <w:p w14:paraId="3102ACE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w:t>
            </w:r>
          </w:p>
        </w:tc>
        <w:tc>
          <w:tcPr>
            <w:tcW w:w="629" w:type="pct"/>
            <w:tcBorders>
              <w:top w:val="nil"/>
              <w:left w:val="nil"/>
              <w:bottom w:val="nil"/>
              <w:right w:val="nil"/>
            </w:tcBorders>
            <w:shd w:val="clear" w:color="auto" w:fill="auto"/>
            <w:noWrap/>
            <w:vAlign w:val="center"/>
            <w:hideMark/>
          </w:tcPr>
          <w:p w14:paraId="4EAFE2D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4C9D886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21</w:t>
            </w:r>
          </w:p>
        </w:tc>
        <w:tc>
          <w:tcPr>
            <w:tcW w:w="275" w:type="pct"/>
            <w:tcBorders>
              <w:top w:val="nil"/>
              <w:left w:val="nil"/>
              <w:bottom w:val="nil"/>
              <w:right w:val="nil"/>
            </w:tcBorders>
            <w:shd w:val="clear" w:color="auto" w:fill="auto"/>
            <w:noWrap/>
            <w:vAlign w:val="center"/>
            <w:hideMark/>
          </w:tcPr>
          <w:p w14:paraId="5285AEE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7F677626" w14:textId="77777777" w:rsidTr="007B37AC">
        <w:trPr>
          <w:trHeight w:val="320"/>
        </w:trPr>
        <w:tc>
          <w:tcPr>
            <w:tcW w:w="1058" w:type="pct"/>
            <w:tcBorders>
              <w:top w:val="nil"/>
              <w:left w:val="nil"/>
              <w:bottom w:val="nil"/>
              <w:right w:val="nil"/>
            </w:tcBorders>
            <w:shd w:val="clear" w:color="auto" w:fill="auto"/>
            <w:noWrap/>
            <w:vAlign w:val="center"/>
            <w:hideMark/>
          </w:tcPr>
          <w:p w14:paraId="584F3CB0" w14:textId="570CCAB3"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Mousa-Ibrahim et al.</w:t>
            </w:r>
            <w:r>
              <w:rPr>
                <w:rFonts w:ascii="Times New Roman" w:eastAsia="Times New Roman" w:hAnsi="Times New Roman" w:cs="Times New Roman"/>
                <w:color w:val="000000"/>
                <w:sz w:val="13"/>
                <w:szCs w:val="13"/>
                <w:lang w:eastAsia="de-DE"/>
              </w:rPr>
              <w:t xml:space="preserve">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{"citationID":"VnblaYUo","properties":{"formattedCitation":"\\super 44\\nosupersub{}","plainCitation":"44","noteIndex":0},"citationItems":[{"id":3538,"uris":["http://zotero.org/users/local/4rfnQu81/items/ZS7SKB5K"],"uri":["http://zotero.org/users/local/4rfnQu81/items/ZS7SKB5K"],"itemData":{"id":3538,"type":"article-journal","language":"en","page":"8","source":"Zotero","title":"Intracranial Hemorrhage in Hospitalized SARS-CoV-2 Patients: A Case Series","author":[{"family":"Mousa-Ibrahim","given":"Fady"},{"family":"Berg","given":"Stephanie"},{"family":"OdTPDetola","given":"Oluwatobi"},{"family":"Teitcher","given":"Michael"},{"family":"Ruland","given":"Sean"}]}}],"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E090B">
              <w:rPr>
                <w:rFonts w:ascii="Times New Roman" w:hAnsi="Times New Roman" w:cs="Times New Roman"/>
                <w:color w:val="000000"/>
                <w:sz w:val="13"/>
                <w:vertAlign w:val="superscript"/>
                <w:lang w:val="de-DE"/>
              </w:rPr>
              <w:t>44</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72D806D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03BD024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050DE0D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c>
          <w:tcPr>
            <w:tcW w:w="275" w:type="pct"/>
            <w:tcBorders>
              <w:top w:val="nil"/>
              <w:left w:val="nil"/>
              <w:bottom w:val="nil"/>
              <w:right w:val="nil"/>
            </w:tcBorders>
            <w:shd w:val="clear" w:color="auto" w:fill="auto"/>
            <w:noWrap/>
            <w:vAlign w:val="center"/>
            <w:hideMark/>
          </w:tcPr>
          <w:p w14:paraId="0076AF8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noWrap/>
            <w:vAlign w:val="center"/>
            <w:hideMark/>
          </w:tcPr>
          <w:p w14:paraId="6437D22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29</w:t>
            </w:r>
          </w:p>
        </w:tc>
        <w:tc>
          <w:tcPr>
            <w:tcW w:w="486" w:type="pct"/>
            <w:tcBorders>
              <w:top w:val="nil"/>
              <w:left w:val="nil"/>
              <w:bottom w:val="nil"/>
              <w:right w:val="nil"/>
            </w:tcBorders>
            <w:shd w:val="clear" w:color="auto" w:fill="auto"/>
            <w:noWrap/>
            <w:vAlign w:val="center"/>
            <w:hideMark/>
          </w:tcPr>
          <w:p w14:paraId="4C874B9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232</w:t>
            </w:r>
          </w:p>
        </w:tc>
        <w:tc>
          <w:tcPr>
            <w:tcW w:w="493" w:type="pct"/>
            <w:tcBorders>
              <w:top w:val="nil"/>
              <w:left w:val="nil"/>
              <w:bottom w:val="nil"/>
              <w:right w:val="nil"/>
            </w:tcBorders>
            <w:shd w:val="clear" w:color="auto" w:fill="auto"/>
            <w:noWrap/>
            <w:vAlign w:val="center"/>
            <w:hideMark/>
          </w:tcPr>
          <w:p w14:paraId="7D6C929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49415CF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6B973D2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2412C6F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69624C41" w14:textId="77777777" w:rsidTr="007B37AC">
        <w:trPr>
          <w:trHeight w:val="340"/>
        </w:trPr>
        <w:tc>
          <w:tcPr>
            <w:tcW w:w="1058" w:type="pct"/>
            <w:tcBorders>
              <w:top w:val="nil"/>
              <w:left w:val="nil"/>
              <w:bottom w:val="nil"/>
              <w:right w:val="nil"/>
            </w:tcBorders>
            <w:shd w:val="clear" w:color="auto" w:fill="auto"/>
            <w:noWrap/>
            <w:vAlign w:val="center"/>
            <w:hideMark/>
          </w:tcPr>
          <w:p w14:paraId="3F2C8525" w14:textId="7DB6C694"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Mousa-Ibrahim et al.</w:t>
            </w:r>
            <w:r>
              <w:rPr>
                <w:rFonts w:ascii="Times New Roman" w:eastAsia="Times New Roman" w:hAnsi="Times New Roman" w:cs="Times New Roman"/>
                <w:color w:val="000000"/>
                <w:sz w:val="13"/>
                <w:szCs w:val="13"/>
                <w:lang w:eastAsia="de-DE"/>
              </w:rPr>
              <w:t xml:space="preserve">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{"citationID":"RGOsvJq0","properties":{"formattedCitation":"\\super 44\\nosupersub{}","plainCitation":"44","noteIndex":0},"citationItems":[{"id":3538,"uris":["http://zotero.org/users/local/4rfnQu81/items/ZS7SKB5K"],"uri":["http://zotero.org/users/local/4rfnQu81/items/ZS7SKB5K"],"itemData":{"id":3538,"type":"article-journal","language":"en","page":"8","source":"Zotero","title":"Intracranial Hemorrhage in Hospitalized SARS-CoV-2 Patients: A Case Series","author":[{"family":"Mousa-Ibrahim","given":"Fady"},{"family":"Berg","given":"Stephanie"},{"family":"OdTPDetola","given":"Oluwatobi"},{"family":"Teitcher","given":"Michael"},{"family":"Ruland","given":"Sean"}]}}],"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E090B">
              <w:rPr>
                <w:rFonts w:ascii="Times New Roman" w:hAnsi="Times New Roman" w:cs="Times New Roman"/>
                <w:color w:val="000000"/>
                <w:sz w:val="13"/>
                <w:vertAlign w:val="superscript"/>
                <w:lang w:val="de-DE"/>
              </w:rPr>
              <w:t>44</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29FCA14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096FEB3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230</w:t>
            </w:r>
          </w:p>
        </w:tc>
        <w:tc>
          <w:tcPr>
            <w:tcW w:w="384" w:type="pct"/>
            <w:tcBorders>
              <w:top w:val="nil"/>
              <w:left w:val="nil"/>
              <w:bottom w:val="nil"/>
              <w:right w:val="nil"/>
            </w:tcBorders>
            <w:shd w:val="clear" w:color="auto" w:fill="auto"/>
            <w:noWrap/>
            <w:vAlign w:val="center"/>
            <w:hideMark/>
          </w:tcPr>
          <w:p w14:paraId="259F549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9</w:t>
            </w:r>
          </w:p>
        </w:tc>
        <w:tc>
          <w:tcPr>
            <w:tcW w:w="275" w:type="pct"/>
            <w:tcBorders>
              <w:top w:val="nil"/>
              <w:left w:val="nil"/>
              <w:bottom w:val="nil"/>
              <w:right w:val="nil"/>
            </w:tcBorders>
            <w:shd w:val="clear" w:color="auto" w:fill="auto"/>
            <w:noWrap/>
            <w:vAlign w:val="center"/>
            <w:hideMark/>
          </w:tcPr>
          <w:p w14:paraId="6C7C830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noWrap/>
            <w:vAlign w:val="center"/>
            <w:hideMark/>
          </w:tcPr>
          <w:p w14:paraId="7FBCD9B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27</w:t>
            </w:r>
          </w:p>
        </w:tc>
        <w:tc>
          <w:tcPr>
            <w:tcW w:w="486" w:type="pct"/>
            <w:tcBorders>
              <w:top w:val="nil"/>
              <w:left w:val="nil"/>
              <w:bottom w:val="nil"/>
              <w:right w:val="nil"/>
            </w:tcBorders>
            <w:shd w:val="clear" w:color="auto" w:fill="auto"/>
            <w:noWrap/>
            <w:vAlign w:val="center"/>
            <w:hideMark/>
          </w:tcPr>
          <w:p w14:paraId="0AF9710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191</w:t>
            </w:r>
          </w:p>
        </w:tc>
        <w:tc>
          <w:tcPr>
            <w:tcW w:w="493" w:type="pct"/>
            <w:tcBorders>
              <w:top w:val="nil"/>
              <w:left w:val="nil"/>
              <w:bottom w:val="nil"/>
              <w:right w:val="nil"/>
            </w:tcBorders>
            <w:shd w:val="clear" w:color="auto" w:fill="auto"/>
            <w:noWrap/>
            <w:vAlign w:val="center"/>
            <w:hideMark/>
          </w:tcPr>
          <w:p w14:paraId="1E72569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w:t>
            </w:r>
          </w:p>
        </w:tc>
        <w:tc>
          <w:tcPr>
            <w:tcW w:w="629" w:type="pct"/>
            <w:tcBorders>
              <w:top w:val="nil"/>
              <w:left w:val="nil"/>
              <w:bottom w:val="nil"/>
              <w:right w:val="nil"/>
            </w:tcBorders>
            <w:shd w:val="clear" w:color="auto" w:fill="auto"/>
            <w:noWrap/>
            <w:vAlign w:val="center"/>
            <w:hideMark/>
          </w:tcPr>
          <w:p w14:paraId="23709D0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3245A60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7</w:t>
            </w:r>
          </w:p>
        </w:tc>
        <w:tc>
          <w:tcPr>
            <w:tcW w:w="275" w:type="pct"/>
            <w:tcBorders>
              <w:top w:val="nil"/>
              <w:left w:val="nil"/>
              <w:bottom w:val="nil"/>
              <w:right w:val="nil"/>
            </w:tcBorders>
            <w:shd w:val="clear" w:color="auto" w:fill="auto"/>
            <w:noWrap/>
            <w:vAlign w:val="center"/>
            <w:hideMark/>
          </w:tcPr>
          <w:p w14:paraId="350058F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248DC736" w14:textId="77777777" w:rsidTr="007B37AC">
        <w:trPr>
          <w:trHeight w:val="320"/>
        </w:trPr>
        <w:tc>
          <w:tcPr>
            <w:tcW w:w="1058" w:type="pct"/>
            <w:tcBorders>
              <w:top w:val="nil"/>
              <w:left w:val="nil"/>
              <w:bottom w:val="nil"/>
              <w:right w:val="nil"/>
            </w:tcBorders>
            <w:shd w:val="clear" w:color="auto" w:fill="auto"/>
            <w:noWrap/>
            <w:vAlign w:val="center"/>
            <w:hideMark/>
          </w:tcPr>
          <w:p w14:paraId="7B1446DB" w14:textId="7D6EA267"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Mousa-Ibrahim et al.</w:t>
            </w:r>
            <w:r>
              <w:rPr>
                <w:rFonts w:ascii="Times New Roman" w:eastAsia="Times New Roman" w:hAnsi="Times New Roman" w:cs="Times New Roman"/>
                <w:color w:val="000000"/>
                <w:sz w:val="13"/>
                <w:szCs w:val="13"/>
                <w:lang w:eastAsia="de-DE"/>
              </w:rPr>
              <w:t xml:space="preserve">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{"citationID":"hddhiL5p","properties":{"formattedCitation":"\\super 44\\nosupersub{}","plainCitation":"44","noteIndex":0},"citationItems":[{"id":3538,"uris":["http://zotero.org/users/local/4rfnQu81/items/ZS7SKB5K"],"uri":["http://zotero.org/users/local/4rfnQu81/items/ZS7SKB5K"],"itemData":{"id":3538,"type":"article-journal","language":"en","page":"8","source":"Zotero","title":"Intracranial Hemorrhage in Hospitalized SARS-CoV-2 Patients: A Case Series","author":[{"family":"Mousa-Ibrahim","given":"Fady"},{"family":"Berg","given":"Stephanie"},{"family":"OdTPDetola","given":"Oluwatobi"},{"family":"Teitcher","given":"Michael"},{"family":"Ruland","given":"Sean"}]}}],"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E090B">
              <w:rPr>
                <w:rFonts w:ascii="Times New Roman" w:hAnsi="Times New Roman" w:cs="Times New Roman"/>
                <w:color w:val="000000"/>
                <w:sz w:val="13"/>
                <w:vertAlign w:val="superscript"/>
                <w:lang w:val="de-DE"/>
              </w:rPr>
              <w:t>44</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53EF395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0C38B33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189</w:t>
            </w:r>
          </w:p>
        </w:tc>
        <w:tc>
          <w:tcPr>
            <w:tcW w:w="384" w:type="pct"/>
            <w:tcBorders>
              <w:top w:val="nil"/>
              <w:left w:val="nil"/>
              <w:bottom w:val="nil"/>
              <w:right w:val="nil"/>
            </w:tcBorders>
            <w:shd w:val="clear" w:color="auto" w:fill="auto"/>
            <w:noWrap/>
            <w:vAlign w:val="center"/>
            <w:hideMark/>
          </w:tcPr>
          <w:p w14:paraId="7640B80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9</w:t>
            </w:r>
          </w:p>
        </w:tc>
        <w:tc>
          <w:tcPr>
            <w:tcW w:w="275" w:type="pct"/>
            <w:tcBorders>
              <w:top w:val="nil"/>
              <w:left w:val="nil"/>
              <w:bottom w:val="nil"/>
              <w:right w:val="nil"/>
            </w:tcBorders>
            <w:shd w:val="clear" w:color="auto" w:fill="auto"/>
            <w:noWrap/>
            <w:vAlign w:val="center"/>
            <w:hideMark/>
          </w:tcPr>
          <w:p w14:paraId="2BE1877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noWrap/>
            <w:vAlign w:val="center"/>
            <w:hideMark/>
          </w:tcPr>
          <w:p w14:paraId="0617AC3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41</w:t>
            </w:r>
          </w:p>
        </w:tc>
        <w:tc>
          <w:tcPr>
            <w:tcW w:w="486" w:type="pct"/>
            <w:tcBorders>
              <w:top w:val="nil"/>
              <w:left w:val="nil"/>
              <w:bottom w:val="nil"/>
              <w:right w:val="nil"/>
            </w:tcBorders>
            <w:shd w:val="clear" w:color="auto" w:fill="auto"/>
            <w:noWrap/>
            <w:vAlign w:val="center"/>
            <w:hideMark/>
          </w:tcPr>
          <w:p w14:paraId="5537743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426</w:t>
            </w:r>
          </w:p>
        </w:tc>
        <w:tc>
          <w:tcPr>
            <w:tcW w:w="493" w:type="pct"/>
            <w:tcBorders>
              <w:top w:val="nil"/>
              <w:left w:val="nil"/>
              <w:bottom w:val="nil"/>
              <w:right w:val="nil"/>
            </w:tcBorders>
            <w:shd w:val="clear" w:color="auto" w:fill="auto"/>
            <w:noWrap/>
            <w:vAlign w:val="center"/>
            <w:hideMark/>
          </w:tcPr>
          <w:p w14:paraId="4B72CDA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c>
          <w:tcPr>
            <w:tcW w:w="629" w:type="pct"/>
            <w:tcBorders>
              <w:top w:val="nil"/>
              <w:left w:val="nil"/>
              <w:bottom w:val="nil"/>
              <w:right w:val="nil"/>
            </w:tcBorders>
            <w:shd w:val="clear" w:color="auto" w:fill="auto"/>
            <w:noWrap/>
            <w:vAlign w:val="center"/>
            <w:hideMark/>
          </w:tcPr>
          <w:p w14:paraId="0E477D4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679E7DF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26</w:t>
            </w:r>
          </w:p>
        </w:tc>
        <w:tc>
          <w:tcPr>
            <w:tcW w:w="275" w:type="pct"/>
            <w:tcBorders>
              <w:top w:val="nil"/>
              <w:left w:val="nil"/>
              <w:bottom w:val="nil"/>
              <w:right w:val="nil"/>
            </w:tcBorders>
            <w:shd w:val="clear" w:color="auto" w:fill="auto"/>
            <w:noWrap/>
            <w:vAlign w:val="center"/>
            <w:hideMark/>
          </w:tcPr>
          <w:p w14:paraId="4654214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5A479EEA" w14:textId="77777777" w:rsidTr="007B37AC">
        <w:trPr>
          <w:trHeight w:val="340"/>
        </w:trPr>
        <w:tc>
          <w:tcPr>
            <w:tcW w:w="1058" w:type="pct"/>
            <w:tcBorders>
              <w:top w:val="nil"/>
              <w:left w:val="nil"/>
              <w:bottom w:val="nil"/>
              <w:right w:val="nil"/>
            </w:tcBorders>
            <w:shd w:val="clear" w:color="auto" w:fill="auto"/>
            <w:noWrap/>
            <w:vAlign w:val="center"/>
            <w:hideMark/>
          </w:tcPr>
          <w:p w14:paraId="6E20265A" w14:textId="7B527527"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Mousa-Ibrahim et al.</w:t>
            </w:r>
            <w:r>
              <w:rPr>
                <w:rFonts w:ascii="Times New Roman" w:eastAsia="Times New Roman" w:hAnsi="Times New Roman" w:cs="Times New Roman"/>
                <w:color w:val="000000"/>
                <w:sz w:val="13"/>
                <w:szCs w:val="13"/>
                <w:lang w:eastAsia="de-DE"/>
              </w:rPr>
              <w:t xml:space="preserve">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{"citationID":"lKVkDt7S","properties":{"formattedCitation":"\\super 44\\nosupersub{}","plainCitation":"44","noteIndex":0},"citationItems":[{"id":3538,"uris":["http://zotero.org/users/local/4rfnQu81/items/ZS7SKB5K"],"uri":["http://zotero.org/users/local/4rfnQu81/items/ZS7SKB5K"],"itemData":{"id":3538,"type":"article-journal","language":"en","page":"8","source":"Zotero","title":"Intracranial Hemorrhage in Hospitalized SARS-CoV-2 Patients: A Case Series","author":[{"family":"Mousa-Ibrahim","given":"Fady"},{"family":"Berg","given":"Stephanie"},{"family":"OdTPDetola","given":"Oluwatobi"},{"family":"Teitcher","given":"Michael"},{"family":"Ruland","given":"Sean"}]}}],"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E090B">
              <w:rPr>
                <w:rFonts w:ascii="Times New Roman" w:hAnsi="Times New Roman" w:cs="Times New Roman"/>
                <w:color w:val="000000"/>
                <w:sz w:val="13"/>
                <w:vertAlign w:val="superscript"/>
                <w:lang w:val="de-DE"/>
              </w:rPr>
              <w:t>44</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626C2C5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7DCC6E3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230</w:t>
            </w:r>
          </w:p>
        </w:tc>
        <w:tc>
          <w:tcPr>
            <w:tcW w:w="384" w:type="pct"/>
            <w:tcBorders>
              <w:top w:val="nil"/>
              <w:left w:val="nil"/>
              <w:bottom w:val="nil"/>
              <w:right w:val="nil"/>
            </w:tcBorders>
            <w:shd w:val="clear" w:color="auto" w:fill="auto"/>
            <w:noWrap/>
            <w:vAlign w:val="center"/>
            <w:hideMark/>
          </w:tcPr>
          <w:p w14:paraId="26ADE0D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8</w:t>
            </w:r>
          </w:p>
        </w:tc>
        <w:tc>
          <w:tcPr>
            <w:tcW w:w="275" w:type="pct"/>
            <w:tcBorders>
              <w:top w:val="nil"/>
              <w:left w:val="nil"/>
              <w:bottom w:val="nil"/>
              <w:right w:val="nil"/>
            </w:tcBorders>
            <w:shd w:val="clear" w:color="auto" w:fill="auto"/>
            <w:noWrap/>
            <w:vAlign w:val="center"/>
            <w:hideMark/>
          </w:tcPr>
          <w:p w14:paraId="779696D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noWrap/>
            <w:vAlign w:val="center"/>
            <w:hideMark/>
          </w:tcPr>
          <w:p w14:paraId="67261CB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28</w:t>
            </w:r>
          </w:p>
        </w:tc>
        <w:tc>
          <w:tcPr>
            <w:tcW w:w="486" w:type="pct"/>
            <w:tcBorders>
              <w:top w:val="nil"/>
              <w:left w:val="nil"/>
              <w:bottom w:val="nil"/>
              <w:right w:val="nil"/>
            </w:tcBorders>
            <w:shd w:val="clear" w:color="auto" w:fill="auto"/>
            <w:noWrap/>
            <w:vAlign w:val="center"/>
            <w:hideMark/>
          </w:tcPr>
          <w:p w14:paraId="3C2935B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201</w:t>
            </w:r>
          </w:p>
        </w:tc>
        <w:tc>
          <w:tcPr>
            <w:tcW w:w="493" w:type="pct"/>
            <w:tcBorders>
              <w:top w:val="nil"/>
              <w:left w:val="nil"/>
              <w:bottom w:val="nil"/>
              <w:right w:val="nil"/>
            </w:tcBorders>
            <w:shd w:val="clear" w:color="auto" w:fill="auto"/>
            <w:noWrap/>
            <w:vAlign w:val="center"/>
            <w:hideMark/>
          </w:tcPr>
          <w:p w14:paraId="13FF342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w:t>
            </w:r>
          </w:p>
        </w:tc>
        <w:tc>
          <w:tcPr>
            <w:tcW w:w="629" w:type="pct"/>
            <w:tcBorders>
              <w:top w:val="nil"/>
              <w:left w:val="nil"/>
              <w:bottom w:val="nil"/>
              <w:right w:val="nil"/>
            </w:tcBorders>
            <w:shd w:val="clear" w:color="auto" w:fill="auto"/>
            <w:noWrap/>
            <w:vAlign w:val="center"/>
            <w:hideMark/>
          </w:tcPr>
          <w:p w14:paraId="40819C1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474E980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10</w:t>
            </w:r>
          </w:p>
        </w:tc>
        <w:tc>
          <w:tcPr>
            <w:tcW w:w="275" w:type="pct"/>
            <w:tcBorders>
              <w:top w:val="nil"/>
              <w:left w:val="nil"/>
              <w:bottom w:val="nil"/>
              <w:right w:val="nil"/>
            </w:tcBorders>
            <w:shd w:val="clear" w:color="auto" w:fill="auto"/>
            <w:noWrap/>
            <w:vAlign w:val="center"/>
            <w:hideMark/>
          </w:tcPr>
          <w:p w14:paraId="2D2AB3F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7EAA50B3" w14:textId="77777777" w:rsidTr="007B37AC">
        <w:trPr>
          <w:trHeight w:val="320"/>
        </w:trPr>
        <w:tc>
          <w:tcPr>
            <w:tcW w:w="1058" w:type="pct"/>
            <w:tcBorders>
              <w:top w:val="nil"/>
              <w:left w:val="nil"/>
              <w:bottom w:val="nil"/>
              <w:right w:val="nil"/>
            </w:tcBorders>
            <w:shd w:val="clear" w:color="auto" w:fill="auto"/>
            <w:noWrap/>
            <w:vAlign w:val="center"/>
            <w:hideMark/>
          </w:tcPr>
          <w:p w14:paraId="08A86515" w14:textId="628444FA"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Mousa-Ibrahim et al.</w:t>
            </w:r>
            <w:r>
              <w:rPr>
                <w:rFonts w:ascii="Times New Roman" w:eastAsia="Times New Roman" w:hAnsi="Times New Roman" w:cs="Times New Roman"/>
                <w:color w:val="000000"/>
                <w:sz w:val="13"/>
                <w:szCs w:val="13"/>
                <w:lang w:eastAsia="de-DE"/>
              </w:rPr>
              <w:t xml:space="preserve">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{"citationID":"JwOlWI05","properties":{"formattedCitation":"\\super 44\\nosupersub{}","plainCitation":"44","noteIndex":0},"citationItems":[{"id":3538,"uris":["http://zotero.org/users/local/4rfnQu81/items/ZS7SKB5K"],"uri":["http://zotero.org/users/local/4rfnQu81/items/ZS7SKB5K"],"itemData":{"id":3538,"type":"article-journal","language":"en","page":"8","source":"Zotero","title":"Intracranial Hemorrhage in Hospitalized SARS-CoV-2 Patients: A Case Series","author":[{"family":"Mousa-Ibrahim","given":"Fady"},{"family":"Berg","given":"Stephanie"},{"family":"OdTPDetola","given":"Oluwatobi"},{"family":"Teitcher","given":"Michael"},{"family":"Ruland","given":"Sean"}]}}],"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E090B">
              <w:rPr>
                <w:rFonts w:ascii="Times New Roman" w:hAnsi="Times New Roman" w:cs="Times New Roman"/>
                <w:color w:val="000000"/>
                <w:sz w:val="13"/>
                <w:vertAlign w:val="superscript"/>
                <w:lang w:val="de-DE"/>
              </w:rPr>
              <w:t>44</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3F3A839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0780719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259</w:t>
            </w:r>
          </w:p>
        </w:tc>
        <w:tc>
          <w:tcPr>
            <w:tcW w:w="384" w:type="pct"/>
            <w:tcBorders>
              <w:top w:val="nil"/>
              <w:left w:val="nil"/>
              <w:bottom w:val="nil"/>
              <w:right w:val="nil"/>
            </w:tcBorders>
            <w:shd w:val="clear" w:color="auto" w:fill="auto"/>
            <w:noWrap/>
            <w:vAlign w:val="center"/>
            <w:hideMark/>
          </w:tcPr>
          <w:p w14:paraId="6592CCE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c>
          <w:tcPr>
            <w:tcW w:w="275" w:type="pct"/>
            <w:tcBorders>
              <w:top w:val="nil"/>
              <w:left w:val="nil"/>
              <w:bottom w:val="nil"/>
              <w:right w:val="nil"/>
            </w:tcBorders>
            <w:shd w:val="clear" w:color="auto" w:fill="auto"/>
            <w:noWrap/>
            <w:vAlign w:val="center"/>
            <w:hideMark/>
          </w:tcPr>
          <w:p w14:paraId="4BCC91D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0203B49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63346D6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428</w:t>
            </w:r>
          </w:p>
        </w:tc>
        <w:tc>
          <w:tcPr>
            <w:tcW w:w="493" w:type="pct"/>
            <w:tcBorders>
              <w:top w:val="nil"/>
              <w:left w:val="nil"/>
              <w:bottom w:val="nil"/>
              <w:right w:val="nil"/>
            </w:tcBorders>
            <w:shd w:val="clear" w:color="auto" w:fill="auto"/>
            <w:noWrap/>
            <w:vAlign w:val="center"/>
            <w:hideMark/>
          </w:tcPr>
          <w:p w14:paraId="6D570DF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w:t>
            </w:r>
          </w:p>
        </w:tc>
        <w:tc>
          <w:tcPr>
            <w:tcW w:w="629" w:type="pct"/>
            <w:tcBorders>
              <w:top w:val="nil"/>
              <w:left w:val="nil"/>
              <w:bottom w:val="nil"/>
              <w:right w:val="nil"/>
            </w:tcBorders>
            <w:shd w:val="clear" w:color="auto" w:fill="auto"/>
            <w:noWrap/>
            <w:vAlign w:val="center"/>
            <w:hideMark/>
          </w:tcPr>
          <w:p w14:paraId="3FBFE15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3F34EFB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8</w:t>
            </w:r>
          </w:p>
        </w:tc>
        <w:tc>
          <w:tcPr>
            <w:tcW w:w="275" w:type="pct"/>
            <w:tcBorders>
              <w:top w:val="nil"/>
              <w:left w:val="nil"/>
              <w:bottom w:val="nil"/>
              <w:right w:val="nil"/>
            </w:tcBorders>
            <w:shd w:val="clear" w:color="auto" w:fill="auto"/>
            <w:noWrap/>
            <w:vAlign w:val="center"/>
            <w:hideMark/>
          </w:tcPr>
          <w:p w14:paraId="6CDD3E4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345F74F4" w14:textId="77777777" w:rsidTr="007B37AC">
        <w:trPr>
          <w:trHeight w:val="340"/>
        </w:trPr>
        <w:tc>
          <w:tcPr>
            <w:tcW w:w="1058" w:type="pct"/>
            <w:tcBorders>
              <w:top w:val="nil"/>
              <w:left w:val="nil"/>
              <w:bottom w:val="nil"/>
              <w:right w:val="nil"/>
            </w:tcBorders>
            <w:shd w:val="clear" w:color="auto" w:fill="auto"/>
            <w:noWrap/>
            <w:vAlign w:val="center"/>
            <w:hideMark/>
          </w:tcPr>
          <w:p w14:paraId="66E6E46D" w14:textId="506AC01D"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Nicolas-Jilwan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{"citationID":"RPbop2bM","properties":{"formattedCitation":"\\super 45\\nosupersub{}","plainCitation":"45","noteIndex":0},"citationItems":[{"id":56,"uris":["http://zotero.org/users/local/4rfnQu81/items/CP9QLHPV"],"uri":["http://zotero.org/users/local/4rfnQu81/items/CP9QLHPV"],"itemData":{"id":56,"type":"article-journal","abstract":"A wide range of neurological complications of coronavirus disease 2019 (COVID-19) is increasingly recognised. Although the majority of these remain ischaemic and haemorrhagic events, various disorders are being reported. In particular, several cases of diffuse acute leukoencephalopathy have been observed in critically ill patients with COVID-19 disease. We report the case of a 59-year-old man with multiple comorbidities and severe COVID-19 pneumonia who developed a diffuse leukoencephalopathy with microhaemorrhages and extensive associated white matter necrosis. Although this is the first documented case of extensive COVID-19-associated white matter necrosis, we highlight the relatively constant features of this injury similar to previously reported cases, including symmetrical involvement of the supratentorial white matter, sparing of the peripheral subcortical regions except in the precentral gyri, frequently associated microhaemorrhages, relative sparing of the deep gray matter structures and infratentorial structures, and lack of enhancement.","container-title":"Neuroradiology Journal","DOI":"10.1177/1971400920959324","ISSN":"19714009","issue":"6","note":"ISBN: 1971400920\nPMID: 32928038","page":"528–531","title":"Diffuse necrotising leukoencephalopathy with microhaemorrhages in a patient with severe COVID-19 disease","volume":"33","author":[{"family":"Nicolas-Jilwan","given":"Manal"},{"family":"Almaghrabi","given":"Reem Saad"}],"issued":{"date-parts":[["2020"]]}}}],"schema":"https://github.com/citation-style-language/schema/raw/master/csl-citation.json"}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0E090B">
              <w:rPr>
                <w:rFonts w:ascii="Times New Roman" w:hAnsi="Times New Roman" w:cs="Times New Roman"/>
                <w:color w:val="000000"/>
                <w:sz w:val="13"/>
                <w:vertAlign w:val="superscript"/>
                <w:lang w:val="de-DE"/>
              </w:rPr>
              <w:t>45</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42D61E1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114F26C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248F90B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32AE751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69CF0CA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47257B4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03F7EC8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5939A95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MRI</w:t>
            </w:r>
          </w:p>
        </w:tc>
        <w:tc>
          <w:tcPr>
            <w:tcW w:w="316" w:type="pct"/>
            <w:tcBorders>
              <w:top w:val="nil"/>
              <w:left w:val="nil"/>
              <w:bottom w:val="nil"/>
              <w:right w:val="nil"/>
            </w:tcBorders>
            <w:shd w:val="clear" w:color="auto" w:fill="auto"/>
            <w:noWrap/>
            <w:vAlign w:val="center"/>
            <w:hideMark/>
          </w:tcPr>
          <w:p w14:paraId="1421840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64D4020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3A3953B0" w14:textId="77777777" w:rsidTr="007B37AC">
        <w:trPr>
          <w:trHeight w:val="320"/>
        </w:trPr>
        <w:tc>
          <w:tcPr>
            <w:tcW w:w="1058" w:type="pct"/>
            <w:tcBorders>
              <w:top w:val="nil"/>
              <w:left w:val="nil"/>
              <w:bottom w:val="nil"/>
              <w:right w:val="nil"/>
            </w:tcBorders>
            <w:shd w:val="clear" w:color="auto" w:fill="auto"/>
            <w:noWrap/>
            <w:vAlign w:val="center"/>
            <w:hideMark/>
          </w:tcPr>
          <w:p w14:paraId="4D169260" w14:textId="7FD40C95" w:rsidR="007A62EC" w:rsidRPr="007B37AC" w:rsidRDefault="007A62EC" w:rsidP="007A62EC">
            <w:pPr>
              <w:rPr>
                <w:rFonts w:ascii="Times New Roman" w:eastAsia="Times New Roman" w:hAnsi="Times New Roman" w:cs="Times New Roman"/>
                <w:color w:val="000000"/>
                <w:sz w:val="13"/>
                <w:szCs w:val="13"/>
                <w:lang w:eastAsia="de-DE"/>
              </w:rPr>
            </w:pPr>
            <w:r w:rsidRPr="003C407A">
              <w:rPr>
                <w:rFonts w:ascii="Times New Roman" w:eastAsia="Times New Roman" w:hAnsi="Times New Roman" w:cs="Times New Roman"/>
                <w:color w:val="000000"/>
                <w:sz w:val="13"/>
                <w:szCs w:val="13"/>
                <w:lang w:eastAsia="de-DE"/>
              </w:rPr>
              <w:t>Ordinola</w:t>
            </w:r>
            <w:r w:rsidRPr="00C336CB">
              <w:rPr>
                <w:rFonts w:ascii="Times New Roman" w:eastAsia="Times New Roman" w:hAnsi="Times New Roman" w:cs="Times New Roman"/>
                <w:color w:val="000000"/>
                <w:sz w:val="13"/>
                <w:szCs w:val="13"/>
                <w:lang w:eastAsia="de-DE"/>
              </w:rPr>
              <w:t xml:space="preserve">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{"citationID":"5l5jC4wv","properties":{"formattedCitation":"\\super 46\\nosupersub{}","plainCitation":"46","noteIndex":0},"citationItems":[{"id":50,"uris":["http://zotero.org/users/local/4rfnQu81/items/5EUTVLCK"],"uri":["http://zotero.org/users/local/4rfnQu81/items/5EUTVLCK"],"itemData":{"id":50,"type":"article-journal","container-title":"Revista Brasileira de terapia intensiva","DOI":"10.5935/0103-507X.20200098","ISSN":"19824335","issue":"4","note":"PMID: 33470362","page":"603–605","title":"Hemorragia cerebral durante fase ativa de infecção por SARS-CoV-2 em paciente com angiopatia amiloide: relato de caso","volume":"32","author":[{"family":"Ordinola","given":"Amanda Ayako Minemura"},{"family":"Osmar","given":"Samir Sari"},{"family":"Marussi","given":"Victor Hugo Rocha"},{"family":"Rojas","given":"Salomón Soriano Ordinola"},{"family":"Baeta","given":"Alex Machado"},{"family":"Chaddad Neto","given":"Feres Eduardo"},{"family":"Veiga","given":"Viviane Cordeiro"}],"issued":{"date-parts":[["2020"]]}}}],"schema":"https://github.com/citation-style-language/schema/raw/master/csl-citation.json"}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3C407A">
              <w:rPr>
                <w:rFonts w:ascii="Times New Roman" w:hAnsi="Times New Roman" w:cs="Times New Roman"/>
                <w:color w:val="000000"/>
                <w:sz w:val="13"/>
                <w:vertAlign w:val="superscript"/>
                <w:lang w:val="de-DE"/>
              </w:rPr>
              <w:t>46</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75FA4FA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0E43893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30</w:t>
            </w:r>
          </w:p>
        </w:tc>
        <w:tc>
          <w:tcPr>
            <w:tcW w:w="384" w:type="pct"/>
            <w:tcBorders>
              <w:top w:val="nil"/>
              <w:left w:val="nil"/>
              <w:bottom w:val="nil"/>
              <w:right w:val="nil"/>
            </w:tcBorders>
            <w:shd w:val="clear" w:color="auto" w:fill="auto"/>
            <w:noWrap/>
            <w:vAlign w:val="center"/>
            <w:hideMark/>
          </w:tcPr>
          <w:p w14:paraId="4FF43D0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67D60FE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1A2D135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4E4CE00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763C49E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629" w:type="pct"/>
            <w:tcBorders>
              <w:top w:val="nil"/>
              <w:left w:val="nil"/>
              <w:bottom w:val="nil"/>
              <w:right w:val="nil"/>
            </w:tcBorders>
            <w:shd w:val="clear" w:color="auto" w:fill="auto"/>
            <w:noWrap/>
            <w:vAlign w:val="center"/>
            <w:hideMark/>
          </w:tcPr>
          <w:p w14:paraId="01ED2F4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033BFF3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w:t>
            </w:r>
          </w:p>
        </w:tc>
        <w:tc>
          <w:tcPr>
            <w:tcW w:w="275" w:type="pct"/>
            <w:tcBorders>
              <w:top w:val="nil"/>
              <w:left w:val="nil"/>
              <w:bottom w:val="nil"/>
              <w:right w:val="nil"/>
            </w:tcBorders>
            <w:shd w:val="clear" w:color="auto" w:fill="auto"/>
            <w:noWrap/>
            <w:vAlign w:val="center"/>
            <w:hideMark/>
          </w:tcPr>
          <w:p w14:paraId="2FBB29A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5</w:t>
            </w:r>
          </w:p>
        </w:tc>
      </w:tr>
      <w:tr w:rsidR="007A62EC" w:rsidRPr="007B37AC" w14:paraId="0BD9B7FE" w14:textId="77777777" w:rsidTr="007B37AC">
        <w:trPr>
          <w:trHeight w:val="340"/>
        </w:trPr>
        <w:tc>
          <w:tcPr>
            <w:tcW w:w="1058" w:type="pct"/>
            <w:tcBorders>
              <w:top w:val="nil"/>
              <w:left w:val="nil"/>
              <w:bottom w:val="nil"/>
              <w:right w:val="nil"/>
            </w:tcBorders>
            <w:shd w:val="clear" w:color="auto" w:fill="auto"/>
            <w:noWrap/>
            <w:vAlign w:val="center"/>
            <w:hideMark/>
          </w:tcPr>
          <w:p w14:paraId="444C5457" w14:textId="05AC22E6"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Pavlov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{"citationID":"HFb972VI","properties":{"formattedCitation":"\\super 47\\nosupersub{}","plainCitation":"47","noteIndex":0},"citationItems":[{"id":1596,"uris":["http://zotero.org/users/local/4rfnQu81/items/AZXQVBJ7"],"uri":["http://zotero.org/users/local/4rfnQu81/items/AZXQVBJ7"],"itemData":{"id":1596,"type":"article-journal","abstract":"Intracerebral hemorrhage (ICH) is a common and severe neurological disorder and is associated with high rates of mortality and morbidity. ICH is associated with old age and underlying conditions such as hypertension and diabetes mellitus. The COVID-19 pandemic is associated with neurological symptoms and complications including ICH. For instance, the mechanisms by which COVID-19 may contribute to hemorrhagic stroke may include both depletion of angiotensin converting enzyme 2 (ACE2) receptor and overactive immune response. In this study, we herein report three patients (0.25%) out of 1200 admissions with COVID-19 to our center between 1 May and August 4, 2020, who developed ICH. In addition, we will briefly discuss the possible pathophysiological mechanisms of COVID-19 infection in patients with ICH.","container-title":"Frontiers in Aging Neuroscience","DOI":"10.3389/fnagi.2020.600172","ISSN":"1663-4365","issue":"October","page":"1–6","title":"COVID-19-Related Intracerebral Hemorrhage","volume":"12","author":[{"family":"Pavlov","given":"Valentin"},{"family":"Beylerli","given":"Ozal"},{"family":"Gareev","given":"Ilgiz"},{"family":"Torres Solis","given":"Luis Fernando"},{"family":"Solís Herrera","given":"Arturo"},{"family":"Aliev","given":"Gjumrakch"}],"issued":{"date-parts":[["2020",10]]}}}],"schema":"https://github.com/citation-style-language/schema/raw/master/csl-citation.json"}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3C407A">
              <w:rPr>
                <w:rFonts w:ascii="Times New Roman" w:hAnsi="Times New Roman" w:cs="Times New Roman"/>
                <w:color w:val="000000"/>
                <w:sz w:val="13"/>
                <w:vertAlign w:val="superscript"/>
                <w:lang w:val="de-DE"/>
              </w:rPr>
              <w:t>47</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3F4C596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5006B8B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88</w:t>
            </w:r>
          </w:p>
        </w:tc>
        <w:tc>
          <w:tcPr>
            <w:tcW w:w="384" w:type="pct"/>
            <w:tcBorders>
              <w:top w:val="nil"/>
              <w:left w:val="nil"/>
              <w:bottom w:val="nil"/>
              <w:right w:val="nil"/>
            </w:tcBorders>
            <w:shd w:val="clear" w:color="auto" w:fill="auto"/>
            <w:noWrap/>
            <w:vAlign w:val="center"/>
            <w:hideMark/>
          </w:tcPr>
          <w:p w14:paraId="2CE99CE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15</w:t>
            </w:r>
          </w:p>
        </w:tc>
        <w:tc>
          <w:tcPr>
            <w:tcW w:w="275" w:type="pct"/>
            <w:tcBorders>
              <w:top w:val="nil"/>
              <w:left w:val="nil"/>
              <w:bottom w:val="nil"/>
              <w:right w:val="nil"/>
            </w:tcBorders>
            <w:shd w:val="clear" w:color="auto" w:fill="auto"/>
            <w:noWrap/>
            <w:vAlign w:val="center"/>
            <w:hideMark/>
          </w:tcPr>
          <w:p w14:paraId="1934070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7BFE869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6E7E09A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220</w:t>
            </w:r>
          </w:p>
        </w:tc>
        <w:tc>
          <w:tcPr>
            <w:tcW w:w="493" w:type="pct"/>
            <w:tcBorders>
              <w:top w:val="nil"/>
              <w:left w:val="nil"/>
              <w:bottom w:val="nil"/>
              <w:right w:val="nil"/>
            </w:tcBorders>
            <w:shd w:val="clear" w:color="auto" w:fill="auto"/>
            <w:noWrap/>
            <w:vAlign w:val="center"/>
            <w:hideMark/>
          </w:tcPr>
          <w:p w14:paraId="7445FBF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w:t>
            </w:r>
          </w:p>
        </w:tc>
        <w:tc>
          <w:tcPr>
            <w:tcW w:w="629" w:type="pct"/>
            <w:tcBorders>
              <w:top w:val="nil"/>
              <w:left w:val="nil"/>
              <w:bottom w:val="nil"/>
              <w:right w:val="nil"/>
            </w:tcBorders>
            <w:shd w:val="clear" w:color="auto" w:fill="auto"/>
            <w:noWrap/>
            <w:vAlign w:val="center"/>
            <w:hideMark/>
          </w:tcPr>
          <w:p w14:paraId="3BDF8BD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0A04ACF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21</w:t>
            </w:r>
          </w:p>
        </w:tc>
        <w:tc>
          <w:tcPr>
            <w:tcW w:w="275" w:type="pct"/>
            <w:tcBorders>
              <w:top w:val="nil"/>
              <w:left w:val="nil"/>
              <w:bottom w:val="nil"/>
              <w:right w:val="nil"/>
            </w:tcBorders>
            <w:shd w:val="clear" w:color="auto" w:fill="auto"/>
            <w:noWrap/>
            <w:vAlign w:val="center"/>
            <w:hideMark/>
          </w:tcPr>
          <w:p w14:paraId="706C753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w:t>
            </w:r>
          </w:p>
        </w:tc>
      </w:tr>
      <w:tr w:rsidR="007A62EC" w:rsidRPr="007B37AC" w14:paraId="6588188A" w14:textId="77777777" w:rsidTr="007B37AC">
        <w:trPr>
          <w:trHeight w:val="320"/>
        </w:trPr>
        <w:tc>
          <w:tcPr>
            <w:tcW w:w="1058" w:type="pct"/>
            <w:tcBorders>
              <w:top w:val="nil"/>
              <w:left w:val="nil"/>
              <w:bottom w:val="nil"/>
              <w:right w:val="nil"/>
            </w:tcBorders>
            <w:shd w:val="clear" w:color="auto" w:fill="auto"/>
            <w:noWrap/>
            <w:vAlign w:val="center"/>
            <w:hideMark/>
          </w:tcPr>
          <w:p w14:paraId="3A744C3D" w14:textId="3F49FA94"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Pavlov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{"citationID":"KDXESRl5","properties":{"formattedCitation":"\\super 47\\nosupersub{}","plainCitation":"47","noteIndex":0},"citationItems":[{"id":1596,"uris":["http://zotero.org/users/local/4rfnQu81/items/AZXQVBJ7"],"uri":["http://zotero.org/users/local/4rfnQu81/items/AZXQVBJ7"],"itemData":{"id":1596,"type":"article-journal","abstract":"Intracerebral hemorrhage (ICH) is a common and severe neurological disorder and is associated with high rates of mortality and morbidity. ICH is associated with old age and underlying conditions such as hypertension and diabetes mellitus. The COVID-19 pandemic is associated with neurological symptoms and complications including ICH. For instance, the mechanisms by which COVID-19 may contribute to hemorrhagic stroke may include both depletion of angiotensin converting enzyme 2 (ACE2) receptor and overactive immune response. In this study, we herein report three patients (0.25%) out of 1200 admissions with COVID-19 to our center between 1 May and August 4, 2020, who developed ICH. In addition, we will briefly discuss the possible pathophysiological mechanisms of COVID-19 infection in patients with ICH.","container-title":"Frontiers in Aging Neuroscience","DOI":"10.3389/fnagi.2020.600172","ISSN":"1663-4365","issue":"October","page":"1–6","title":"COVID-19-Related Intracerebral Hemorrhage","volume":"12","author":[{"family":"Pavlov","given":"Valentin"},{"family":"Beylerli","given":"Ozal"},{"family":"Gareev","given":"Ilgiz"},{"family":"Torres Solis","given":"Luis Fernando"},{"family":"Solís Herrera","given":"Arturo"},{"family":"Aliev","given":"Gjumrakch"}],"issued":{"date-parts":[["2020",10]]}}}],"schema":"https://github.com/citation-style-language/schema/raw/master/csl-citation.json"}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3C407A">
              <w:rPr>
                <w:rFonts w:ascii="Times New Roman" w:hAnsi="Times New Roman" w:cs="Times New Roman"/>
                <w:color w:val="000000"/>
                <w:sz w:val="13"/>
                <w:vertAlign w:val="superscript"/>
                <w:lang w:val="de-DE"/>
              </w:rPr>
              <w:t>47</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1A9D862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33EF16E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120</w:t>
            </w:r>
          </w:p>
        </w:tc>
        <w:tc>
          <w:tcPr>
            <w:tcW w:w="384" w:type="pct"/>
            <w:tcBorders>
              <w:top w:val="nil"/>
              <w:left w:val="nil"/>
              <w:bottom w:val="nil"/>
              <w:right w:val="nil"/>
            </w:tcBorders>
            <w:shd w:val="clear" w:color="auto" w:fill="auto"/>
            <w:noWrap/>
            <w:vAlign w:val="center"/>
            <w:hideMark/>
          </w:tcPr>
          <w:p w14:paraId="764F5FE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15</w:t>
            </w:r>
          </w:p>
        </w:tc>
        <w:tc>
          <w:tcPr>
            <w:tcW w:w="275" w:type="pct"/>
            <w:tcBorders>
              <w:top w:val="nil"/>
              <w:left w:val="nil"/>
              <w:bottom w:val="nil"/>
              <w:right w:val="nil"/>
            </w:tcBorders>
            <w:shd w:val="clear" w:color="auto" w:fill="auto"/>
            <w:noWrap/>
            <w:vAlign w:val="center"/>
            <w:hideMark/>
          </w:tcPr>
          <w:p w14:paraId="5E1F310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6DA7D89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5B2D01E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334</w:t>
            </w:r>
          </w:p>
        </w:tc>
        <w:tc>
          <w:tcPr>
            <w:tcW w:w="493" w:type="pct"/>
            <w:tcBorders>
              <w:top w:val="nil"/>
              <w:left w:val="nil"/>
              <w:bottom w:val="nil"/>
              <w:right w:val="nil"/>
            </w:tcBorders>
            <w:shd w:val="clear" w:color="auto" w:fill="auto"/>
            <w:noWrap/>
            <w:vAlign w:val="center"/>
            <w:hideMark/>
          </w:tcPr>
          <w:p w14:paraId="68AEEE3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w:t>
            </w:r>
          </w:p>
        </w:tc>
        <w:tc>
          <w:tcPr>
            <w:tcW w:w="629" w:type="pct"/>
            <w:tcBorders>
              <w:top w:val="nil"/>
              <w:left w:val="nil"/>
              <w:bottom w:val="nil"/>
              <w:right w:val="nil"/>
            </w:tcBorders>
            <w:shd w:val="clear" w:color="auto" w:fill="auto"/>
            <w:noWrap/>
            <w:vAlign w:val="center"/>
            <w:hideMark/>
          </w:tcPr>
          <w:p w14:paraId="19F63C2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166F760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10</w:t>
            </w:r>
          </w:p>
        </w:tc>
        <w:tc>
          <w:tcPr>
            <w:tcW w:w="275" w:type="pct"/>
            <w:tcBorders>
              <w:top w:val="nil"/>
              <w:left w:val="nil"/>
              <w:bottom w:val="nil"/>
              <w:right w:val="nil"/>
            </w:tcBorders>
            <w:shd w:val="clear" w:color="auto" w:fill="auto"/>
            <w:noWrap/>
            <w:vAlign w:val="center"/>
            <w:hideMark/>
          </w:tcPr>
          <w:p w14:paraId="4D0F785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w:t>
            </w:r>
          </w:p>
        </w:tc>
      </w:tr>
      <w:tr w:rsidR="007A62EC" w:rsidRPr="007B37AC" w14:paraId="717E6591" w14:textId="77777777" w:rsidTr="007B37AC">
        <w:trPr>
          <w:trHeight w:val="340"/>
        </w:trPr>
        <w:tc>
          <w:tcPr>
            <w:tcW w:w="1058" w:type="pct"/>
            <w:tcBorders>
              <w:top w:val="nil"/>
              <w:left w:val="nil"/>
              <w:bottom w:val="nil"/>
              <w:right w:val="nil"/>
            </w:tcBorders>
            <w:shd w:val="clear" w:color="auto" w:fill="auto"/>
            <w:noWrap/>
            <w:vAlign w:val="center"/>
            <w:hideMark/>
          </w:tcPr>
          <w:p w14:paraId="312240CC" w14:textId="1D802745"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Pavlov et al. </w:t>
            </w:r>
            <w:r>
              <w:rPr>
                <w:rFonts w:ascii="Times New Roman" w:eastAsia="Times New Roman" w:hAnsi="Times New Roman" w:cs="Times New Roman"/>
                <w:color w:val="000000"/>
                <w:sz w:val="13"/>
                <w:szCs w:val="13"/>
                <w:lang w:eastAsia="de-DE"/>
              </w:rPr>
              <w:fldChar w:fldCharType="begin"/>
            </w:r>
            <w:r w:rsidR="005206E9">
              <w:rPr>
                <w:rFonts w:ascii="Times New Roman" w:eastAsia="Times New Roman" w:hAnsi="Times New Roman" w:cs="Times New Roman"/>
                <w:color w:val="000000"/>
                <w:sz w:val="13"/>
                <w:szCs w:val="13"/>
                <w:lang w:eastAsia="de-DE"/>
              </w:rPr>
              <w:instrText xml:space="preserve"> ADDIN ZOTERO_ITEM CSL_CITATION {"citationID":"dEZawnCT","properties":{"formattedCitation":"\\super 47\\nosupersub{}","plainCitation":"47","noteIndex":0},"citationItems":[{"id":1596,"uris":["http://zotero.org/users/local/4rfnQu81/items/AZXQVBJ7"],"uri":["http://zotero.org/users/local/4rfnQu81/items/AZXQVBJ7"],"itemData":{"id":1596,"type":"article-journal","abstract":"Intracerebral hemorrhage (ICH) is a common and severe neurological disorder and is associated with high rates of mortality and morbidity. ICH is associated with old age and underlying conditions such as hypertension and diabetes mellitus. The COVID-19 pandemic is associated with neurological symptoms and complications including ICH. For instance, the mechanisms by which COVID-19 may contribute to hemorrhagic stroke may include both depletion of angiotensin converting enzyme 2 (ACE2) receptor and overactive immune response. In this study, we herein report three patients (0.25%) out of 1200 admissions with COVID-19 to our center between 1 May and August 4, 2020, who developed ICH. In addition, we will briefly discuss the possible pathophysiological mechanisms of COVID-19 infection in patients with ICH.","container-title":"Frontiers in Aging Neuroscience","DOI":"10.3389/fnagi.2020.600172","ISSN":"1663-4365","issue":"October","page":"1–6","title":"COVID-19-Related Intracerebral Hemorrhage","volume":"12","author":[{"family":"Pavlov","given":"Valentin"},{"family":"Beylerli","given":"Ozal"},{"family":"Gareev","given":"Ilgiz"},{"family":"Torres Solis","given":"Luis Fernando"},{"family":"Solís Herrera","given":"Arturo"},{"family":"Aliev","given":"Gjumrakch"}],"issued":{"date-parts":[["2020",10]]}}}],"schema":"https://github.com/citation-style-language/schema/raw/master/csl-citation.json"}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3C407A">
              <w:rPr>
                <w:rFonts w:ascii="Times New Roman" w:hAnsi="Times New Roman" w:cs="Times New Roman"/>
                <w:color w:val="000000"/>
                <w:sz w:val="13"/>
                <w:vertAlign w:val="superscript"/>
                <w:lang w:val="de-DE"/>
              </w:rPr>
              <w:t>47</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0A1CA3B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0BFF9B5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189</w:t>
            </w:r>
          </w:p>
        </w:tc>
        <w:tc>
          <w:tcPr>
            <w:tcW w:w="384" w:type="pct"/>
            <w:tcBorders>
              <w:top w:val="nil"/>
              <w:left w:val="nil"/>
              <w:bottom w:val="nil"/>
              <w:right w:val="nil"/>
            </w:tcBorders>
            <w:shd w:val="clear" w:color="auto" w:fill="auto"/>
            <w:noWrap/>
            <w:vAlign w:val="center"/>
            <w:hideMark/>
          </w:tcPr>
          <w:p w14:paraId="67F6B14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15</w:t>
            </w:r>
          </w:p>
        </w:tc>
        <w:tc>
          <w:tcPr>
            <w:tcW w:w="275" w:type="pct"/>
            <w:tcBorders>
              <w:top w:val="nil"/>
              <w:left w:val="nil"/>
              <w:bottom w:val="nil"/>
              <w:right w:val="nil"/>
            </w:tcBorders>
            <w:shd w:val="clear" w:color="auto" w:fill="auto"/>
            <w:noWrap/>
            <w:vAlign w:val="center"/>
            <w:hideMark/>
          </w:tcPr>
          <w:p w14:paraId="7DFB700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320636E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33742A5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480</w:t>
            </w:r>
          </w:p>
        </w:tc>
        <w:tc>
          <w:tcPr>
            <w:tcW w:w="493" w:type="pct"/>
            <w:tcBorders>
              <w:top w:val="nil"/>
              <w:left w:val="nil"/>
              <w:bottom w:val="nil"/>
              <w:right w:val="nil"/>
            </w:tcBorders>
            <w:shd w:val="clear" w:color="auto" w:fill="auto"/>
            <w:noWrap/>
            <w:vAlign w:val="center"/>
            <w:hideMark/>
          </w:tcPr>
          <w:p w14:paraId="0A88DB7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w:t>
            </w:r>
          </w:p>
        </w:tc>
        <w:tc>
          <w:tcPr>
            <w:tcW w:w="629" w:type="pct"/>
            <w:tcBorders>
              <w:top w:val="nil"/>
              <w:left w:val="nil"/>
              <w:bottom w:val="nil"/>
              <w:right w:val="nil"/>
            </w:tcBorders>
            <w:shd w:val="clear" w:color="auto" w:fill="auto"/>
            <w:noWrap/>
            <w:vAlign w:val="center"/>
            <w:hideMark/>
          </w:tcPr>
          <w:p w14:paraId="3F5937B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5CBBDB4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12</w:t>
            </w:r>
          </w:p>
        </w:tc>
        <w:tc>
          <w:tcPr>
            <w:tcW w:w="275" w:type="pct"/>
            <w:tcBorders>
              <w:top w:val="nil"/>
              <w:left w:val="nil"/>
              <w:bottom w:val="nil"/>
              <w:right w:val="nil"/>
            </w:tcBorders>
            <w:shd w:val="clear" w:color="auto" w:fill="auto"/>
            <w:noWrap/>
            <w:vAlign w:val="center"/>
            <w:hideMark/>
          </w:tcPr>
          <w:p w14:paraId="2DD8CEB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40A49312" w14:textId="77777777" w:rsidTr="007B37AC">
        <w:trPr>
          <w:trHeight w:val="320"/>
        </w:trPr>
        <w:tc>
          <w:tcPr>
            <w:tcW w:w="1058" w:type="pct"/>
            <w:tcBorders>
              <w:top w:val="nil"/>
              <w:left w:val="nil"/>
              <w:bottom w:val="nil"/>
              <w:right w:val="nil"/>
            </w:tcBorders>
            <w:shd w:val="clear" w:color="auto" w:fill="auto"/>
            <w:noWrap/>
            <w:vAlign w:val="center"/>
            <w:hideMark/>
          </w:tcPr>
          <w:p w14:paraId="190B62E4" w14:textId="27EFA9CA"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Tristán-Samaniego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{"citationID":"D0qHZaJH","properties":{"formattedCitation":"\\super 48\\nosupersub{}","plainCitation":"48","noteIndex":0},"citationItems":[{"id":3535,"uris":["http://zotero.org/users/local/4rfnQu81/items/ALKF53VL"],"uri":["http://zotero.org/users/local/4rfnQu81/items/ALKF53VL"],"itemData":{"id":3535,"type":"article-journal","abstract":"Background: The complications of coronavirus disease 2019 (COVID-19), the clinical entity caused by the severe acute respiratory syndrome coronavirus 2 (SARS-CoV-2), are not limited to the respiratory system. Leukoencephalopathy with microbleeds is increasingly seen in patients with COVID-19. New information is needed to delineate better the clinical implications of this infectious disease.","language":"en","page":"6","source":"Zotero","title":"COVID-19-related diffuse posthypoxic leukoencephalopathy and microbleeds masquerades as acute necrot","author":[{"family":"Tristán-Samaniego","given":"Dioselina Panamá"},{"family":"Chiquete","given":"Erwin"},{"family":"Treviño","given":"Irene"},{"family":"Rubalcava-Ortega","given":"Johnatan"},{"family":"Higuera-Calleja","given":"Jesús Antonio"},{"family":"Espinoza-Alvarado","given":"Lissett"},{"family":"Barrera-Vargas","given":"Ana"},{"family":"González-Duarte","given":"Alejandra"},{"family":"Vega-Boada","given":"Felipe"},{"family":"Cantú","given":"Carlos"}]}}],"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3C407A">
              <w:rPr>
                <w:rFonts w:ascii="Times New Roman" w:hAnsi="Times New Roman" w:cs="Times New Roman"/>
                <w:color w:val="000000"/>
                <w:sz w:val="13"/>
                <w:vertAlign w:val="superscript"/>
                <w:lang w:val="de-DE"/>
              </w:rPr>
              <w:t>48</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64DD780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55D79EC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328</w:t>
            </w:r>
          </w:p>
        </w:tc>
        <w:tc>
          <w:tcPr>
            <w:tcW w:w="384" w:type="pct"/>
            <w:tcBorders>
              <w:top w:val="nil"/>
              <w:left w:val="nil"/>
              <w:bottom w:val="nil"/>
              <w:right w:val="nil"/>
            </w:tcBorders>
            <w:shd w:val="clear" w:color="auto" w:fill="auto"/>
            <w:noWrap/>
            <w:vAlign w:val="center"/>
            <w:hideMark/>
          </w:tcPr>
          <w:p w14:paraId="4BF3E4F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66A4481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476EDBE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02F6C0D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4F512AC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8</w:t>
            </w:r>
          </w:p>
        </w:tc>
        <w:tc>
          <w:tcPr>
            <w:tcW w:w="629" w:type="pct"/>
            <w:tcBorders>
              <w:top w:val="nil"/>
              <w:left w:val="nil"/>
              <w:bottom w:val="nil"/>
              <w:right w:val="nil"/>
            </w:tcBorders>
            <w:shd w:val="clear" w:color="auto" w:fill="auto"/>
            <w:noWrap/>
            <w:vAlign w:val="center"/>
            <w:hideMark/>
          </w:tcPr>
          <w:p w14:paraId="77E4293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MRI</w:t>
            </w:r>
          </w:p>
        </w:tc>
        <w:tc>
          <w:tcPr>
            <w:tcW w:w="316" w:type="pct"/>
            <w:tcBorders>
              <w:top w:val="nil"/>
              <w:left w:val="nil"/>
              <w:bottom w:val="nil"/>
              <w:right w:val="nil"/>
            </w:tcBorders>
            <w:shd w:val="clear" w:color="auto" w:fill="auto"/>
            <w:noWrap/>
            <w:vAlign w:val="center"/>
            <w:hideMark/>
          </w:tcPr>
          <w:p w14:paraId="070DB73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13</w:t>
            </w:r>
          </w:p>
        </w:tc>
        <w:tc>
          <w:tcPr>
            <w:tcW w:w="275" w:type="pct"/>
            <w:tcBorders>
              <w:top w:val="nil"/>
              <w:left w:val="nil"/>
              <w:bottom w:val="nil"/>
              <w:right w:val="nil"/>
            </w:tcBorders>
            <w:shd w:val="clear" w:color="auto" w:fill="auto"/>
            <w:noWrap/>
            <w:vAlign w:val="center"/>
            <w:hideMark/>
          </w:tcPr>
          <w:p w14:paraId="343A6E4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w:t>
            </w:r>
          </w:p>
        </w:tc>
      </w:tr>
      <w:tr w:rsidR="007A62EC" w:rsidRPr="007B37AC" w14:paraId="1A1CCD7B" w14:textId="77777777" w:rsidTr="007B37AC">
        <w:trPr>
          <w:trHeight w:val="340"/>
        </w:trPr>
        <w:tc>
          <w:tcPr>
            <w:tcW w:w="1058" w:type="pct"/>
            <w:tcBorders>
              <w:top w:val="nil"/>
              <w:left w:val="nil"/>
              <w:bottom w:val="nil"/>
              <w:right w:val="nil"/>
            </w:tcBorders>
            <w:shd w:val="clear" w:color="auto" w:fill="auto"/>
            <w:noWrap/>
            <w:vAlign w:val="center"/>
            <w:hideMark/>
          </w:tcPr>
          <w:p w14:paraId="04AB031E" w14:textId="6A10A59A"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Daneshi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{"citationID":"a7G52oQD","properties":{"formattedCitation":"\\super 49\\nosupersub{}","plainCitation":"49","noteIndex":0},"citationItems":[{"id":1590,"uris":["http://zotero.org/users/local/4rfnQu81/items/VFWKMFCX"],"uri":["http://zotero.org/users/local/4rfnQu81/items/VFWKMFCX"],"itemData":{"id":1590,"type":"article-journal","abstract":"Introduction: Recently, weeks after the COVID-19 prevalence, there were reports of brain involvement and neurologic presentations in the COVID-19. Case presentation: We present five cases of COVID-19 and cerebrovascular events. A 34-year-old woman with IVH and ischemic stroke. A 60-year-old man with multiple small hemorrhagic foci and mild IVH in the occipital horn. A 63-year-old woman with large left parietooccipital intracerebral hemorrhage (ICH) and IVH. A 56-year-old man with left hemispheric and midbrain ICH, lateral ventricular IVH, and hydrocephalus. A 85-year-old woman with right parietal hemorrhagic infarct. The coagulation profile was normal in all of them. The chest CT scan showed the typical ground-glass appearance of COVID-19. Conclusions: Recently, there were reports of brain involvement and neurologic presentations in the COVID-19. These reports and the present study necessitate the aimed and designed studies with emphasis on neurologic presentations in COVID-19 patients to illustrate the exact effects of coronavirus-2 on the central nervous system.","container-title":"British Journal of Neurosurgery","DOI":"10.1080/02688697.2020.1861433","ISSN":"1360046X","issue":"0","note":"publisher: Taylor &amp; Francis","page":"1–6","title":"SARS coronavirus 2 and central nervous system manifestations: causation, relation, or coexistence? a case series study and literature review","volume":"0","author":[{"family":"Daneshi","given":"Seyed Abdolhadi"},{"family":"Taheri","given":"Morteza"},{"family":"Fattahi","given":"Arash"}],"issued":{"date-parts":[["2020"]]}}}],"schema":"https://github.com/citation-style-language/schema/raw/master/csl-citation.json"}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3C407A">
              <w:rPr>
                <w:rFonts w:ascii="Times New Roman" w:hAnsi="Times New Roman" w:cs="Times New Roman"/>
                <w:color w:val="000000"/>
                <w:sz w:val="13"/>
                <w:vertAlign w:val="superscript"/>
                <w:lang w:val="de-DE"/>
              </w:rPr>
              <w:t>49</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2FA346C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vAlign w:val="center"/>
            <w:hideMark/>
          </w:tcPr>
          <w:p w14:paraId="4663A09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7713884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436109E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7CC6B10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vAlign w:val="center"/>
            <w:hideMark/>
          </w:tcPr>
          <w:p w14:paraId="6D820A8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vAlign w:val="center"/>
            <w:hideMark/>
          </w:tcPr>
          <w:p w14:paraId="30DB6EE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6D3A903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16" w:type="pct"/>
            <w:tcBorders>
              <w:top w:val="nil"/>
              <w:left w:val="nil"/>
              <w:bottom w:val="nil"/>
              <w:right w:val="nil"/>
            </w:tcBorders>
            <w:shd w:val="clear" w:color="auto" w:fill="auto"/>
            <w:noWrap/>
            <w:vAlign w:val="center"/>
            <w:hideMark/>
          </w:tcPr>
          <w:p w14:paraId="7ABBC1A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10013A0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58B97292" w14:textId="77777777" w:rsidTr="007B37AC">
        <w:trPr>
          <w:trHeight w:val="320"/>
        </w:trPr>
        <w:tc>
          <w:tcPr>
            <w:tcW w:w="1058" w:type="pct"/>
            <w:tcBorders>
              <w:top w:val="nil"/>
              <w:left w:val="nil"/>
              <w:bottom w:val="nil"/>
              <w:right w:val="nil"/>
            </w:tcBorders>
            <w:shd w:val="clear" w:color="auto" w:fill="auto"/>
            <w:noWrap/>
            <w:vAlign w:val="center"/>
            <w:hideMark/>
          </w:tcPr>
          <w:p w14:paraId="5E03A978" w14:textId="457CF146"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Daneshi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{"citationID":"Rcud0mRw","properties":{"formattedCitation":"\\super 49\\nosupersub{}","plainCitation":"49","noteIndex":0},"citationItems":[{"id":1590,"uris":["http://zotero.org/users/local/4rfnQu81/items/VFWKMFCX"],"uri":["http://zotero.org/users/local/4rfnQu81/items/VFWKMFCX"],"itemData":{"id":1590,"type":"article-journal","abstract":"Introduction: Recently, weeks after the COVID-19 prevalence, there were reports of brain involvement and neurologic presentations in the COVID-19. Case presentation: We present five cases of COVID-19 and cerebrovascular events. A 34-year-old woman with IVH and ischemic stroke. A 60-year-old man with multiple small hemorrhagic foci and mild IVH in the occipital horn. A 63-year-old woman with large left parietooccipital intracerebral hemorrhage (ICH) and IVH. A 56-year-old man with left hemispheric and midbrain ICH, lateral ventricular IVH, and hydrocephalus. A 85-year-old woman with right parietal hemorrhagic infarct. The coagulation profile was normal in all of them. The chest CT scan showed the typical ground-glass appearance of COVID-19. Conclusions: Recently, there were reports of brain involvement and neurologic presentations in the COVID-19. These reports and the present study necessitate the aimed and designed studies with emphasis on neurologic presentations in COVID-19 patients to illustrate the exact effects of coronavirus-2 on the central nervous system.","container-title":"British Journal of Neurosurgery","DOI":"10.1080/02688697.2020.1861433","ISSN":"1360046X","issue":"0","note":"publisher: Taylor &amp; Francis","page":"1–6","title":"SARS coronavirus 2 and central nervous system manifestations: causation, relation, or coexistence? a case series study and literature review","volume":"0","author":[{"family":"Daneshi","given":"Seyed Abdolhadi"},{"family":"Taheri","given":"Morteza"},{"family":"Fattahi","given":"Arash"}],"issued":{"date-parts":[["2020"]]}}}],"schema":"https://github.com/citation-style-language/schema/raw/master/csl-citation.json"}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3C407A">
              <w:rPr>
                <w:rFonts w:ascii="Times New Roman" w:hAnsi="Times New Roman" w:cs="Times New Roman"/>
                <w:color w:val="000000"/>
                <w:sz w:val="13"/>
                <w:vertAlign w:val="superscript"/>
                <w:lang w:val="de-DE"/>
              </w:rPr>
              <w:t>49</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4D894CD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29AFD3C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595D0EC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620BCD3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79CBAAC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1563E6F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34A16F6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303C513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16" w:type="pct"/>
            <w:tcBorders>
              <w:top w:val="nil"/>
              <w:left w:val="nil"/>
              <w:bottom w:val="nil"/>
              <w:right w:val="nil"/>
            </w:tcBorders>
            <w:shd w:val="clear" w:color="auto" w:fill="auto"/>
            <w:noWrap/>
            <w:vAlign w:val="center"/>
            <w:hideMark/>
          </w:tcPr>
          <w:p w14:paraId="1504495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607DE4A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7FB1D49E" w14:textId="77777777" w:rsidTr="007B37AC">
        <w:trPr>
          <w:trHeight w:val="320"/>
        </w:trPr>
        <w:tc>
          <w:tcPr>
            <w:tcW w:w="1058" w:type="pct"/>
            <w:tcBorders>
              <w:top w:val="nil"/>
              <w:left w:val="nil"/>
              <w:bottom w:val="nil"/>
              <w:right w:val="nil"/>
            </w:tcBorders>
            <w:shd w:val="clear" w:color="auto" w:fill="auto"/>
            <w:noWrap/>
            <w:vAlign w:val="center"/>
            <w:hideMark/>
          </w:tcPr>
          <w:p w14:paraId="5D6D22B4" w14:textId="00875F01"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Daneshi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{"citationID":"Mzw1qHPC","properties":{"formattedCitation":"\\super 49\\nosupersub{}","plainCitation":"49","noteIndex":0},"citationItems":[{"id":1590,"uris":["http://zotero.org/users/local/4rfnQu81/items/VFWKMFCX"],"uri":["http://zotero.org/users/local/4rfnQu81/items/VFWKMFCX"],"itemData":{"id":1590,"type":"article-journal","abstract":"Introduction: Recently, weeks after the COVID-19 prevalence, there were reports of brain involvement and neurologic presentations in the COVID-19. Case presentation: We present five cases of COVID-19 and cerebrovascular events. A 34-year-old woman with IVH and ischemic stroke. A 60-year-old man with multiple small hemorrhagic foci and mild IVH in the occipital horn. A 63-year-old woman with large left parietooccipital intracerebral hemorrhage (ICH) and IVH. A 56-year-old man with left hemispheric and midbrain ICH, lateral ventricular IVH, and hydrocephalus. A 85-year-old woman with right parietal hemorrhagic infarct. The coagulation profile was normal in all of them. The chest CT scan showed the typical ground-glass appearance of COVID-19. Conclusions: Recently, there were reports of brain involvement and neurologic presentations in the COVID-19. These reports and the present study necessitate the aimed and designed studies with emphasis on neurologic presentations in COVID-19 patients to illustrate the exact effects of coronavirus-2 on the central nervous system.","container-title":"British Journal of Neurosurgery","DOI":"10.1080/02688697.2020.1861433","ISSN":"1360046X","issue":"0","note":"publisher: Taylor &amp; Francis","page":"1–6","title":"SARS coronavirus 2 and central nervous system manifestations: causation, relation, or coexistence? a case series study and literature review","volume":"0","author":[{"family":"Daneshi","given":"Seyed Abdolhadi"},{"family":"Taheri","given":"Morteza"},{"family":"Fattahi","given":"Arash"}],"issued":{"date-parts":[["2020"]]}}}],"schema":"https://github.com/citation-style-language/schema/raw/master/csl-citation.json"}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3C407A">
              <w:rPr>
                <w:rFonts w:ascii="Times New Roman" w:hAnsi="Times New Roman" w:cs="Times New Roman"/>
                <w:color w:val="000000"/>
                <w:sz w:val="13"/>
                <w:vertAlign w:val="superscript"/>
                <w:lang w:val="de-DE"/>
              </w:rPr>
              <w:t>49</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3ED9412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7581693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00AF762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6655393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6E800A6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411B210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48CED1B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414F96C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16" w:type="pct"/>
            <w:tcBorders>
              <w:top w:val="nil"/>
              <w:left w:val="nil"/>
              <w:bottom w:val="nil"/>
              <w:right w:val="nil"/>
            </w:tcBorders>
            <w:shd w:val="clear" w:color="auto" w:fill="auto"/>
            <w:noWrap/>
            <w:vAlign w:val="center"/>
            <w:hideMark/>
          </w:tcPr>
          <w:p w14:paraId="2558D0A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5B484CA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5C94E45F" w14:textId="77777777" w:rsidTr="007B37AC">
        <w:trPr>
          <w:trHeight w:val="320"/>
        </w:trPr>
        <w:tc>
          <w:tcPr>
            <w:tcW w:w="1058" w:type="pct"/>
            <w:tcBorders>
              <w:top w:val="nil"/>
              <w:left w:val="nil"/>
              <w:bottom w:val="nil"/>
              <w:right w:val="nil"/>
            </w:tcBorders>
            <w:shd w:val="clear" w:color="auto" w:fill="auto"/>
            <w:noWrap/>
            <w:vAlign w:val="center"/>
            <w:hideMark/>
          </w:tcPr>
          <w:p w14:paraId="6436C0CF" w14:textId="2F4E4978"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Daneshi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{"citationID":"NK0Un86y","properties":{"formattedCitation":"\\super 49\\nosupersub{}","plainCitation":"49","noteIndex":0},"citationItems":[{"id":1590,"uris":["http://zotero.org/users/local/4rfnQu81/items/VFWKMFCX"],"uri":["http://zotero.org/users/local/4rfnQu81/items/VFWKMFCX"],"itemData":{"id":1590,"type":"article-journal","abstract":"Introduction: Recently, weeks after the COVID-19 prevalence, there were reports of brain involvement and neurologic presentations in the COVID-19. Case presentation: We present five cases of COVID-19 and cerebrovascular events. A 34-year-old woman with IVH and ischemic stroke. A 60-year-old man with multiple small hemorrhagic foci and mild IVH in the occipital horn. A 63-year-old woman with large left parietooccipital intracerebral hemorrhage (ICH) and IVH. A 56-year-old man with left hemispheric and midbrain ICH, lateral ventricular IVH, and hydrocephalus. A 85-year-old woman with right parietal hemorrhagic infarct. The coagulation profile was normal in all of them. The chest CT scan showed the typical ground-glass appearance of COVID-19. Conclusions: Recently, there were reports of brain involvement and neurologic presentations in the COVID-19. These reports and the present study necessitate the aimed and designed studies with emphasis on neurologic presentations in COVID-19 patients to illustrate the exact effects of coronavirus-2 on the central nervous system.","container-title":"British Journal of Neurosurgery","DOI":"10.1080/02688697.2020.1861433","ISSN":"1360046X","issue":"0","note":"publisher: Taylor &amp; Francis","page":"1–6","title":"SARS coronavirus 2 and central nervous system manifestations: causation, relation, or coexistence? a case series study and literature review","volume":"0","author":[{"family":"Daneshi","given":"Seyed Abdolhadi"},{"family":"Taheri","given":"Morteza"},{"family":"Fattahi","given":"Arash"}],"issued":{"date-parts":[["2020"]]}}}],"schema":"https://github.com/citation-style-language/schema/raw/master/csl-citation.json"}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3C407A">
              <w:rPr>
                <w:rFonts w:ascii="Times New Roman" w:hAnsi="Times New Roman" w:cs="Times New Roman"/>
                <w:color w:val="000000"/>
                <w:sz w:val="13"/>
                <w:vertAlign w:val="superscript"/>
                <w:lang w:val="de-DE"/>
              </w:rPr>
              <w:t>49</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238FB88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0E99907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3447EC1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4639E7E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368375A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6C4603A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5506F20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0680317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16" w:type="pct"/>
            <w:tcBorders>
              <w:top w:val="nil"/>
              <w:left w:val="nil"/>
              <w:bottom w:val="nil"/>
              <w:right w:val="nil"/>
            </w:tcBorders>
            <w:shd w:val="clear" w:color="auto" w:fill="auto"/>
            <w:noWrap/>
            <w:vAlign w:val="center"/>
            <w:hideMark/>
          </w:tcPr>
          <w:p w14:paraId="7EF769A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749D961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0E21A12D" w14:textId="77777777" w:rsidTr="007B37AC">
        <w:trPr>
          <w:trHeight w:val="320"/>
        </w:trPr>
        <w:tc>
          <w:tcPr>
            <w:tcW w:w="1058" w:type="pct"/>
            <w:tcBorders>
              <w:top w:val="nil"/>
              <w:left w:val="nil"/>
              <w:bottom w:val="nil"/>
              <w:right w:val="nil"/>
            </w:tcBorders>
            <w:shd w:val="clear" w:color="auto" w:fill="auto"/>
            <w:noWrap/>
            <w:vAlign w:val="center"/>
            <w:hideMark/>
          </w:tcPr>
          <w:p w14:paraId="570A0ADE" w14:textId="438CA593"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Daneshi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{"citationID":"oiaxbp9o","properties":{"formattedCitation":"\\super 49\\nosupersub{}","plainCitation":"49","noteIndex":0},"citationItems":[{"id":1590,"uris":["http://zotero.org/users/local/4rfnQu81/items/VFWKMFCX"],"uri":["http://zotero.org/users/local/4rfnQu81/items/VFWKMFCX"],"itemData":{"id":1590,"type":"article-journal","abstract":"Introduction: Recently, weeks after the COVID-19 prevalence, there were reports of brain involvement and neurologic presentations in the COVID-19. Case presentation: We present five cases of COVID-19 and cerebrovascular events. A 34-year-old woman with IVH and ischemic stroke. A 60-year-old man with multiple small hemorrhagic foci and mild IVH in the occipital horn. A 63-year-old woman with large left parietooccipital intracerebral hemorrhage (ICH) and IVH. A 56-year-old man with left hemispheric and midbrain ICH, lateral ventricular IVH, and hydrocephalus. A 85-year-old woman with right parietal hemorrhagic infarct. The coagulation profile was normal in all of them. The chest CT scan showed the typical ground-glass appearance of COVID-19. Conclusions: Recently, there were reports of brain involvement and neurologic presentations in the COVID-19. These reports and the present study necessitate the aimed and designed studies with emphasis on neurologic presentations in COVID-19 patients to illustrate the exact effects of coronavirus-2 on the central nervous system.","container-title":"British Journal of Neurosurgery","DOI":"10.1080/02688697.2020.1861433","ISSN":"1360046X","issue":"0","note":"publisher: Taylor &amp; Francis","page":"1–6","title":"SARS coronavirus 2 and central nervous system manifestations: causation, relation, or coexistence? a case series study and literature review","volume":"0","author":[{"family":"Daneshi","given":"Seyed Abdolhadi"},{"family":"Taheri","given":"Morteza"},{"family":"Fattahi","given":"Arash"}],"issued":{"date-parts":[["2020"]]}}}],"schema":"https://github.com/citation-style-language/schema/raw/master/csl-citation.json"}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3C407A">
              <w:rPr>
                <w:rFonts w:ascii="Times New Roman" w:hAnsi="Times New Roman" w:cs="Times New Roman"/>
                <w:color w:val="000000"/>
                <w:sz w:val="13"/>
                <w:vertAlign w:val="superscript"/>
                <w:lang w:val="de-DE"/>
              </w:rPr>
              <w:t>49</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374FD83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7702F53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220</w:t>
            </w:r>
          </w:p>
        </w:tc>
        <w:tc>
          <w:tcPr>
            <w:tcW w:w="384" w:type="pct"/>
            <w:tcBorders>
              <w:top w:val="nil"/>
              <w:left w:val="nil"/>
              <w:bottom w:val="nil"/>
              <w:right w:val="nil"/>
            </w:tcBorders>
            <w:shd w:val="clear" w:color="auto" w:fill="auto"/>
            <w:noWrap/>
            <w:vAlign w:val="center"/>
            <w:hideMark/>
          </w:tcPr>
          <w:p w14:paraId="4785C44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71C893E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36DF5EF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324ACD0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7AA827D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Calibri" w:eastAsia="Times New Roman" w:hAnsi="Calibri" w:cs="Calibri"/>
                <w:color w:val="000000"/>
                <w:sz w:val="13"/>
                <w:szCs w:val="13"/>
                <w:lang w:eastAsia="de-DE"/>
              </w:rPr>
              <w:t>﻿</w:t>
            </w:r>
            <w:r w:rsidRPr="007B37AC">
              <w:rPr>
                <w:rFonts w:ascii="Times New Roman" w:eastAsia="Times New Roman" w:hAnsi="Times New Roman" w:cs="Times New Roman"/>
                <w:color w:val="000000"/>
                <w:sz w:val="13"/>
                <w:szCs w:val="13"/>
                <w:lang w:eastAsia="de-DE"/>
              </w:rPr>
              <w:t>1.2</w:t>
            </w:r>
          </w:p>
        </w:tc>
        <w:tc>
          <w:tcPr>
            <w:tcW w:w="629" w:type="pct"/>
            <w:tcBorders>
              <w:top w:val="nil"/>
              <w:left w:val="nil"/>
              <w:bottom w:val="nil"/>
              <w:right w:val="nil"/>
            </w:tcBorders>
            <w:shd w:val="clear" w:color="auto" w:fill="auto"/>
            <w:noWrap/>
            <w:vAlign w:val="center"/>
            <w:hideMark/>
          </w:tcPr>
          <w:p w14:paraId="200E041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54C049E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6FE0622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3E3C628E" w14:textId="77777777" w:rsidTr="007B37AC">
        <w:trPr>
          <w:trHeight w:val="340"/>
        </w:trPr>
        <w:tc>
          <w:tcPr>
            <w:tcW w:w="1058" w:type="pct"/>
            <w:tcBorders>
              <w:top w:val="nil"/>
              <w:left w:val="nil"/>
              <w:bottom w:val="nil"/>
              <w:right w:val="nil"/>
            </w:tcBorders>
            <w:shd w:val="clear" w:color="auto" w:fill="auto"/>
            <w:noWrap/>
            <w:vAlign w:val="center"/>
            <w:hideMark/>
          </w:tcPr>
          <w:p w14:paraId="3B30E156" w14:textId="3222A13F"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Kirschenbaum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{"citationID":"iSur7GSF","properties":{"formattedCitation":"\\super 50\\nosupersub{}","plainCitation":"50","noteIndex":0},"citationItems":[{"id":32,"uris":["http://zotero.org/users/local/4rfnQu81/items/DLF97Q4P"],"uri":["http://zotero.org/users/local/4rfnQu81/items/DLF97Q4P"],"itemData":{"id":32,"type":"article-journal","abstract":"Coronavirus disease 19 (COVID-19) is a rapidly evolving pandemic caused by the coronavirus Sars-CoV-2. Clinically manifest central nervous system symptoms have been described in COVID-19 patients and could be the consequence of commonly associated vascular pathology, but the detailed neuropathological sequelae remain largely unknown. A total of six cases, all positive for Sars-CoV-2, showed evidence of cerebral petechial hemorrhages and microthrombi at autopsy. Two out of six patients showed an elevated risk for disseminated intravascular coagulopathy according to current criteria and were excluded from further analysis. In the remaining four patients, the hemorrhages were most prominent at the grey and white matter junction of the neocortex, but were also found in the brainstem, deep grey matter structures and cerebellum. Two patients showed vascular intramural inflammatory infiltrates, consistent with Sars-CoV-2-associated endotheliitis, which was associated by elevated levels of the Sars-CoV-2 receptor ACE2 in the brain vasculature. Distribution and morphology of patchy brain microbleeds was clearly distinct from hypertension-related hemorrhage, critical illness-associated microbleeds and cerebral amyloid angiopathy, which was ruled out by immunohistochemistry. Cerebral microhemorrhages in COVID-19 patients could be a consequence of Sars- CoV-2-induced endotheliitis and more general vasculopathic changes and may correlate with an increased risk of vascular encephalopathy.","container-title":"Neuropathology and Applied Neurobiology","DOI":"10.1111/nan.12677","ISSN":"13652990","issue":"July","note":"PMID: 33249605","page":"1–6","title":"Intracerebral endotheliitis and microbleeds are neuropathological features of COVID-19","author":[{"family":"Kirschenbaum","given":"Daniel"},{"family":"Imbach","given":"Lukas L."},{"family":"Rushing","given":"Elisabeth J."},{"family":"Frauenknecht","given":"Katrin B.M."},{"family":"Gascho","given":"Dominic"},{"family":"Ineichen","given":"Benjamin V."},{"family":"Keller","given":"Emanuela"},{"family":"Kohler","given":"Sibylle"},{"family":"Lichtblau","given":"Mona"},{"family":"Reimann","given":"Regina R."},{"family":"Schreib","given":"Katharina"},{"family":"Ulrich","given":"Silvia"},{"family":"Steiger","given":"Peter"},{"family":"Aguzzi","given":"Adriano"},{"family":"Frontzek","given":"Karl"}],"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3C407A">
              <w:rPr>
                <w:rFonts w:ascii="Times New Roman" w:hAnsi="Times New Roman" w:cs="Times New Roman"/>
                <w:color w:val="000000"/>
                <w:sz w:val="13"/>
                <w:vertAlign w:val="superscript"/>
                <w:lang w:val="de-DE"/>
              </w:rPr>
              <w:t>50</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5D417D9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69079EC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299</w:t>
            </w:r>
          </w:p>
        </w:tc>
        <w:tc>
          <w:tcPr>
            <w:tcW w:w="384" w:type="pct"/>
            <w:tcBorders>
              <w:top w:val="nil"/>
              <w:left w:val="nil"/>
              <w:bottom w:val="nil"/>
              <w:right w:val="nil"/>
            </w:tcBorders>
            <w:shd w:val="clear" w:color="auto" w:fill="auto"/>
            <w:noWrap/>
            <w:vAlign w:val="center"/>
            <w:hideMark/>
          </w:tcPr>
          <w:p w14:paraId="6463444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4F3E7D8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2B619C6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5ABABDE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49149C5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w:t>
            </w:r>
          </w:p>
        </w:tc>
        <w:tc>
          <w:tcPr>
            <w:tcW w:w="629" w:type="pct"/>
            <w:tcBorders>
              <w:top w:val="nil"/>
              <w:left w:val="nil"/>
              <w:bottom w:val="nil"/>
              <w:right w:val="nil"/>
            </w:tcBorders>
            <w:shd w:val="clear" w:color="auto" w:fill="auto"/>
            <w:noWrap/>
            <w:vAlign w:val="center"/>
            <w:hideMark/>
          </w:tcPr>
          <w:p w14:paraId="36BD8EE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Pathology</w:t>
            </w:r>
          </w:p>
        </w:tc>
        <w:tc>
          <w:tcPr>
            <w:tcW w:w="316" w:type="pct"/>
            <w:tcBorders>
              <w:top w:val="nil"/>
              <w:left w:val="nil"/>
              <w:bottom w:val="nil"/>
              <w:right w:val="nil"/>
            </w:tcBorders>
            <w:shd w:val="clear" w:color="auto" w:fill="auto"/>
            <w:noWrap/>
            <w:vAlign w:val="center"/>
            <w:hideMark/>
          </w:tcPr>
          <w:p w14:paraId="211F94E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53A00DC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2DC92C72" w14:textId="77777777" w:rsidTr="007B37AC">
        <w:trPr>
          <w:trHeight w:val="320"/>
        </w:trPr>
        <w:tc>
          <w:tcPr>
            <w:tcW w:w="1058" w:type="pct"/>
            <w:tcBorders>
              <w:top w:val="nil"/>
              <w:left w:val="nil"/>
              <w:bottom w:val="nil"/>
              <w:right w:val="nil"/>
            </w:tcBorders>
            <w:shd w:val="clear" w:color="auto" w:fill="auto"/>
            <w:noWrap/>
            <w:vAlign w:val="center"/>
            <w:hideMark/>
          </w:tcPr>
          <w:p w14:paraId="2D9DB954" w14:textId="30B95B1C"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Kirschenbaum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{"citationID":"ZKr1ZgSk","properties":{"formattedCitation":"\\super 50\\nosupersub{}","plainCitation":"50","noteIndex":0},"citationItems":[{"id":32,"uris":["http://zotero.org/users/local/4rfnQu81/items/DLF97Q4P"],"uri":["http://zotero.org/users/local/4rfnQu81/items/DLF97Q4P"],"itemData":{"id":32,"type":"article-journal","abstract":"Coronavirus disease 19 (COVID-19) is a rapidly evolving pandemic caused by the coronavirus Sars-CoV-2. Clinically manifest central nervous system symptoms have been described in COVID-19 patients and could be the consequence of commonly associated vascular pathology, but the detailed neuropathological sequelae remain largely unknown. A total of six cases, all positive for Sars-CoV-2, showed evidence of cerebral petechial hemorrhages and microthrombi at autopsy. Two out of six patients showed an elevated risk for disseminated intravascular coagulopathy according to current criteria and were excluded from further analysis. In the remaining four patients, the hemorrhages were most prominent at the grey and white matter junction of the neocortex, but were also found in the brainstem, deep grey matter structures and cerebellum. Two patients showed vascular intramural inflammatory infiltrates, consistent with Sars-CoV-2-associated endotheliitis, which was associated by elevated levels of the Sars-CoV-2 receptor ACE2 in the brain vasculature. Distribution and morphology of patchy brain microbleeds was clearly distinct from hypertension-related hemorrhage, critical illness-associated microbleeds and cerebral amyloid angiopathy, which was ruled out by immunohistochemistry. Cerebral microhemorrhages in COVID-19 patients could be a consequence of Sars- CoV-2-induced endotheliitis and more general vasculopathic changes and may correlate with an increased risk of vascular encephalopathy.","container-title":"Neuropathology and Applied Neurobiology","DOI":"10.1111/nan.12677","ISSN":"13652990","issue":"July","note":"PMID: 33249605","page":"1–6","title":"Intracerebral endotheliitis and microbleeds are neuropathological features of COVID-19","author":[{"family":"Kirschenbaum","given":"Daniel"},{"family":"Imbach","given":"Lukas L."},{"family":"Rushing","given":"Elisabeth J."},{"family":"Frauenknecht","given":"Katrin B.M."},{"family":"Gascho","given":"Dominic"},{"family":"Ineichen","given":"Benjamin V."},{"family":"Keller","given":"Emanuela"},{"family":"Kohler","given":"Sibylle"},{"family":"Lichtblau","given":"Mona"},{"family":"Reimann","given":"Regina R."},{"family":"Schreib","given":"Katharina"},{"family":"Ulrich","given":"Silvia"},{"family":"Steiger","given":"Peter"},{"family":"Aguzzi","given":"Adriano"},{"family":"Frontzek","given":"Karl"}],"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3C407A">
              <w:rPr>
                <w:rFonts w:ascii="Times New Roman" w:hAnsi="Times New Roman" w:cs="Times New Roman"/>
                <w:color w:val="000000"/>
                <w:sz w:val="13"/>
                <w:vertAlign w:val="superscript"/>
                <w:lang w:val="de-DE"/>
              </w:rPr>
              <w:t>50</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16DB99E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3CAA746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145</w:t>
            </w:r>
          </w:p>
        </w:tc>
        <w:tc>
          <w:tcPr>
            <w:tcW w:w="384" w:type="pct"/>
            <w:tcBorders>
              <w:top w:val="nil"/>
              <w:left w:val="nil"/>
              <w:bottom w:val="nil"/>
              <w:right w:val="nil"/>
            </w:tcBorders>
            <w:shd w:val="clear" w:color="auto" w:fill="auto"/>
            <w:noWrap/>
            <w:vAlign w:val="center"/>
            <w:hideMark/>
          </w:tcPr>
          <w:p w14:paraId="7240E95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3F44787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40CF0AC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61DD7D6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09210E6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5433009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Pathology</w:t>
            </w:r>
          </w:p>
        </w:tc>
        <w:tc>
          <w:tcPr>
            <w:tcW w:w="316" w:type="pct"/>
            <w:tcBorders>
              <w:top w:val="nil"/>
              <w:left w:val="nil"/>
              <w:bottom w:val="nil"/>
              <w:right w:val="nil"/>
            </w:tcBorders>
            <w:shd w:val="clear" w:color="auto" w:fill="auto"/>
            <w:noWrap/>
            <w:vAlign w:val="center"/>
            <w:hideMark/>
          </w:tcPr>
          <w:p w14:paraId="43AA023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6C23A04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654FCCB6" w14:textId="77777777" w:rsidTr="007B37AC">
        <w:trPr>
          <w:trHeight w:val="320"/>
        </w:trPr>
        <w:tc>
          <w:tcPr>
            <w:tcW w:w="1058" w:type="pct"/>
            <w:tcBorders>
              <w:top w:val="nil"/>
              <w:left w:val="nil"/>
              <w:bottom w:val="nil"/>
              <w:right w:val="nil"/>
            </w:tcBorders>
            <w:shd w:val="clear" w:color="auto" w:fill="auto"/>
            <w:noWrap/>
            <w:vAlign w:val="center"/>
            <w:hideMark/>
          </w:tcPr>
          <w:p w14:paraId="19BAEB1B" w14:textId="791A3A21"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Kirschenbaum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{"citationID":"qQPlFodE","properties":{"formattedCitation":"\\super 50\\nosupersub{}","plainCitation":"50","noteIndex":0},"citationItems":[{"id":32,"uris":["http://zotero.org/users/local/4rfnQu81/items/DLF97Q4P"],"uri":["http://zotero.org/users/local/4rfnQu81/items/DLF97Q4P"],"itemData":{"id":32,"type":"article-journal","abstract":"Coronavirus disease 19 (COVID-19) is a rapidly evolving pandemic caused by the coronavirus Sars-CoV-2. Clinically manifest central nervous system symptoms have been described in COVID-19 patients and could be the consequence of commonly associated vascular pathology, but the detailed neuropathological sequelae remain largely unknown. A total of six cases, all positive for Sars-CoV-2, showed evidence of cerebral petechial hemorrhages and microthrombi at autopsy. Two out of six patients showed an elevated risk for disseminated intravascular coagulopathy according to current criteria and were excluded from further analysis. In the remaining four patients, the hemorrhages were most prominent at the grey and white matter junction of the neocortex, but were also found in the brainstem, deep grey matter structures and cerebellum. Two patients showed vascular intramural inflammatory infiltrates, consistent with Sars-CoV-2-associated endotheliitis, which was associated by elevated levels of the Sars-CoV-2 receptor ACE2 in the brain vasculature. Distribution and morphology of patchy brain microbleeds was clearly distinct from hypertension-related hemorrhage, critical illness-associated microbleeds and cerebral amyloid angiopathy, which was ruled out by immunohistochemistry. Cerebral microhemorrhages in COVID-19 patients could be a consequence of Sars- CoV-2-induced endotheliitis and more general vasculopathic changes and may correlate with an increased risk of vascular encephalopathy.","container-title":"Neuropathology and Applied Neurobiology","DOI":"10.1111/nan.12677","ISSN":"13652990","issue":"July","note":"PMID: 33249605","page":"1–6","title":"Intracerebral endotheliitis and microbleeds are neuropathological features of COVID-19","author":[{"family":"Kirschenbaum","given":"Daniel"},{"family":"Imbach","given":"Lukas L."},{"family":"Rushing","given":"Elisabeth J."},{"family":"Frauenknecht","given":"Katrin B.M."},{"family":"Gascho","given":"Dominic"},{"family":"Ineichen","given":"Benjamin V."},{"family":"Keller","given":"Emanuela"},{"family":"Kohler","given":"Sibylle"},{"family":"Lichtblau","given":"Mona"},{"family":"Reimann","given":"Regina R."},{"family":"Schreib","given":"Katharina"},{"family":"Ulrich","given":"Silvia"},{"family":"Steiger","given":"Peter"},{"family":"Aguzzi","given":"Adriano"},{"family":"Frontzek","given":"Karl"}],"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3C407A">
              <w:rPr>
                <w:rFonts w:ascii="Times New Roman" w:hAnsi="Times New Roman" w:cs="Times New Roman"/>
                <w:color w:val="000000"/>
                <w:sz w:val="13"/>
                <w:vertAlign w:val="superscript"/>
                <w:lang w:val="de-DE"/>
              </w:rPr>
              <w:t>50</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32DA2E8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7D316BC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246</w:t>
            </w:r>
          </w:p>
        </w:tc>
        <w:tc>
          <w:tcPr>
            <w:tcW w:w="384" w:type="pct"/>
            <w:tcBorders>
              <w:top w:val="nil"/>
              <w:left w:val="nil"/>
              <w:bottom w:val="nil"/>
              <w:right w:val="nil"/>
            </w:tcBorders>
            <w:shd w:val="clear" w:color="auto" w:fill="auto"/>
            <w:noWrap/>
            <w:vAlign w:val="center"/>
            <w:hideMark/>
          </w:tcPr>
          <w:p w14:paraId="6C002DD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5DEBAA2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34ECAA8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76562A7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238</w:t>
            </w:r>
          </w:p>
        </w:tc>
        <w:tc>
          <w:tcPr>
            <w:tcW w:w="493" w:type="pct"/>
            <w:tcBorders>
              <w:top w:val="nil"/>
              <w:left w:val="nil"/>
              <w:bottom w:val="nil"/>
              <w:right w:val="nil"/>
            </w:tcBorders>
            <w:shd w:val="clear" w:color="auto" w:fill="auto"/>
            <w:noWrap/>
            <w:vAlign w:val="center"/>
            <w:hideMark/>
          </w:tcPr>
          <w:p w14:paraId="62A8375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noWrap/>
            <w:vAlign w:val="center"/>
            <w:hideMark/>
          </w:tcPr>
          <w:p w14:paraId="6A6057F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Pathology</w:t>
            </w:r>
          </w:p>
        </w:tc>
        <w:tc>
          <w:tcPr>
            <w:tcW w:w="316" w:type="pct"/>
            <w:tcBorders>
              <w:top w:val="nil"/>
              <w:left w:val="nil"/>
              <w:bottom w:val="nil"/>
              <w:right w:val="nil"/>
            </w:tcBorders>
            <w:shd w:val="clear" w:color="auto" w:fill="auto"/>
            <w:noWrap/>
            <w:vAlign w:val="center"/>
            <w:hideMark/>
          </w:tcPr>
          <w:p w14:paraId="0D1BFB5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0585490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779E0B61" w14:textId="77777777" w:rsidTr="007B37AC">
        <w:trPr>
          <w:trHeight w:val="320"/>
        </w:trPr>
        <w:tc>
          <w:tcPr>
            <w:tcW w:w="1058" w:type="pct"/>
            <w:tcBorders>
              <w:top w:val="nil"/>
              <w:left w:val="nil"/>
              <w:bottom w:val="nil"/>
              <w:right w:val="nil"/>
            </w:tcBorders>
            <w:shd w:val="clear" w:color="auto" w:fill="auto"/>
            <w:noWrap/>
            <w:vAlign w:val="center"/>
            <w:hideMark/>
          </w:tcPr>
          <w:p w14:paraId="416D5848" w14:textId="70BC4D63"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Kirschenbaum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{"citationID":"ojVPGPP5","properties":{"formattedCitation":"\\super 50\\nosupersub{}","plainCitation":"50","noteIndex":0},"citationItems":[{"id":32,"uris":["http://zotero.org/users/local/4rfnQu81/items/DLF97Q4P"],"uri":["http://zotero.org/users/local/4rfnQu81/items/DLF97Q4P"],"itemData":{"id":32,"type":"article-journal","abstract":"Coronavirus disease 19 (COVID-19) is a rapidly evolving pandemic caused by the coronavirus Sars-CoV-2. Clinically manifest central nervous system symptoms have been described in COVID-19 patients and could be the consequence of commonly associated vascular pathology, but the detailed neuropathological sequelae remain largely unknown. A total of six cases, all positive for Sars-CoV-2, showed evidence of cerebral petechial hemorrhages and microthrombi at autopsy. Two out of six patients showed an elevated risk for disseminated intravascular coagulopathy according to current criteria and were excluded from further analysis. In the remaining four patients, the hemorrhages were most prominent at the grey and white matter junction of the neocortex, but were also found in the brainstem, deep grey matter structures and cerebellum. Two patients showed vascular intramural inflammatory infiltrates, consistent with Sars-CoV-2-associated endotheliitis, which was associated by elevated levels of the Sars-CoV-2 receptor ACE2 in the brain vasculature. Distribution and morphology of patchy brain microbleeds was clearly distinct from hypertension-related hemorrhage, critical illness-associated microbleeds and cerebral amyloid angiopathy, which was ruled out by immunohistochemistry. Cerebral microhemorrhages in COVID-19 patients could be a consequence of Sars- CoV-2-induced endotheliitis and more general vasculopathic changes and may correlate with an increased risk of vascular encephalopathy.","container-title":"Neuropathology and Applied Neurobiology","DOI":"10.1111/nan.12677","ISSN":"13652990","issue":"July","note":"PMID: 33249605","page":"1–6","title":"Intracerebral endotheliitis and microbleeds are neuropathological features of COVID-19","author":[{"family":"Kirschenbaum","given":"Daniel"},{"family":"Imbach","given":"Lukas L."},{"family":"Rushing","given":"Elisabeth J."},{"family":"Frauenknecht","given":"Katrin B.M."},{"family":"Gascho","given":"Dominic"},{"family":"Ineichen","given":"Benjamin V."},{"family":"Keller","given":"Emanuela"},{"family":"Kohler","given":"Sibylle"},{"family":"Lichtblau","given":"Mona"},{"family":"Reimann","given":"Regina R."},{"family":"Schreib","given":"Katharina"},{"family":"Ulrich","given":"Silvia"},{"family":"Steiger","given":"Peter"},{"family":"Aguzzi","given":"Adriano"},{"family":"Frontzek","given":"Karl"}],"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3C407A">
              <w:rPr>
                <w:rFonts w:ascii="Times New Roman" w:hAnsi="Times New Roman" w:cs="Times New Roman"/>
                <w:color w:val="000000"/>
                <w:sz w:val="13"/>
                <w:vertAlign w:val="superscript"/>
                <w:lang w:val="de-DE"/>
              </w:rPr>
              <w:t>50</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1AE086C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center"/>
            <w:hideMark/>
          </w:tcPr>
          <w:p w14:paraId="7176CE5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227</w:t>
            </w:r>
          </w:p>
        </w:tc>
        <w:tc>
          <w:tcPr>
            <w:tcW w:w="384" w:type="pct"/>
            <w:tcBorders>
              <w:top w:val="nil"/>
              <w:left w:val="nil"/>
              <w:bottom w:val="nil"/>
              <w:right w:val="nil"/>
            </w:tcBorders>
            <w:shd w:val="clear" w:color="auto" w:fill="auto"/>
            <w:noWrap/>
            <w:vAlign w:val="center"/>
            <w:hideMark/>
          </w:tcPr>
          <w:p w14:paraId="75D6421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37B20A4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noWrap/>
            <w:vAlign w:val="center"/>
            <w:hideMark/>
          </w:tcPr>
          <w:p w14:paraId="4440255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noWrap/>
            <w:vAlign w:val="center"/>
            <w:hideMark/>
          </w:tcPr>
          <w:p w14:paraId="6BE68B7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noWrap/>
            <w:vAlign w:val="center"/>
            <w:hideMark/>
          </w:tcPr>
          <w:p w14:paraId="0681724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11</w:t>
            </w:r>
          </w:p>
        </w:tc>
        <w:tc>
          <w:tcPr>
            <w:tcW w:w="629" w:type="pct"/>
            <w:tcBorders>
              <w:top w:val="nil"/>
              <w:left w:val="nil"/>
              <w:bottom w:val="nil"/>
              <w:right w:val="nil"/>
            </w:tcBorders>
            <w:shd w:val="clear" w:color="auto" w:fill="auto"/>
            <w:noWrap/>
            <w:vAlign w:val="center"/>
            <w:hideMark/>
          </w:tcPr>
          <w:p w14:paraId="2F09049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Pathology</w:t>
            </w:r>
          </w:p>
        </w:tc>
        <w:tc>
          <w:tcPr>
            <w:tcW w:w="316" w:type="pct"/>
            <w:tcBorders>
              <w:top w:val="nil"/>
              <w:left w:val="nil"/>
              <w:bottom w:val="nil"/>
              <w:right w:val="nil"/>
            </w:tcBorders>
            <w:shd w:val="clear" w:color="auto" w:fill="auto"/>
            <w:noWrap/>
            <w:vAlign w:val="center"/>
            <w:hideMark/>
          </w:tcPr>
          <w:p w14:paraId="08024B6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noWrap/>
            <w:vAlign w:val="center"/>
            <w:hideMark/>
          </w:tcPr>
          <w:p w14:paraId="5B12B45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4F7C4C06" w14:textId="77777777" w:rsidTr="007B37AC">
        <w:trPr>
          <w:trHeight w:val="340"/>
        </w:trPr>
        <w:tc>
          <w:tcPr>
            <w:tcW w:w="1058" w:type="pct"/>
            <w:tcBorders>
              <w:top w:val="nil"/>
              <w:left w:val="nil"/>
              <w:bottom w:val="nil"/>
              <w:right w:val="nil"/>
            </w:tcBorders>
            <w:shd w:val="clear" w:color="auto" w:fill="auto"/>
            <w:vAlign w:val="center"/>
            <w:hideMark/>
          </w:tcPr>
          <w:p w14:paraId="05277FE7" w14:textId="4FD34B6E"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Mishra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{"citationID":"wjEbu0i8","properties":{"formattedCitation":"\\super 51\\nosupersub{}","plainCitation":"51","noteIndex":0},"citationItems":[{"id":3269,"uris":["http://zotero.org/users/local/4rfnQu81/items/JKELK69K"],"uri":["http://zotero.org/users/local/4rfnQu81/items/JKELK69K"],"itemData":{"id":3269,"type":"article-journal","abstract":"OBJECTIVE To describe the clinical, laboratory, temporal, radiographic, and outcome features of acute Intracranial Hemorrhage (ICH) in COVID-19 patients. METHODS Retrospective, observational, consecutive case series of patients admitted with ICH to Maimonides Medical Center from March 1 through July 31, 2020, who had confirmed or highly suspected COVID-19. Demographic, clinical, laboratory, imaging, and outcome data were analyzed. ICH rates among all strokes were compared to the same time period in 2019 in two-week time intervals. Correlation of systolic blood pressure variability (SBPV) and neutrophil-to-lymphocyte ratio (NLR) to clinical outcomes were performed. RESULTS Of 324 patients who presented with stroke, 65 (20%) were diagnosed with non-traumatic ICH: 8 had confirmed and 3 had highly suspected COVID-19. Nine (82%) had at least one associated risk factor for ICH. Three ICHs occurred during inpatient anticoagulation. More than half (6) suffered either deep or cerebellar hemorrhages; only 2 were lobar hemorrhages. Two of 8 patients with severe pneumonia survived. During the NYC COVID-19 peak period in April, ICH comprised the highest percentage of all strokes (40%), and then steadily decreased week-after-week (p = 0.02). SBPV and NLR were moderately and weakly positively correlated to discharge modified Rankin Scale, respectively. CONCLUSIONS COVID-19 associated ICH is often associated with at least one known ICH risk factor and severe pneumonia. There was a suggestive relative surge in ICH among all stroke types during the first peak of the NYC pandemic. It is important to be vigilant of ICH as a possible and important manifestation of COVID-19.","container-title":"Journal of stroke and cerebrovascular diseases : the official journal of National Stroke Association","DOI":"10.1016/j.jstrokecerebrovasdis.2021.105603","ISSN":"1532-8511","issue":"4","note":"PMID: 33484980\nCitation Key: Mishra2021","page":"105603","title":"Intracranial Hemorrhage in COVID-19 Patients.","volume":"30","author":[{"family":"Mishra","given":"Sanskriti"},{"family":"Choueka","given":"Murray"},{"family":"Wang","given":"Qiang"},{"family":"Hu","given":"Chloe"},{"family":"Visone","given":"Stephanie"},{"family":"Silver","given":"Michael"},{"family":"Stein","given":"Evan G"},{"family":"Levine","given":"Steven R"},{"family":"Wang","given":"Qingliang T"}],"issued":{"date-parts":[["2021",4]]}}}],"schema":"https://github.com/citation-style-language/schema/raw/master/csl-citation.json"}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2153F8">
              <w:rPr>
                <w:rFonts w:ascii="Times New Roman" w:hAnsi="Times New Roman" w:cs="Times New Roman"/>
                <w:color w:val="000000"/>
                <w:sz w:val="13"/>
                <w:vertAlign w:val="superscript"/>
                <w:lang w:val="de-DE"/>
              </w:rPr>
              <w:t>51</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5762778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vAlign w:val="center"/>
            <w:hideMark/>
          </w:tcPr>
          <w:p w14:paraId="6BFADDA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18</w:t>
            </w:r>
          </w:p>
        </w:tc>
        <w:tc>
          <w:tcPr>
            <w:tcW w:w="384" w:type="pct"/>
            <w:tcBorders>
              <w:top w:val="nil"/>
              <w:left w:val="nil"/>
              <w:bottom w:val="nil"/>
              <w:right w:val="nil"/>
            </w:tcBorders>
            <w:shd w:val="clear" w:color="auto" w:fill="auto"/>
            <w:vAlign w:val="center"/>
            <w:hideMark/>
          </w:tcPr>
          <w:p w14:paraId="1215252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4.6</w:t>
            </w:r>
          </w:p>
        </w:tc>
        <w:tc>
          <w:tcPr>
            <w:tcW w:w="275" w:type="pct"/>
            <w:tcBorders>
              <w:top w:val="nil"/>
              <w:left w:val="nil"/>
              <w:bottom w:val="nil"/>
              <w:right w:val="nil"/>
            </w:tcBorders>
            <w:shd w:val="clear" w:color="auto" w:fill="auto"/>
            <w:vAlign w:val="center"/>
            <w:hideMark/>
          </w:tcPr>
          <w:p w14:paraId="503E534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vAlign w:val="center"/>
            <w:hideMark/>
          </w:tcPr>
          <w:p w14:paraId="020EBBE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26.6</w:t>
            </w:r>
          </w:p>
        </w:tc>
        <w:tc>
          <w:tcPr>
            <w:tcW w:w="486" w:type="pct"/>
            <w:tcBorders>
              <w:top w:val="nil"/>
              <w:left w:val="nil"/>
              <w:bottom w:val="nil"/>
              <w:right w:val="nil"/>
            </w:tcBorders>
            <w:shd w:val="clear" w:color="auto" w:fill="auto"/>
            <w:vAlign w:val="center"/>
            <w:hideMark/>
          </w:tcPr>
          <w:p w14:paraId="0A4AEA8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147</w:t>
            </w:r>
          </w:p>
        </w:tc>
        <w:tc>
          <w:tcPr>
            <w:tcW w:w="493" w:type="pct"/>
            <w:tcBorders>
              <w:top w:val="nil"/>
              <w:left w:val="nil"/>
              <w:bottom w:val="nil"/>
              <w:right w:val="nil"/>
            </w:tcBorders>
            <w:shd w:val="clear" w:color="auto" w:fill="auto"/>
            <w:vAlign w:val="center"/>
            <w:hideMark/>
          </w:tcPr>
          <w:p w14:paraId="7714089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vAlign w:val="center"/>
            <w:hideMark/>
          </w:tcPr>
          <w:p w14:paraId="5699BD7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CT/MRI</w:t>
            </w:r>
          </w:p>
        </w:tc>
        <w:tc>
          <w:tcPr>
            <w:tcW w:w="316" w:type="pct"/>
            <w:tcBorders>
              <w:top w:val="nil"/>
              <w:left w:val="nil"/>
              <w:bottom w:val="nil"/>
              <w:right w:val="nil"/>
            </w:tcBorders>
            <w:shd w:val="clear" w:color="auto" w:fill="auto"/>
            <w:noWrap/>
            <w:vAlign w:val="center"/>
            <w:hideMark/>
          </w:tcPr>
          <w:p w14:paraId="630679A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0A75424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05DD4444" w14:textId="77777777" w:rsidTr="007B37AC">
        <w:trPr>
          <w:trHeight w:val="340"/>
        </w:trPr>
        <w:tc>
          <w:tcPr>
            <w:tcW w:w="1058" w:type="pct"/>
            <w:tcBorders>
              <w:top w:val="nil"/>
              <w:left w:val="nil"/>
              <w:bottom w:val="nil"/>
              <w:right w:val="nil"/>
            </w:tcBorders>
            <w:shd w:val="clear" w:color="auto" w:fill="auto"/>
            <w:vAlign w:val="center"/>
            <w:hideMark/>
          </w:tcPr>
          <w:p w14:paraId="6E7D5ECA" w14:textId="449B4B91"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Mishra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{"citationID":"Ndl3fNWM","properties":{"formattedCitation":"\\super 51\\nosupersub{}","plainCitation":"51","noteIndex":0},"citationItems":[{"id":3269,"uris":["http://zotero.org/users/local/4rfnQu81/items/JKELK69K"],"uri":["http://zotero.org/users/local/4rfnQu81/items/JKELK69K"],"itemData":{"id":3269,"type":"article-journal","abstract":"OBJECTIVE To describe the clinical, laboratory, temporal, radiographic, and outcome features of acute Intracranial Hemorrhage (ICH) in COVID-19 patients. METHODS Retrospective, observational, consecutive case series of patients admitted with ICH to Maimonides Medical Center from March 1 through July 31, 2020, who had confirmed or highly suspected COVID-19. Demographic, clinical, laboratory, imaging, and outcome data were analyzed. ICH rates among all strokes were compared to the same time period in 2019 in two-week time intervals. Correlation of systolic blood pressure variability (SBPV) and neutrophil-to-lymphocyte ratio (NLR) to clinical outcomes were performed. RESULTS Of 324 patients who presented with stroke, 65 (20%) were diagnosed with non-traumatic ICH: 8 had confirmed and 3 had highly suspected COVID-19. Nine (82%) had at least one associated risk factor for ICH. Three ICHs occurred during inpatient anticoagulation. More than half (6) suffered either deep or cerebellar hemorrhages; only 2 were lobar hemorrhages. Two of 8 patients with severe pneumonia survived. During the NYC COVID-19 peak period in April, ICH comprised the highest percentage of all strokes (40%), and then steadily decreased week-after-week (p = 0.02). SBPV and NLR were moderately and weakly positively correlated to discharge modified Rankin Scale, respectively. CONCLUSIONS COVID-19 associated ICH is often associated with at least one known ICH risk factor and severe pneumonia. There was a suggestive relative surge in ICH among all stroke types during the first peak of the NYC pandemic. It is important to be vigilant of ICH as a possible and important manifestation of COVID-19.","container-title":"Journal of stroke and cerebrovascular diseases : the official journal of National Stroke Association","DOI":"10.1016/j.jstrokecerebrovasdis.2021.105603","ISSN":"1532-8511","issue":"4","note":"PMID: 33484980\nCitation Key: Mishra2021","page":"105603","title":"Intracranial Hemorrhage in COVID-19 Patients.","volume":"30","author":[{"family":"Mishra","given":"Sanskriti"},{"family":"Choueka","given":"Murray"},{"family":"Wang","given":"Qiang"},{"family":"Hu","given":"Chloe"},{"family":"Visone","given":"Stephanie"},{"family":"Silver","given":"Michael"},{"family":"Stein","given":"Evan G"},{"family":"Levine","given":"Steven R"},{"family":"Wang","given":"Qingliang T"}],"issued":{"date-parts":[["2021",4]]}}}],"schema":"https://github.com/citation-style-language/schema/raw/master/csl-citation.json"}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2153F8">
              <w:rPr>
                <w:rFonts w:ascii="Times New Roman" w:hAnsi="Times New Roman" w:cs="Times New Roman"/>
                <w:color w:val="000000"/>
                <w:sz w:val="13"/>
                <w:vertAlign w:val="superscript"/>
                <w:lang w:val="de-DE"/>
              </w:rPr>
              <w:t>51</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5AAA58B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vAlign w:val="center"/>
            <w:hideMark/>
          </w:tcPr>
          <w:p w14:paraId="50382E0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18</w:t>
            </w:r>
          </w:p>
        </w:tc>
        <w:tc>
          <w:tcPr>
            <w:tcW w:w="384" w:type="pct"/>
            <w:tcBorders>
              <w:top w:val="nil"/>
              <w:left w:val="nil"/>
              <w:bottom w:val="nil"/>
              <w:right w:val="nil"/>
            </w:tcBorders>
            <w:shd w:val="clear" w:color="auto" w:fill="auto"/>
            <w:vAlign w:val="center"/>
            <w:hideMark/>
          </w:tcPr>
          <w:p w14:paraId="164ACB8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4.9</w:t>
            </w:r>
          </w:p>
        </w:tc>
        <w:tc>
          <w:tcPr>
            <w:tcW w:w="275" w:type="pct"/>
            <w:tcBorders>
              <w:top w:val="nil"/>
              <w:left w:val="nil"/>
              <w:bottom w:val="nil"/>
              <w:right w:val="nil"/>
            </w:tcBorders>
            <w:shd w:val="clear" w:color="auto" w:fill="auto"/>
            <w:vAlign w:val="center"/>
            <w:hideMark/>
          </w:tcPr>
          <w:p w14:paraId="4E6E3BE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vAlign w:val="center"/>
            <w:hideMark/>
          </w:tcPr>
          <w:p w14:paraId="75FDDD0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30.1</w:t>
            </w:r>
          </w:p>
        </w:tc>
        <w:tc>
          <w:tcPr>
            <w:tcW w:w="486" w:type="pct"/>
            <w:tcBorders>
              <w:top w:val="nil"/>
              <w:left w:val="nil"/>
              <w:bottom w:val="nil"/>
              <w:right w:val="nil"/>
            </w:tcBorders>
            <w:shd w:val="clear" w:color="auto" w:fill="auto"/>
            <w:vAlign w:val="center"/>
            <w:hideMark/>
          </w:tcPr>
          <w:p w14:paraId="2715E90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147</w:t>
            </w:r>
          </w:p>
        </w:tc>
        <w:tc>
          <w:tcPr>
            <w:tcW w:w="493" w:type="pct"/>
            <w:tcBorders>
              <w:top w:val="nil"/>
              <w:left w:val="nil"/>
              <w:bottom w:val="nil"/>
              <w:right w:val="nil"/>
            </w:tcBorders>
            <w:shd w:val="clear" w:color="auto" w:fill="auto"/>
            <w:vAlign w:val="center"/>
            <w:hideMark/>
          </w:tcPr>
          <w:p w14:paraId="0E9A93E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0.351</w:t>
            </w:r>
          </w:p>
        </w:tc>
        <w:tc>
          <w:tcPr>
            <w:tcW w:w="629" w:type="pct"/>
            <w:tcBorders>
              <w:top w:val="nil"/>
              <w:left w:val="nil"/>
              <w:bottom w:val="nil"/>
              <w:right w:val="nil"/>
            </w:tcBorders>
            <w:shd w:val="clear" w:color="auto" w:fill="auto"/>
            <w:vAlign w:val="center"/>
            <w:hideMark/>
          </w:tcPr>
          <w:p w14:paraId="5B27F7C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275878D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0821704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20FC0D92" w14:textId="77777777" w:rsidTr="007B37AC">
        <w:trPr>
          <w:trHeight w:val="340"/>
        </w:trPr>
        <w:tc>
          <w:tcPr>
            <w:tcW w:w="1058" w:type="pct"/>
            <w:tcBorders>
              <w:top w:val="nil"/>
              <w:left w:val="nil"/>
              <w:bottom w:val="nil"/>
              <w:right w:val="nil"/>
            </w:tcBorders>
            <w:shd w:val="clear" w:color="auto" w:fill="auto"/>
            <w:vAlign w:val="center"/>
            <w:hideMark/>
          </w:tcPr>
          <w:p w14:paraId="14908A78" w14:textId="53C8E99E"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Mishra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{"citationID":"wClkwPWI","properties":{"formattedCitation":"\\super 51\\nosupersub{}","plainCitation":"51","noteIndex":0},"citationItems":[{"id":3269,"uris":["http://zotero.org/users/local/4rfnQu81/items/JKELK69K"],"uri":["http://zotero.org/users/local/4rfnQu81/items/JKELK69K"],"itemData":{"id":3269,"type":"article-journal","abstract":"OBJECTIVE To describe the clinical, laboratory, temporal, radiographic, and outcome features of acute Intracranial Hemorrhage (ICH) in COVID-19 patients. METHODS Retrospective, observational, consecutive case series of patients admitted with ICH to Maimonides Medical Center from March 1 through July 31, 2020, who had confirmed or highly suspected COVID-19. Demographic, clinical, laboratory, imaging, and outcome data were analyzed. ICH rates among all strokes were compared to the same time period in 2019 in two-week time intervals. Correlation of systolic blood pressure variability (SBPV) and neutrophil-to-lymphocyte ratio (NLR) to clinical outcomes were performed. RESULTS Of 324 patients who presented with stroke, 65 (20%) were diagnosed with non-traumatic ICH: 8 had confirmed and 3 had highly suspected COVID-19. Nine (82%) had at least one associated risk factor for ICH. Three ICHs occurred during inpatient anticoagulation. More than half (6) suffered either deep or cerebellar hemorrhages; only 2 were lobar hemorrhages. Two of 8 patients with severe pneumonia survived. During the NYC COVID-19 peak period in April, ICH comprised the highest percentage of all strokes (40%), and then steadily decreased week-after-week (p = 0.02). SBPV and NLR were moderately and weakly positively correlated to discharge modified Rankin Scale, respectively. CONCLUSIONS COVID-19 associated ICH is often associated with at least one known ICH risk factor and severe pneumonia. There was a suggestive relative surge in ICH among all stroke types during the first peak of the NYC pandemic. It is important to be vigilant of ICH as a possible and important manifestation of COVID-19.","container-title":"Journal of stroke and cerebrovascular diseases : the official journal of National Stroke Association","DOI":"10.1016/j.jstrokecerebrovasdis.2021.105603","ISSN":"1532-8511","issue":"4","note":"PMID: 33484980\nCitation Key: Mishra2021","page":"105603","title":"Intracranial Hemorrhage in COVID-19 Patients.","volume":"30","author":[{"family":"Mishra","given":"Sanskriti"},{"family":"Choueka","given":"Murray"},{"family":"Wang","given":"Qiang"},{"family":"Hu","given":"Chloe"},{"family":"Visone","given":"Stephanie"},{"family":"Silver","given":"Michael"},{"family":"Stein","given":"Evan G"},{"family":"Levine","given":"Steven R"},{"family":"Wang","given":"Qingliang T"}],"issued":{"date-parts":[["2021",4]]}}}],"schema":"https://github.com/citation-style-language/schema/raw/master/csl-citation.json"}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2153F8">
              <w:rPr>
                <w:rFonts w:ascii="Times New Roman" w:hAnsi="Times New Roman" w:cs="Times New Roman"/>
                <w:color w:val="000000"/>
                <w:sz w:val="13"/>
                <w:vertAlign w:val="superscript"/>
                <w:lang w:val="de-DE"/>
              </w:rPr>
              <w:t>51</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081CE60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vAlign w:val="center"/>
            <w:hideMark/>
          </w:tcPr>
          <w:p w14:paraId="1A78E7E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149</w:t>
            </w:r>
          </w:p>
        </w:tc>
        <w:tc>
          <w:tcPr>
            <w:tcW w:w="384" w:type="pct"/>
            <w:tcBorders>
              <w:top w:val="nil"/>
              <w:left w:val="nil"/>
              <w:bottom w:val="nil"/>
              <w:right w:val="nil"/>
            </w:tcBorders>
            <w:shd w:val="clear" w:color="auto" w:fill="auto"/>
            <w:vAlign w:val="center"/>
            <w:hideMark/>
          </w:tcPr>
          <w:p w14:paraId="2B64FD9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27.1</w:t>
            </w:r>
          </w:p>
        </w:tc>
        <w:tc>
          <w:tcPr>
            <w:tcW w:w="275" w:type="pct"/>
            <w:tcBorders>
              <w:top w:val="nil"/>
              <w:left w:val="nil"/>
              <w:bottom w:val="nil"/>
              <w:right w:val="nil"/>
            </w:tcBorders>
            <w:shd w:val="clear" w:color="auto" w:fill="auto"/>
            <w:vAlign w:val="center"/>
            <w:hideMark/>
          </w:tcPr>
          <w:p w14:paraId="5C61ECB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1.6</w:t>
            </w:r>
          </w:p>
        </w:tc>
        <w:tc>
          <w:tcPr>
            <w:tcW w:w="384" w:type="pct"/>
            <w:tcBorders>
              <w:top w:val="nil"/>
              <w:left w:val="nil"/>
              <w:bottom w:val="nil"/>
              <w:right w:val="nil"/>
            </w:tcBorders>
            <w:shd w:val="clear" w:color="auto" w:fill="auto"/>
            <w:vAlign w:val="center"/>
            <w:hideMark/>
          </w:tcPr>
          <w:p w14:paraId="33C3E8C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24.7</w:t>
            </w:r>
          </w:p>
        </w:tc>
        <w:tc>
          <w:tcPr>
            <w:tcW w:w="486" w:type="pct"/>
            <w:tcBorders>
              <w:top w:val="nil"/>
              <w:left w:val="nil"/>
              <w:bottom w:val="nil"/>
              <w:right w:val="nil"/>
            </w:tcBorders>
            <w:shd w:val="clear" w:color="auto" w:fill="auto"/>
            <w:vAlign w:val="center"/>
            <w:hideMark/>
          </w:tcPr>
          <w:p w14:paraId="7DC6C7A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380</w:t>
            </w:r>
          </w:p>
        </w:tc>
        <w:tc>
          <w:tcPr>
            <w:tcW w:w="493" w:type="pct"/>
            <w:tcBorders>
              <w:top w:val="nil"/>
              <w:left w:val="nil"/>
              <w:bottom w:val="nil"/>
              <w:right w:val="nil"/>
            </w:tcBorders>
            <w:shd w:val="clear" w:color="auto" w:fill="auto"/>
            <w:vAlign w:val="center"/>
            <w:hideMark/>
          </w:tcPr>
          <w:p w14:paraId="4DE640F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vAlign w:val="center"/>
            <w:hideMark/>
          </w:tcPr>
          <w:p w14:paraId="155606F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CT/MRI</w:t>
            </w:r>
          </w:p>
        </w:tc>
        <w:tc>
          <w:tcPr>
            <w:tcW w:w="316" w:type="pct"/>
            <w:tcBorders>
              <w:top w:val="nil"/>
              <w:left w:val="nil"/>
              <w:bottom w:val="nil"/>
              <w:right w:val="nil"/>
            </w:tcBorders>
            <w:shd w:val="clear" w:color="auto" w:fill="auto"/>
            <w:noWrap/>
            <w:vAlign w:val="center"/>
            <w:hideMark/>
          </w:tcPr>
          <w:p w14:paraId="2056DC8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3F57A90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7FF08D8B" w14:textId="77777777" w:rsidTr="007B37AC">
        <w:trPr>
          <w:trHeight w:val="340"/>
        </w:trPr>
        <w:tc>
          <w:tcPr>
            <w:tcW w:w="1058" w:type="pct"/>
            <w:tcBorders>
              <w:top w:val="nil"/>
              <w:left w:val="nil"/>
              <w:bottom w:val="nil"/>
              <w:right w:val="nil"/>
            </w:tcBorders>
            <w:shd w:val="clear" w:color="auto" w:fill="auto"/>
            <w:vAlign w:val="center"/>
            <w:hideMark/>
          </w:tcPr>
          <w:p w14:paraId="00A14AF9" w14:textId="76C950FD"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Mishra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{"citationID":"tG4gtJFq","properties":{"formattedCitation":"\\super 51\\nosupersub{}","plainCitation":"51","noteIndex":0},"citationItems":[{"id":3269,"uris":["http://zotero.org/users/local/4rfnQu81/items/JKELK69K"],"uri":["http://zotero.org/users/local/4rfnQu81/items/JKELK69K"],"itemData":{"id":3269,"type":"article-journal","abstract":"OBJECTIVE To describe the clinical, laboratory, temporal, radiographic, and outcome features of acute Intracranial Hemorrhage (ICH) in COVID-19 patients. METHODS Retrospective, observational, consecutive case series of patients admitted with ICH to Maimonides Medical Center from March 1 through July 31, 2020, who had confirmed or highly suspected COVID-19. Demographic, clinical, laboratory, imaging, and outcome data were analyzed. ICH rates among all strokes were compared to the same time period in 2019 in two-week time intervals. Correlation of systolic blood pressure variability (SBPV) and neutrophil-to-lymphocyte ratio (NLR) to clinical outcomes were performed. RESULTS Of 324 patients who presented with stroke, 65 (20%) were diagnosed with non-traumatic ICH: 8 had confirmed and 3 had highly suspected COVID-19. Nine (82%) had at least one associated risk factor for ICH. Three ICHs occurred during inpatient anticoagulation. More than half (6) suffered either deep or cerebellar hemorrhages; only 2 were lobar hemorrhages. Two of 8 patients with severe pneumonia survived. During the NYC COVID-19 peak period in April, ICH comprised the highest percentage of all strokes (40%), and then steadily decreased week-after-week (p = 0.02). SBPV and NLR were moderately and weakly positively correlated to discharge modified Rankin Scale, respectively. CONCLUSIONS COVID-19 associated ICH is often associated with at least one known ICH risk factor and severe pneumonia. There was a suggestive relative surge in ICH among all stroke types during the first peak of the NYC pandemic. It is important to be vigilant of ICH as a possible and important manifestation of COVID-19.","container-title":"Journal of stroke and cerebrovascular diseases : the official journal of National Stroke Association","DOI":"10.1016/j.jstrokecerebrovasdis.2021.105603","ISSN":"1532-8511","issue":"4","note":"PMID: 33484980\nCitation Key: Mishra2021","page":"105603","title":"Intracranial Hemorrhage in COVID-19 Patients.","volume":"30","author":[{"family":"Mishra","given":"Sanskriti"},{"family":"Choueka","given":"Murray"},{"family":"Wang","given":"Qiang"},{"family":"Hu","given":"Chloe"},{"family":"Visone","given":"Stephanie"},{"family":"Silver","given":"Michael"},{"family":"Stein","given":"Evan G"},{"family":"Levine","given":"Steven R"},{"family":"Wang","given":"Qingliang T"}],"issued":{"date-parts":[["2021",4]]}}}],"schema":"https://github.com/citation-style-language/schema/raw/master/csl-citation.json"}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2153F8">
              <w:rPr>
                <w:rFonts w:ascii="Times New Roman" w:hAnsi="Times New Roman" w:cs="Times New Roman"/>
                <w:color w:val="000000"/>
                <w:sz w:val="13"/>
                <w:vertAlign w:val="superscript"/>
                <w:lang w:val="de-DE"/>
              </w:rPr>
              <w:t>51</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46C5D70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vAlign w:val="center"/>
            <w:hideMark/>
          </w:tcPr>
          <w:p w14:paraId="58B55DD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55</w:t>
            </w:r>
          </w:p>
        </w:tc>
        <w:tc>
          <w:tcPr>
            <w:tcW w:w="384" w:type="pct"/>
            <w:tcBorders>
              <w:top w:val="nil"/>
              <w:left w:val="nil"/>
              <w:bottom w:val="nil"/>
              <w:right w:val="nil"/>
            </w:tcBorders>
            <w:shd w:val="clear" w:color="auto" w:fill="auto"/>
            <w:vAlign w:val="center"/>
            <w:hideMark/>
          </w:tcPr>
          <w:p w14:paraId="40DCE20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5.1</w:t>
            </w:r>
          </w:p>
        </w:tc>
        <w:tc>
          <w:tcPr>
            <w:tcW w:w="275" w:type="pct"/>
            <w:tcBorders>
              <w:top w:val="nil"/>
              <w:left w:val="nil"/>
              <w:bottom w:val="nil"/>
              <w:right w:val="nil"/>
            </w:tcBorders>
            <w:shd w:val="clear" w:color="auto" w:fill="auto"/>
            <w:vAlign w:val="center"/>
            <w:hideMark/>
          </w:tcPr>
          <w:p w14:paraId="74D8353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1.1</w:t>
            </w:r>
          </w:p>
        </w:tc>
        <w:tc>
          <w:tcPr>
            <w:tcW w:w="384" w:type="pct"/>
            <w:tcBorders>
              <w:top w:val="nil"/>
              <w:left w:val="nil"/>
              <w:bottom w:val="nil"/>
              <w:right w:val="nil"/>
            </w:tcBorders>
            <w:shd w:val="clear" w:color="auto" w:fill="auto"/>
            <w:vAlign w:val="center"/>
            <w:hideMark/>
          </w:tcPr>
          <w:p w14:paraId="257E061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26.1</w:t>
            </w:r>
          </w:p>
        </w:tc>
        <w:tc>
          <w:tcPr>
            <w:tcW w:w="486" w:type="pct"/>
            <w:tcBorders>
              <w:top w:val="nil"/>
              <w:left w:val="nil"/>
              <w:bottom w:val="nil"/>
              <w:right w:val="nil"/>
            </w:tcBorders>
            <w:shd w:val="clear" w:color="auto" w:fill="auto"/>
            <w:vAlign w:val="center"/>
            <w:hideMark/>
          </w:tcPr>
          <w:p w14:paraId="6EBCD0C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148</w:t>
            </w:r>
          </w:p>
        </w:tc>
        <w:tc>
          <w:tcPr>
            <w:tcW w:w="493" w:type="pct"/>
            <w:tcBorders>
              <w:top w:val="nil"/>
              <w:left w:val="nil"/>
              <w:bottom w:val="nil"/>
              <w:right w:val="nil"/>
            </w:tcBorders>
            <w:shd w:val="clear" w:color="auto" w:fill="auto"/>
            <w:vAlign w:val="center"/>
            <w:hideMark/>
          </w:tcPr>
          <w:p w14:paraId="5CA38C5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vAlign w:val="center"/>
            <w:hideMark/>
          </w:tcPr>
          <w:p w14:paraId="094B91E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332898B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377789D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5B48851F" w14:textId="77777777" w:rsidTr="007B37AC">
        <w:trPr>
          <w:trHeight w:val="340"/>
        </w:trPr>
        <w:tc>
          <w:tcPr>
            <w:tcW w:w="1058" w:type="pct"/>
            <w:tcBorders>
              <w:top w:val="nil"/>
              <w:left w:val="nil"/>
              <w:bottom w:val="nil"/>
              <w:right w:val="nil"/>
            </w:tcBorders>
            <w:shd w:val="clear" w:color="auto" w:fill="auto"/>
            <w:vAlign w:val="center"/>
            <w:hideMark/>
          </w:tcPr>
          <w:p w14:paraId="4A72F86B" w14:textId="120EE301"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lastRenderedPageBreak/>
              <w:t xml:space="preserve">Mishra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{"citationID":"tWzlUIr8","properties":{"formattedCitation":"\\super 51\\nosupersub{}","plainCitation":"51","noteIndex":0},"citationItems":[{"id":3269,"uris":["http://zotero.org/users/local/4rfnQu81/items/JKELK69K"],"uri":["http://zotero.org/users/local/4rfnQu81/items/JKELK69K"],"itemData":{"id":3269,"type":"article-journal","abstract":"OBJECTIVE To describe the clinical, laboratory, temporal, radiographic, and outcome features of acute Intracranial Hemorrhage (ICH) in COVID-19 patients. METHODS Retrospective, observational, consecutive case series of patients admitted with ICH to Maimonides Medical Center from March 1 through July 31, 2020, who had confirmed or highly suspected COVID-19. Demographic, clinical, laboratory, imaging, and outcome data were analyzed. ICH rates among all strokes were compared to the same time period in 2019 in two-week time intervals. Correlation of systolic blood pressure variability (SBPV) and neutrophil-to-lymphocyte ratio (NLR) to clinical outcomes were performed. RESULTS Of 324 patients who presented with stroke, 65 (20%) were diagnosed with non-traumatic ICH: 8 had confirmed and 3 had highly suspected COVID-19. Nine (82%) had at least one associated risk factor for ICH. Three ICHs occurred during inpatient anticoagulation. More than half (6) suffered either deep or cerebellar hemorrhages; only 2 were lobar hemorrhages. Two of 8 patients with severe pneumonia survived. During the NYC COVID-19 peak period in April, ICH comprised the highest percentage of all strokes (40%), and then steadily decreased week-after-week (p = 0.02). SBPV and NLR were moderately and weakly positively correlated to discharge modified Rankin Scale, respectively. CONCLUSIONS COVID-19 associated ICH is often associated with at least one known ICH risk factor and severe pneumonia. There was a suggestive relative surge in ICH among all stroke types during the first peak of the NYC pandemic. It is important to be vigilant of ICH as a possible and important manifestation of COVID-19.","container-title":"Journal of stroke and cerebrovascular diseases : the official journal of National Stroke Association","DOI":"10.1016/j.jstrokecerebrovasdis.2021.105603","ISSN":"1532-8511","issue":"4","note":"PMID: 33484980\nCitation Key: Mishra2021","page":"105603","title":"Intracranial Hemorrhage in COVID-19 Patients.","volume":"30","author":[{"family":"Mishra","given":"Sanskriti"},{"family":"Choueka","given":"Murray"},{"family":"Wang","given":"Qiang"},{"family":"Hu","given":"Chloe"},{"family":"Visone","given":"Stephanie"},{"family":"Silver","given":"Michael"},{"family":"Stein","given":"Evan G"},{"family":"Levine","given":"Steven R"},{"family":"Wang","given":"Qingliang T"}],"issued":{"date-parts":[["2021",4]]}}}],"schema":"https://github.com/citation-style-language/schema/raw/master/csl-citation.json"}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2153F8">
              <w:rPr>
                <w:rFonts w:ascii="Times New Roman" w:hAnsi="Times New Roman" w:cs="Times New Roman"/>
                <w:color w:val="000000"/>
                <w:sz w:val="13"/>
                <w:vertAlign w:val="superscript"/>
                <w:lang w:val="de-DE"/>
              </w:rPr>
              <w:t>51</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37B1028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vAlign w:val="center"/>
            <w:hideMark/>
          </w:tcPr>
          <w:p w14:paraId="2AF04C5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18</w:t>
            </w:r>
          </w:p>
        </w:tc>
        <w:tc>
          <w:tcPr>
            <w:tcW w:w="384" w:type="pct"/>
            <w:tcBorders>
              <w:top w:val="nil"/>
              <w:left w:val="nil"/>
              <w:bottom w:val="nil"/>
              <w:right w:val="nil"/>
            </w:tcBorders>
            <w:shd w:val="clear" w:color="auto" w:fill="auto"/>
            <w:vAlign w:val="center"/>
            <w:hideMark/>
          </w:tcPr>
          <w:p w14:paraId="5FAC6F0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20.9</w:t>
            </w:r>
          </w:p>
        </w:tc>
        <w:tc>
          <w:tcPr>
            <w:tcW w:w="275" w:type="pct"/>
            <w:tcBorders>
              <w:top w:val="nil"/>
              <w:left w:val="nil"/>
              <w:bottom w:val="nil"/>
              <w:right w:val="nil"/>
            </w:tcBorders>
            <w:shd w:val="clear" w:color="auto" w:fill="auto"/>
            <w:vAlign w:val="center"/>
            <w:hideMark/>
          </w:tcPr>
          <w:p w14:paraId="752B605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1.2</w:t>
            </w:r>
          </w:p>
        </w:tc>
        <w:tc>
          <w:tcPr>
            <w:tcW w:w="384" w:type="pct"/>
            <w:tcBorders>
              <w:top w:val="nil"/>
              <w:left w:val="nil"/>
              <w:bottom w:val="nil"/>
              <w:right w:val="nil"/>
            </w:tcBorders>
            <w:shd w:val="clear" w:color="auto" w:fill="auto"/>
            <w:vAlign w:val="center"/>
            <w:hideMark/>
          </w:tcPr>
          <w:p w14:paraId="1C1ACCE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22.3</w:t>
            </w:r>
          </w:p>
        </w:tc>
        <w:tc>
          <w:tcPr>
            <w:tcW w:w="486" w:type="pct"/>
            <w:tcBorders>
              <w:top w:val="nil"/>
              <w:left w:val="nil"/>
              <w:bottom w:val="nil"/>
              <w:right w:val="nil"/>
            </w:tcBorders>
            <w:shd w:val="clear" w:color="auto" w:fill="auto"/>
            <w:vAlign w:val="center"/>
            <w:hideMark/>
          </w:tcPr>
          <w:p w14:paraId="4B34A7A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192</w:t>
            </w:r>
          </w:p>
        </w:tc>
        <w:tc>
          <w:tcPr>
            <w:tcW w:w="493" w:type="pct"/>
            <w:tcBorders>
              <w:top w:val="nil"/>
              <w:left w:val="nil"/>
              <w:bottom w:val="nil"/>
              <w:right w:val="nil"/>
            </w:tcBorders>
            <w:shd w:val="clear" w:color="auto" w:fill="auto"/>
            <w:vAlign w:val="center"/>
            <w:hideMark/>
          </w:tcPr>
          <w:p w14:paraId="3E102EF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58.804</w:t>
            </w:r>
          </w:p>
        </w:tc>
        <w:tc>
          <w:tcPr>
            <w:tcW w:w="629" w:type="pct"/>
            <w:tcBorders>
              <w:top w:val="nil"/>
              <w:left w:val="nil"/>
              <w:bottom w:val="nil"/>
              <w:right w:val="nil"/>
            </w:tcBorders>
            <w:shd w:val="clear" w:color="auto" w:fill="auto"/>
            <w:vAlign w:val="center"/>
            <w:hideMark/>
          </w:tcPr>
          <w:p w14:paraId="0DE6CB9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6A1E38F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247C9AB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42DD7BDD" w14:textId="77777777" w:rsidTr="007B37AC">
        <w:trPr>
          <w:trHeight w:val="340"/>
        </w:trPr>
        <w:tc>
          <w:tcPr>
            <w:tcW w:w="1058" w:type="pct"/>
            <w:tcBorders>
              <w:top w:val="nil"/>
              <w:left w:val="nil"/>
              <w:bottom w:val="nil"/>
              <w:right w:val="nil"/>
            </w:tcBorders>
            <w:shd w:val="clear" w:color="auto" w:fill="auto"/>
            <w:vAlign w:val="center"/>
            <w:hideMark/>
          </w:tcPr>
          <w:p w14:paraId="0827CEE8" w14:textId="51AB7E2E"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Mishra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{"citationID":"2l1m4X6a","properties":{"formattedCitation":"\\super 51\\nosupersub{}","plainCitation":"51","noteIndex":0},"citationItems":[{"id":3269,"uris":["http://zotero.org/users/local/4rfnQu81/items/JKELK69K"],"uri":["http://zotero.org/users/local/4rfnQu81/items/JKELK69K"],"itemData":{"id":3269,"type":"article-journal","abstract":"OBJECTIVE To describe the clinical, laboratory, temporal, radiographic, and outcome features of acute Intracranial Hemorrhage (ICH) in COVID-19 patients. METHODS Retrospective, observational, consecutive case series of patients admitted with ICH to Maimonides Medical Center from March 1 through July 31, 2020, who had confirmed or highly suspected COVID-19. Demographic, clinical, laboratory, imaging, and outcome data were analyzed. ICH rates among all strokes were compared to the same time period in 2019 in two-week time intervals. Correlation of systolic blood pressure variability (SBPV) and neutrophil-to-lymphocyte ratio (NLR) to clinical outcomes were performed. RESULTS Of 324 patients who presented with stroke, 65 (20%) were diagnosed with non-traumatic ICH: 8 had confirmed and 3 had highly suspected COVID-19. Nine (82%) had at least one associated risk factor for ICH. Three ICHs occurred during inpatient anticoagulation. More than half (6) suffered either deep or cerebellar hemorrhages; only 2 were lobar hemorrhages. Two of 8 patients with severe pneumonia survived. During the NYC COVID-19 peak period in April, ICH comprised the highest percentage of all strokes (40%), and then steadily decreased week-after-week (p = 0.02). SBPV and NLR were moderately and weakly positively correlated to discharge modified Rankin Scale, respectively. CONCLUSIONS COVID-19 associated ICH is often associated with at least one known ICH risk factor and severe pneumonia. There was a suggestive relative surge in ICH among all stroke types during the first peak of the NYC pandemic. It is important to be vigilant of ICH as a possible and important manifestation of COVID-19.","container-title":"Journal of stroke and cerebrovascular diseases : the official journal of National Stroke Association","DOI":"10.1016/j.jstrokecerebrovasdis.2021.105603","ISSN":"1532-8511","issue":"4","note":"PMID: 33484980\nCitation Key: Mishra2021","page":"105603","title":"Intracranial Hemorrhage in COVID-19 Patients.","volume":"30","author":[{"family":"Mishra","given":"Sanskriti"},{"family":"Choueka","given":"Murray"},{"family":"Wang","given":"Qiang"},{"family":"Hu","given":"Chloe"},{"family":"Visone","given":"Stephanie"},{"family":"Silver","given":"Michael"},{"family":"Stein","given":"Evan G"},{"family":"Levine","given":"Steven R"},{"family":"Wang","given":"Qingliang T"}],"issued":{"date-parts":[["2021",4]]}}}],"schema":"https://github.com/citation-style-language/schema/raw/master/csl-citation.json"}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2153F8">
              <w:rPr>
                <w:rFonts w:ascii="Times New Roman" w:hAnsi="Times New Roman" w:cs="Times New Roman"/>
                <w:color w:val="000000"/>
                <w:sz w:val="13"/>
                <w:vertAlign w:val="superscript"/>
                <w:lang w:val="de-DE"/>
              </w:rPr>
              <w:t>51</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7A39492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vAlign w:val="center"/>
            <w:hideMark/>
          </w:tcPr>
          <w:p w14:paraId="3B7900C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41</w:t>
            </w:r>
          </w:p>
        </w:tc>
        <w:tc>
          <w:tcPr>
            <w:tcW w:w="384" w:type="pct"/>
            <w:tcBorders>
              <w:top w:val="nil"/>
              <w:left w:val="nil"/>
              <w:bottom w:val="nil"/>
              <w:right w:val="nil"/>
            </w:tcBorders>
            <w:shd w:val="clear" w:color="auto" w:fill="auto"/>
            <w:vAlign w:val="center"/>
            <w:hideMark/>
          </w:tcPr>
          <w:p w14:paraId="2C20614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11</w:t>
            </w:r>
          </w:p>
        </w:tc>
        <w:tc>
          <w:tcPr>
            <w:tcW w:w="275" w:type="pct"/>
            <w:tcBorders>
              <w:top w:val="nil"/>
              <w:left w:val="nil"/>
              <w:bottom w:val="nil"/>
              <w:right w:val="nil"/>
            </w:tcBorders>
            <w:shd w:val="clear" w:color="auto" w:fill="auto"/>
            <w:vAlign w:val="center"/>
            <w:hideMark/>
          </w:tcPr>
          <w:p w14:paraId="7141ED5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w:t>
            </w:r>
          </w:p>
        </w:tc>
        <w:tc>
          <w:tcPr>
            <w:tcW w:w="384" w:type="pct"/>
            <w:tcBorders>
              <w:top w:val="nil"/>
              <w:left w:val="nil"/>
              <w:bottom w:val="nil"/>
              <w:right w:val="nil"/>
            </w:tcBorders>
            <w:shd w:val="clear" w:color="auto" w:fill="auto"/>
            <w:vAlign w:val="center"/>
            <w:hideMark/>
          </w:tcPr>
          <w:p w14:paraId="0939F93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29</w:t>
            </w:r>
          </w:p>
        </w:tc>
        <w:tc>
          <w:tcPr>
            <w:tcW w:w="486" w:type="pct"/>
            <w:tcBorders>
              <w:top w:val="nil"/>
              <w:left w:val="nil"/>
              <w:bottom w:val="nil"/>
              <w:right w:val="nil"/>
            </w:tcBorders>
            <w:shd w:val="clear" w:color="auto" w:fill="auto"/>
            <w:vAlign w:val="center"/>
            <w:hideMark/>
          </w:tcPr>
          <w:p w14:paraId="1019B2A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275</w:t>
            </w:r>
          </w:p>
        </w:tc>
        <w:tc>
          <w:tcPr>
            <w:tcW w:w="493" w:type="pct"/>
            <w:tcBorders>
              <w:top w:val="nil"/>
              <w:left w:val="nil"/>
              <w:bottom w:val="nil"/>
              <w:right w:val="nil"/>
            </w:tcBorders>
            <w:shd w:val="clear" w:color="auto" w:fill="auto"/>
            <w:vAlign w:val="center"/>
            <w:hideMark/>
          </w:tcPr>
          <w:p w14:paraId="44E69E8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0</w:t>
            </w:r>
          </w:p>
        </w:tc>
        <w:tc>
          <w:tcPr>
            <w:tcW w:w="629" w:type="pct"/>
            <w:tcBorders>
              <w:top w:val="nil"/>
              <w:left w:val="nil"/>
              <w:bottom w:val="nil"/>
              <w:right w:val="nil"/>
            </w:tcBorders>
            <w:shd w:val="clear" w:color="auto" w:fill="auto"/>
            <w:vAlign w:val="center"/>
            <w:hideMark/>
          </w:tcPr>
          <w:p w14:paraId="5E5DA62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49BBBD3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4257F1A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0E2B0BF7" w14:textId="77777777" w:rsidTr="007B37AC">
        <w:trPr>
          <w:trHeight w:val="340"/>
        </w:trPr>
        <w:tc>
          <w:tcPr>
            <w:tcW w:w="1058" w:type="pct"/>
            <w:tcBorders>
              <w:top w:val="nil"/>
              <w:left w:val="nil"/>
              <w:bottom w:val="nil"/>
              <w:right w:val="nil"/>
            </w:tcBorders>
            <w:shd w:val="clear" w:color="auto" w:fill="auto"/>
            <w:vAlign w:val="center"/>
            <w:hideMark/>
          </w:tcPr>
          <w:p w14:paraId="45E5A6F9" w14:textId="6859B6AF"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Mishra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{"citationID":"G9aTXYjE","properties":{"formattedCitation":"\\super 51\\nosupersub{}","plainCitation":"51","noteIndex":0},"citationItems":[{"id":3269,"uris":["http://zotero.org/users/local/4rfnQu81/items/JKELK69K"],"uri":["http://zotero.org/users/local/4rfnQu81/items/JKELK69K"],"itemData":{"id":3269,"type":"article-journal","abstract":"OBJECTIVE To describe the clinical, laboratory, temporal, radiographic, and outcome features of acute Intracranial Hemorrhage (ICH) in COVID-19 patients. METHODS Retrospective, observational, consecutive case series of patients admitted with ICH to Maimonides Medical Center from March 1 through July 31, 2020, who had confirmed or highly suspected COVID-19. Demographic, clinical, laboratory, imaging, and outcome data were analyzed. ICH rates among all strokes were compared to the same time period in 2019 in two-week time intervals. Correlation of systolic blood pressure variability (SBPV) and neutrophil-to-lymphocyte ratio (NLR) to clinical outcomes were performed. RESULTS Of 324 patients who presented with stroke, 65 (20%) were diagnosed with non-traumatic ICH: 8 had confirmed and 3 had highly suspected COVID-19. Nine (82%) had at least one associated risk factor for ICH. Three ICHs occurred during inpatient anticoagulation. More than half (6) suffered either deep or cerebellar hemorrhages; only 2 were lobar hemorrhages. Two of 8 patients with severe pneumonia survived. During the NYC COVID-19 peak period in April, ICH comprised the highest percentage of all strokes (40%), and then steadily decreased week-after-week (p = 0.02). SBPV and NLR were moderately and weakly positively correlated to discharge modified Rankin Scale, respectively. CONCLUSIONS COVID-19 associated ICH is often associated with at least one known ICH risk factor and severe pneumonia. There was a suggestive relative surge in ICH among all stroke types during the first peak of the NYC pandemic. It is important to be vigilant of ICH as a possible and important manifestation of COVID-19.","container-title":"Journal of stroke and cerebrovascular diseases : the official journal of National Stroke Association","DOI":"10.1016/j.jstrokecerebrovasdis.2021.105603","ISSN":"1532-8511","issue":"4","note":"PMID: 33484980\nCitation Key: Mishra2021","page":"105603","title":"Intracranial Hemorrhage in COVID-19 Patients.","volume":"30","author":[{"family":"Mishra","given":"Sanskriti"},{"family":"Choueka","given":"Murray"},{"family":"Wang","given":"Qiang"},{"family":"Hu","given":"Chloe"},{"family":"Visone","given":"Stephanie"},{"family":"Silver","given":"Michael"},{"family":"Stein","given":"Evan G"},{"family":"Levine","given":"Steven R"},{"family":"Wang","given":"Qingliang T"}],"issued":{"date-parts":[["2021",4]]}}}],"schema":"https://github.com/citation-style-language/schema/raw/master/csl-citation.json"}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2153F8">
              <w:rPr>
                <w:rFonts w:ascii="Times New Roman" w:hAnsi="Times New Roman" w:cs="Times New Roman"/>
                <w:color w:val="000000"/>
                <w:sz w:val="13"/>
                <w:vertAlign w:val="superscript"/>
                <w:lang w:val="de-DE"/>
              </w:rPr>
              <w:t>51</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1643888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vAlign w:val="center"/>
            <w:hideMark/>
          </w:tcPr>
          <w:p w14:paraId="79C9006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88</w:t>
            </w:r>
          </w:p>
        </w:tc>
        <w:tc>
          <w:tcPr>
            <w:tcW w:w="384" w:type="pct"/>
            <w:tcBorders>
              <w:top w:val="nil"/>
              <w:left w:val="nil"/>
              <w:bottom w:val="nil"/>
              <w:right w:val="nil"/>
            </w:tcBorders>
            <w:shd w:val="clear" w:color="auto" w:fill="auto"/>
            <w:vAlign w:val="center"/>
            <w:hideMark/>
          </w:tcPr>
          <w:p w14:paraId="2F22663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25</w:t>
            </w:r>
          </w:p>
        </w:tc>
        <w:tc>
          <w:tcPr>
            <w:tcW w:w="275" w:type="pct"/>
            <w:tcBorders>
              <w:top w:val="nil"/>
              <w:left w:val="nil"/>
              <w:bottom w:val="nil"/>
              <w:right w:val="nil"/>
            </w:tcBorders>
            <w:shd w:val="clear" w:color="auto" w:fill="auto"/>
            <w:vAlign w:val="center"/>
            <w:hideMark/>
          </w:tcPr>
          <w:p w14:paraId="55B7EEF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w:t>
            </w:r>
          </w:p>
        </w:tc>
        <w:tc>
          <w:tcPr>
            <w:tcW w:w="384" w:type="pct"/>
            <w:tcBorders>
              <w:top w:val="nil"/>
              <w:left w:val="nil"/>
              <w:bottom w:val="nil"/>
              <w:right w:val="nil"/>
            </w:tcBorders>
            <w:shd w:val="clear" w:color="auto" w:fill="auto"/>
            <w:vAlign w:val="center"/>
            <w:hideMark/>
          </w:tcPr>
          <w:p w14:paraId="0C5799A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66</w:t>
            </w:r>
          </w:p>
        </w:tc>
        <w:tc>
          <w:tcPr>
            <w:tcW w:w="486" w:type="pct"/>
            <w:tcBorders>
              <w:top w:val="nil"/>
              <w:left w:val="nil"/>
              <w:bottom w:val="nil"/>
              <w:right w:val="nil"/>
            </w:tcBorders>
            <w:shd w:val="clear" w:color="auto" w:fill="auto"/>
            <w:vAlign w:val="center"/>
            <w:hideMark/>
          </w:tcPr>
          <w:p w14:paraId="17AD80C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274</w:t>
            </w:r>
          </w:p>
        </w:tc>
        <w:tc>
          <w:tcPr>
            <w:tcW w:w="493" w:type="pct"/>
            <w:tcBorders>
              <w:top w:val="nil"/>
              <w:left w:val="nil"/>
              <w:bottom w:val="nil"/>
              <w:right w:val="nil"/>
            </w:tcBorders>
            <w:shd w:val="clear" w:color="auto" w:fill="auto"/>
            <w:vAlign w:val="center"/>
            <w:hideMark/>
          </w:tcPr>
          <w:p w14:paraId="7632B44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w:t>
            </w:r>
          </w:p>
        </w:tc>
        <w:tc>
          <w:tcPr>
            <w:tcW w:w="629" w:type="pct"/>
            <w:tcBorders>
              <w:top w:val="nil"/>
              <w:left w:val="nil"/>
              <w:bottom w:val="nil"/>
              <w:right w:val="nil"/>
            </w:tcBorders>
            <w:shd w:val="clear" w:color="auto" w:fill="auto"/>
            <w:vAlign w:val="center"/>
            <w:hideMark/>
          </w:tcPr>
          <w:p w14:paraId="123ADB0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76F1E0F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3850C89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20EECB42" w14:textId="77777777" w:rsidTr="007B37AC">
        <w:trPr>
          <w:trHeight w:val="340"/>
        </w:trPr>
        <w:tc>
          <w:tcPr>
            <w:tcW w:w="1058" w:type="pct"/>
            <w:tcBorders>
              <w:top w:val="nil"/>
              <w:left w:val="nil"/>
              <w:bottom w:val="nil"/>
              <w:right w:val="nil"/>
            </w:tcBorders>
            <w:shd w:val="clear" w:color="auto" w:fill="auto"/>
            <w:vAlign w:val="center"/>
            <w:hideMark/>
          </w:tcPr>
          <w:p w14:paraId="2476B96E" w14:textId="48ABC418"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Mishra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{"citationID":"GnTRVqRW","properties":{"formattedCitation":"\\super 51\\nosupersub{}","plainCitation":"51","noteIndex":0},"citationItems":[{"id":3269,"uris":["http://zotero.org/users/local/4rfnQu81/items/JKELK69K"],"uri":["http://zotero.org/users/local/4rfnQu81/items/JKELK69K"],"itemData":{"id":3269,"type":"article-journal","abstract":"OBJECTIVE To describe the clinical, laboratory, temporal, radiographic, and outcome features of acute Intracranial Hemorrhage (ICH) in COVID-19 patients. METHODS Retrospective, observational, consecutive case series of patients admitted with ICH to Maimonides Medical Center from March 1 through July 31, 2020, who had confirmed or highly suspected COVID-19. Demographic, clinical, laboratory, imaging, and outcome data were analyzed. ICH rates among all strokes were compared to the same time period in 2019 in two-week time intervals. Correlation of systolic blood pressure variability (SBPV) and neutrophil-to-lymphocyte ratio (NLR) to clinical outcomes were performed. RESULTS Of 324 patients who presented with stroke, 65 (20%) were diagnosed with non-traumatic ICH: 8 had confirmed and 3 had highly suspected COVID-19. Nine (82%) had at least one associated risk factor for ICH. Three ICHs occurred during inpatient anticoagulation. More than half (6) suffered either deep or cerebellar hemorrhages; only 2 were lobar hemorrhages. Two of 8 patients with severe pneumonia survived. During the NYC COVID-19 peak period in April, ICH comprised the highest percentage of all strokes (40%), and then steadily decreased week-after-week (p = 0.02). SBPV and NLR were moderately and weakly positively correlated to discharge modified Rankin Scale, respectively. CONCLUSIONS COVID-19 associated ICH is often associated with at least one known ICH risk factor and severe pneumonia. There was a suggestive relative surge in ICH among all stroke types during the first peak of the NYC pandemic. It is important to be vigilant of ICH as a possible and important manifestation of COVID-19.","container-title":"Journal of stroke and cerebrovascular diseases : the official journal of National Stroke Association","DOI":"10.1016/j.jstrokecerebrovasdis.2021.105603","ISSN":"1532-8511","issue":"4","note":"PMID: 33484980\nCitation Key: Mishra2021","page":"105603","title":"Intracranial Hemorrhage in COVID-19 Patients.","volume":"30","author":[{"family":"Mishra","given":"Sanskriti"},{"family":"Choueka","given":"Murray"},{"family":"Wang","given":"Qiang"},{"family":"Hu","given":"Chloe"},{"family":"Visone","given":"Stephanie"},{"family":"Silver","given":"Michael"},{"family":"Stein","given":"Evan G"},{"family":"Levine","given":"Steven R"},{"family":"Wang","given":"Qingliang T"}],"issued":{"date-parts":[["2021",4]]}}}],"schema":"https://github.com/citation-style-language/schema/raw/master/csl-citation.json"}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2153F8">
              <w:rPr>
                <w:rFonts w:ascii="Times New Roman" w:hAnsi="Times New Roman" w:cs="Times New Roman"/>
                <w:color w:val="000000"/>
                <w:sz w:val="13"/>
                <w:vertAlign w:val="superscript"/>
                <w:lang w:val="de-DE"/>
              </w:rPr>
              <w:t>51</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79B47B5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vAlign w:val="center"/>
            <w:hideMark/>
          </w:tcPr>
          <w:p w14:paraId="7ED0053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19</w:t>
            </w:r>
          </w:p>
        </w:tc>
        <w:tc>
          <w:tcPr>
            <w:tcW w:w="384" w:type="pct"/>
            <w:tcBorders>
              <w:top w:val="nil"/>
              <w:left w:val="nil"/>
              <w:bottom w:val="nil"/>
              <w:right w:val="nil"/>
            </w:tcBorders>
            <w:shd w:val="clear" w:color="auto" w:fill="auto"/>
            <w:vAlign w:val="center"/>
            <w:hideMark/>
          </w:tcPr>
          <w:p w14:paraId="0D64F11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16</w:t>
            </w:r>
          </w:p>
        </w:tc>
        <w:tc>
          <w:tcPr>
            <w:tcW w:w="275" w:type="pct"/>
            <w:tcBorders>
              <w:top w:val="nil"/>
              <w:left w:val="nil"/>
              <w:bottom w:val="nil"/>
              <w:right w:val="nil"/>
            </w:tcBorders>
            <w:shd w:val="clear" w:color="auto" w:fill="auto"/>
            <w:vAlign w:val="center"/>
            <w:hideMark/>
          </w:tcPr>
          <w:p w14:paraId="7480C3C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vAlign w:val="center"/>
            <w:hideMark/>
          </w:tcPr>
          <w:p w14:paraId="0AE4C39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71</w:t>
            </w:r>
          </w:p>
        </w:tc>
        <w:tc>
          <w:tcPr>
            <w:tcW w:w="486" w:type="pct"/>
            <w:tcBorders>
              <w:top w:val="nil"/>
              <w:left w:val="nil"/>
              <w:bottom w:val="nil"/>
              <w:right w:val="nil"/>
            </w:tcBorders>
            <w:shd w:val="clear" w:color="auto" w:fill="auto"/>
            <w:vAlign w:val="center"/>
            <w:hideMark/>
          </w:tcPr>
          <w:p w14:paraId="0530B7E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344</w:t>
            </w:r>
          </w:p>
        </w:tc>
        <w:tc>
          <w:tcPr>
            <w:tcW w:w="493" w:type="pct"/>
            <w:tcBorders>
              <w:top w:val="nil"/>
              <w:left w:val="nil"/>
              <w:bottom w:val="nil"/>
              <w:right w:val="nil"/>
            </w:tcBorders>
            <w:shd w:val="clear" w:color="auto" w:fill="auto"/>
            <w:vAlign w:val="center"/>
            <w:hideMark/>
          </w:tcPr>
          <w:p w14:paraId="390BBAF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w:t>
            </w:r>
          </w:p>
        </w:tc>
        <w:tc>
          <w:tcPr>
            <w:tcW w:w="629" w:type="pct"/>
            <w:tcBorders>
              <w:top w:val="nil"/>
              <w:left w:val="nil"/>
              <w:bottom w:val="nil"/>
              <w:right w:val="nil"/>
            </w:tcBorders>
            <w:shd w:val="clear" w:color="auto" w:fill="auto"/>
            <w:vAlign w:val="center"/>
            <w:hideMark/>
          </w:tcPr>
          <w:p w14:paraId="120F4E8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CT/MRI</w:t>
            </w:r>
          </w:p>
        </w:tc>
        <w:tc>
          <w:tcPr>
            <w:tcW w:w="316" w:type="pct"/>
            <w:tcBorders>
              <w:top w:val="nil"/>
              <w:left w:val="nil"/>
              <w:bottom w:val="nil"/>
              <w:right w:val="nil"/>
            </w:tcBorders>
            <w:shd w:val="clear" w:color="auto" w:fill="auto"/>
            <w:noWrap/>
            <w:vAlign w:val="center"/>
            <w:hideMark/>
          </w:tcPr>
          <w:p w14:paraId="704338A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5DE1225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2555F978" w14:textId="77777777" w:rsidTr="007B37AC">
        <w:trPr>
          <w:trHeight w:val="340"/>
        </w:trPr>
        <w:tc>
          <w:tcPr>
            <w:tcW w:w="1058" w:type="pct"/>
            <w:tcBorders>
              <w:top w:val="nil"/>
              <w:left w:val="nil"/>
              <w:bottom w:val="nil"/>
              <w:right w:val="nil"/>
            </w:tcBorders>
            <w:shd w:val="clear" w:color="auto" w:fill="auto"/>
            <w:vAlign w:val="center"/>
            <w:hideMark/>
          </w:tcPr>
          <w:p w14:paraId="03F8552F" w14:textId="606A99C7"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Mishra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{"citationID":"eF8AzgdL","properties":{"formattedCitation":"\\super 51\\nosupersub{}","plainCitation":"51","noteIndex":0},"citationItems":[{"id":3269,"uris":["http://zotero.org/users/local/4rfnQu81/items/JKELK69K"],"uri":["http://zotero.org/users/local/4rfnQu81/items/JKELK69K"],"itemData":{"id":3269,"type":"article-journal","abstract":"OBJECTIVE To describe the clinical, laboratory, temporal, radiographic, and outcome features of acute Intracranial Hemorrhage (ICH) in COVID-19 patients. METHODS Retrospective, observational, consecutive case series of patients admitted with ICH to Maimonides Medical Center from March 1 through July 31, 2020, who had confirmed or highly suspected COVID-19. Demographic, clinical, laboratory, imaging, and outcome data were analyzed. ICH rates among all strokes were compared to the same time period in 2019 in two-week time intervals. Correlation of systolic blood pressure variability (SBPV) and neutrophil-to-lymphocyte ratio (NLR) to clinical outcomes were performed. RESULTS Of 324 patients who presented with stroke, 65 (20%) were diagnosed with non-traumatic ICH: 8 had confirmed and 3 had highly suspected COVID-19. Nine (82%) had at least one associated risk factor for ICH. Three ICHs occurred during inpatient anticoagulation. More than half (6) suffered either deep or cerebellar hemorrhages; only 2 were lobar hemorrhages. Two of 8 patients with severe pneumonia survived. During the NYC COVID-19 peak period in April, ICH comprised the highest percentage of all strokes (40%), and then steadily decreased week-after-week (p = 0.02). SBPV and NLR were moderately and weakly positively correlated to discharge modified Rankin Scale, respectively. CONCLUSIONS COVID-19 associated ICH is often associated with at least one known ICH risk factor and severe pneumonia. There was a suggestive relative surge in ICH among all stroke types during the first peak of the NYC pandemic. It is important to be vigilant of ICH as a possible and important manifestation of COVID-19.","container-title":"Journal of stroke and cerebrovascular diseases : the official journal of National Stroke Association","DOI":"10.1016/j.jstrokecerebrovasdis.2021.105603","ISSN":"1532-8511","issue":"4","note":"PMID: 33484980\nCitation Key: Mishra2021","page":"105603","title":"Intracranial Hemorrhage in COVID-19 Patients.","volume":"30","author":[{"family":"Mishra","given":"Sanskriti"},{"family":"Choueka","given":"Murray"},{"family":"Wang","given":"Qiang"},{"family":"Hu","given":"Chloe"},{"family":"Visone","given":"Stephanie"},{"family":"Silver","given":"Michael"},{"family":"Stein","given":"Evan G"},{"family":"Levine","given":"Steven R"},{"family":"Wang","given":"Qingliang T"}],"issued":{"date-parts":[["2021",4]]}}}],"schema":"https://github.com/citation-style-language/schema/raw/master/csl-citation.json"}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2153F8">
              <w:rPr>
                <w:rFonts w:ascii="Times New Roman" w:hAnsi="Times New Roman" w:cs="Times New Roman"/>
                <w:color w:val="000000"/>
                <w:sz w:val="13"/>
                <w:vertAlign w:val="superscript"/>
                <w:lang w:val="de-DE"/>
              </w:rPr>
              <w:t>51</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68E8940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vAlign w:val="center"/>
            <w:hideMark/>
          </w:tcPr>
          <w:p w14:paraId="093686F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0BE5330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c>
          <w:tcPr>
            <w:tcW w:w="275" w:type="pct"/>
            <w:tcBorders>
              <w:top w:val="nil"/>
              <w:left w:val="nil"/>
              <w:bottom w:val="nil"/>
              <w:right w:val="nil"/>
            </w:tcBorders>
            <w:shd w:val="clear" w:color="auto" w:fill="auto"/>
            <w:vAlign w:val="center"/>
            <w:hideMark/>
          </w:tcPr>
          <w:p w14:paraId="72E3B0A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23FD662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vAlign w:val="center"/>
            <w:hideMark/>
          </w:tcPr>
          <w:p w14:paraId="4B443AA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89</w:t>
            </w:r>
          </w:p>
        </w:tc>
        <w:tc>
          <w:tcPr>
            <w:tcW w:w="493" w:type="pct"/>
            <w:tcBorders>
              <w:top w:val="nil"/>
              <w:left w:val="nil"/>
              <w:bottom w:val="nil"/>
              <w:right w:val="nil"/>
            </w:tcBorders>
            <w:shd w:val="clear" w:color="auto" w:fill="auto"/>
            <w:vAlign w:val="center"/>
            <w:hideMark/>
          </w:tcPr>
          <w:p w14:paraId="138A449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vAlign w:val="center"/>
            <w:hideMark/>
          </w:tcPr>
          <w:p w14:paraId="3A76831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6F8EE2B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579C618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18E982E2" w14:textId="77777777" w:rsidTr="007B37AC">
        <w:trPr>
          <w:trHeight w:val="340"/>
        </w:trPr>
        <w:tc>
          <w:tcPr>
            <w:tcW w:w="1058" w:type="pct"/>
            <w:tcBorders>
              <w:top w:val="nil"/>
              <w:left w:val="nil"/>
              <w:bottom w:val="nil"/>
              <w:right w:val="nil"/>
            </w:tcBorders>
            <w:shd w:val="clear" w:color="auto" w:fill="auto"/>
            <w:vAlign w:val="center"/>
            <w:hideMark/>
          </w:tcPr>
          <w:p w14:paraId="6E503560" w14:textId="7233FA83"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Mishra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{"citationID":"ZR8KnLzO","properties":{"formattedCitation":"\\super 51\\nosupersub{}","plainCitation":"51","noteIndex":0},"citationItems":[{"id":3269,"uris":["http://zotero.org/users/local/4rfnQu81/items/JKELK69K"],"uri":["http://zotero.org/users/local/4rfnQu81/items/JKELK69K"],"itemData":{"id":3269,"type":"article-journal","abstract":"OBJECTIVE To describe the clinical, laboratory, temporal, radiographic, and outcome features of acute Intracranial Hemorrhage (ICH) in COVID-19 patients. METHODS Retrospective, observational, consecutive case series of patients admitted with ICH to Maimonides Medical Center from March 1 through July 31, 2020, who had confirmed or highly suspected COVID-19. Demographic, clinical, laboratory, imaging, and outcome data were analyzed. ICH rates among all strokes were compared to the same time period in 2019 in two-week time intervals. Correlation of systolic blood pressure variability (SBPV) and neutrophil-to-lymphocyte ratio (NLR) to clinical outcomes were performed. RESULTS Of 324 patients who presented with stroke, 65 (20%) were diagnosed with non-traumatic ICH: 8 had confirmed and 3 had highly suspected COVID-19. Nine (82%) had at least one associated risk factor for ICH. Three ICHs occurred during inpatient anticoagulation. More than half (6) suffered either deep or cerebellar hemorrhages; only 2 were lobar hemorrhages. Two of 8 patients with severe pneumonia survived. During the NYC COVID-19 peak period in April, ICH comprised the highest percentage of all strokes (40%), and then steadily decreased week-after-week (p = 0.02). SBPV and NLR were moderately and weakly positively correlated to discharge modified Rankin Scale, respectively. CONCLUSIONS COVID-19 associated ICH is often associated with at least one known ICH risk factor and severe pneumonia. There was a suggestive relative surge in ICH among all stroke types during the first peak of the NYC pandemic. It is important to be vigilant of ICH as a possible and important manifestation of COVID-19.","container-title":"Journal of stroke and cerebrovascular diseases : the official journal of National Stroke Association","DOI":"10.1016/j.jstrokecerebrovasdis.2021.105603","ISSN":"1532-8511","issue":"4","note":"PMID: 33484980\nCitation Key: Mishra2021","page":"105603","title":"Intracranial Hemorrhage in COVID-19 Patients.","volume":"30","author":[{"family":"Mishra","given":"Sanskriti"},{"family":"Choueka","given":"Murray"},{"family":"Wang","given":"Qiang"},{"family":"Hu","given":"Chloe"},{"family":"Visone","given":"Stephanie"},{"family":"Silver","given":"Michael"},{"family":"Stein","given":"Evan G"},{"family":"Levine","given":"Steven R"},{"family":"Wang","given":"Qingliang T"}],"issued":{"date-parts":[["2021",4]]}}}],"schema":"https://github.com/citation-style-language/schema/raw/master/csl-citation.json"}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2153F8">
              <w:rPr>
                <w:rFonts w:ascii="Times New Roman" w:hAnsi="Times New Roman" w:cs="Times New Roman"/>
                <w:color w:val="000000"/>
                <w:sz w:val="13"/>
                <w:vertAlign w:val="superscript"/>
                <w:lang w:val="de-DE"/>
              </w:rPr>
              <w:t>51</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161C9A5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vAlign w:val="center"/>
            <w:hideMark/>
          </w:tcPr>
          <w:p w14:paraId="3719B59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vAlign w:val="center"/>
            <w:hideMark/>
          </w:tcPr>
          <w:p w14:paraId="7057FA5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16</w:t>
            </w:r>
          </w:p>
        </w:tc>
        <w:tc>
          <w:tcPr>
            <w:tcW w:w="275" w:type="pct"/>
            <w:tcBorders>
              <w:top w:val="nil"/>
              <w:left w:val="nil"/>
              <w:bottom w:val="nil"/>
              <w:right w:val="nil"/>
            </w:tcBorders>
            <w:shd w:val="clear" w:color="auto" w:fill="auto"/>
            <w:vAlign w:val="center"/>
            <w:hideMark/>
          </w:tcPr>
          <w:p w14:paraId="7A2C5E1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vAlign w:val="center"/>
            <w:hideMark/>
          </w:tcPr>
          <w:p w14:paraId="1323252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vAlign w:val="center"/>
            <w:hideMark/>
          </w:tcPr>
          <w:p w14:paraId="4654051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230</w:t>
            </w:r>
          </w:p>
        </w:tc>
        <w:tc>
          <w:tcPr>
            <w:tcW w:w="493" w:type="pct"/>
            <w:tcBorders>
              <w:top w:val="nil"/>
              <w:left w:val="nil"/>
              <w:bottom w:val="nil"/>
              <w:right w:val="nil"/>
            </w:tcBorders>
            <w:shd w:val="clear" w:color="auto" w:fill="auto"/>
            <w:vAlign w:val="center"/>
            <w:hideMark/>
          </w:tcPr>
          <w:p w14:paraId="2053C2E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vAlign w:val="center"/>
            <w:hideMark/>
          </w:tcPr>
          <w:p w14:paraId="486914A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noWrap/>
            <w:vAlign w:val="center"/>
            <w:hideMark/>
          </w:tcPr>
          <w:p w14:paraId="024AF4E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10A1593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35554BB6" w14:textId="77777777" w:rsidTr="007B37AC">
        <w:trPr>
          <w:trHeight w:val="340"/>
        </w:trPr>
        <w:tc>
          <w:tcPr>
            <w:tcW w:w="1058" w:type="pct"/>
            <w:tcBorders>
              <w:top w:val="nil"/>
              <w:left w:val="nil"/>
              <w:bottom w:val="nil"/>
              <w:right w:val="nil"/>
            </w:tcBorders>
            <w:shd w:val="clear" w:color="auto" w:fill="auto"/>
            <w:vAlign w:val="center"/>
            <w:hideMark/>
          </w:tcPr>
          <w:p w14:paraId="514EDD09" w14:textId="28007E50"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Mishra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{"citationID":"21jLfsm3","properties":{"formattedCitation":"\\super 51\\nosupersub{}","plainCitation":"51","noteIndex":0},"citationItems":[{"id":3269,"uris":["http://zotero.org/users/local/4rfnQu81/items/JKELK69K"],"uri":["http://zotero.org/users/local/4rfnQu81/items/JKELK69K"],"itemData":{"id":3269,"type":"article-journal","abstract":"OBJECTIVE To describe the clinical, laboratory, temporal, radiographic, and outcome features of acute Intracranial Hemorrhage (ICH) in COVID-19 patients. METHODS Retrospective, observational, consecutive case series of patients admitted with ICH to Maimonides Medical Center from March 1 through July 31, 2020, who had confirmed or highly suspected COVID-19. Demographic, clinical, laboratory, imaging, and outcome data were analyzed. ICH rates among all strokes were compared to the same time period in 2019 in two-week time intervals. Correlation of systolic blood pressure variability (SBPV) and neutrophil-to-lymphocyte ratio (NLR) to clinical outcomes were performed. RESULTS Of 324 patients who presented with stroke, 65 (20%) were diagnosed with non-traumatic ICH: 8 had confirmed and 3 had highly suspected COVID-19. Nine (82%) had at least one associated risk factor for ICH. Three ICHs occurred during inpatient anticoagulation. More than half (6) suffered either deep or cerebellar hemorrhages; only 2 were lobar hemorrhages. Two of 8 patients with severe pneumonia survived. During the NYC COVID-19 peak period in April, ICH comprised the highest percentage of all strokes (40%), and then steadily decreased week-after-week (p = 0.02). SBPV and NLR were moderately and weakly positively correlated to discharge modified Rankin Scale, respectively. CONCLUSIONS COVID-19 associated ICH is often associated with at least one known ICH risk factor and severe pneumonia. There was a suggestive relative surge in ICH among all stroke types during the first peak of the NYC pandemic. It is important to be vigilant of ICH as a possible and important manifestation of COVID-19.","container-title":"Journal of stroke and cerebrovascular diseases : the official journal of National Stroke Association","DOI":"10.1016/j.jstrokecerebrovasdis.2021.105603","ISSN":"1532-8511","issue":"4","note":"PMID: 33484980\nCitation Key: Mishra2021","page":"105603","title":"Intracranial Hemorrhage in COVID-19 Patients.","volume":"30","author":[{"family":"Mishra","given":"Sanskriti"},{"family":"Choueka","given":"Murray"},{"family":"Wang","given":"Qiang"},{"family":"Hu","given":"Chloe"},{"family":"Visone","given":"Stephanie"},{"family":"Silver","given":"Michael"},{"family":"Stein","given":"Evan G"},{"family":"Levine","given":"Steven R"},{"family":"Wang","given":"Qingliang T"}],"issued":{"date-parts":[["2021",4]]}}}],"schema":"https://github.com/citation-style-language/schema/raw/master/csl-citation.json"}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2153F8">
              <w:rPr>
                <w:rFonts w:ascii="Times New Roman" w:hAnsi="Times New Roman" w:cs="Times New Roman"/>
                <w:color w:val="000000"/>
                <w:sz w:val="13"/>
                <w:vertAlign w:val="superscript"/>
                <w:lang w:val="de-DE"/>
              </w:rPr>
              <w:t>51</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noWrap/>
            <w:vAlign w:val="center"/>
            <w:hideMark/>
          </w:tcPr>
          <w:p w14:paraId="5982804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vAlign w:val="center"/>
            <w:hideMark/>
          </w:tcPr>
          <w:p w14:paraId="59414D7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318</w:t>
            </w:r>
          </w:p>
        </w:tc>
        <w:tc>
          <w:tcPr>
            <w:tcW w:w="384" w:type="pct"/>
            <w:tcBorders>
              <w:top w:val="nil"/>
              <w:left w:val="nil"/>
              <w:bottom w:val="nil"/>
              <w:right w:val="nil"/>
            </w:tcBorders>
            <w:shd w:val="clear" w:color="auto" w:fill="auto"/>
            <w:vAlign w:val="center"/>
            <w:hideMark/>
          </w:tcPr>
          <w:p w14:paraId="3946F47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24</w:t>
            </w:r>
          </w:p>
        </w:tc>
        <w:tc>
          <w:tcPr>
            <w:tcW w:w="275" w:type="pct"/>
            <w:tcBorders>
              <w:top w:val="nil"/>
              <w:left w:val="nil"/>
              <w:bottom w:val="nil"/>
              <w:right w:val="nil"/>
            </w:tcBorders>
            <w:shd w:val="clear" w:color="auto" w:fill="auto"/>
            <w:vAlign w:val="center"/>
            <w:hideMark/>
          </w:tcPr>
          <w:p w14:paraId="721CCE8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vAlign w:val="center"/>
            <w:hideMark/>
          </w:tcPr>
          <w:p w14:paraId="562BAFF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15</w:t>
            </w:r>
          </w:p>
        </w:tc>
        <w:tc>
          <w:tcPr>
            <w:tcW w:w="486" w:type="pct"/>
            <w:tcBorders>
              <w:top w:val="nil"/>
              <w:left w:val="nil"/>
              <w:bottom w:val="nil"/>
              <w:right w:val="nil"/>
            </w:tcBorders>
            <w:shd w:val="clear" w:color="auto" w:fill="auto"/>
            <w:vAlign w:val="center"/>
            <w:hideMark/>
          </w:tcPr>
          <w:p w14:paraId="650B577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214</w:t>
            </w:r>
          </w:p>
        </w:tc>
        <w:tc>
          <w:tcPr>
            <w:tcW w:w="493" w:type="pct"/>
            <w:tcBorders>
              <w:top w:val="nil"/>
              <w:left w:val="nil"/>
              <w:bottom w:val="nil"/>
              <w:right w:val="nil"/>
            </w:tcBorders>
            <w:shd w:val="clear" w:color="auto" w:fill="auto"/>
            <w:vAlign w:val="center"/>
            <w:hideMark/>
          </w:tcPr>
          <w:p w14:paraId="7F28942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15</w:t>
            </w:r>
          </w:p>
        </w:tc>
        <w:tc>
          <w:tcPr>
            <w:tcW w:w="629" w:type="pct"/>
            <w:tcBorders>
              <w:top w:val="nil"/>
              <w:left w:val="nil"/>
              <w:bottom w:val="nil"/>
              <w:right w:val="nil"/>
            </w:tcBorders>
            <w:shd w:val="clear" w:color="auto" w:fill="auto"/>
            <w:vAlign w:val="center"/>
            <w:hideMark/>
          </w:tcPr>
          <w:p w14:paraId="52C78C8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CT/MRI</w:t>
            </w:r>
          </w:p>
        </w:tc>
        <w:tc>
          <w:tcPr>
            <w:tcW w:w="316" w:type="pct"/>
            <w:tcBorders>
              <w:top w:val="nil"/>
              <w:left w:val="nil"/>
              <w:bottom w:val="nil"/>
              <w:right w:val="nil"/>
            </w:tcBorders>
            <w:shd w:val="clear" w:color="auto" w:fill="auto"/>
            <w:noWrap/>
            <w:vAlign w:val="center"/>
            <w:hideMark/>
          </w:tcPr>
          <w:p w14:paraId="4C670F7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28C8AB0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4874E5C0" w14:textId="77777777" w:rsidTr="007B37AC">
        <w:trPr>
          <w:trHeight w:val="340"/>
        </w:trPr>
        <w:tc>
          <w:tcPr>
            <w:tcW w:w="1058" w:type="pct"/>
            <w:tcBorders>
              <w:top w:val="nil"/>
              <w:left w:val="nil"/>
              <w:bottom w:val="nil"/>
              <w:right w:val="nil"/>
            </w:tcBorders>
            <w:shd w:val="clear" w:color="auto" w:fill="auto"/>
            <w:vAlign w:val="center"/>
            <w:hideMark/>
          </w:tcPr>
          <w:p w14:paraId="244652BF" w14:textId="2ABCB2B1"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Agrawal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{"citationID":"3SHVD9I8","properties":{"formattedCitation":"\\super 52\\nosupersub{}","plainCitation":"52","noteIndex":0},"citationItems":[{"id":80,"uris":["http://zotero.org/users/local/4rfnQu81/items/X7AWCSFQ"],"uri":["http://zotero.org/users/local/4rfnQu81/items/X7AWCSFQ"],"itemData":{"id":80,"type":"article-journal","abstract":"Background and Purpose: We conducted this study to investigate the prevalence and distribution of cerebral microbleeds and leukoencephalopathy in hospitalized patients with coronavirus disease 2019 (COVID-19) and correlate with clinical, laboratory, and functional outcomes. Methods: We performed a retrospective chart review of 4131 COVID-19 positive adult patients who were admitted to 3 tertiary care hospitals of an academic medical center at the epicenter of the COVID-19 pandemic in New York City from March 1, 2020, to May 10, 2020, to identify patients who had magnetic resonance imaging (MRI) of the brain. We evaluated the MRIs in detail, and identified a subset of patients with leukoencephalopathy and/or cerebral microbleeds. We compared clinical, laboratory, and functional outcomes for these patients to patients who had a brain MRI that did not show these findings. Results: Of 115 patients who had an MRI of the brain performed, 35 (30.4%) patients had leukoencephalopathy and/or cerebral microbleeds. Patients with leukoencephalopathy and/or cerebral microbleeds had neuroimaging performed later during the hospitalization course (27 versus 10.6 days; P&lt;0.001), were clinically sicker at the time of brain MRI (median GCS 6 versus 14; P&lt;0.001), and had higher peak D-dimer levels (8018±6677 versus 3183±3482; P&lt;0.001), lower nadir platelet count (116.9±62.2 versus 158.3±76.2; P=0.03), higher peak international normalized ratio (2.2 versus 1.57; P&lt;0.001) values when compared with patients who had a brain MRI that did not show these findings. They required longer ventilator support (34.6 versus 9.1 days; P&lt;0.001) and were more likely to have moderate and severe acute respiratory distress syndrome score (88.6% versus 23.8%, P&lt;0.001). These patients had longer hospitalizations (42.1 versus 20.9 days; P&lt;0.001), overall worse functional status on discharge (mRS 5 versus 4; P=0.001), and higher mortality (20% versus 9%; P=0.144). Conclusions: The presence of leukoencephalopathy and/or cerebral microbleeds is associated with a critical illness, increased mortality, and worse functional outcome in patients with COVID-19.","container-title":"Stroke","DOI":"10.1161/STROKEAHA.120.030940","ISSN":"15244628","issue":"September","note":"PMID: 32755456","page":"2649–2655","title":"Cerebral Microbleeds and Leukoencephalopathy in Critically Ill Patients with COVID-19","author":[{"family":"Agarwal","given":"Shashank"},{"family":"Jain","given":"Rajan"},{"family":"Dogra","given":"Siddhant"},{"family":"Krieger","given":"Penina"},{"family":"Lewis","given":"Ariane"},{"family":"Nguyen","given":"Vinh"},{"family":"Melmed","given":"Kara"},{"family":"Galetta","given":"Steven"}],"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2153F8">
              <w:rPr>
                <w:rFonts w:ascii="Times New Roman" w:hAnsi="Times New Roman" w:cs="Times New Roman"/>
                <w:color w:val="000000"/>
                <w:sz w:val="13"/>
                <w:vertAlign w:val="superscript"/>
              </w:rPr>
              <w:t>52</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vAlign w:val="center"/>
            <w:hideMark/>
          </w:tcPr>
          <w:p w14:paraId="38E123C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vAlign w:val="center"/>
            <w:hideMark/>
          </w:tcPr>
          <w:p w14:paraId="139C229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67E8A47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62FA7BB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3E68F97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vAlign w:val="center"/>
            <w:hideMark/>
          </w:tcPr>
          <w:p w14:paraId="5C36355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vAlign w:val="center"/>
            <w:hideMark/>
          </w:tcPr>
          <w:p w14:paraId="26A9743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vAlign w:val="center"/>
            <w:hideMark/>
          </w:tcPr>
          <w:p w14:paraId="4DDD515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16" w:type="pct"/>
            <w:tcBorders>
              <w:top w:val="nil"/>
              <w:left w:val="nil"/>
              <w:bottom w:val="nil"/>
              <w:right w:val="nil"/>
            </w:tcBorders>
            <w:shd w:val="clear" w:color="auto" w:fill="auto"/>
            <w:vAlign w:val="center"/>
            <w:hideMark/>
          </w:tcPr>
          <w:p w14:paraId="3E86D9F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5663A9C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59E3828C" w14:textId="77777777" w:rsidTr="007B37AC">
        <w:trPr>
          <w:trHeight w:val="340"/>
        </w:trPr>
        <w:tc>
          <w:tcPr>
            <w:tcW w:w="1058" w:type="pct"/>
            <w:tcBorders>
              <w:top w:val="nil"/>
              <w:left w:val="nil"/>
              <w:bottom w:val="nil"/>
              <w:right w:val="nil"/>
            </w:tcBorders>
            <w:shd w:val="clear" w:color="auto" w:fill="auto"/>
            <w:vAlign w:val="center"/>
            <w:hideMark/>
          </w:tcPr>
          <w:p w14:paraId="479EC1E7" w14:textId="424C0521"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Altschul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{"citationID":"verv53rO","properties":{"formattedCitation":"\\super 53\\nosupersub{}","plainCitation":"53","noteIndex":0},"citationItems":[{"id":3081,"uris":["http://zotero.org/users/local/4rfnQu81/items/KY3SKRFC"],"uri":["http://zotero.org/users/local/4rfnQu81/items/KY3SKRFC"],"itemData":{"id":3081,"type":"article-journal","abstract":"OBJECTIVE: We aim to characterize the incidence, risk for mortality, and identify  risk factors for mortality in patients presenting with hemorrhage and COVID-19. METHODS: This retrospective cohort study included a cohort of patients admitted to one of three major hospitals of our healthcare network including, an academic medical center and comprehensive stroke center, which accepts transfers for complex cases from eight community hospitals, during March 1 to May 1, 2020. All patients that received imaging of the neuroaxis and had positive PCR testing for COVID-19 were identified and reviewed by an attending neuroradiologist. Demographics and comorbidities were recorded. Biomarkers were recorded from the day of the hemorrhagic event. Vital signs from the day of the hemorrhagic event mechanical ventilation orders at admission were recorded. Imaging findings were divided into 5 subtypes; acute subdural hematoma (SDH), subarachnoid hemorrhage (SAH), multi-compartmental hemorrhage (MCH), multi-focal intracerebral hemorrhage (MFH), and focal intracerebral hemorrhage (fICH). Outcomes were recorded as non-routine discharge and mortality. RESULTS: We found a total of 35 out of 5227 patients with COVID-19 that had hemorrhage of some kind. Mortality for the entire cohort was 45.7 % (n = 16). SDH patients had a mortality rate of 35.3 % (n = 6), SAH had a mortality of 50 % (n = 1), MCH patients had a mortality of 71.4 % (n = 5), MFH patients had a mortality of 50 % (n = 2), fICH patients had a mortality of 40 % (n = 2). Patients with severe pulmonary COVID requiring mechanical ventilation (OR 10.24 [.43-243.12] p = 0.015), with INR &gt; 1.2 on the day of the hemorrhagic event (OR 14.36 [1.69-122.14] p = 0.015], and patients presenting with spontaneous vs. traumatic hemorrhage (OR 6.11 [.31-118.89] p = 0.023) had significantly higher risk for mortality. CONCLUSIONS: Hemorrhagic presentations with COVID-19 are a rare but serious way in which the illness can manifest. It is important for neurosurgeons to realize that patients can present with these findings without primary pulmonary symptoms, and that severe pulmonary symptoms, elevated INR, and spontaneous hemorrhagic presentations is associated with increased risk for mortality.","container-title":"Clinical neurology and neurosurgery","DOI":"10.1016/j.clineuro.2020.106112","ISSN":"1872-6968 (Electronic)","language":"eng","note":"PMID: 32738585","page":"106112","title":"Hemorrhagic presentations of COVID-19: Risk factors for mortality.","volume":"198","author":[{"family":"Altschul","given":"David J"},{"family":"Unda","given":"Santiago R"},{"family":"La Garza Ramos","given":"Rafael","non-dropping-particle":"de"},{"family":"Zampolin","given":"Richard"},{"family":"Benton","given":"Joshua"},{"family":"Holland","given":"Ryan"},{"family":"Fortunel","given":"Adisson"},{"family":"Haranhalli","given":"Neil"}],"issued":{"date-parts":[["2020",7]]}}}],"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2153F8">
              <w:rPr>
                <w:rFonts w:ascii="Times New Roman" w:hAnsi="Times New Roman" w:cs="Times New Roman"/>
                <w:color w:val="000000"/>
                <w:sz w:val="13"/>
                <w:vertAlign w:val="superscript"/>
                <w:lang w:val="de-DE"/>
              </w:rPr>
              <w:t>53</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vAlign w:val="center"/>
            <w:hideMark/>
          </w:tcPr>
          <w:p w14:paraId="30819BE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vAlign w:val="center"/>
            <w:hideMark/>
          </w:tcPr>
          <w:p w14:paraId="1691D7A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740AA15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56DD777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093D658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vAlign w:val="center"/>
            <w:hideMark/>
          </w:tcPr>
          <w:p w14:paraId="136DB11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vAlign w:val="center"/>
            <w:hideMark/>
          </w:tcPr>
          <w:p w14:paraId="722F4AD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vAlign w:val="center"/>
            <w:hideMark/>
          </w:tcPr>
          <w:p w14:paraId="1B562C1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16" w:type="pct"/>
            <w:tcBorders>
              <w:top w:val="nil"/>
              <w:left w:val="nil"/>
              <w:bottom w:val="nil"/>
              <w:right w:val="nil"/>
            </w:tcBorders>
            <w:shd w:val="clear" w:color="auto" w:fill="auto"/>
            <w:vAlign w:val="center"/>
            <w:hideMark/>
          </w:tcPr>
          <w:p w14:paraId="53E7157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6330957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3E0D036C" w14:textId="77777777" w:rsidTr="007B37AC">
        <w:trPr>
          <w:trHeight w:val="340"/>
        </w:trPr>
        <w:tc>
          <w:tcPr>
            <w:tcW w:w="1058" w:type="pct"/>
            <w:tcBorders>
              <w:top w:val="nil"/>
              <w:left w:val="nil"/>
              <w:bottom w:val="nil"/>
              <w:right w:val="nil"/>
            </w:tcBorders>
            <w:shd w:val="clear" w:color="auto" w:fill="auto"/>
            <w:vAlign w:val="center"/>
            <w:hideMark/>
          </w:tcPr>
          <w:p w14:paraId="08142029" w14:textId="6848F212"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Coolen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{"citationID":"DGme0IJX","properties":{"formattedCitation":"\\super 54\\nosupersub{}","plainCitation":"54","noteIndex":0},"citationItems":[{"id":1616,"uris":["http://zotero.org/users/local/4rfnQu81/items/JUJ6RPMT"],"uri":["http://zotero.org/users/local/4rfnQu81/items/JUJ6RPMT"],"itemData":{"id":1616,"type":"article-journal","abstract":"OBJECTIVES: The severe acute respiratory syndrome coronavirus 2 (SARS-CoV-2) is considered to have potential neuroinvasiveness that might lead to acute brain disorders or contribute to respiratory distress in patients with coronavirus disease 2019 (COVID-19). This study investigates the occurrence of structural brain abnormalities in non-survivors of COVID-19 in a virtopsy framework. METHODS: In this prospective, monocentric, case series study, consecutive patients who fulfilled the following inclusion criteria benefited from an early postmortem structural brain MRI: death &lt;24 hours, SARS-CoV-2 detection on nasopharyngeal swab specimen, chest CT scan suggestive of COVID-19, absence of known focal brain lesion, and MRI compatibility. RESULTS: Among the 62 patients who died of COVID-19 from March 31, 2020, to April 24, 2020, at our institution, 19 decedents fulfilled the inclusion criteria. Parenchymal brain abnormalities were observed in 4 decedents: subcortical microbleeds and macrobleeds (2 decedents), cortico-subcortical edematous changes evocative of posterior reversible encephalopathy syndrome (PRES; 1 decedent), and nonspecific deep white matter changes (1 decedent). Asymmetric olfactory bulbs were found in 4 other decedents without downstream olfactory tract abnormalities. No brainstem MRI signal abnormality was observed. CONCLUSIONS: Postmortem brain MRI demonstrates hemorrhagic and PRES-related brain lesions in non-survivors of COVID-19. SARS-CoV-2-related olfactory impairment seems to be limited to olfactory bulbs. Brainstem MRI findings do not support a brain-related contribution to respiratory distress in COVID-19.","container-title":"Neurology","DOI":"10.1212/WNL.0000000000010116","ISSN":"1526-632X (Electronic)","issue":"14","language":"eng","note":"PMID: 32546654","page":"e2016–e2027","title":"Early postmortem brain MRI findings in COVID-19 non-survivors.","volume":"95","author":[{"family":"Coolen","given":"Tim"},{"family":"Lolli","given":"Valentina"},{"family":"Sadeghi","given":"Niloufar"},{"family":"Rovai","given":"Antonin"},{"family":"Trotta","given":"Nicola"},{"family":"Taccone","given":"Fabio Silvio"},{"family":"Creteur","given":"Jacques"},{"family":"Henrard","given":"Sophie"},{"family":"Goffard","given":"Jean-Christophe"},{"family":"Dewitte","given":"Olivier"},{"family":"Naeije","given":"Gilles"},{"family":"Goldman","given":"Serge"},{"family":"De Tiège","given":"Xavier"}],"issued":{"date-parts":[["2020",10]]}}}],"schema":"https://github.com/citation-style-language/schema/raw/master/csl-citation.json"}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2153F8">
              <w:rPr>
                <w:rFonts w:ascii="Times New Roman" w:hAnsi="Times New Roman" w:cs="Times New Roman"/>
                <w:color w:val="000000"/>
                <w:sz w:val="13"/>
                <w:vertAlign w:val="superscript"/>
                <w:lang w:val="de-DE"/>
              </w:rPr>
              <w:t>54</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vAlign w:val="center"/>
            <w:hideMark/>
          </w:tcPr>
          <w:p w14:paraId="07227C9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vAlign w:val="center"/>
            <w:hideMark/>
          </w:tcPr>
          <w:p w14:paraId="6E549F7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3F75A99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1FF6C85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5971637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vAlign w:val="center"/>
            <w:hideMark/>
          </w:tcPr>
          <w:p w14:paraId="6E01913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vAlign w:val="center"/>
            <w:hideMark/>
          </w:tcPr>
          <w:p w14:paraId="4D2DB62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vAlign w:val="center"/>
            <w:hideMark/>
          </w:tcPr>
          <w:p w14:paraId="6DB23D6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MRI</w:t>
            </w:r>
          </w:p>
        </w:tc>
        <w:tc>
          <w:tcPr>
            <w:tcW w:w="316" w:type="pct"/>
            <w:tcBorders>
              <w:top w:val="nil"/>
              <w:left w:val="nil"/>
              <w:bottom w:val="nil"/>
              <w:right w:val="nil"/>
            </w:tcBorders>
            <w:shd w:val="clear" w:color="auto" w:fill="auto"/>
            <w:vAlign w:val="center"/>
            <w:hideMark/>
          </w:tcPr>
          <w:p w14:paraId="69EA719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621440F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1BE5F788" w14:textId="77777777" w:rsidTr="007B37AC">
        <w:trPr>
          <w:trHeight w:val="340"/>
        </w:trPr>
        <w:tc>
          <w:tcPr>
            <w:tcW w:w="1058" w:type="pct"/>
            <w:tcBorders>
              <w:top w:val="nil"/>
              <w:left w:val="nil"/>
              <w:bottom w:val="nil"/>
              <w:right w:val="nil"/>
            </w:tcBorders>
            <w:shd w:val="clear" w:color="auto" w:fill="auto"/>
            <w:vAlign w:val="center"/>
            <w:hideMark/>
          </w:tcPr>
          <w:p w14:paraId="144908D9" w14:textId="28ACFE75"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D’Amore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{"citationID":"mz1VWX5A","properties":{"formattedCitation":"\\super 55\\nosupersub{}","plainCitation":"55","noteIndex":0},"citationItems":[{"id":69,"uris":["http://zotero.org/users/local/4rfnQu81/items/CT6JEX73"],"uri":["http://zotero.org/users/local/4rfnQu81/items/CT6JEX73"],"itemData":{"id":69,"type":"article-journal","abstract":"Since December 2019, a novel Severe Acute Respiratory Syndrome coronavirus 2 from China has rapidly spread worldwide. Although respiratory involvement is the mainstay of coronavirus disease 2019 (COVID-19), systemic involvement has recently drawn more attention. In particular, a number of recent articles have shed light on the nervous system as one of the possible targets. At our institution, we observed 15 patients with acute brain vascular manifestations; most interesting, we had a higher prevalence of the posterior circulation acute impairment. In our series, 7 patients had acute posterior cerebral injury: 1, hemorrhagic posterior reversible encephalopathy syndrome; 5, posterior circulation ischemic stroke; and 1, parieto-occipital hemorrhagic stroke. On the basis of our evidence and previous basic science reports, we believe a common etiopathogenetic thread may connect ischemic/hemorrhagic events of the posterior circulation and posterior reversible encephalopathy syndrome in the setting of COVID-19.","container-title":"American Journal of Neuroradiology","DOI":"10.3174/ajnr.A6679","ISSN":"1936959X","issue":"10","note":"PMID: 32732268","page":"1800–1803","title":"Pressing issues in COVID-19: Probable cause to seize SARSCoV-2 for Its preferential involvement of posterior circulation manifesting as severe posterior reversible encephalopathy syndrome and posterior strokes","volume":"41","author":[{"family":"D'Amore","given":"F."},{"family":"Vinacci","given":"G."},{"family":"Agosti","given":"E."},{"family":"Cariddi","given":"L. P."},{"family":"Terrana","given":"A. V."},{"family":"Vizzari","given":"F. A."},{"family":"Mauri","given":"M."},{"family":"Giorgianni","given":"A."}],"issued":{"date-parts":[["2020"]]}}}],"schema":"https://github.com/citation-style-language/schema/raw/master/csl-citation.json"}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2153F8">
              <w:rPr>
                <w:rFonts w:ascii="Times New Roman" w:hAnsi="Times New Roman" w:cs="Times New Roman"/>
                <w:color w:val="000000"/>
                <w:sz w:val="13"/>
                <w:vertAlign w:val="superscript"/>
                <w:lang w:val="de-DE"/>
              </w:rPr>
              <w:t>55</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vAlign w:val="center"/>
            <w:hideMark/>
          </w:tcPr>
          <w:p w14:paraId="50E532A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vAlign w:val="center"/>
            <w:hideMark/>
          </w:tcPr>
          <w:p w14:paraId="7929232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3A367D7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5778001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31A8659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vAlign w:val="center"/>
            <w:hideMark/>
          </w:tcPr>
          <w:p w14:paraId="244E5FF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vAlign w:val="center"/>
            <w:hideMark/>
          </w:tcPr>
          <w:p w14:paraId="6DC5831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vAlign w:val="center"/>
            <w:hideMark/>
          </w:tcPr>
          <w:p w14:paraId="4D41FD5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16" w:type="pct"/>
            <w:tcBorders>
              <w:top w:val="nil"/>
              <w:left w:val="nil"/>
              <w:bottom w:val="nil"/>
              <w:right w:val="nil"/>
            </w:tcBorders>
            <w:shd w:val="clear" w:color="auto" w:fill="auto"/>
            <w:vAlign w:val="center"/>
            <w:hideMark/>
          </w:tcPr>
          <w:p w14:paraId="779FD3A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4988B07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6178A494" w14:textId="77777777" w:rsidTr="007B37AC">
        <w:trPr>
          <w:trHeight w:val="340"/>
        </w:trPr>
        <w:tc>
          <w:tcPr>
            <w:tcW w:w="1058" w:type="pct"/>
            <w:tcBorders>
              <w:top w:val="nil"/>
              <w:left w:val="nil"/>
              <w:bottom w:val="nil"/>
              <w:right w:val="nil"/>
            </w:tcBorders>
            <w:shd w:val="clear" w:color="auto" w:fill="auto"/>
            <w:vAlign w:val="center"/>
            <w:hideMark/>
          </w:tcPr>
          <w:p w14:paraId="6055E862" w14:textId="19968B92"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Dogra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{"citationID":"XfYIEQGf","properties":{"formattedCitation":"\\super 56\\nosupersub{}","plainCitation":"56","noteIndex":0},"citationItems":[{"id":66,"uris":["http://zotero.org/users/local/4rfnQu81/items/5H6D8S66"],"uri":["http://zotero.org/users/local/4rfnQu81/items/5H6D8S66"],"itemData":{"id":66,"type":"article-journal","abstract":"BACKGROUND AND PURPOSE: Patients with the Coronavirus Disease of 2019 (COVID-19) are at increased risk for thrombotic events and mortality. Various anticoagulation regimens are now being considered for these patients. Anticoagulation is known to increase the risk for adverse bleeding events, of which intracranial hemorrhage (ICH) is one of the most feared. We present a retrospective study of 33 patients positive for COVID-19 with neuroimaging-documented ICH and examine anticoagulation use in this population. METHODS: Patients over the age of 18 with confirmed COVID-19 and radiographic evidence of ICH were included in this study. Evidence of hemorrhage was confirmed and categorized by a fellowship trained neuroradiologist. Electronic health records were analyzed for patient information including demographic data, medical history, hospital course, laboratory values, and medications. RESULTS: We identified 33 COVID-19 positive patients with ICH, mean age 61.6 years (range 37-83 years), 21.2% of whom were female. Parenchymal hemorrhages with mass effect and herniation occurred in 5 (15.2%) patients, with a 100% mortality rate. Of the remaining 28 patients with ICH, 7 (25%) had punctate hemorrhages, 17 (60.7%) had small- moderate size hemorrhages, and 4 (14.3%) had a large single site of hemorrhage without evidence of herniation. Almost all patients received either therapeutic dose anticoagulation (in 22 [66.7%] patients) or prophylactic dose (in 3 [9.1] patients) prior to ICH discovery. CONCLUSIONS: Anticoagulation therapy may be considered in patients with COVID-19 though the risk of ICH should be taken into account when developing a treatment regimen.","container-title":"Journal of stroke and cerebrovascular diseases : the official journal of National Stroke Association","DOI":"10.1016/j.jstrokecerebrovasdis.2020.104984","ISSN":"1532-8511 (Electronic)","issue":"8","language":"eng","note":"PMID: 32689588","page":"104984","title":"Hemorrhagic stroke and anticoagulation in COVID-19.","volume":"29","author":[{"family":"Dogra","given":"Siddhant"},{"family":"Jain","given":"Rajan"},{"family":"Cao","given":"Meng"},{"family":"Bilaloglu","given":"Seda"},{"family":"Zagzag","given":"David"},{"family":"Hochman","given":"Sarah"},{"family":"Lewis","given":"Ariane"},{"family":"Melmed","given":"Kara"},{"family":"Hochman","given":"Katherine"},{"family":"Horwitz","given":"Leora"},{"family":"Galetta","given":"Steven"},{"family":"Berger","given":"Jeffrey"}],"issued":{"date-parts":[["2020",8]]}}}],"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CE05CD">
              <w:rPr>
                <w:rFonts w:ascii="Times New Roman" w:hAnsi="Times New Roman" w:cs="Times New Roman"/>
                <w:color w:val="000000"/>
                <w:sz w:val="13"/>
                <w:vertAlign w:val="superscript"/>
                <w:lang w:val="de-DE"/>
              </w:rPr>
              <w:t>56</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vAlign w:val="center"/>
            <w:hideMark/>
          </w:tcPr>
          <w:p w14:paraId="5AC0D87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vAlign w:val="center"/>
            <w:hideMark/>
          </w:tcPr>
          <w:p w14:paraId="0811FC9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351466F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6ABF662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Calibri" w:eastAsia="Times New Roman" w:hAnsi="Calibri" w:cs="Calibri"/>
                <w:color w:val="000000"/>
                <w:sz w:val="13"/>
                <w:szCs w:val="13"/>
                <w:lang w:eastAsia="de-DE"/>
              </w:rPr>
              <w:t>﻿</w:t>
            </w:r>
            <w:r w:rsidRPr="007B37AC">
              <w:rPr>
                <w:rFonts w:ascii="Times New Roman" w:eastAsia="Times New Roman" w:hAnsi="Times New Roman" w:cs="Times New Roman"/>
                <w:color w:val="000000"/>
                <w:sz w:val="13"/>
                <w:szCs w:val="13"/>
                <w:lang w:eastAsia="de-DE"/>
              </w:rPr>
              <w:t>1.3</w:t>
            </w:r>
          </w:p>
        </w:tc>
        <w:tc>
          <w:tcPr>
            <w:tcW w:w="384" w:type="pct"/>
            <w:tcBorders>
              <w:top w:val="nil"/>
              <w:left w:val="nil"/>
              <w:bottom w:val="nil"/>
              <w:right w:val="nil"/>
            </w:tcBorders>
            <w:shd w:val="clear" w:color="auto" w:fill="auto"/>
            <w:vAlign w:val="center"/>
            <w:hideMark/>
          </w:tcPr>
          <w:p w14:paraId="4BBEBE2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Calibri" w:eastAsia="Times New Roman" w:hAnsi="Calibri" w:cs="Calibri"/>
                <w:color w:val="000000"/>
                <w:sz w:val="13"/>
                <w:szCs w:val="13"/>
                <w:lang w:eastAsia="de-DE"/>
              </w:rPr>
              <w:t>﻿</w:t>
            </w:r>
            <w:r w:rsidRPr="007B37AC">
              <w:rPr>
                <w:rFonts w:ascii="Times New Roman" w:eastAsia="Times New Roman" w:hAnsi="Times New Roman" w:cs="Times New Roman"/>
                <w:color w:val="000000"/>
                <w:sz w:val="13"/>
                <w:szCs w:val="13"/>
                <w:lang w:eastAsia="de-DE"/>
              </w:rPr>
              <w:t xml:space="preserve">77.0 </w:t>
            </w:r>
          </w:p>
        </w:tc>
        <w:tc>
          <w:tcPr>
            <w:tcW w:w="486" w:type="pct"/>
            <w:tcBorders>
              <w:top w:val="nil"/>
              <w:left w:val="nil"/>
              <w:bottom w:val="nil"/>
              <w:right w:val="nil"/>
            </w:tcBorders>
            <w:shd w:val="clear" w:color="auto" w:fill="auto"/>
            <w:vAlign w:val="center"/>
            <w:hideMark/>
          </w:tcPr>
          <w:p w14:paraId="6F9101A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Calibri" w:eastAsia="Times New Roman" w:hAnsi="Calibri" w:cs="Calibri"/>
                <w:color w:val="000000"/>
                <w:sz w:val="13"/>
                <w:szCs w:val="13"/>
                <w:lang w:eastAsia="de-DE"/>
              </w:rPr>
              <w:t>﻿</w:t>
            </w:r>
            <w:r w:rsidRPr="007B37AC">
              <w:rPr>
                <w:rFonts w:ascii="Times New Roman" w:eastAsia="Times New Roman" w:hAnsi="Times New Roman" w:cs="Times New Roman"/>
                <w:color w:val="000000"/>
                <w:sz w:val="13"/>
                <w:szCs w:val="13"/>
                <w:lang w:eastAsia="de-DE"/>
              </w:rPr>
              <w:t>200</w:t>
            </w:r>
          </w:p>
        </w:tc>
        <w:tc>
          <w:tcPr>
            <w:tcW w:w="493" w:type="pct"/>
            <w:tcBorders>
              <w:top w:val="nil"/>
              <w:left w:val="nil"/>
              <w:bottom w:val="nil"/>
              <w:right w:val="nil"/>
            </w:tcBorders>
            <w:shd w:val="clear" w:color="auto" w:fill="auto"/>
            <w:vAlign w:val="center"/>
            <w:hideMark/>
          </w:tcPr>
          <w:p w14:paraId="28F8712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Calibri" w:eastAsia="Times New Roman" w:hAnsi="Calibri" w:cs="Calibri"/>
                <w:color w:val="000000"/>
                <w:sz w:val="13"/>
                <w:szCs w:val="13"/>
                <w:lang w:eastAsia="de-DE"/>
              </w:rPr>
              <w:t>﻿</w:t>
            </w:r>
            <w:r w:rsidRPr="007B37AC">
              <w:rPr>
                <w:rFonts w:ascii="Times New Roman" w:eastAsia="Times New Roman" w:hAnsi="Times New Roman" w:cs="Times New Roman"/>
                <w:color w:val="000000"/>
                <w:sz w:val="13"/>
                <w:szCs w:val="13"/>
                <w:lang w:eastAsia="de-DE"/>
              </w:rPr>
              <w:t>2.204</w:t>
            </w:r>
          </w:p>
        </w:tc>
        <w:tc>
          <w:tcPr>
            <w:tcW w:w="629" w:type="pct"/>
            <w:tcBorders>
              <w:top w:val="nil"/>
              <w:left w:val="nil"/>
              <w:bottom w:val="nil"/>
              <w:right w:val="nil"/>
            </w:tcBorders>
            <w:shd w:val="clear" w:color="auto" w:fill="auto"/>
            <w:vAlign w:val="center"/>
            <w:hideMark/>
          </w:tcPr>
          <w:p w14:paraId="5E1AB69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16" w:type="pct"/>
            <w:tcBorders>
              <w:top w:val="nil"/>
              <w:left w:val="nil"/>
              <w:bottom w:val="nil"/>
              <w:right w:val="nil"/>
            </w:tcBorders>
            <w:shd w:val="clear" w:color="auto" w:fill="auto"/>
            <w:vAlign w:val="center"/>
            <w:hideMark/>
          </w:tcPr>
          <w:p w14:paraId="41DAD61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Calibri" w:eastAsia="Times New Roman" w:hAnsi="Calibri" w:cs="Calibri"/>
                <w:color w:val="000000"/>
                <w:sz w:val="13"/>
                <w:szCs w:val="13"/>
                <w:lang w:eastAsia="de-DE"/>
              </w:rPr>
              <w:t>﻿</w:t>
            </w:r>
            <w:r w:rsidRPr="007B37AC">
              <w:rPr>
                <w:rFonts w:ascii="Times New Roman" w:eastAsia="Times New Roman" w:hAnsi="Times New Roman" w:cs="Times New Roman"/>
                <w:color w:val="000000"/>
                <w:sz w:val="13"/>
                <w:szCs w:val="13"/>
                <w:lang w:eastAsia="de-DE"/>
              </w:rPr>
              <w:t>17</w:t>
            </w:r>
          </w:p>
        </w:tc>
        <w:tc>
          <w:tcPr>
            <w:tcW w:w="275" w:type="pct"/>
            <w:tcBorders>
              <w:top w:val="nil"/>
              <w:left w:val="nil"/>
              <w:bottom w:val="nil"/>
              <w:right w:val="nil"/>
            </w:tcBorders>
            <w:shd w:val="clear" w:color="auto" w:fill="auto"/>
            <w:vAlign w:val="center"/>
            <w:hideMark/>
          </w:tcPr>
          <w:p w14:paraId="0354A63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72C45BFD" w14:textId="77777777" w:rsidTr="007B37AC">
        <w:trPr>
          <w:trHeight w:val="340"/>
        </w:trPr>
        <w:tc>
          <w:tcPr>
            <w:tcW w:w="1058" w:type="pct"/>
            <w:tcBorders>
              <w:top w:val="nil"/>
              <w:left w:val="nil"/>
              <w:bottom w:val="nil"/>
              <w:right w:val="nil"/>
            </w:tcBorders>
            <w:shd w:val="clear" w:color="auto" w:fill="auto"/>
            <w:vAlign w:val="center"/>
            <w:hideMark/>
          </w:tcPr>
          <w:p w14:paraId="6C4EA87E" w14:textId="5ACE85D4"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Fitisiori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{"citationID":"iIUEBEdd","properties":{"formattedCitation":"\\super 57\\nosupersub{}","plainCitation":"57","noteIndex":0},"citationItems":[{"id":209,"uris":["http://zotero.org/users/local/4rfnQu81/items/B3A4M6YE"],"uri":["http://zotero.org/users/local/4rfnQu81/items/B3A4M6YE"],"itemData":{"id":209,"type":"article-journal","abstract":"BACKGROUND AND PURPOSE: Covid-19, initially described as a respiratory system's infection, is currently more and more recognized as a multiorganic disease, including neurological manifestations. There is growing evidence about a potential neuroinvasive role of SARS-CoV-2. The purpose of this study is to describe new findings, in the form of cerebral microbleeds affecting different brain structures, observed in MRIs of critically ill patients. METHODS: For this purpose, the MR images of 9 patients with a common pattern of abnormal findings (2 women/7 men; 55-79 years of age; mean age: 67.7 years) were depicted. All patients were tested positive for SARS-CoV-2 and presented with delayed recovery of consciousness or important agitation, requiring brain MRI. RESULTS: All patients had suffered from severe (5/9) or moderate (4/9) acute respiratory distress syndrome, requiring prolonged stay in the intensive care unit. Their common MRI finding was the presence of microbleeds in unusual distribution with a specific predilection for the corpus callosum. Other uncommon locations of microbleeds were the internal capsule (5/9), as well as middle cerebellar peduncles (5/9). Subcortical regions were also affected in the majority of patients. CONCLUSIONS: Brain MRI raised evidence that Covid-19 or its related treatment may involve the brain with an unusual pattern of microbleeds, predominantly affecting the corpus callosum. The mechanism of this finding is still unclear but the differential diagnosis should include thrombotic microangiopathy related to direct or indirect-through the cytokine cascade-damage by the SARS-CoV-2 on the endothelium of brain's vessels, as well as mechanisms similar to the hypoxemia brain-blood-barrier injury.","container-title":"Journal of neuroimaging : official journal of the American Society of Neuroimaging","DOI":"10.1111/jon.12755","ISSN":"1552-6569 (Electronic)","issue":"5","language":"eng","note":"PMID: 32639679","page":"593–597","title":"COVID-19 is Associated with an Unusual Pattern of Brain Microbleeds in Critically Ill Patients.","volume":"30","author":[{"family":"Fitsiori","given":"Aikaterini"},{"family":"Pugin","given":"Deborah"},{"family":"Thieffry","given":"Camille"},{"family":"Lalive","given":"Patrice"},{"family":"Vargas","given":"Maria Isabel"}],"issued":{"date-parts":[["2020",9]]}}}],"schema":"https://github.com/citation-style-language/schema/raw/master/csl-citation.json"}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CE05CD">
              <w:rPr>
                <w:rFonts w:ascii="Times New Roman" w:hAnsi="Times New Roman" w:cs="Times New Roman"/>
                <w:color w:val="000000"/>
                <w:sz w:val="13"/>
                <w:vertAlign w:val="superscript"/>
                <w:lang w:val="de-DE"/>
              </w:rPr>
              <w:t>57</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vAlign w:val="center"/>
            <w:hideMark/>
          </w:tcPr>
          <w:p w14:paraId="20A2DBB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vAlign w:val="center"/>
            <w:hideMark/>
          </w:tcPr>
          <w:p w14:paraId="58D0392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472DBF7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411850A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5CDB685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vAlign w:val="center"/>
            <w:hideMark/>
          </w:tcPr>
          <w:p w14:paraId="683DCE1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vAlign w:val="center"/>
            <w:hideMark/>
          </w:tcPr>
          <w:p w14:paraId="2618C41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vAlign w:val="center"/>
            <w:hideMark/>
          </w:tcPr>
          <w:p w14:paraId="1F28725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MRT</w:t>
            </w:r>
          </w:p>
        </w:tc>
        <w:tc>
          <w:tcPr>
            <w:tcW w:w="316" w:type="pct"/>
            <w:tcBorders>
              <w:top w:val="nil"/>
              <w:left w:val="nil"/>
              <w:bottom w:val="nil"/>
              <w:right w:val="nil"/>
            </w:tcBorders>
            <w:shd w:val="clear" w:color="auto" w:fill="auto"/>
            <w:vAlign w:val="center"/>
            <w:hideMark/>
          </w:tcPr>
          <w:p w14:paraId="6DB82DD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27</w:t>
            </w:r>
          </w:p>
        </w:tc>
        <w:tc>
          <w:tcPr>
            <w:tcW w:w="275" w:type="pct"/>
            <w:tcBorders>
              <w:top w:val="nil"/>
              <w:left w:val="nil"/>
              <w:bottom w:val="nil"/>
              <w:right w:val="nil"/>
            </w:tcBorders>
            <w:shd w:val="clear" w:color="auto" w:fill="auto"/>
            <w:vAlign w:val="center"/>
            <w:hideMark/>
          </w:tcPr>
          <w:p w14:paraId="4DC3FCC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4438D19C" w14:textId="77777777" w:rsidTr="007B37AC">
        <w:trPr>
          <w:trHeight w:val="340"/>
        </w:trPr>
        <w:tc>
          <w:tcPr>
            <w:tcW w:w="1058" w:type="pct"/>
            <w:tcBorders>
              <w:top w:val="nil"/>
              <w:left w:val="nil"/>
              <w:bottom w:val="nil"/>
              <w:right w:val="nil"/>
            </w:tcBorders>
            <w:shd w:val="clear" w:color="auto" w:fill="auto"/>
            <w:vAlign w:val="center"/>
            <w:hideMark/>
          </w:tcPr>
          <w:p w14:paraId="7209FDFB" w14:textId="754D0380"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Katz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{"citationID":"bK0MeJN9","properties":{"formattedCitation":"\\super 58\\nosupersub{}","plainCitation":"58","noteIndex":0},"citationItems":[{"id":103,"uris":["http://zotero.org/users/local/4rfnQu81/items/DY4Q8IU7"],"uri":["http://zotero.org/users/local/4rfnQu81/items/DY4Q8IU7"],"itemData":{"id":103,"type":"article-journal","abstract":"BACKGROUND AND PURPOSE: Coronavirus disease 2019 (COVID-19) appears to be an independent risk factor for stroke. We hypothesize that patients who develop stroke while hospitalized for severe COVID-19 will have higher inflammatory markers and distinct stroke imaging patterns compared with patients positive for COVID-19 with out-of-hospital stroke onset and milder or no COVID-19 symptoms. MATERIALS AND METHODS: This is a retrospective case series of patients positive for COVID-19 on polymerase chain reaction testing with imaging-confirmed stroke treated within a large health care network in New York City and Long Island between March 14 and April 26, 2020. Clinical and laboratory data collected retrospectively included complete blood counts and creatinine, alanine aminotransferase, lactate dehydrogenase, C-reactive protein, ferritin, and D-dimer levels. All CT and MR imaging studies were independently reviewed by 2 neuroradiologists who recorded stroke subtype and patterns of infarction and intracranial hemorrhage. RESULTS: Compared with patients with COVID-19 with outside-of-hospital stroke onset and milder or no COVID-19 symptoms (n = 45, 52.3%), patients with stroke already hospitalized for severe COVID-19 (n = 41, 47.7%) had significantly more frequent infarctions (95.1% versus 73.3%, P = .006), with multivascular distributions (56.4% versus 33.3%, P = .022) and associated hemorrhage (31.7% versus 4.4%, P = .001). Patients with stroke admitted with more severe COVID-19 had significantly higher C-reactive protein and ferritin levels, elevated D-dimer levels, and more frequent lymphopenia and renal and hepatic injury (all, P &lt; .003). CONCLUSIONS: Patients with stroke hospitalized with severe COVID-19 are characterized by higher inflammatory, coagulopathy, and tissue-damage biomarkers, supporting proposed pathogenic mechanisms of hyperinflammation activating a prothrombotic state. Cautious balancing of thrombosis and the risk of hemorrhagic transformation is warranted when considering anticoagulation.","container-title":"AJNR. American journal of neuroradiology","DOI":"10.3174/ajnr.A6920","ISSN":"1936-959X (Electronic)","language":"eng","note":"PMID: 33122216","title":"COVID-19 Severity and Stroke: Correlation of Imaging and Laboratory Markers.","author":[{"family":"Katz","given":"J M"},{"family":"Libman","given":"R B"},{"family":"Wang","given":"J J"},{"family":"Filippi","given":"C G"},{"family":"Sanelli","given":"P"},{"family":"Zlochower","given":"A"},{"family":"Gribko","given":"M"},{"family":"Pacia","given":"S V"},{"family":"Kuzniecky","given":"R I"},{"family":"Najjar","given":"S"},{"family":"Azhar","given":"S"}],"issued":{"date-parts":[["2020",10]]}}}],"schema":"https://github.com/citation-style-language/schema/raw/master/csl-citation.json"}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CE05CD">
              <w:rPr>
                <w:rFonts w:ascii="Times New Roman" w:hAnsi="Times New Roman" w:cs="Times New Roman"/>
                <w:color w:val="000000"/>
                <w:sz w:val="13"/>
                <w:vertAlign w:val="superscript"/>
                <w:lang w:val="de-DE"/>
              </w:rPr>
              <w:t>58</w:t>
            </w:r>
            <w:r>
              <w:rPr>
                <w:rFonts w:ascii="Times New Roman" w:eastAsia="Times New Roman" w:hAnsi="Times New Roman" w:cs="Times New Roman"/>
                <w:color w:val="000000"/>
                <w:sz w:val="13"/>
                <w:szCs w:val="13"/>
                <w:lang w:eastAsia="de-DE"/>
              </w:rPr>
              <w:fldChar w:fldCharType="end"/>
            </w:r>
            <w:r>
              <w:rPr>
                <w:rFonts w:ascii="Times New Roman" w:eastAsia="Times New Roman" w:hAnsi="Times New Roman" w:cs="Times New Roman"/>
                <w:color w:val="000000"/>
                <w:sz w:val="13"/>
                <w:szCs w:val="13"/>
                <w:lang w:eastAsia="de-DE"/>
              </w:rPr>
              <w:fldChar w:fldCharType="begin"/>
            </w:r>
            <w:r>
              <w:rPr>
                <w:rFonts w:ascii="Times New Roman" w:eastAsia="Times New Roman" w:hAnsi="Times New Roman" w:cs="Times New Roman"/>
                <w:color w:val="000000"/>
                <w:sz w:val="13"/>
                <w:szCs w:val="13"/>
                <w:lang w:eastAsia="de-DE"/>
              </w:rPr>
              <w:instrText xml:space="preserve"> ADDIN ZOTERO_TEMP </w:instrText>
            </w:r>
            <w:r w:rsidR="00C15E0E">
              <w:rPr>
                <w:rFonts w:ascii="Times New Roman" w:eastAsia="Times New Roman" w:hAnsi="Times New Roman" w:cs="Times New Roman"/>
                <w:color w:val="000000"/>
                <w:sz w:val="13"/>
                <w:szCs w:val="13"/>
                <w:lang w:eastAsia="de-DE"/>
              </w:rPr>
              <w:fldChar w:fldCharType="separate"/>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vAlign w:val="center"/>
            <w:hideMark/>
          </w:tcPr>
          <w:p w14:paraId="046176C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vAlign w:val="center"/>
            <w:hideMark/>
          </w:tcPr>
          <w:p w14:paraId="51C1B1C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0ECE579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1D041BF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41B0DAB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vAlign w:val="center"/>
            <w:hideMark/>
          </w:tcPr>
          <w:p w14:paraId="38C2B8F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vAlign w:val="center"/>
            <w:hideMark/>
          </w:tcPr>
          <w:p w14:paraId="213E3DC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vAlign w:val="center"/>
            <w:hideMark/>
          </w:tcPr>
          <w:p w14:paraId="6BD4228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CT/MRI</w:t>
            </w:r>
          </w:p>
        </w:tc>
        <w:tc>
          <w:tcPr>
            <w:tcW w:w="316" w:type="pct"/>
            <w:tcBorders>
              <w:top w:val="nil"/>
              <w:left w:val="nil"/>
              <w:bottom w:val="nil"/>
              <w:right w:val="nil"/>
            </w:tcBorders>
            <w:shd w:val="clear" w:color="auto" w:fill="auto"/>
            <w:vAlign w:val="center"/>
            <w:hideMark/>
          </w:tcPr>
          <w:p w14:paraId="443C7F5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5FEDE36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6C74B269" w14:textId="77777777" w:rsidTr="007B37AC">
        <w:trPr>
          <w:trHeight w:val="340"/>
        </w:trPr>
        <w:tc>
          <w:tcPr>
            <w:tcW w:w="1058" w:type="pct"/>
            <w:tcBorders>
              <w:top w:val="nil"/>
              <w:left w:val="nil"/>
              <w:bottom w:val="nil"/>
              <w:right w:val="nil"/>
            </w:tcBorders>
            <w:shd w:val="clear" w:color="auto" w:fill="auto"/>
            <w:vAlign w:val="center"/>
            <w:hideMark/>
          </w:tcPr>
          <w:p w14:paraId="52CE318D" w14:textId="6E4825C7"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Keller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{"citationID":"NRUH9Fan","properties":{"formattedCitation":"\\super 50\\nosupersub{}","plainCitation":"50","noteIndex":0},"citationItems":[{"id":32,"uris":["http://zotero.org/users/local/4rfnQu81/items/DLF97Q4P"],"uri":["http://zotero.org/users/local/4rfnQu81/items/DLF97Q4P"],"itemData":{"id":32,"type":"article-journal","abstract":"Coronavirus disease 19 (COVID-19) is a rapidly evolving pandemic caused by the coronavirus Sars-CoV-2. Clinically manifest central nervous system symptoms have been described in COVID-19 patients and could be the consequence of commonly associated vascular pathology, but the detailed neuropathological sequelae remain largely unknown. A total of six cases, all positive for Sars-CoV-2, showed evidence of cerebral petechial hemorrhages and microthrombi at autopsy. Two out of six patients showed an elevated risk for disseminated intravascular coagulopathy according to current criteria and were excluded from further analysis. In the remaining four patients, the hemorrhages were most prominent at the grey and white matter junction of the neocortex, but were also found in the brainstem, deep grey matter structures and cerebellum. Two patients showed vascular intramural inflammatory infiltrates, consistent with Sars-CoV-2-associated endotheliitis, which was associated by elevated levels of the Sars-CoV-2 receptor ACE2 in the brain vasculature. Distribution and morphology of patchy brain microbleeds was clearly distinct from hypertension-related hemorrhage, critical illness-associated microbleeds and cerebral amyloid angiopathy, which was ruled out by immunohistochemistry. Cerebral microhemorrhages in COVID-19 patients could be a consequence of Sars- CoV-2-induced endotheliitis and more general vasculopathic changes and may correlate with an increased risk of vascular encephalopathy.","container-title":"Neuropathology and Applied Neurobiology","DOI":"10.1111/nan.12677","ISSN":"13652990","issue":"July","note":"PMID: 33249605","page":"1–6","title":"Intracerebral endotheliitis and microbleeds are neuropathological features of COVID-19","author":[{"family":"Kirschenbaum","given":"Daniel"},{"family":"Imbach","given":"Lukas L."},{"family":"Rushing","given":"Elisabeth J."},{"family":"Frauenknecht","given":"Katrin B.M."},{"family":"Gascho","given":"Dominic"},{"family":"Ineichen","given":"Benjamin V."},{"family":"Keller","given":"Emanuela"},{"family":"Kohler","given":"Sibylle"},{"family":"Lichtblau","given":"Mona"},{"family":"Reimann","given":"Regina R."},{"family":"Schreib","given":"Katharina"},{"family":"Ulrich","given":"Silvia"},{"family":"Steiger","given":"Peter"},{"family":"Aguzzi","given":"Adriano"},{"family":"Frontzek","given":"Karl"}],"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CE05CD">
              <w:rPr>
                <w:rFonts w:ascii="Times New Roman" w:hAnsi="Times New Roman" w:cs="Times New Roman"/>
                <w:color w:val="000000"/>
                <w:sz w:val="13"/>
                <w:vertAlign w:val="superscript"/>
                <w:lang w:val="de-DE"/>
              </w:rPr>
              <w:t>50</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vAlign w:val="center"/>
            <w:hideMark/>
          </w:tcPr>
          <w:p w14:paraId="4B4FCCE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vAlign w:val="center"/>
            <w:hideMark/>
          </w:tcPr>
          <w:p w14:paraId="6662DB3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7981D59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04EC6D5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7D2C11F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vAlign w:val="center"/>
            <w:hideMark/>
          </w:tcPr>
          <w:p w14:paraId="1EBB70F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vAlign w:val="center"/>
            <w:hideMark/>
          </w:tcPr>
          <w:p w14:paraId="17E90A4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vAlign w:val="center"/>
            <w:hideMark/>
          </w:tcPr>
          <w:p w14:paraId="623CCE4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CT/MRI</w:t>
            </w:r>
          </w:p>
        </w:tc>
        <w:tc>
          <w:tcPr>
            <w:tcW w:w="316" w:type="pct"/>
            <w:tcBorders>
              <w:top w:val="nil"/>
              <w:left w:val="nil"/>
              <w:bottom w:val="nil"/>
              <w:right w:val="nil"/>
            </w:tcBorders>
            <w:shd w:val="clear" w:color="auto" w:fill="auto"/>
            <w:vAlign w:val="center"/>
            <w:hideMark/>
          </w:tcPr>
          <w:p w14:paraId="51C2CE1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39682C3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250221FC" w14:textId="77777777" w:rsidTr="007B37AC">
        <w:trPr>
          <w:trHeight w:val="340"/>
        </w:trPr>
        <w:tc>
          <w:tcPr>
            <w:tcW w:w="1058" w:type="pct"/>
            <w:tcBorders>
              <w:top w:val="nil"/>
              <w:left w:val="nil"/>
              <w:bottom w:val="nil"/>
              <w:right w:val="nil"/>
            </w:tcBorders>
            <w:shd w:val="clear" w:color="auto" w:fill="auto"/>
            <w:vAlign w:val="center"/>
            <w:hideMark/>
          </w:tcPr>
          <w:p w14:paraId="53ED5915" w14:textId="3DC1C145"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Lin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{"citationID":"Kil15SLY","properties":{"formattedCitation":"\\super 59\\nosupersub{}","plainCitation":"59","noteIndex":0},"citationItems":[{"id":1620,"uris":["http://zotero.org/users/local/4rfnQu81/items/NKCFGZQS"],"uri":["http://zotero.org/users/local/4rfnQu81/items/NKCFGZQS"],"itemData":{"id":1620,"type":"article-journal","abstract":"BACKGROUND AND PURPOSE: A large spectrum of neurologic disease has been reported in patients with coronavirus disease 2019 (COVID-19) infection. Our aim was to investigate the yield of neuroimaging in patients with COVID-19 undergoing CT or MR imaging of the brain and to describe associated imaging findings. MATERIALS AND METHODS: We performed a retrospective cohort study involving 2054 patients with laboratory-confirmed COVID-19 presenting to 2 hospitals in New York City between March 4 and May 9, 2020, of whom 278 (14%) underwent either CT or MR imaging of the brain. All images initially received a formal interpretation from a neuroradiologist within the institution and were subsequently reviewed by 2 neuroradiologists in consensus, with disputes resolved by a third neuroradiologist. RESULTS: The median age of these patients was 64 years (interquartile range, 50-75 years), and 43% were women. Among imaged patients, 58 (21%) demonstrated acute or subacute neuroimaging findings, the most common including cerebral infarctions (11%), parenchymal hematomas (3.6%), and posterior reversible encephalopathy syndrome (1.1%). Among the 51 patients with MR imaging examinations, 26 (51%) demonstrated acute or subacute findings; notable findings included 6 cases of cranial nerve abnormalities (including 4 patients with olfactory bulb abnormalities) and 3 patients with a microhemorrhage pattern compatible with critical illness-associated microbleeds. CONCLUSIONS: Our experience confirms the wide range of neurologic imaging findings in patients with COVID-19 and suggests the need for further studies to optimize management for these patients.","container-title":"AJNR. American journal of neuroradiology","DOI":"10.3174/ajnr.A6793","ISSN":"1936-959X (Electronic)","language":"eng","note":"PMID: 32819899","title":"Brain Imaging of Patients with COVID-19: Findings at an Academic Institution during the Height of the Outbreak in New York City.","author":[{"family":"Lin","given":"E"},{"family":"Lantos","given":"J E"},{"family":"Strauss","given":"S B"},{"family":"Phillips","given":"C D"},{"family":"Campion","given":"T R Jr"},{"family":"Navi","given":"B B"},{"family":"Parikh","given":"N S"},{"family":"Merkler","given":"A E"},{"family":"Mir","given":"S"},{"family":"Zhang","given":"C"},{"family":"Kamel","given":"H"},{"family":"Cusick","given":"M"},{"family":"Goyal","given":"P"},{"family":"Gupta","given":"A"}],"issued":{"date-parts":[["2020",8]]}}}],"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CE05CD">
              <w:rPr>
                <w:rFonts w:ascii="Times New Roman" w:hAnsi="Times New Roman" w:cs="Times New Roman"/>
                <w:color w:val="000000"/>
                <w:sz w:val="13"/>
                <w:vertAlign w:val="superscript"/>
                <w:lang w:val="de-DE"/>
              </w:rPr>
              <w:t>59</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vAlign w:val="center"/>
            <w:hideMark/>
          </w:tcPr>
          <w:p w14:paraId="537F6D0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vAlign w:val="center"/>
            <w:hideMark/>
          </w:tcPr>
          <w:p w14:paraId="706F9BE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04BBF80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3A2716F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08A89CD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vAlign w:val="center"/>
            <w:hideMark/>
          </w:tcPr>
          <w:p w14:paraId="47964DF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vAlign w:val="center"/>
            <w:hideMark/>
          </w:tcPr>
          <w:p w14:paraId="6C39860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vAlign w:val="center"/>
            <w:hideMark/>
          </w:tcPr>
          <w:p w14:paraId="75D75BB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CT/MRI</w:t>
            </w:r>
          </w:p>
        </w:tc>
        <w:tc>
          <w:tcPr>
            <w:tcW w:w="316" w:type="pct"/>
            <w:tcBorders>
              <w:top w:val="nil"/>
              <w:left w:val="nil"/>
              <w:bottom w:val="nil"/>
              <w:right w:val="nil"/>
            </w:tcBorders>
            <w:shd w:val="clear" w:color="auto" w:fill="auto"/>
            <w:vAlign w:val="center"/>
            <w:hideMark/>
          </w:tcPr>
          <w:p w14:paraId="61E7271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7BD4926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0EBCC238" w14:textId="77777777" w:rsidTr="007B37AC">
        <w:trPr>
          <w:trHeight w:val="340"/>
        </w:trPr>
        <w:tc>
          <w:tcPr>
            <w:tcW w:w="1058" w:type="pct"/>
            <w:tcBorders>
              <w:top w:val="nil"/>
              <w:left w:val="nil"/>
              <w:bottom w:val="nil"/>
              <w:right w:val="nil"/>
            </w:tcBorders>
            <w:shd w:val="clear" w:color="auto" w:fill="auto"/>
            <w:vAlign w:val="center"/>
            <w:hideMark/>
          </w:tcPr>
          <w:p w14:paraId="5DDE97FD" w14:textId="6000E286"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Masur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{"citationID":"8p18rvXK","properties":{"formattedCitation":"\\super 60\\nosupersub{}","plainCitation":"60","noteIndex":0},"citationItems":[{"id":160,"uris":["http://zotero.org/users/local/4rfnQu81/items/4JHMZ6ZJ"],"uri":["http://zotero.org/users/local/4rfnQu81/items/4JHMZ6ZJ"],"itemData":{"id":160,"type":"article-journal","abstract":"In this clinical case series, we report our experience to date with neurologic complications of extracorporeal membrane oxygenation therapy for COVID-19 Acute Respiratory Distress Syndrome. We have found an unexpectedly increased rate of complications as demonstrated by neuroimaging compared with meta-analysis data in extracorporeal membrane oxygenation therapy for all Acute Respiratory Distress Syndrome etiologies over the past few decades and compared with the most recent baseline data describing the incidence of neurologic complication in all patients with COVID-19. For our 12-patient cohort, there was a rate of intracranial hemorrhage of 41.7%. Representative cases and images of devastating intracranial hemorrhage are presented. We hypothesize that the interplay between hematologic changes inherent to extracorporeal membrane oxygenation and inflammatory and coagulopathic changes that have begun to be elucidated as part of the COVID- 19 disease process are responsible. Continued analysis of extracorporeal membrane oxygenation therapy in this disease paradigm is warranted.","container-title":"American Journal of Neuroradiology","DOI":"10.3174/ajnr.A6728","ISSN":"1936959X","issue":"11","note":"PMID: 32855187","page":"2009–2011","title":"A double-edged sword: Neurologic complications and mortality in extracorporeal membrane oxygenation therapy for COVID-19-related severe acute respiratory distress syndrome at a tertiary care center","volume":"41","author":[{"family":"Masur","given":"J."},{"family":"Freeman","given":"C. W."},{"family":"Mohan","given":"S."}],"issued":{"date-parts":[["2020"]]}}}],"schema":"https://github.com/citation-style-language/schema/raw/master/csl-citation.json"}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CE05CD">
              <w:rPr>
                <w:rFonts w:ascii="Times New Roman" w:hAnsi="Times New Roman" w:cs="Times New Roman"/>
                <w:color w:val="000000"/>
                <w:sz w:val="13"/>
                <w:vertAlign w:val="superscript"/>
                <w:lang w:val="de-DE"/>
              </w:rPr>
              <w:t>60</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vAlign w:val="center"/>
            <w:hideMark/>
          </w:tcPr>
          <w:p w14:paraId="3F799DC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vAlign w:val="center"/>
            <w:hideMark/>
          </w:tcPr>
          <w:p w14:paraId="55F4CD8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2B7C9D8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66B387A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1067DC1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vAlign w:val="center"/>
            <w:hideMark/>
          </w:tcPr>
          <w:p w14:paraId="7B72868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vAlign w:val="center"/>
            <w:hideMark/>
          </w:tcPr>
          <w:p w14:paraId="73A03A7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vAlign w:val="center"/>
            <w:hideMark/>
          </w:tcPr>
          <w:p w14:paraId="64EFDB7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16" w:type="pct"/>
            <w:tcBorders>
              <w:top w:val="nil"/>
              <w:left w:val="nil"/>
              <w:bottom w:val="nil"/>
              <w:right w:val="nil"/>
            </w:tcBorders>
            <w:shd w:val="clear" w:color="auto" w:fill="auto"/>
            <w:vAlign w:val="center"/>
            <w:hideMark/>
          </w:tcPr>
          <w:p w14:paraId="60C273C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11</w:t>
            </w:r>
          </w:p>
        </w:tc>
        <w:tc>
          <w:tcPr>
            <w:tcW w:w="275" w:type="pct"/>
            <w:tcBorders>
              <w:top w:val="nil"/>
              <w:left w:val="nil"/>
              <w:bottom w:val="nil"/>
              <w:right w:val="nil"/>
            </w:tcBorders>
            <w:shd w:val="clear" w:color="auto" w:fill="auto"/>
            <w:vAlign w:val="center"/>
            <w:hideMark/>
          </w:tcPr>
          <w:p w14:paraId="1EDFE76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7895C42A" w14:textId="77777777" w:rsidTr="007B37AC">
        <w:trPr>
          <w:trHeight w:val="340"/>
        </w:trPr>
        <w:tc>
          <w:tcPr>
            <w:tcW w:w="1058" w:type="pct"/>
            <w:tcBorders>
              <w:top w:val="nil"/>
              <w:left w:val="nil"/>
              <w:bottom w:val="nil"/>
              <w:right w:val="nil"/>
            </w:tcBorders>
            <w:shd w:val="clear" w:color="auto" w:fill="auto"/>
            <w:vAlign w:val="center"/>
            <w:hideMark/>
          </w:tcPr>
          <w:p w14:paraId="7A739E7B" w14:textId="3F9017DD"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N</w:t>
            </w:r>
            <w:r>
              <w:rPr>
                <w:rFonts w:ascii="Times New Roman" w:eastAsia="Times New Roman" w:hAnsi="Times New Roman" w:cs="Times New Roman"/>
                <w:color w:val="000000"/>
                <w:sz w:val="13"/>
                <w:szCs w:val="13"/>
                <w:lang w:val="de-DE" w:eastAsia="de-DE"/>
              </w:rPr>
              <w:t>a</w:t>
            </w:r>
            <w:r w:rsidRPr="00C336CB">
              <w:rPr>
                <w:rFonts w:ascii="Times New Roman" w:eastAsia="Times New Roman" w:hAnsi="Times New Roman" w:cs="Times New Roman"/>
                <w:color w:val="000000"/>
                <w:sz w:val="13"/>
                <w:szCs w:val="13"/>
                <w:lang w:eastAsia="de-DE"/>
              </w:rPr>
              <w:t xml:space="preserve">wabi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{"citationID":"n8AHk10s","properties":{"formattedCitation":"\\super 61\\nosupersub{}","plainCitation":"61","noteIndex":0},"citationItems":[{"id":3522,"uris":["http://zotero.org/users/local/4rfnQu81/items/QQIF9JKT"],"uri":["http://zotero.org/users/local/4rfnQu81/items/QQIF9JKT"],"itemData":{"id":3522,"type":"article-journal","abstract":"Background and Purpose: Intracranial hemorrhage has been observed in patients with severe acute respiratory syndrome coronavirus 2 (SARS-CoV-2) infection (COVID-19), but the clinical, imaging, and pathophysiological features of intracranial bleeding during COVID-19 infection remain poorly characterized. This study describes clinical and imaging characteristics of patients with COVID-19 infection who presented with intracranial bleeding in a European multicenter cohort. Methods: This is a multicenter retrospective, observational case series including 18 consecutive patients with COVID-19 infection and intracranial hemorrhage. Data were collected from February to May 2020 at five designated European special care centers for COVID-19. The diagnosis of COVID-19 was based on laboratory-confirmed diagnosis of SARS-CoV-2. Intracranial bleeding was diagnosed on computed tomography (CT) of the brain within one month of the date of COVID-19 diagnosis. The clinical, laboratory, radiologic, and pathologic findings, therapy and outcomes in COVID-19 patients presenting with intracranial bleeding were analyzed. Results: Eighteen patients had evidence of acute intracranial bleeding within 11 days (IQR 9–29) of admission. Six patients had parenchymal hemorrhage (33.3%), 11 had subarachnoid hemorrhage (SAH) (61.1%), and one patient had subdural hemorrhage (5.6%). Three patients presented with intraventricular hemorrhage (IVH) (16.7%). Conclusion: This study represents the largest case series of patients with intracranial hemorrhage diagnosed with COVID-19 based on key European countries with geospatial hotspots of SARS-CoV-2. Isolated SAH along the convexity may be a predominant bleeding manifestation and may occur in a late temporal course of severe COVID-19.","container-title":"Journal of Clinical Medicine","DOI":"10.3390/jcm9082543","ISSN":"2077-0383","issue":"8","journalAbbreviation":"JCM","language":"en","page":"2543","source":"DOI.org (Crossref)","title":"Clinical and Imaging Characteristics in Patients with SARS-CoV-2 Infection and Acute Intracranial Hemorrhage","volume":"9","author":[{"family":"Nawabi","given":"Jawed"},{"family":"Morotti","given":"Andrea"},{"family":"Wildgruber","given":"Moritz"},{"family":"Boulouis","given":"Gregoire"},{"family":"Kraehling","given":"Hermann"},{"family":"Schlunk","given":"Frieder"},{"family":"Can","given":"Elif"},{"family":"Kniep","given":"Helge"},{"family":"Thomalla","given":"Götz"},{"family":"Psychogios","given":"Marios"},{"family":"Hamm","given":"Bernd"},{"family":"Fiehler","given":"Jens"},{"family":"Hanning","given":"Uta"},{"family":"Sporns","given":"Peter"}],"issued":{"date-parts":[["2020",8,6]]}}}],"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CE05CD">
              <w:rPr>
                <w:rFonts w:ascii="Times New Roman" w:hAnsi="Times New Roman" w:cs="Times New Roman"/>
                <w:color w:val="000000"/>
                <w:sz w:val="13"/>
                <w:vertAlign w:val="superscript"/>
                <w:lang w:val="de-DE"/>
              </w:rPr>
              <w:t>61</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vAlign w:val="center"/>
            <w:hideMark/>
          </w:tcPr>
          <w:p w14:paraId="4093C11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vAlign w:val="center"/>
            <w:hideMark/>
          </w:tcPr>
          <w:p w14:paraId="4251731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240</w:t>
            </w:r>
          </w:p>
        </w:tc>
        <w:tc>
          <w:tcPr>
            <w:tcW w:w="384" w:type="pct"/>
            <w:tcBorders>
              <w:top w:val="nil"/>
              <w:left w:val="nil"/>
              <w:bottom w:val="nil"/>
              <w:right w:val="nil"/>
            </w:tcBorders>
            <w:shd w:val="clear" w:color="auto" w:fill="auto"/>
            <w:vAlign w:val="center"/>
            <w:hideMark/>
          </w:tcPr>
          <w:p w14:paraId="49B85C5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9</w:t>
            </w:r>
          </w:p>
        </w:tc>
        <w:tc>
          <w:tcPr>
            <w:tcW w:w="275" w:type="pct"/>
            <w:tcBorders>
              <w:top w:val="nil"/>
              <w:left w:val="nil"/>
              <w:bottom w:val="nil"/>
              <w:right w:val="nil"/>
            </w:tcBorders>
            <w:shd w:val="clear" w:color="auto" w:fill="auto"/>
            <w:vAlign w:val="center"/>
            <w:hideMark/>
          </w:tcPr>
          <w:p w14:paraId="40BC726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187D43E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vAlign w:val="center"/>
            <w:hideMark/>
          </w:tcPr>
          <w:p w14:paraId="18A33CD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218</w:t>
            </w:r>
          </w:p>
        </w:tc>
        <w:tc>
          <w:tcPr>
            <w:tcW w:w="493" w:type="pct"/>
            <w:tcBorders>
              <w:top w:val="nil"/>
              <w:left w:val="nil"/>
              <w:bottom w:val="nil"/>
              <w:right w:val="nil"/>
            </w:tcBorders>
            <w:shd w:val="clear" w:color="auto" w:fill="auto"/>
            <w:vAlign w:val="center"/>
            <w:hideMark/>
          </w:tcPr>
          <w:p w14:paraId="49615C2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9</w:t>
            </w:r>
          </w:p>
        </w:tc>
        <w:tc>
          <w:tcPr>
            <w:tcW w:w="629" w:type="pct"/>
            <w:tcBorders>
              <w:top w:val="nil"/>
              <w:left w:val="nil"/>
              <w:bottom w:val="nil"/>
              <w:right w:val="nil"/>
            </w:tcBorders>
            <w:shd w:val="clear" w:color="auto" w:fill="auto"/>
            <w:vAlign w:val="center"/>
            <w:hideMark/>
          </w:tcPr>
          <w:p w14:paraId="3719BE9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vAlign w:val="center"/>
            <w:hideMark/>
          </w:tcPr>
          <w:p w14:paraId="71B10F4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30A3022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6F34B03A" w14:textId="77777777" w:rsidTr="007B37AC">
        <w:trPr>
          <w:trHeight w:val="340"/>
        </w:trPr>
        <w:tc>
          <w:tcPr>
            <w:tcW w:w="1058" w:type="pct"/>
            <w:tcBorders>
              <w:top w:val="nil"/>
              <w:left w:val="nil"/>
              <w:bottom w:val="nil"/>
              <w:right w:val="nil"/>
            </w:tcBorders>
            <w:shd w:val="clear" w:color="auto" w:fill="auto"/>
            <w:vAlign w:val="center"/>
            <w:hideMark/>
          </w:tcPr>
          <w:p w14:paraId="24937C17" w14:textId="07A54CD4"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Radmanesh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{"citationID":"Zmo2W12k","properties":{"formattedCitation":"\\super 62\\nosupersub{}","plainCitation":"62","noteIndex":0},"citationItems":[{"id":799,"uris":["http://zotero.org/users/local/4rfnQu81/items/DFUKAXFB"],"uri":["http://zotero.org/users/local/4rfnQu81/items/DFUKAXFB"],"itemData":{"id":799,"type":"article-journal","abstract":"Diffuse leukoencephalopathy and juxtacortical and/or callosal microhemorrhages were brain imaging features in critically ill patients with coronavirus disease 2019. Coronavirus disease 2019 (COVID-19) has been reported in association with a variety of brain imaging findings such as ischemic infarct, hemorrhage, and acute hemorrhagic necrotizing encephalopathy. Herein, the authors report brain imaging features in 11 critically ill patients with COVID-19 with persistently diminished mental status who underwent MRI between April 5 and April 25, 2020. These imaging features include (a) confluent T2 hyperintensity and mild restricted diffusion in bilateral supratentorial deep and subcortical white matter (in 10 of 11 patients) and (b) multiple punctate microhemorrhages in juxtacortical and callosal white matter (in seven of 11 patients). The authors also discuss potential pathogeneses.","container-title":"Radiology","DOI":"10.1148/radiol.2020202040","ISSN":"1527-1315 (Electronic)","issue":"1","language":"eng","note":"PMID: 32437314","page":"E223–E227","title":"COVID-19-associated Diffuse Leukoencephalopathy and Microhemorrhages.","volume":"297","author":[{"family":"Radmanesh","given":"Alireza"},{"family":"Derman","given":"Anna"},{"family":"Lui","given":"Yvonne W"},{"family":"Raz","given":"Eytan"},{"family":"Loh","given":"John P"},{"family":"Hagiwara","given":"Mari"},{"family":"Borja","given":"Maria J"},{"family":"Zan","given":"Elcin"},{"family":"Fatterpekar","given":"Girish M"}],"issued":{"date-parts":[["2020",10]]}}}],"schema":"https://github.com/citation-style-language/schema/raw/master/csl-citation.json"}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CE05CD">
              <w:rPr>
                <w:rFonts w:ascii="Times New Roman" w:hAnsi="Times New Roman" w:cs="Times New Roman"/>
                <w:color w:val="000000"/>
                <w:sz w:val="13"/>
                <w:vertAlign w:val="superscript"/>
                <w:lang w:val="de-DE"/>
              </w:rPr>
              <w:t>62</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vAlign w:val="center"/>
            <w:hideMark/>
          </w:tcPr>
          <w:p w14:paraId="490C498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vAlign w:val="center"/>
            <w:hideMark/>
          </w:tcPr>
          <w:p w14:paraId="645595C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42609B6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0F36DEF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4715739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vAlign w:val="center"/>
            <w:hideMark/>
          </w:tcPr>
          <w:p w14:paraId="1CFF4B7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vAlign w:val="center"/>
            <w:hideMark/>
          </w:tcPr>
          <w:p w14:paraId="08FF844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vAlign w:val="center"/>
            <w:hideMark/>
          </w:tcPr>
          <w:p w14:paraId="4D8356E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MRI</w:t>
            </w:r>
          </w:p>
        </w:tc>
        <w:tc>
          <w:tcPr>
            <w:tcW w:w="316" w:type="pct"/>
            <w:tcBorders>
              <w:top w:val="nil"/>
              <w:left w:val="nil"/>
              <w:bottom w:val="nil"/>
              <w:right w:val="nil"/>
            </w:tcBorders>
            <w:shd w:val="clear" w:color="auto" w:fill="auto"/>
            <w:vAlign w:val="center"/>
            <w:hideMark/>
          </w:tcPr>
          <w:p w14:paraId="42AA19C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12AC188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0B3B47EB" w14:textId="77777777" w:rsidTr="007B37AC">
        <w:trPr>
          <w:trHeight w:val="340"/>
        </w:trPr>
        <w:tc>
          <w:tcPr>
            <w:tcW w:w="1058" w:type="pct"/>
            <w:tcBorders>
              <w:top w:val="nil"/>
              <w:left w:val="nil"/>
              <w:bottom w:val="nil"/>
              <w:right w:val="nil"/>
            </w:tcBorders>
            <w:shd w:val="clear" w:color="auto" w:fill="auto"/>
            <w:vAlign w:val="center"/>
            <w:hideMark/>
          </w:tcPr>
          <w:p w14:paraId="53599715" w14:textId="6EFCD011"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Reque</w:t>
            </w:r>
            <w:r>
              <w:rPr>
                <w:rFonts w:ascii="Times New Roman" w:eastAsia="Times New Roman" w:hAnsi="Times New Roman" w:cs="Times New Roman"/>
                <w:color w:val="000000"/>
                <w:sz w:val="13"/>
                <w:szCs w:val="13"/>
                <w:lang w:val="de-DE" w:eastAsia="de-DE"/>
              </w:rPr>
              <w:t>na</w:t>
            </w:r>
            <w:r w:rsidRPr="00C336CB">
              <w:rPr>
                <w:rFonts w:ascii="Times New Roman" w:eastAsia="Times New Roman" w:hAnsi="Times New Roman" w:cs="Times New Roman"/>
                <w:color w:val="000000"/>
                <w:sz w:val="13"/>
                <w:szCs w:val="13"/>
                <w:lang w:eastAsia="de-DE"/>
              </w:rPr>
              <w:t xml:space="preserve">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{"citationID":"h9B4A9Wh","properties":{"formattedCitation":"\\super 63\\nosupersub{}","plainCitation":"63","noteIndex":0},"citationItems":[{"id":1618,"uris":["http://zotero.org/users/local/4rfnQu81/items/XJSM4J3X"],"uri":["http://zotero.org/users/local/4rfnQu81/items/XJSM4J3X"],"itemData":{"id":1618,"type":"article-journal","abstract":"BACKGROUND: An increased rate of thrombotic events has been associated to Coronavirus Disease 19 (COVID-19) with a variable rate of acute stroke. Our aim is to uncover the rate of acute stroke in COVID-19 patients and identify those cases in which a possible causative relationship could exist. METHODS: We performed a single-center analysis of a prospective mandatory database. We studied all patients with confirmed COVID-19 and stroke diagnoses from March 2(nd) to April 30(th). Demographic, clinical, and imaging data were prospectively collected. Final diagnosis was determined after full diagnostic work-up unless impossible due to death. RESULTS: Of 2050 patients with confirmed SARS-CoV-2 infection, 21 (1.02%) presented an acute ischemic stroke 21 and 4 (0.2%) suffered an intracranial hemorrhage. After the diagnostic work-up, in 60.0% ischemic and all hemorrhagic strokes patients an etiology non-related with COVID-19 was identified. Only in 6 patients the stroke cause was considered possibly related to COVID-19, all of them required mechanical ventilation before stroke onset. Ten patients underwent endovascular treatment; compared with patients who underwent EVT in the same period, COVID-19 was an independent predictor of in-hospital mortality (50% versus 15%; Odds Ratio, 6.67; 95% CI, 1.1-40.4; p 0.04). CONCLUSIONS: The presence of acute stroke in patients with COVID-19 was below 2% and most of them previously presented established stroke risk factors. Without other potential cause, stroke was an uncommon complication and exclusive of patients with a severe pulmonary injury. The presence of COVID-19 in patients who underwent EVT was an independent predictor of in-hospital mortality.","container-title":"Journal of stroke and cerebrovascular diseases : the official journal of National Stroke Association","DOI":"10.1016/j.jstrokecerebrovasdis.2020.105225","ISSN":"1532-8511 (Electronic)","issue":"11","language":"eng","note":"PMID: 33066917","page":"105225","title":"COVID-19 and Stroke: Incidence and Etiological Description in a High-Volume Center.","volume":"29","author":[{"family":"Requena","given":"Manuel"},{"family":"Olivé-Gadea","given":"Marta"},{"family":"Muchada","given":"Marian"},{"family":"García-Tornel","given":"Álvaro"},{"family":"Deck","given":"Matías"},{"family":"Juega","given":"Jesús"},{"family":"Boned","given":"Sandra"},{"family":"Rodríguez-Villatoro","given":"Noelia"},{"family":"Piñana","given":"Carlos"},{"family":"Pagola","given":"Jorge"},{"family":"Rodríguez-Luna","given":"David"},{"family":"Hernández","given":"David"},{"family":"Rubiera","given":"Marta"},{"family":"Tomasello","given":"Alejandro"},{"family":"Molina","given":"Carlos A"},{"family":"Ribo","given":"Marc"}],"issued":{"date-parts":[["2020",11]]}}}],"schema":"https://github.com/citation-style-language/schema/raw/master/csl-citation.json"}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CE05CD">
              <w:rPr>
                <w:rFonts w:ascii="Times New Roman" w:hAnsi="Times New Roman" w:cs="Times New Roman"/>
                <w:color w:val="000000"/>
                <w:sz w:val="13"/>
                <w:vertAlign w:val="superscript"/>
                <w:lang w:val="de-DE"/>
              </w:rPr>
              <w:t>63</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vAlign w:val="center"/>
            <w:hideMark/>
          </w:tcPr>
          <w:p w14:paraId="2F05DDC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vAlign w:val="center"/>
            <w:hideMark/>
          </w:tcPr>
          <w:p w14:paraId="45A4309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46E8773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5F32E7A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3EECD31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vAlign w:val="center"/>
            <w:hideMark/>
          </w:tcPr>
          <w:p w14:paraId="1E6C189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vAlign w:val="center"/>
            <w:hideMark/>
          </w:tcPr>
          <w:p w14:paraId="33F91C6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vAlign w:val="center"/>
            <w:hideMark/>
          </w:tcPr>
          <w:p w14:paraId="76C334F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16" w:type="pct"/>
            <w:tcBorders>
              <w:top w:val="nil"/>
              <w:left w:val="nil"/>
              <w:bottom w:val="nil"/>
              <w:right w:val="nil"/>
            </w:tcBorders>
            <w:shd w:val="clear" w:color="auto" w:fill="auto"/>
            <w:vAlign w:val="center"/>
            <w:hideMark/>
          </w:tcPr>
          <w:p w14:paraId="39D3E59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111C718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116FC762" w14:textId="77777777" w:rsidTr="007B37AC">
        <w:trPr>
          <w:trHeight w:val="340"/>
        </w:trPr>
        <w:tc>
          <w:tcPr>
            <w:tcW w:w="1058" w:type="pct"/>
            <w:tcBorders>
              <w:top w:val="nil"/>
              <w:left w:val="nil"/>
              <w:bottom w:val="nil"/>
              <w:right w:val="nil"/>
            </w:tcBorders>
            <w:shd w:val="clear" w:color="auto" w:fill="auto"/>
            <w:vAlign w:val="center"/>
            <w:hideMark/>
          </w:tcPr>
          <w:p w14:paraId="7C42C4FB" w14:textId="4D77618C"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Rothstein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{"citationID":"JO6jTdeq","properties":{"formattedCitation":"\\super 64\\nosupersub{}","plainCitation":"64","noteIndex":0},"citationItems":[{"id":48,"uris":["http://zotero.org/users/local/4rfnQu81/items/AS3YARMK"],"uri":["http://zotero.org/users/local/4rfnQu81/items/AS3YARMK"],"itemData":{"id":48,"type":"article-journal","abstract":"Background and Purpose: Initial reports suggest a significant risk of thrombotic events, including stroke, in patients hospitalized with coronavirus disease 2019 (COVID-19). However, there is little systematic data on stroke incidence and mechanisms, particularly in racially diverse populations in the United States. Methods: We performed a retrospective, observational study of stroke incidence and mechanisms in all patients with COVID-19 hospitalized from March 15 to May 3, 2020, at 3 Philadelphia hospitals. Results: We identified 844 hospitalized patients with COVID-19 (mean age 59 years, 52% female, 68% Black); 20 (2.4%) had confirmed ischemic stroke; and 8 (0.9%) had intracranial hemorrhage. Of the ischemic stroke patients, mean age was 64 years, with only one patient (5%) under age 50, and 80% were Black. Conventional vascular risk factors were common, with 95% of patients having a history of hypertension and 60% a history of diabetes mellitus. Median time from onset of COVID symptoms to stroke diagnosis was 21 days. Stroke mechanism was cardioembolism in 40%, small vessel disease in 5%, other determined mechanism in 20%, and cryptogenic in 35%. Of the 11 patients with complete vascular imaging, 3 (27%) had large vessel occlusion. Newly positive antiphospholipid antibodies were present in &gt;75% of tested patients. Of the patients with intracranial hemorrhage, 5/8 (63%) were lobar intraparenchymal hemorrhages, and 3/8 (38%) were subarachnoid hemorrhage; 4/8 (50%) were on extracorporeal membrane oxygenation. Conclusions: We found a low risk of acute cerebrovascular events in patients hospitalized with COVID-19. Most patients with ischemic stroke had conventional vascular risk factors, and traditional stroke mechanisms were common.","container-title":"Stroke","DOI":"10.1161/STROKEAHA.120.030995","ISSN":"15244628","issue":"September","note":"PMID: 32684145","page":"219–222","title":"Acute Cerebrovascular Events in Hospitalized COVID-19 Patients","author":[{"family":"Rothstein","given":"Aaron"},{"family":"Oldridge","given":"Olivia"},{"family":"Schwennesen","given":"Hannah"},{"family":"Do","given":"David"},{"family":"Cucchiara","given":"Brett L."}],"issued":{"date-parts":[["2020"]]}}}],"schema":"https://github.com/citation-style-language/schema/raw/master/csl-citation.json"}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CE05CD">
              <w:rPr>
                <w:rFonts w:ascii="Times New Roman" w:hAnsi="Times New Roman" w:cs="Times New Roman"/>
                <w:color w:val="000000"/>
                <w:sz w:val="13"/>
                <w:vertAlign w:val="superscript"/>
                <w:lang w:val="de-DE"/>
              </w:rPr>
              <w:t>64</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vAlign w:val="center"/>
            <w:hideMark/>
          </w:tcPr>
          <w:p w14:paraId="288BBD6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vAlign w:val="center"/>
            <w:hideMark/>
          </w:tcPr>
          <w:p w14:paraId="525847D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1FC9F68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22035B9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75DD21F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vAlign w:val="center"/>
            <w:hideMark/>
          </w:tcPr>
          <w:p w14:paraId="3F6DF65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vAlign w:val="center"/>
            <w:hideMark/>
          </w:tcPr>
          <w:p w14:paraId="788F9B1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vAlign w:val="center"/>
            <w:hideMark/>
          </w:tcPr>
          <w:p w14:paraId="383E233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16" w:type="pct"/>
            <w:tcBorders>
              <w:top w:val="nil"/>
              <w:left w:val="nil"/>
              <w:bottom w:val="nil"/>
              <w:right w:val="nil"/>
            </w:tcBorders>
            <w:shd w:val="clear" w:color="auto" w:fill="auto"/>
            <w:vAlign w:val="center"/>
            <w:hideMark/>
          </w:tcPr>
          <w:p w14:paraId="42D8D44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Calibri" w:eastAsia="Times New Roman" w:hAnsi="Calibri" w:cs="Calibri"/>
                <w:color w:val="000000"/>
                <w:sz w:val="13"/>
                <w:szCs w:val="13"/>
                <w:lang w:eastAsia="de-DE"/>
              </w:rPr>
              <w:t>﻿</w:t>
            </w:r>
            <w:r w:rsidRPr="007B37AC">
              <w:rPr>
                <w:rFonts w:ascii="Times New Roman" w:eastAsia="Times New Roman" w:hAnsi="Times New Roman" w:cs="Times New Roman"/>
                <w:color w:val="000000"/>
                <w:sz w:val="13"/>
                <w:szCs w:val="13"/>
                <w:lang w:eastAsia="de-DE"/>
              </w:rPr>
              <w:t>25</w:t>
            </w:r>
          </w:p>
        </w:tc>
        <w:tc>
          <w:tcPr>
            <w:tcW w:w="275" w:type="pct"/>
            <w:tcBorders>
              <w:top w:val="nil"/>
              <w:left w:val="nil"/>
              <w:bottom w:val="nil"/>
              <w:right w:val="nil"/>
            </w:tcBorders>
            <w:shd w:val="clear" w:color="auto" w:fill="auto"/>
            <w:vAlign w:val="center"/>
            <w:hideMark/>
          </w:tcPr>
          <w:p w14:paraId="1353D06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2D526567" w14:textId="77777777" w:rsidTr="007B37AC">
        <w:trPr>
          <w:trHeight w:val="340"/>
        </w:trPr>
        <w:tc>
          <w:tcPr>
            <w:tcW w:w="1058" w:type="pct"/>
            <w:tcBorders>
              <w:top w:val="nil"/>
              <w:left w:val="nil"/>
              <w:bottom w:val="nil"/>
              <w:right w:val="nil"/>
            </w:tcBorders>
            <w:shd w:val="clear" w:color="auto" w:fill="auto"/>
            <w:vAlign w:val="center"/>
            <w:hideMark/>
          </w:tcPr>
          <w:p w14:paraId="0840AFA8" w14:textId="7097B641"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Sawlani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{"citationID":"BaZWZZii","properties":{"formattedCitation":"\\super 65\\nosupersub{}","plainCitation":"65","noteIndex":0},"citationItems":[{"id":26,"uris":["http://zotero.org/users/local/4rfnQu81/items/B3AG93MF"],"uri":["http://zotero.org/users/local/4rfnQu81/items/B3AG93MF"],"itemData":{"id":26,"type":"article-journal","abstract":"AIM: To describe the neuroradiological changes in patients with coronavirus disease 2019 (COVID-19). MATERIALS AND METHODS: A retrospective review was undertaken of 3,403 patients who were confirmed positive for severe acute respiratory syndrome coronavirus 2 (SARS-CoV-2) infection, and admitted to Queen Elizabeth Hospital Birmingham, University Hospitals Birmingham NHS Foundation Trust, Birmingham, UK between 1 March 2020 and 31 May 2020, and who underwent neuroimaging. Abnormal brain imaging was evaluated in detail and various imaging patterns on magnetic resonance imaging MRI were identified. RESULTS: Of the 3,403 patients with COVID-19, 167 (4.9%) had neurological signs or symptoms warranting neuroimaging. The most common indications were delirium (44/167, 26%), focal neurology (37/167, 22%), and altered consciousness (34/167, 20%). Neuroimaging showed abnormalities in 23% of patients, with MRI being abnormal in 20 patients and computed tomography (CT) in 18 patients. The most consistent neuroradiological finding was microhaemorrhage with a predilection for the splenium of the corpus callosum (12/20, 60%) followed by acute or subacute infarct (5/20, 25%), watershed white matter hyperintensities (4/20, 20%), and susceptibility changes on susceptibility-weighted imaging (SWI) in the superficial veins (3/20, 15%), acute haemorrhagic necrotising encephalopathy (2/20, 10%), large parenchymal haemorrhage (2/20, 10%), subarachnoid haemorrhage (1/20, 5%), hypoxic–ischaemic changes (1/20, 5%), and acute disseminated encephalomyelitis (ADEM)-like changes (1/20, 5%). CONCLUSION: Various imaging patterns on MRI were observed including acute haemorrhagic necrotising encephalopathy, white matter hyperintensities, hypoxic-ischaemic changes, ADEM-like changes, and stroke. Microhaemorrhages were the most common findings. Prolonged hypoxaemia, consumption coagulopathy, and endothelial disruption are the likely pathological drivers and reflect disease severity in this patient cohort.","container-title":"Clinical Radiology","DOI":"10.1016/j.crad.2020.09.002","ISSN":"1365229X","issue":"2","note":"publisher: The Royal College of Radiologists\nPMID: 33023738","page":"108–116","title":"COVID-19-related intracranial imaging findings: a large single-centre experience","volume":"76","author":[{"family":"Sawlani","given":"V."},{"family":"Scotton","given":"S."},{"family":"Nader","given":"K."},{"family":"Jen","given":"J. P."},{"family":"Patel","given":"M."},{"family":"Gokani","given":"K."},{"family":"Denno","given":"P."},{"family":"Thaller","given":"M."},{"family":"Englezou","given":"C."},{"family":"Janjua","given":"U."},{"family":"Bowen","given":"M."},{"family":"Hoskote","given":"C."},{"family":"Veenith","given":"T."},{"family":"Hassan-Smith","given":"G."},{"family":"Jacob","given":"S."}],"issued":{"date-parts":[["2021"]]}}}],"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D251B3">
              <w:rPr>
                <w:rFonts w:ascii="Times New Roman" w:hAnsi="Times New Roman" w:cs="Times New Roman"/>
                <w:color w:val="000000"/>
                <w:sz w:val="13"/>
                <w:vertAlign w:val="superscript"/>
                <w:lang w:val="de-DE"/>
              </w:rPr>
              <w:t>65</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vAlign w:val="center"/>
            <w:hideMark/>
          </w:tcPr>
          <w:p w14:paraId="349F643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vAlign w:val="center"/>
            <w:hideMark/>
          </w:tcPr>
          <w:p w14:paraId="3B66D06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725558D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4F3DA85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0B6EE31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vAlign w:val="center"/>
            <w:hideMark/>
          </w:tcPr>
          <w:p w14:paraId="380B0E5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vAlign w:val="center"/>
            <w:hideMark/>
          </w:tcPr>
          <w:p w14:paraId="1B32452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vAlign w:val="center"/>
            <w:hideMark/>
          </w:tcPr>
          <w:p w14:paraId="7292997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CT/MRI</w:t>
            </w:r>
          </w:p>
        </w:tc>
        <w:tc>
          <w:tcPr>
            <w:tcW w:w="316" w:type="pct"/>
            <w:tcBorders>
              <w:top w:val="nil"/>
              <w:left w:val="nil"/>
              <w:bottom w:val="nil"/>
              <w:right w:val="nil"/>
            </w:tcBorders>
            <w:shd w:val="clear" w:color="auto" w:fill="auto"/>
            <w:vAlign w:val="center"/>
            <w:hideMark/>
          </w:tcPr>
          <w:p w14:paraId="7D1656F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5D1297B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67BC7103" w14:textId="77777777" w:rsidTr="007B37AC">
        <w:trPr>
          <w:trHeight w:val="340"/>
        </w:trPr>
        <w:tc>
          <w:tcPr>
            <w:tcW w:w="1058" w:type="pct"/>
            <w:tcBorders>
              <w:top w:val="nil"/>
              <w:left w:val="nil"/>
              <w:bottom w:val="nil"/>
              <w:right w:val="nil"/>
            </w:tcBorders>
            <w:shd w:val="clear" w:color="auto" w:fill="auto"/>
            <w:vAlign w:val="center"/>
            <w:hideMark/>
          </w:tcPr>
          <w:p w14:paraId="4D08DCCF" w14:textId="69608AFD"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Siegler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{"citationID":"5sp18N7G","properties":{"formattedCitation":"\\super 66\\nosupersub{}","plainCitation":"66","noteIndex":0},"citationItems":[{"id":852,"uris":["http://zotero.org/users/local/4rfnQu81/items/AT6RYQL5"],"uri":["http://zotero.org/users/local/4rfnQu81/items/AT6RYQL5"],"itemData":{"id":852,"type":"article-journal","abstract":"BACKGROUND: Severe acute respiratory syndrome-coronavirus-2 (SARS-CoV-2) has been associated with a significant risk of thrombotic events in critically ill patients. AIM: To summarize the findings of a multinational observational cohort of patients with SARS-CoV-2 and cerebrovascular disease. METHODS: Retrospective observational cohort of consecutive adults evaluated in the emergency department and/or admitted with coronavirus disease 2019 (COVID-19) across 31 hospitals in four countries (1 February 2020-16 June 2020). The primary outcome was the incidence rate of cerebrovascular events, inclusive of acute ischemic stroke, intracranial hemorrhages (ICH), and cortical vein and/or sinus thrombosis (CVST). RESULTS: Of the 14,483 patients with laboratory-confirmed SARS-CoV-2, 172 were diagnosed with an acute cerebrovascular event (1.13% of cohort; 1130/100,000 patients, 95%CI 970-1320/100,000), 68/171 (40.5%) were female and 96/172 (55.8%) were between the ages 60 and 79 years. Of these, 156 had acute ischemic stroke (1.08%; 1080/100,000 95%CI 920-1260/100,000), 28 ICH (0.19%; 190/100,000 95%CI 130-280/100,000), and 3 with CVST (0.02%; 20/100,000, 95%CI 4-60/100,000). The in-hospital mortality rate for SARS-CoV-2-associated stroke was 38.1% and for ICH 58.3%. After adjusting for clustering by site and age, baseline stroke severity, and all predictors of in-hospital mortality found in univariate regression (p &lt; 0.1: male sex, tobacco use, arrival by emergency medical services, lower platelet and lymphocyte counts, and intracranial occlusion), cryptogenic stroke mechanism (aOR 5.01, 95%CI 1.63-15.44, p &lt; 0.01), older age (aOR 1.78, 95%CI 1.07-2.94, p = 0.03), and lower lymphocyte count on admission (aOR 0.58, 95%CI 0.34-0.98, p = 0.04) were the only independent predictors of mortality among patients with stroke and COVID-19. CONCLUSIONS: COVID-19 is associated with a small but significant risk of clinically relevant cerebrovascular events, particularly ischemic stroke. The mortality rate is high for COVID-19-associated cerebrovascular complications; therefore, aggressive monitoring and early intervention should be pursued to mitigate poor outcomes.","container-title":"International journal of stroke : official journal of the International Stroke Society","DOI":"10.1177/1747493020959216","ISSN":"1747-4949 (Electronic)","language":"eng","note":"PMID: 32852257","page":"1747493020959216","title":"Cerebrovascular events and outcomes in hospitalized patients with COVID-19: The SVIN COVID-19 Multinational Registry.","author":[{"family":"Siegler","given":"James E"},{"family":"Cardona","given":"Pere"},{"family":"Arenillas","given":"Juan F"},{"family":"Talavera","given":"Blanca"},{"family":"Guillen","given":"Ana N"},{"family":"Chavarría-Miranda","given":"Alba"},{"family":"Lera","given":"Mercedes","non-dropping-particle":"de"},{"family":"Khandelwal","given":"Priyank"},{"family":"Bach","given":"Ivo"},{"family":"Patel","given":"Pratit"},{"family":"Singla","given":"Amit"},{"family":"Requena","given":"Manuel"},{"family":"Ribo","given":"Marc"},{"family":"Jillella","given":"Dinesh V"},{"family":"Rangaraju","given":"Srikant"},{"family":"Nogueira","given":"Raul G"},{"family":"Haussen","given":"Diogo C"},{"family":"Vazquez","given":"Alejandro R"},{"family":"Urra","given":"Xabier"},{"family":"Chamorro","given":"Ángel"},{"family":"Román","given":"Luis S"},{"family":"Thon","given":"Jesse M"},{"family":"Then","given":"Ryna"},{"family":"Sanborn","given":"Emma"},{"family":"Ossa","given":"Natalia P","non-dropping-particle":"de la"},{"family":"Millàn","given":"Mònica"},{"family":"Ruiz","given":"Isaac N"},{"family":"Mansour","given":"Ossama Y"},{"family":"Megahed","given":"Mohammed"},{"family":"Tiu","given":"Cristina"},{"family":"Terecoasa","given":"Elena O"},{"family":"Radu","given":"Răzvan A"},{"family":"Nguyen","given":"Thanh N"},{"family":"Curiale","given":"Gioacchino"},{"family":"Kaliaev","given":"Artem"},{"family":"Czap","given":"Alexandra L"},{"family":"Sebaugh","given":"Jacob"},{"family":"Zha","given":"Alicia M"},{"family":"Liebeskind","given":"David S"},{"family":"Ortega-Gutierrez","given":"Santiago"},{"family":"Farooqui","given":"Mudassir"},{"family":"Hassan","given":"Ameer E"},{"family":"Preston","given":"Laurie"},{"family":"Patterson","given":"Mary S"},{"family":"Bushnaq","given":"Saif"},{"family":"Zaidat","given":"Osama"},{"family":"Jovin","given":"Tudor G"}],"issued":{"date-parts":[["2020",9]]}}}],"schema":"https://github.com/citation-style-language/schema/raw/master/csl-citation.json"}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7A62EC">
              <w:rPr>
                <w:rFonts w:ascii="Times New Roman" w:hAnsi="Times New Roman" w:cs="Times New Roman"/>
                <w:color w:val="000000"/>
                <w:sz w:val="13"/>
                <w:vertAlign w:val="superscript"/>
                <w:lang w:val="en-US"/>
              </w:rPr>
              <w:t>66</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vAlign w:val="center"/>
            <w:hideMark/>
          </w:tcPr>
          <w:p w14:paraId="680BDA7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vAlign w:val="center"/>
            <w:hideMark/>
          </w:tcPr>
          <w:p w14:paraId="67FF785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4EB9329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31D5DA0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7419902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vAlign w:val="center"/>
            <w:hideMark/>
          </w:tcPr>
          <w:p w14:paraId="13BC646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vAlign w:val="center"/>
            <w:hideMark/>
          </w:tcPr>
          <w:p w14:paraId="3D640E9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vAlign w:val="center"/>
            <w:hideMark/>
          </w:tcPr>
          <w:p w14:paraId="4290B4E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CT/MRI</w:t>
            </w:r>
          </w:p>
        </w:tc>
        <w:tc>
          <w:tcPr>
            <w:tcW w:w="316" w:type="pct"/>
            <w:tcBorders>
              <w:top w:val="nil"/>
              <w:left w:val="nil"/>
              <w:bottom w:val="nil"/>
              <w:right w:val="nil"/>
            </w:tcBorders>
            <w:shd w:val="clear" w:color="auto" w:fill="auto"/>
            <w:vAlign w:val="center"/>
            <w:hideMark/>
          </w:tcPr>
          <w:p w14:paraId="44782FD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51D15BD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25D48E1A" w14:textId="77777777" w:rsidTr="007B37AC">
        <w:trPr>
          <w:trHeight w:val="340"/>
        </w:trPr>
        <w:tc>
          <w:tcPr>
            <w:tcW w:w="1058" w:type="pct"/>
            <w:tcBorders>
              <w:top w:val="nil"/>
              <w:left w:val="nil"/>
              <w:bottom w:val="nil"/>
              <w:right w:val="nil"/>
            </w:tcBorders>
            <w:shd w:val="clear" w:color="auto" w:fill="auto"/>
            <w:vAlign w:val="center"/>
            <w:hideMark/>
          </w:tcPr>
          <w:p w14:paraId="4348653E" w14:textId="296E8A4A"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Trifan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{"citationID":"w15zPWNm","properties":{"formattedCitation":"\\super 67\\nosupersub{}","plainCitation":"67","noteIndex":0},"citationItems":[{"id":179,"uris":["http://zotero.org/users/local/4rfnQu81/items/34HDWYYU"],"uri":["http://zotero.org/users/local/4rfnQu81/items/34HDWYYU"],"itemData":{"id":179,"type":"article-journal","abstract":"BACKGROUND AND PURPOSE: Severe Acute Respiratory Syndrome Coronavirus 2 (SARS-CoV-2) infection is associated with stroke. The role of sex on stroke outcome has not been investigated. To objective of this paper is to describe the characteristics of a diverse cohort of acute stroke patients with COVID-19 disease and determine the role of sex on outcome. METHODS: This is a retrospective study of patients with acute stroke and SARS-CoV-2 infection admitted between March 15 to May 15, 2020 to one of the six participating comprehensive stroke centers. Baseline characteristics, stroke subtype, workup, treatment and outcome are presented as total number and percentage or median and interquartile range. Outcome at discharge was determined by the modified Rankin Scale Score (mRS). Variables and outcomes were compared for males and females using univariate and multivariate analysis. RESULTS: The study included 83 patients, 47% of which were Black, 28% Hispanics/Latinos, and 16% whites. Median age was 64 years. Approximately 89% had at least one preexisting vascular risk factor (VRF). The most common complications were respiratory failure (59%) and septic shock (34%). Compared with females, a higher proportion of males experienced severe SARS-CoV-2 symptoms requiring ICU hospitalization (73% vs. 49%; p = 0.04). When divided by stroke subtype, there were 77% ischemic, 19% intracerebral hemorrhage and 3% subarachnoid hemorrhage. The most common ischemic stroke etiologies were cryptogenic (39%) and cardioembolic (27%). Compared with females, males had higher mortality (38% vs. 13%; p = 0.02) and were less likely to be discharged home (12% vs. 33%; p = 0.04). After adjustment for age, race/ethnicity, and number of VRFs, mRS was higher in males than in females (OR = 1.47, 95% CI = 1.03-2.09). CONCLUSION: In this cohort of SARS-CoV-2 stroke patients, most had clinical evidence of coronavirus infection on admission and preexisting VRFs. Severe in-hospital complications and worse outcomes after ischemic strokes were higher in males, than females.","container-title":"Journal of stroke and cerebrovascular diseases : the official journal of National Stroke Association","DOI":"10.1016/j.jstrokecerebrovasdis.2020.105314","ISSN":"1532-8511 (Electronic)","issue":"11","language":"eng","note":"PMID: 32951959","page":"105314","title":"Characteristics of a Diverse Cohort of Stroke Patients with SARS-CoV-2 and Outcome by Sex.","volume":"29","author":[{"family":"Trifan","given":"G"},{"family":"Goldenberg","given":"F D"},{"family":"Caprio","given":"F Z"},{"family":"Biller","given":"J"},{"family":"Schneck","given":"M"},{"family":"Khaja","given":"A"},{"family":"Terna","given":"T"},{"family":"Brorson","given":"J"},{"family":"Lazaridis","given":"C"},{"family":"Bulwa","given":"Z"},{"family":"Alvarado Dyer","given":"R"},{"family":"Saleh Velez","given":"F G"},{"family":"Prabhakaran","given":"S"},{"family":"Liotta","given":"E M"},{"family":"Batra","given":"A"},{"family":"Reish","given":"N J"},{"family":"Ruland","given":"S"},{"family":"Teitcher","given":"M"},{"family":"Taylor","given":"W"},{"family":"De la Pena","given":"P"},{"family":"Conners","given":"J J"},{"family":"Grewal","given":"P K"},{"family":"Pinna","given":"P"},{"family":"Dafer","given":"R M"},{"family":"Osteraas","given":"N D"},{"family":"DaSilva","given":"I"},{"family":"Hall","given":"J P"},{"family":"John","given":"S"},{"family":"Shafi","given":"N"},{"family":"Miller","given":"K"},{"family":"Moustafa","given":"B"},{"family":"Vargas","given":"A"},{"family":"Gorelick","given":"P B"},{"family":"Testai","given":"F D"}],"issued":{"date-parts":[["2020",11]]}}}],"schema":"https://github.com/citation-style-language/schema/raw/master/csl-citation.json"}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D251B3">
              <w:rPr>
                <w:rFonts w:ascii="Times New Roman" w:hAnsi="Times New Roman" w:cs="Times New Roman"/>
                <w:color w:val="000000"/>
                <w:sz w:val="13"/>
                <w:vertAlign w:val="superscript"/>
                <w:lang w:val="de-DE"/>
              </w:rPr>
              <w:t>67</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vAlign w:val="center"/>
            <w:hideMark/>
          </w:tcPr>
          <w:p w14:paraId="4B60DD9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vAlign w:val="center"/>
            <w:hideMark/>
          </w:tcPr>
          <w:p w14:paraId="2AB30C9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31F70D5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6DC6BE0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7C7612E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vAlign w:val="center"/>
            <w:hideMark/>
          </w:tcPr>
          <w:p w14:paraId="58C0E10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vAlign w:val="center"/>
            <w:hideMark/>
          </w:tcPr>
          <w:p w14:paraId="7A863FD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vAlign w:val="center"/>
            <w:hideMark/>
          </w:tcPr>
          <w:p w14:paraId="0B4BAA3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16" w:type="pct"/>
            <w:tcBorders>
              <w:top w:val="nil"/>
              <w:left w:val="nil"/>
              <w:bottom w:val="nil"/>
              <w:right w:val="nil"/>
            </w:tcBorders>
            <w:shd w:val="clear" w:color="auto" w:fill="auto"/>
            <w:vAlign w:val="center"/>
            <w:hideMark/>
          </w:tcPr>
          <w:p w14:paraId="70CEDAA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4AA7E3A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44445B30" w14:textId="77777777" w:rsidTr="007B37AC">
        <w:trPr>
          <w:trHeight w:val="340"/>
        </w:trPr>
        <w:tc>
          <w:tcPr>
            <w:tcW w:w="1058" w:type="pct"/>
            <w:tcBorders>
              <w:top w:val="nil"/>
              <w:left w:val="nil"/>
              <w:bottom w:val="nil"/>
              <w:right w:val="nil"/>
            </w:tcBorders>
            <w:shd w:val="clear" w:color="auto" w:fill="auto"/>
            <w:vAlign w:val="center"/>
            <w:hideMark/>
          </w:tcPr>
          <w:p w14:paraId="665C4386" w14:textId="7963417F"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Sweid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{"citationID":"zwZASWJ3","properties":{"formattedCitation":"\\super 68\\nosupersub{}","plainCitation":"68","noteIndex":0},"citationItems":[{"id":125,"uris":["http://zotero.org/users/local/4rfnQu81/items/VJJMIWTS"],"uri":["http://zotero.org/users/local/4rfnQu81/items/VJJMIWTS"],"itemData":{"id":125,"type":"article-journal","abstract":"Background: The coronavirus disease 2019 is associated with neurological manifestations including stroke. Objectives: We present a case series of coronavirus disease 2019 patients from two institutions with acute cerebrovascular pathologies. In addition, we present a pooled analysis of published data on large vessel occlusion in the setting of coronavirus disease 2019 and a concise summary of the pathophysiology of acute cerebrovascular disease in the setting of coronavirus disease 2019. Methods: A retrospective study across two institutions was conducted between 20 March 2020 and 20 May 2020, for patients developing acute cerebrovascular disease and diagnosed with coronavirus disease 2019. We performed a literature review using the PubMed search engine. Results: The total sample size was 22 patients. The mean age was 59.5 years, and 12 patients were female. The cerebrovascular pathologies were 17 cases of acute ischemic stroke, 3 cases of aneurysm rupture, and 2 cases of sinus thrombosis. Of the stroke and sinus thrombosis patients, the mean National Institute of Health Stroke Scale was 13.8 ± 8.0, and 16 (84.2%) patients underwent a mechanical thrombectomy procedure. A favorable thrombolysis in cerebral infarction score was achieved in all patients. Of the 16 patients that underwent a mechanical thrombectomy, the mortality incidence was five (31.3%). Of all patients (22), three (13.6%) patients developed hemorrhagic conversion requiring decompressive surgery. Eleven (50%) patients had a poor functional status (modified Rankin Score 3–6) at discharge, and the total mortality incidence was eight (36.4%). Conclusions: Despite timely intervention and favorable reperfusion, the mortality rate in coronavirus disease 2019 patients with large vessel occlusion was high in our series and in the pooled analysis. Notable features were younger age group, involvement of both the arterial and venous vasculature, multivessel involvement, and complicated procedures due to the clot consistency and burden.","container-title":"International Journal of Stroke","DOI":"10.1177/1747493020937189","ISSN":"17474949","issue":"7","note":"PMID: 32501751","page":"733–742","title":"Cerebral ischemic and hemorrhagic complications of coronavirus disease 2019","volume":"15","author":[{"family":"Sweid","given":"Ahmad"},{"family":"Hammoud","given":"Batoul"},{"family":"Bekelis","given":"Kimon"},{"family":"Missios","given":"Symeon"},{"family":"Tjoumakaris","given":"Stavropoula I."},{"family":"Gooch","given":"Michael R."},{"family":"Herial","given":"Nabeel A."},{"family":"Zarzour","given":"Hekmat"},{"family":"Romo","given":"Victor"},{"family":"DePrince","given":"Maureen"},{"family":"Rosenwasser","given":"Robert H."},{"family":"Jabbour","given":"Pascal"}],"issued":{"date-parts":[["2020"]]}}}],"schema":"https://github.com/citation-style-language/schema/raw/master/csl-citation.json"}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7A62EC">
              <w:rPr>
                <w:rFonts w:ascii="Times New Roman" w:hAnsi="Times New Roman" w:cs="Times New Roman"/>
                <w:color w:val="000000"/>
                <w:sz w:val="13"/>
                <w:vertAlign w:val="superscript"/>
              </w:rPr>
              <w:t>68</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vAlign w:val="center"/>
            <w:hideMark/>
          </w:tcPr>
          <w:p w14:paraId="7C9761D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vAlign w:val="center"/>
            <w:hideMark/>
          </w:tcPr>
          <w:p w14:paraId="54AC52A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71ECBF8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227C10C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0C9C9CC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vAlign w:val="center"/>
            <w:hideMark/>
          </w:tcPr>
          <w:p w14:paraId="6F383DA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vAlign w:val="center"/>
            <w:hideMark/>
          </w:tcPr>
          <w:p w14:paraId="5BA175E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vAlign w:val="center"/>
            <w:hideMark/>
          </w:tcPr>
          <w:p w14:paraId="5C34D0B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16" w:type="pct"/>
            <w:tcBorders>
              <w:top w:val="nil"/>
              <w:left w:val="nil"/>
              <w:bottom w:val="nil"/>
              <w:right w:val="nil"/>
            </w:tcBorders>
            <w:shd w:val="clear" w:color="auto" w:fill="auto"/>
            <w:vAlign w:val="center"/>
            <w:hideMark/>
          </w:tcPr>
          <w:p w14:paraId="7139013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32F0359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0C9C7B9C" w14:textId="77777777" w:rsidTr="007B37AC">
        <w:trPr>
          <w:trHeight w:val="340"/>
        </w:trPr>
        <w:tc>
          <w:tcPr>
            <w:tcW w:w="1058" w:type="pct"/>
            <w:tcBorders>
              <w:top w:val="nil"/>
              <w:left w:val="nil"/>
              <w:bottom w:val="nil"/>
              <w:right w:val="nil"/>
            </w:tcBorders>
            <w:shd w:val="clear" w:color="auto" w:fill="auto"/>
            <w:vAlign w:val="center"/>
            <w:hideMark/>
          </w:tcPr>
          <w:p w14:paraId="0D6B13E9" w14:textId="45340403"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B</w:t>
            </w:r>
            <w:r w:rsidRPr="007A62EC">
              <w:rPr>
                <w:rFonts w:ascii="Times New Roman" w:eastAsia="Times New Roman" w:hAnsi="Times New Roman" w:cs="Times New Roman"/>
                <w:color w:val="000000"/>
                <w:sz w:val="13"/>
                <w:szCs w:val="13"/>
                <w:lang w:eastAsia="de-DE"/>
              </w:rPr>
              <w:t>e</w:t>
            </w:r>
            <w:r w:rsidRPr="00C336CB">
              <w:rPr>
                <w:rFonts w:ascii="Times New Roman" w:eastAsia="Times New Roman" w:hAnsi="Times New Roman" w:cs="Times New Roman"/>
                <w:color w:val="000000"/>
                <w:sz w:val="13"/>
                <w:szCs w:val="13"/>
                <w:lang w:eastAsia="de-DE"/>
              </w:rPr>
              <w:t xml:space="preserve">rmea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{"citationID":"t3OHxVSs","properties":{"formattedCitation":"\\super 69\\nosupersub{}","plainCitation":"69","noteIndex":0},"citationItems":[{"id":3587,"uris":["http://zotero.org/users/local/4rfnQu81/items/2584ZZHC"],"uri":["http://zotero.org/users/local/4rfnQu81/items/2584ZZHC"],"itemData":{"id":3587,"type":"article-journal","container-title":"Shock","DOI":"10.1097/SHK.0000000000001730","ISSN":"1073-2322","language":"en","source":"DOI.org (Crossref)","title":"Increased Intracranial Hemorrhage Amid Elevated Inflammatory Markers in those with COVID-19 Supported with Extracorporeal Membrane Oxygenation","URL":"https://journals.lww.com/10.1097/SHK.0000000000001730","volume":"Publish Ahead of Print","author":[{"family":"Bermea","given":"Rene S."},{"family":"Raz","given":"Yuval"},{"family":"Sertic","given":"Federico"},{"family":"Rubin","given":"Jonah"},{"family":"Wolf","given":"Molly"},{"family":"Olia","given":"Salim"},{"family":"Richards","given":"Thomas"},{"family":"Crowley","given":"Jerome"},{"family":"Funamoto","given":"Masaki"},{"family":"Shelton","given":"Kenneth"},{"family":"Bermudez","given":"Christian"}],"accessed":{"date-parts":[["2021",4,26]]},"issued":{"date-parts":[["2021",1,20]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7A62EC">
              <w:rPr>
                <w:rFonts w:ascii="Times New Roman" w:hAnsi="Times New Roman" w:cs="Times New Roman"/>
                <w:color w:val="000000"/>
                <w:sz w:val="13"/>
                <w:vertAlign w:val="superscript"/>
              </w:rPr>
              <w:t>69</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vAlign w:val="center"/>
            <w:hideMark/>
          </w:tcPr>
          <w:p w14:paraId="5FE7927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2021</w:t>
            </w:r>
          </w:p>
        </w:tc>
        <w:tc>
          <w:tcPr>
            <w:tcW w:w="350" w:type="pct"/>
            <w:tcBorders>
              <w:top w:val="nil"/>
              <w:left w:val="nil"/>
              <w:bottom w:val="nil"/>
              <w:right w:val="nil"/>
            </w:tcBorders>
            <w:shd w:val="clear" w:color="auto" w:fill="auto"/>
            <w:vAlign w:val="center"/>
            <w:hideMark/>
          </w:tcPr>
          <w:p w14:paraId="3389181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Calibri" w:eastAsia="Times New Roman" w:hAnsi="Calibri" w:cs="Calibri"/>
                <w:color w:val="000000"/>
                <w:sz w:val="13"/>
                <w:szCs w:val="13"/>
                <w:lang w:eastAsia="de-DE"/>
              </w:rPr>
              <w:t>﻿</w:t>
            </w:r>
            <w:r w:rsidRPr="007B37AC">
              <w:rPr>
                <w:rFonts w:ascii="Times New Roman" w:eastAsia="Times New Roman" w:hAnsi="Times New Roman" w:cs="Times New Roman"/>
                <w:color w:val="000000"/>
                <w:sz w:val="13"/>
                <w:szCs w:val="13"/>
                <w:lang w:eastAsia="de-DE"/>
              </w:rPr>
              <w:t>226</w:t>
            </w:r>
          </w:p>
        </w:tc>
        <w:tc>
          <w:tcPr>
            <w:tcW w:w="384" w:type="pct"/>
            <w:tcBorders>
              <w:top w:val="nil"/>
              <w:left w:val="nil"/>
              <w:bottom w:val="nil"/>
              <w:right w:val="nil"/>
            </w:tcBorders>
            <w:shd w:val="clear" w:color="auto" w:fill="auto"/>
            <w:vAlign w:val="center"/>
            <w:hideMark/>
          </w:tcPr>
          <w:p w14:paraId="2D6E0C3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Calibri" w:eastAsia="Times New Roman" w:hAnsi="Calibri" w:cs="Calibri"/>
                <w:color w:val="000000"/>
                <w:sz w:val="13"/>
                <w:szCs w:val="13"/>
                <w:lang w:eastAsia="de-DE"/>
              </w:rPr>
              <w:t>﻿</w:t>
            </w:r>
            <w:r w:rsidRPr="007B37AC">
              <w:rPr>
                <w:rFonts w:ascii="Times New Roman" w:eastAsia="Times New Roman" w:hAnsi="Times New Roman" w:cs="Times New Roman"/>
                <w:color w:val="000000"/>
                <w:sz w:val="13"/>
                <w:szCs w:val="13"/>
                <w:lang w:eastAsia="de-DE"/>
              </w:rPr>
              <w:t>10.2</w:t>
            </w:r>
          </w:p>
        </w:tc>
        <w:tc>
          <w:tcPr>
            <w:tcW w:w="275" w:type="pct"/>
            <w:tcBorders>
              <w:top w:val="nil"/>
              <w:left w:val="nil"/>
              <w:bottom w:val="nil"/>
              <w:right w:val="nil"/>
            </w:tcBorders>
            <w:shd w:val="clear" w:color="auto" w:fill="auto"/>
            <w:vAlign w:val="center"/>
            <w:hideMark/>
          </w:tcPr>
          <w:p w14:paraId="71D755F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Calibri" w:eastAsia="Times New Roman" w:hAnsi="Calibri" w:cs="Calibri"/>
                <w:color w:val="000000"/>
                <w:sz w:val="13"/>
                <w:szCs w:val="13"/>
                <w:lang w:eastAsia="de-DE"/>
              </w:rPr>
              <w:t>﻿</w:t>
            </w:r>
            <w:r w:rsidRPr="007B37AC">
              <w:rPr>
                <w:rFonts w:ascii="Times New Roman" w:eastAsia="Times New Roman" w:hAnsi="Times New Roman" w:cs="Times New Roman"/>
                <w:color w:val="000000"/>
                <w:sz w:val="13"/>
                <w:szCs w:val="13"/>
                <w:lang w:eastAsia="de-DE"/>
              </w:rPr>
              <w:t>1.2</w:t>
            </w:r>
          </w:p>
        </w:tc>
        <w:tc>
          <w:tcPr>
            <w:tcW w:w="384" w:type="pct"/>
            <w:tcBorders>
              <w:top w:val="nil"/>
              <w:left w:val="nil"/>
              <w:bottom w:val="nil"/>
              <w:right w:val="nil"/>
            </w:tcBorders>
            <w:shd w:val="clear" w:color="auto" w:fill="auto"/>
            <w:vAlign w:val="center"/>
            <w:hideMark/>
          </w:tcPr>
          <w:p w14:paraId="6D0B046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vAlign w:val="center"/>
            <w:hideMark/>
          </w:tcPr>
          <w:p w14:paraId="5AB5E64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Calibri" w:eastAsia="Times New Roman" w:hAnsi="Calibri" w:cs="Calibri"/>
                <w:color w:val="000000"/>
                <w:sz w:val="13"/>
                <w:szCs w:val="13"/>
                <w:lang w:eastAsia="de-DE"/>
              </w:rPr>
              <w:t>﻿</w:t>
            </w:r>
            <w:r w:rsidRPr="007B37AC">
              <w:rPr>
                <w:rFonts w:ascii="Times New Roman" w:eastAsia="Times New Roman" w:hAnsi="Times New Roman" w:cs="Times New Roman"/>
                <w:color w:val="000000"/>
                <w:sz w:val="13"/>
                <w:szCs w:val="13"/>
                <w:lang w:eastAsia="de-DE"/>
              </w:rPr>
              <w:t>275</w:t>
            </w:r>
          </w:p>
        </w:tc>
        <w:tc>
          <w:tcPr>
            <w:tcW w:w="493" w:type="pct"/>
            <w:tcBorders>
              <w:top w:val="nil"/>
              <w:left w:val="nil"/>
              <w:bottom w:val="nil"/>
              <w:right w:val="nil"/>
            </w:tcBorders>
            <w:shd w:val="clear" w:color="auto" w:fill="auto"/>
            <w:vAlign w:val="center"/>
            <w:hideMark/>
          </w:tcPr>
          <w:p w14:paraId="0F4FDE1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Calibri" w:eastAsia="Times New Roman" w:hAnsi="Calibri" w:cs="Calibri"/>
                <w:color w:val="000000"/>
                <w:sz w:val="13"/>
                <w:szCs w:val="13"/>
                <w:lang w:eastAsia="de-DE"/>
              </w:rPr>
              <w:t>﻿</w:t>
            </w:r>
            <w:r w:rsidRPr="007B37AC">
              <w:rPr>
                <w:rFonts w:ascii="Times New Roman" w:eastAsia="Times New Roman" w:hAnsi="Times New Roman" w:cs="Times New Roman"/>
                <w:color w:val="000000"/>
                <w:sz w:val="13"/>
                <w:szCs w:val="13"/>
                <w:lang w:eastAsia="de-DE"/>
              </w:rPr>
              <w:t>5009</w:t>
            </w:r>
          </w:p>
        </w:tc>
        <w:tc>
          <w:tcPr>
            <w:tcW w:w="629" w:type="pct"/>
            <w:tcBorders>
              <w:top w:val="nil"/>
              <w:left w:val="nil"/>
              <w:bottom w:val="nil"/>
              <w:right w:val="nil"/>
            </w:tcBorders>
            <w:shd w:val="clear" w:color="auto" w:fill="auto"/>
            <w:vAlign w:val="center"/>
            <w:hideMark/>
          </w:tcPr>
          <w:p w14:paraId="0607662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16" w:type="pct"/>
            <w:tcBorders>
              <w:top w:val="nil"/>
              <w:left w:val="nil"/>
              <w:bottom w:val="nil"/>
              <w:right w:val="nil"/>
            </w:tcBorders>
            <w:shd w:val="clear" w:color="auto" w:fill="auto"/>
            <w:vAlign w:val="center"/>
            <w:hideMark/>
          </w:tcPr>
          <w:p w14:paraId="64E6CB8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051B8A7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57D01D49" w14:textId="77777777" w:rsidTr="007B37AC">
        <w:trPr>
          <w:trHeight w:val="340"/>
        </w:trPr>
        <w:tc>
          <w:tcPr>
            <w:tcW w:w="1058" w:type="pct"/>
            <w:tcBorders>
              <w:top w:val="nil"/>
              <w:left w:val="nil"/>
              <w:bottom w:val="nil"/>
              <w:right w:val="nil"/>
            </w:tcBorders>
            <w:shd w:val="clear" w:color="auto" w:fill="auto"/>
            <w:vAlign w:val="center"/>
            <w:hideMark/>
          </w:tcPr>
          <w:p w14:paraId="6A3ECADD" w14:textId="3F6C4B44"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lastRenderedPageBreak/>
              <w:t xml:space="preserve">Büttner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{"citationID":"Fs4IFK08","properties":{"formattedCitation":"\\super 70\\nosupersub{}","plainCitation":"70","noteIndex":0},"citationItems":[{"id":1613,"uris":["http://zotero.org/users/local/4rfnQu81/items/X5F7I66M"],"uri":["http://zotero.org/users/local/4rfnQu81/items/X5F7I66M"],"itemData":{"id":1613,"type":"article-journal","abstract":"Purpose COVID-19 has a variable, but well-described course. However, some patients additionally present with neurological symptoms. Recent studies also show a broad range of neuroimaging features. The purpose of this study was to perform a snapshot analysis to approximate the frequency and types of neuroimaging findings on CT and MRI scans in a large cohort of SARS-CoV-2-positive patients in a level I COVID-19 center, both in general and in critically ill patients. Materials and Methods We retrospectively analyzed brain CT and MRI scans of 34 hospitalized COVID-19 patients at our level I COVID-19 center between March 15 and April 24 with regard to pathological neuroimaging findings. In addition, clinical parameters such as neurological symptoms, comorbidities, and type of ventilation therapy were also documented. A descriptive statistical analysis was performed. Results Pathological findings were detected in 38.2% of patients in the study cohort. Based on the weekly institutional SARS-CoV-2 report of all positively tested patients in our clinic at the time of data collection, neuroimaging findings could be found in 6% of all patients (34/565). The most common findings were microbleeds (20.6%) and signs of hypoxic brain injury (11.8%). Furthermore, cortical subarachnoid hemorrhage, typical and atypical cerebral hematomas, ischemic strokes, and generalized brain edema were documented. All neuroimaging findings occurred in patients who were either intubated or treated by ECMO. Conclusion Based on the analysis of this large cohort of SARS-CoV-2-positive patients, pathological neuroimaging findings seem to be relatively rare in general but do occur in a substantial proportion of patients with severe COVID-19 disease needing intubation or ECMO. Key Points: Neuroimaging findings appear to be relatively rare in SARS-CoV-2 positive patients. Pathological findings occur mainly in critically ill COVID-19 patients. Frequent findings include hemorrhagic, ischemic and hypoxic changes. Critically ill COVID-19 patients should receive neuroimaging with a low threshold. Citation Format Büttner L, Bauknecht HC, Fleckenstein FN etal. Neuroimaging Findings in Conjunction with Severe COVID-19. Fortschr Röntgenstr 2021; DOI: 10.1055/a-1345-9784.","container-title":"RoFo Fortschritte auf dem Gebiet der Rontgenstrahlen und der Bildgebenden Verfahren","DOI":"10.1055/a-1345-9784","ISSN":"14389010","note":"PMID: 33535257","title":"Neuroimaging Findings in Conjunction with Severe COVID-19","author":[{"family":"Büttner","given":"Laura"},{"family":"Bauknecht","given":"Hans Christian"},{"family":"Fleckenstein","given":"Florian Nima"},{"family":"Kahn","given":"Johannes"},{"family":"Tietze","given":"Anna"},{"family":"Bohner","given":"Georg"},{"family":"Siebert","given":"Eberhard"}],"issued":{"date-parts":[["2021"]]}}}],"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D251B3">
              <w:rPr>
                <w:rFonts w:ascii="Times New Roman" w:hAnsi="Times New Roman" w:cs="Times New Roman"/>
                <w:color w:val="000000"/>
                <w:sz w:val="13"/>
                <w:vertAlign w:val="superscript"/>
                <w:lang w:val="de-DE"/>
              </w:rPr>
              <w:t>70</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vAlign w:val="center"/>
            <w:hideMark/>
          </w:tcPr>
          <w:p w14:paraId="05F96D2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2021</w:t>
            </w:r>
          </w:p>
        </w:tc>
        <w:tc>
          <w:tcPr>
            <w:tcW w:w="350" w:type="pct"/>
            <w:tcBorders>
              <w:top w:val="nil"/>
              <w:left w:val="nil"/>
              <w:bottom w:val="nil"/>
              <w:right w:val="nil"/>
            </w:tcBorders>
            <w:shd w:val="clear" w:color="auto" w:fill="auto"/>
            <w:vAlign w:val="center"/>
            <w:hideMark/>
          </w:tcPr>
          <w:p w14:paraId="7D8C14E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020A792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66D6664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4A1E392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vAlign w:val="center"/>
            <w:hideMark/>
          </w:tcPr>
          <w:p w14:paraId="0482DCE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vAlign w:val="center"/>
            <w:hideMark/>
          </w:tcPr>
          <w:p w14:paraId="2B61D7B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vAlign w:val="center"/>
            <w:hideMark/>
          </w:tcPr>
          <w:p w14:paraId="639E92F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16" w:type="pct"/>
            <w:tcBorders>
              <w:top w:val="nil"/>
              <w:left w:val="nil"/>
              <w:bottom w:val="nil"/>
              <w:right w:val="nil"/>
            </w:tcBorders>
            <w:shd w:val="clear" w:color="auto" w:fill="auto"/>
            <w:vAlign w:val="center"/>
            <w:hideMark/>
          </w:tcPr>
          <w:p w14:paraId="557868F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075EB84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3E71D2F7" w14:textId="77777777" w:rsidTr="007B37AC">
        <w:trPr>
          <w:trHeight w:val="340"/>
        </w:trPr>
        <w:tc>
          <w:tcPr>
            <w:tcW w:w="1058" w:type="pct"/>
            <w:tcBorders>
              <w:top w:val="nil"/>
              <w:left w:val="nil"/>
              <w:bottom w:val="nil"/>
              <w:right w:val="nil"/>
            </w:tcBorders>
            <w:shd w:val="clear" w:color="auto" w:fill="auto"/>
            <w:vAlign w:val="center"/>
            <w:hideMark/>
          </w:tcPr>
          <w:p w14:paraId="66005AC6" w14:textId="6639BBD1"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Dixon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{"citationID":"6mskpEiN","properties":{"formattedCitation":"\\super 71\\nosupersub{}","plainCitation":"71","noteIndex":0},"citationItems":[{"id":1614,"uris":["http://zotero.org/users/local/4rfnQu81/items/V3624Y4P"],"uri":["http://zotero.org/users/local/4rfnQu81/items/V3624Y4P"],"itemData":{"id":1614,"type":"article-journal","abstract":"Background: Cerebral microhaemorrhages are increasingly being recognised as a complication of COVID-19. This observational retrospective study aims to further investigate the potential pathophysiology through assessing the pattern of microhaemorrhage and clinical characteristics of patients with COVID-19 and microhaemorrhage. By comparing with similar patterns of microhaemorrhage in other non-COVID-19 disease, this study aims to propose possible common pathogenic mechanisms. Methods: A retrospective observational case series was performed identifying all patients with COVID-19 complicated by cerebral microhaemorrhage on MRI. The distribution and number of microhaemorrhages were recorded using the microbleed anatomical scale, and patients' baseline characteristics and salient test results were also recorded. Results: Cerebral microhaemorrhages were noted to have a predilection for the corpus callosum, the juxtacortical white matter and brainstem. All patients had a preceding period of critical illness with respiratory failure and severe hypoxia necessitating intubation and mechanical ventilation. Discussion This study demonstrates a pattern of cerebral microhaemorrhage that is similar to the pattern reported in patients with non-COVID-19 related critical illness and other causes of severe hypoxia. This raises questions regarding whether microhaemorrhage occurs from endothelial dysfunction due the direct effect of SARS-CoV-2 infection or from the secondary effects of critical illness and hypoxia.","container-title":"Stroke and Vascular Neurology","DOI":"10.1136/svn-2020-000652","ISSN":"20598696","issue":"4","note":"ISBN: 2020000652\nPMID: 33208493","page":"315–322","title":"Cerebral microhaemorrhage in COVID-19: A critical illness related phenomenon?","volume":"5","author":[{"family":"Dixon","given":"Luke"},{"family":"Mcnamara","given":"Cillian"},{"family":"Gaur","given":"Pritika"},{"family":"Mallon","given":"Dermot"},{"family":"Coughlan","given":"Christopher"},{"family":"Tona","given":"Francesca"},{"family":"Jan","given":"Wajanat"},{"family":"Wilson","given":"Mark"},{"family":"Jones","given":"Brynmor"}],"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D251B3">
              <w:rPr>
                <w:rFonts w:ascii="Times New Roman" w:hAnsi="Times New Roman" w:cs="Times New Roman"/>
                <w:color w:val="000000"/>
                <w:sz w:val="13"/>
                <w:vertAlign w:val="superscript"/>
                <w:lang w:val="de-DE"/>
              </w:rPr>
              <w:t>71</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vAlign w:val="center"/>
            <w:hideMark/>
          </w:tcPr>
          <w:p w14:paraId="36A7554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vAlign w:val="center"/>
            <w:hideMark/>
          </w:tcPr>
          <w:p w14:paraId="43EBBB5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457EC66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2B8D65E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6A8B59F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vAlign w:val="center"/>
            <w:hideMark/>
          </w:tcPr>
          <w:p w14:paraId="7F07F72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vAlign w:val="center"/>
            <w:hideMark/>
          </w:tcPr>
          <w:p w14:paraId="6FA2895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vAlign w:val="center"/>
            <w:hideMark/>
          </w:tcPr>
          <w:p w14:paraId="497C6CC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16" w:type="pct"/>
            <w:tcBorders>
              <w:top w:val="nil"/>
              <w:left w:val="nil"/>
              <w:bottom w:val="nil"/>
              <w:right w:val="nil"/>
            </w:tcBorders>
            <w:shd w:val="clear" w:color="auto" w:fill="auto"/>
            <w:vAlign w:val="center"/>
            <w:hideMark/>
          </w:tcPr>
          <w:p w14:paraId="45651C5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37.5</w:t>
            </w:r>
          </w:p>
        </w:tc>
        <w:tc>
          <w:tcPr>
            <w:tcW w:w="275" w:type="pct"/>
            <w:tcBorders>
              <w:top w:val="nil"/>
              <w:left w:val="nil"/>
              <w:bottom w:val="nil"/>
              <w:right w:val="nil"/>
            </w:tcBorders>
            <w:shd w:val="clear" w:color="auto" w:fill="auto"/>
            <w:vAlign w:val="center"/>
            <w:hideMark/>
          </w:tcPr>
          <w:p w14:paraId="52FC91C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392AA818" w14:textId="77777777" w:rsidTr="007B37AC">
        <w:trPr>
          <w:trHeight w:val="340"/>
        </w:trPr>
        <w:tc>
          <w:tcPr>
            <w:tcW w:w="1058" w:type="pct"/>
            <w:tcBorders>
              <w:top w:val="nil"/>
              <w:left w:val="nil"/>
              <w:bottom w:val="nil"/>
              <w:right w:val="nil"/>
            </w:tcBorders>
            <w:shd w:val="clear" w:color="auto" w:fill="auto"/>
            <w:vAlign w:val="center"/>
            <w:hideMark/>
          </w:tcPr>
          <w:p w14:paraId="2FB72CBE" w14:textId="00C364B7"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John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{"citationID":"r9BbzJrC","properties":{"formattedCitation":"\\super 72\\nosupersub{}","plainCitation":"72","noteIndex":0},"citationItems":[{"id":1622,"uris":["http://zotero.org/users/local/4rfnQu81/items/E89RFI28"],"uri":["http://zotero.org/users/local/4rfnQu81/items/E89RFI28"],"itemData":{"id":1622,"type":"article-journal","abstract":"Objective: To compare ischemic and hemorrhagic stroke patients with COVID-19 to non-COVID-19 controls, and to describe changes in stroke admission patterns during the pandemic. Methods: This is a single center, retrospective, observational study. All consecutive patients admitted with primary diagnosis of ischemic/ hemorrhagic stroke between March1st -May10th 2020 were included and compared with the same time period in 2019. Results: There was a 41.9% increase in stroke admissions in 2020 (148 vs 210,P = .001). When comparing all ischemic strokes, higher rate of large vessel occlusion (LVO) (18.3% vs 33.8%,P = .008) and significant delay in initiation of mechanical thrombectomy after hospital arrival (67.75 vs 104.30 minutes,P = .001) was observed in 2020. When comparing all hemorrhagic strokes, there were no differences between the two years. Among 591 COVID-19 admissions, 31 (5.24%) patients with stroke including 19 with ischemic (3.21%) and 12 with hemorrhagic stroke (2.03%) were identified. Patients with COVID-19 and ischemic stroke were significantly younger (58.74 vs 48.11 years,P = .002), predominantly male (68.18% vs 94.74%,P = .016), had lesser vascular risk factors, had more severe clinical presentation (NIHSS 7.01 vs 17.05,P &lt; .001), and higher rate of LVO (23.6% vs. 63.1%,P = .006). There was no difference in the rate of endovascular thrombectomy, but time to groin puncture was significantly longer in COVID-19 patients (83.41 vs 129.50 minutes,P = .003). For hemorrhagic stroke, COVID-19 patients did not differ from non-COVID-19 patients. Conclusions: Stroke continues to occur during this pandemic and stroke pathways have been affected by the pandemic. Stroke occurs in approximately 5% of patients with COVID-19. COVID-19 associated ischemic stroke occurs in predominantly male patients who are younger, with fewer vascular risk factors, can be more severe, and have higher rates of LVO. Despite an increase in LVO during the pandemic, treatment with mechanical thrombectomy has not increased. COVID-19 associated hemorrhagic stroke does not differ from non-COVID-19 hemorrhagic stroke patients.","container-title":"Clinical Neurology and Neurosurgery","DOI":"10.1016/j.clineuro.2020.106227","ISSN":"18726968","issue":"January","note":"PMID: 33011516","title":"Clinical characteristics and admission patterns of stroke patients during the COVID 19 pandemic: A single center retrospective, observational study from the Abu Dhabi, United Arab Emirates","volume":"199","author":[{"family":"John","given":"Seby"},{"family":"Hussain","given":"Syed Irteza"},{"family":"Piechowski-Jozwiak","given":"Bartlomiej"},{"family":"Dibu","given":"Jamil"},{"family":"Kesav","given":"Praveen"},{"family":"Bayrlee","given":"Ahmad"},{"family":"Elkambergy","given":"Hussam"},{"family":"John","given":"Terrence Lee St"},{"family":"Roser","given":"Florian"},{"family":"Mifsud","given":"Victoria Ann"}],"issued":{"date-parts":[["2020"]]}}}],"schema":"https://github.com/citation-style-language/schema/raw/master/csl-citation.json"}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D251B3">
              <w:rPr>
                <w:rFonts w:ascii="Times New Roman" w:hAnsi="Times New Roman" w:cs="Times New Roman"/>
                <w:color w:val="000000"/>
                <w:sz w:val="13"/>
                <w:vertAlign w:val="superscript"/>
                <w:lang w:val="de-DE"/>
              </w:rPr>
              <w:t>72</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vAlign w:val="center"/>
            <w:hideMark/>
          </w:tcPr>
          <w:p w14:paraId="213C34C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vAlign w:val="center"/>
            <w:hideMark/>
          </w:tcPr>
          <w:p w14:paraId="0D4EDE9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25BDD31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7E57245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Calibri" w:eastAsia="Times New Roman" w:hAnsi="Calibri" w:cs="Calibri"/>
                <w:color w:val="000000"/>
                <w:sz w:val="13"/>
                <w:szCs w:val="13"/>
                <w:lang w:eastAsia="de-DE"/>
              </w:rPr>
              <w:t>﻿</w:t>
            </w:r>
            <w:r w:rsidRPr="007B37AC">
              <w:rPr>
                <w:rFonts w:ascii="Times New Roman" w:eastAsia="Times New Roman" w:hAnsi="Times New Roman" w:cs="Times New Roman"/>
                <w:color w:val="000000"/>
                <w:sz w:val="13"/>
                <w:szCs w:val="13"/>
                <w:lang w:eastAsia="de-DE"/>
              </w:rPr>
              <w:t>1.1</w:t>
            </w:r>
          </w:p>
        </w:tc>
        <w:tc>
          <w:tcPr>
            <w:tcW w:w="384" w:type="pct"/>
            <w:tcBorders>
              <w:top w:val="nil"/>
              <w:left w:val="nil"/>
              <w:bottom w:val="nil"/>
              <w:right w:val="nil"/>
            </w:tcBorders>
            <w:shd w:val="clear" w:color="auto" w:fill="auto"/>
            <w:vAlign w:val="center"/>
            <w:hideMark/>
          </w:tcPr>
          <w:p w14:paraId="70191BE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Calibri" w:eastAsia="Times New Roman" w:hAnsi="Calibri" w:cs="Calibri"/>
                <w:color w:val="000000"/>
                <w:sz w:val="13"/>
                <w:szCs w:val="13"/>
                <w:lang w:eastAsia="de-DE"/>
              </w:rPr>
              <w:t>﻿</w:t>
            </w:r>
            <w:r w:rsidRPr="007B37AC">
              <w:rPr>
                <w:rFonts w:ascii="Times New Roman" w:eastAsia="Times New Roman" w:hAnsi="Times New Roman" w:cs="Times New Roman"/>
                <w:color w:val="000000"/>
                <w:sz w:val="13"/>
                <w:szCs w:val="13"/>
                <w:lang w:eastAsia="de-DE"/>
              </w:rPr>
              <w:t>29.2</w:t>
            </w:r>
          </w:p>
        </w:tc>
        <w:tc>
          <w:tcPr>
            <w:tcW w:w="486" w:type="pct"/>
            <w:tcBorders>
              <w:top w:val="nil"/>
              <w:left w:val="nil"/>
              <w:bottom w:val="nil"/>
              <w:right w:val="nil"/>
            </w:tcBorders>
            <w:shd w:val="clear" w:color="auto" w:fill="auto"/>
            <w:vAlign w:val="center"/>
            <w:hideMark/>
          </w:tcPr>
          <w:p w14:paraId="0E505D1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Calibri" w:eastAsia="Times New Roman" w:hAnsi="Calibri" w:cs="Calibri"/>
                <w:color w:val="000000"/>
                <w:sz w:val="13"/>
                <w:szCs w:val="13"/>
                <w:lang w:eastAsia="de-DE"/>
              </w:rPr>
              <w:t>﻿</w:t>
            </w:r>
            <w:r w:rsidRPr="007B37AC">
              <w:rPr>
                <w:rFonts w:ascii="Times New Roman" w:eastAsia="Times New Roman" w:hAnsi="Times New Roman" w:cs="Times New Roman"/>
                <w:color w:val="000000"/>
                <w:sz w:val="13"/>
                <w:szCs w:val="13"/>
                <w:lang w:eastAsia="de-DE"/>
              </w:rPr>
              <w:t>220</w:t>
            </w:r>
          </w:p>
        </w:tc>
        <w:tc>
          <w:tcPr>
            <w:tcW w:w="493" w:type="pct"/>
            <w:tcBorders>
              <w:top w:val="nil"/>
              <w:left w:val="nil"/>
              <w:bottom w:val="nil"/>
              <w:right w:val="nil"/>
            </w:tcBorders>
            <w:shd w:val="clear" w:color="auto" w:fill="auto"/>
            <w:vAlign w:val="center"/>
            <w:hideMark/>
          </w:tcPr>
          <w:p w14:paraId="3C0FEBA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vAlign w:val="center"/>
            <w:hideMark/>
          </w:tcPr>
          <w:p w14:paraId="49D1787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16" w:type="pct"/>
            <w:tcBorders>
              <w:top w:val="nil"/>
              <w:left w:val="nil"/>
              <w:bottom w:val="nil"/>
              <w:right w:val="nil"/>
            </w:tcBorders>
            <w:shd w:val="clear" w:color="auto" w:fill="auto"/>
            <w:vAlign w:val="center"/>
            <w:hideMark/>
          </w:tcPr>
          <w:p w14:paraId="0407F3B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401D253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5DE2B4A6" w14:textId="77777777" w:rsidTr="007B37AC">
        <w:trPr>
          <w:trHeight w:val="340"/>
        </w:trPr>
        <w:tc>
          <w:tcPr>
            <w:tcW w:w="1058" w:type="pct"/>
            <w:tcBorders>
              <w:top w:val="nil"/>
              <w:left w:val="nil"/>
              <w:bottom w:val="nil"/>
              <w:right w:val="nil"/>
            </w:tcBorders>
            <w:shd w:val="clear" w:color="auto" w:fill="auto"/>
            <w:vAlign w:val="center"/>
            <w:hideMark/>
          </w:tcPr>
          <w:p w14:paraId="347F8220" w14:textId="72BB7058"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Lang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{"citationID":"0XEO0npi","properties":{"formattedCitation":"\\super 73\\nosupersub{}","plainCitation":"73","noteIndex":0},"citationItems":[{"id":1566,"uris":["http://zotero.org/users/local/4rfnQu81/items/TLSY96TP"],"uri":["http://zotero.org/users/local/4rfnQu81/items/TLSY96TP"],"itemData":{"id":1566,"type":"article-journal","abstract":"BACKGROUND Hypercoagulability in Coronavirus Disease 2019 (COVID-19) causes deep vein thrombosis and pulmonary embolism necessitating systemic anticoagulation. Case reports of intracerebral hemorrhages in ventilated COVID-19 patients warrant precaution. It is unclear, however, if COVID-19 patients with acute respiratory distress syndrome (ARDS) with or without veno-venous extracorporeal membrane oxygenation therapy (VV-ECMO) have more intracerebral hemorrhages (ICH) compared to other ARDS patients. METHODS We conducted a retrospective observational single-center study enrolling all patients with ARDS from 01/2018 to 05/2020. PCR-positive SARS-CoV-2 patients with ARDS were allocated to the COVID-19 group. Propensity score matching was performed for age, VV-ECMO, and bleeding risk. RESULTS A total of 163 patients with moderate or severe ARDS were identified, 47 (28.8%) in the COVID-19 group, and 116 (71.2%) in the non-COVID-19 group. In 63/163 cases (38.7%), VV-ECMO therapy was required. The ICU survival was 52.8%. COVID-19 patients were older, more often male, and exhibited a lower SOFA score, but the groups showed similar rates of VV-ECMO therapy. Treatments with antiplatelet agents (p = 0.043) and therapeutic anticoagulation (p = 0.028) were significantly more frequent in the COVID-19 patients. ICH was detected in 22 patients (13.5%) with no statistical difference between the groups (11.2 vs. 19.1% with and without SARS-CoV-2, respectively, p = 0.21). Propensity score matching confirmed similar rates of ICH in both groups (12.8 vs. 19.1% with and without SARS-CoV-2, respectively, p = 0.57), thus leveling out possible confounders. CONCLUSIONS Intracerebral hemorrhage was detected in every tenth patient with ARDS. Despite statistically higher rates of antiplatelet therapy and therapeutic anticoagulation in COVID-19 patients, we found a similar rate of ICH in patients with ARDS due to COVID-19 compared to other causes of ARDS.","container-title":"Neurocritical care","DOI":"10.1007/s12028-021-01202-7","ISSN":"1556-0961","note":"publisher: Springer US\nPMID: 33619668","title":"Intracerebral Hemorrhage in COVID-19 Patients with Pulmonary Failure: A Propensity Score-Matched Registry Study.","URL":"http://www.ncbi.nlm.nih.gov/pubmed/33619668","author":[{"family":"Lang","given":"Corinna N"},{"family":"Dettinger","given":"Johanna S"},{"family":"Berchtold-Herz","given":"Michael"},{"family":"Utzolino","given":"Stefan"},{"family":"Bemtgen","given":"Xavier"},{"family":"Zotzmann","given":"Viviane"},{"family":"Schmid","given":"Bonaventura"},{"family":"Biever","given":"Paul M"},{"family":"Bode","given":"Christoph"},{"family":"Müller-Peltzer","given":"Katharina"},{"family":"Duerschmied","given":"Daniel"},{"family":"Wengenmayer","given":"Tobias"},{"family":"Niesen","given":"Wolf-Dirk"},{"family":"Staudacher","given":"Dawid L"}],"issued":{"date-parts":[["2021"]]}}}],"schema":"https://github.com/citation-style-language/schema/raw/master/csl-citation.json"}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7A62EC">
              <w:rPr>
                <w:rFonts w:ascii="Times New Roman" w:hAnsi="Times New Roman" w:cs="Times New Roman"/>
                <w:color w:val="000000"/>
                <w:sz w:val="13"/>
                <w:vertAlign w:val="superscript"/>
                <w:lang w:val="en-US"/>
              </w:rPr>
              <w:t>73</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vAlign w:val="center"/>
            <w:hideMark/>
          </w:tcPr>
          <w:p w14:paraId="1AAFE49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vAlign w:val="center"/>
            <w:hideMark/>
          </w:tcPr>
          <w:p w14:paraId="12E2D33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22CD659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3CBEC9F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7E57C5F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vAlign w:val="center"/>
            <w:hideMark/>
          </w:tcPr>
          <w:p w14:paraId="0852E43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vAlign w:val="center"/>
            <w:hideMark/>
          </w:tcPr>
          <w:p w14:paraId="6F099DB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vAlign w:val="center"/>
            <w:hideMark/>
          </w:tcPr>
          <w:p w14:paraId="5EF56FB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16" w:type="pct"/>
            <w:tcBorders>
              <w:top w:val="nil"/>
              <w:left w:val="nil"/>
              <w:bottom w:val="nil"/>
              <w:right w:val="nil"/>
            </w:tcBorders>
            <w:shd w:val="clear" w:color="auto" w:fill="auto"/>
            <w:vAlign w:val="center"/>
            <w:hideMark/>
          </w:tcPr>
          <w:p w14:paraId="08CBBCB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0B12736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55E2F472" w14:textId="77777777" w:rsidTr="007B37AC">
        <w:trPr>
          <w:trHeight w:val="340"/>
        </w:trPr>
        <w:tc>
          <w:tcPr>
            <w:tcW w:w="1058" w:type="pct"/>
            <w:tcBorders>
              <w:top w:val="nil"/>
              <w:left w:val="nil"/>
              <w:bottom w:val="nil"/>
              <w:right w:val="nil"/>
            </w:tcBorders>
            <w:shd w:val="clear" w:color="auto" w:fill="auto"/>
            <w:vAlign w:val="center"/>
            <w:hideMark/>
          </w:tcPr>
          <w:p w14:paraId="5D3929E8" w14:textId="51E89E1A"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Lawton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{"citationID":"EhxlczvY","properties":{"formattedCitation":"\\super 74\\nosupersub{}","plainCitation":"74","noteIndex":0},"citationItems":[{"id":1582,"uris":["http://zotero.org/users/local/4rfnQu81/items/SEP28XWC"],"uri":["http://zotero.org/users/local/4rfnQu81/items/SEP28XWC"],"itemData":{"id":1582,"type":"article-journal","abstract":"BACKGROUND The respiratory system involvement is the most common presentation of Coronavirus disease 2019 (COVID-19). However, other organs including the central nervous system (CNS) could be affected by the virus. Strokes, seizures, change in mental status, and encephalitis have been reported as the neurological manifestation of the disease. We hypothesized that COVID-19 could predispose younger patients to spontaneous intracerebral hemorrhage (ICH). The present study aimed to investigate whether COVID-19 has any relationship with the occurrence of spontaneous ICH in young or not. METHODS We retrospectively evaluated all the patients with spontaneous ICH who were referred to our center between 20 Feb and 1 Sep 2020. The demographic, clinical, radiological, and laboratory test data were evaluated. Patients were divided into two groups. The COVID-19 positive patients and COVID-19 negative ones. All the variables including age, sex, history of hypertension, diabetes mellitus, smoking, Glasgow Coma Scale (GCS), hematoma volume and location, the presence of intraventricular hemorrhage and hydrocephalus on admission, the length of hospital stay, the lab test results and the clinical outcome at last visit or discharge as Glasgow Outcome Scale (GOS) were compared between the two groups. RESULTS There were 22 COVID-19 positive patients (20.8%) and 84 COVID-19 negative ones (79.2%). The mean age of the patients in the case group (54.27 ± 4.67) was significantly lower than that in the control group (69.88 ± 4.47) (p &lt; 0.05). Meanwhile, our results showed a significant difference between the two groups based on the presence of chronic arterial hypertension (p &lt; 0.05). There were no significant differences between the two groups based on gender, diabetes mellitus, smoking, Glasgow Coma Scale (GCS), hematoma volume, need for surgery, the presence of intraventricular hemorrhage and hydrocephalus on admission, White Blood Cell (WBC) count, platelet count, Prothrombin Time (PT), and Partial Thromboplastin Time (PTT) (p &gt; 0.05). CONCLUSIONS Our results show that COVID positive patients with ICH are younger and with less predisposing factors than COVID negative subjects with ICH.","container-title":"BMC neurology","DOI":"10.1186/s12883-021-02109-8","ISSN":"1471-2377","issue":"1","note":"publisher: BMC Neurology\nPMID: 33607952","page":"83","title":"Coronavirus disease 2019 (COVID-19) can predispose young to Intracerebral hemorrhage: a retrospective observational study.","volume":"21","author":[{"family":"Lawton","given":"Michael T."},{"family":"Alimohammadi","given":"Ehsan"},{"family":"Bagheri","given":"Seyed Reza"},{"family":"Bostani","given":"Arash"},{"family":"Vaziri","given":"Siavash"},{"family":"Karbasforoushan","given":"Ali"},{"family":"Mozaffari","given":"Kossar"},{"family":"Bukani","given":"Mehran Bahrami"},{"family":"Abdi","given":"Alireza"}],"issued":{"date-parts":[["2021",2]]}}}],"schema":"https://github.com/citation-style-language/schema/raw/master/csl-citation.json"}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D251B3">
              <w:rPr>
                <w:rFonts w:ascii="Times New Roman" w:hAnsi="Times New Roman" w:cs="Times New Roman"/>
                <w:color w:val="000000"/>
                <w:sz w:val="13"/>
                <w:vertAlign w:val="superscript"/>
                <w:lang w:val="de-DE"/>
              </w:rPr>
              <w:t>74</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vAlign w:val="center"/>
            <w:hideMark/>
          </w:tcPr>
          <w:p w14:paraId="75098EC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2021</w:t>
            </w:r>
          </w:p>
        </w:tc>
        <w:tc>
          <w:tcPr>
            <w:tcW w:w="350" w:type="pct"/>
            <w:tcBorders>
              <w:top w:val="nil"/>
              <w:left w:val="nil"/>
              <w:bottom w:val="nil"/>
              <w:right w:val="nil"/>
            </w:tcBorders>
            <w:shd w:val="clear" w:color="auto" w:fill="auto"/>
            <w:vAlign w:val="center"/>
            <w:hideMark/>
          </w:tcPr>
          <w:p w14:paraId="7E963CA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64A1B97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Calibri" w:eastAsia="Times New Roman" w:hAnsi="Calibri" w:cs="Calibri"/>
                <w:color w:val="000000"/>
                <w:sz w:val="13"/>
                <w:szCs w:val="13"/>
                <w:lang w:eastAsia="de-DE"/>
              </w:rPr>
              <w:t>﻿</w:t>
            </w:r>
            <w:r w:rsidRPr="007B37AC">
              <w:rPr>
                <w:rFonts w:ascii="Times New Roman" w:eastAsia="Times New Roman" w:hAnsi="Times New Roman" w:cs="Times New Roman"/>
                <w:color w:val="000000"/>
                <w:sz w:val="13"/>
                <w:szCs w:val="13"/>
                <w:lang w:eastAsia="de-DE"/>
              </w:rPr>
              <w:t>8590</w:t>
            </w:r>
          </w:p>
        </w:tc>
        <w:tc>
          <w:tcPr>
            <w:tcW w:w="275" w:type="pct"/>
            <w:tcBorders>
              <w:top w:val="nil"/>
              <w:left w:val="nil"/>
              <w:bottom w:val="nil"/>
              <w:right w:val="nil"/>
            </w:tcBorders>
            <w:shd w:val="clear" w:color="auto" w:fill="auto"/>
            <w:vAlign w:val="center"/>
            <w:hideMark/>
          </w:tcPr>
          <w:p w14:paraId="2B55128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79B4880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Calibri" w:eastAsia="Times New Roman" w:hAnsi="Calibri" w:cs="Calibri"/>
                <w:color w:val="000000"/>
                <w:sz w:val="13"/>
                <w:szCs w:val="13"/>
                <w:lang w:eastAsia="de-DE"/>
              </w:rPr>
              <w:t>﻿</w:t>
            </w:r>
            <w:r w:rsidRPr="007B37AC">
              <w:rPr>
                <w:rFonts w:ascii="Times New Roman" w:eastAsia="Times New Roman" w:hAnsi="Times New Roman" w:cs="Times New Roman"/>
                <w:color w:val="000000"/>
                <w:sz w:val="13"/>
                <w:szCs w:val="13"/>
                <w:lang w:eastAsia="de-DE"/>
              </w:rPr>
              <w:t>31.45</w:t>
            </w:r>
          </w:p>
        </w:tc>
        <w:tc>
          <w:tcPr>
            <w:tcW w:w="486" w:type="pct"/>
            <w:tcBorders>
              <w:top w:val="nil"/>
              <w:left w:val="nil"/>
              <w:bottom w:val="nil"/>
              <w:right w:val="nil"/>
            </w:tcBorders>
            <w:shd w:val="clear" w:color="auto" w:fill="auto"/>
            <w:vAlign w:val="center"/>
            <w:hideMark/>
          </w:tcPr>
          <w:p w14:paraId="1DD35D3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Calibri" w:eastAsia="Times New Roman" w:hAnsi="Calibri" w:cs="Calibri"/>
                <w:color w:val="000000"/>
                <w:sz w:val="13"/>
                <w:szCs w:val="13"/>
                <w:lang w:eastAsia="de-DE"/>
              </w:rPr>
              <w:t>﻿</w:t>
            </w:r>
            <w:r w:rsidRPr="007B37AC">
              <w:rPr>
                <w:rFonts w:ascii="Times New Roman" w:eastAsia="Times New Roman" w:hAnsi="Times New Roman" w:cs="Times New Roman"/>
                <w:color w:val="000000"/>
                <w:sz w:val="13"/>
                <w:szCs w:val="13"/>
                <w:lang w:eastAsia="de-DE"/>
              </w:rPr>
              <w:t>261363</w:t>
            </w:r>
          </w:p>
        </w:tc>
        <w:tc>
          <w:tcPr>
            <w:tcW w:w="493" w:type="pct"/>
            <w:tcBorders>
              <w:top w:val="nil"/>
              <w:left w:val="nil"/>
              <w:bottom w:val="nil"/>
              <w:right w:val="nil"/>
            </w:tcBorders>
            <w:shd w:val="clear" w:color="auto" w:fill="auto"/>
            <w:vAlign w:val="center"/>
            <w:hideMark/>
          </w:tcPr>
          <w:p w14:paraId="50ABFDB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vAlign w:val="center"/>
            <w:hideMark/>
          </w:tcPr>
          <w:p w14:paraId="7132380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16" w:type="pct"/>
            <w:tcBorders>
              <w:top w:val="nil"/>
              <w:left w:val="nil"/>
              <w:bottom w:val="nil"/>
              <w:right w:val="nil"/>
            </w:tcBorders>
            <w:shd w:val="clear" w:color="auto" w:fill="auto"/>
            <w:vAlign w:val="center"/>
            <w:hideMark/>
          </w:tcPr>
          <w:p w14:paraId="2E9CC58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4F539E0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345D9EEA" w14:textId="77777777" w:rsidTr="007B37AC">
        <w:trPr>
          <w:trHeight w:val="340"/>
        </w:trPr>
        <w:tc>
          <w:tcPr>
            <w:tcW w:w="1058" w:type="pct"/>
            <w:tcBorders>
              <w:top w:val="nil"/>
              <w:left w:val="nil"/>
              <w:bottom w:val="nil"/>
              <w:right w:val="nil"/>
            </w:tcBorders>
            <w:shd w:val="clear" w:color="auto" w:fill="auto"/>
            <w:vAlign w:val="center"/>
            <w:hideMark/>
          </w:tcPr>
          <w:p w14:paraId="7EC89B31" w14:textId="1A270D3F"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 xml:space="preserve">Lersy et al. </w:t>
            </w:r>
            <w:r>
              <w:rPr>
                <w:rFonts w:ascii="Times New Roman" w:eastAsia="Times New Roman" w:hAnsi="Times New Roman" w:cs="Times New Roman"/>
                <w:color w:val="000000"/>
                <w:sz w:val="13"/>
                <w:szCs w:val="13"/>
                <w:lang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{"citationID":"Ys6TjRIk","properties":{"formattedCitation":"\\super 75\\nosupersub{}","plainCitation":"75","noteIndex":0},"citationItems":[{"id":148,"uris":["http://zotero.org/users/local/4rfnQu81/items/MXPSCLH3"],"uri":["http://zotero.org/users/local/4rfnQu81/items/MXPSCLH3"],"itemData":{"id":148,"type":"article-journal","abstract":"Background and purpose: During the COVID-19 outbreak, the presence of extensive white matter microhemorrhages was detected by brain MRIs. The goal of this study was to investigate the origin of this atypical hemorrhagic complication. Methods: Between March 17 and May 18, 2020, 80 patients with severe COVID-19 infections were admitted for acute respiratory distress syndrome to intensive care units at the University Hospitals of Strasbourg for whom a brain MRI for neurologic manifestations was performed. 19 patients (24%) with diffuse microhemorrhages were compared to 18 control patients with COVID-19 and normal brain MRI. Results: The first hypothesis was hypoxemia. The latter seemed very likely since respiratory failure was longer and more pronounced in patients with microhemorrhages (prolonged endotracheal intubation (p = 0.0002), higher FiO2 (p = 0.03), increased use of extracorporeal membrane oxygenation (p = 0.04)). A relevant hypothesis, the role of microangiopathy, was also considered, since patients with microhemorrhages presented a higher increase of the D-Dimers (p = 0.01) and a tendency to more frequent thrombotic events (p = 0.12). Another hypothesis tested was the role of kidney failure, which was more severe in the group with diffuse microhemorrhages (higher creatinine level [median of 293 µmol/L versus 112 µmol/L, p = 0.04] and more dialysis were introduced in this group during ICU stay [12 versus 5 patients, p = 0.04]). Conclusions: Blood–brain barrier dysfunction secondary to hypoxemia and high concentration of uremic toxins seems to be the main mechanism leading to critical illness-associated cerebral microbleeds, and this complication remains to be frequently described in severe COVID-19 patients.","container-title":"Journal of Neurology","DOI":"10.1007/s00415-020-10313-8","ISSN":"14321459","issue":"0123456789","note":"ISBN: 0123456789\npublisher: Springer Berlin Heidelberg\nPMID: 33219827","title":"Critical illness-associated cerebral microbleeds for patients with severe COVID-19: etiologic hypotheses","URL":"https://doi.org/10.1007/s00415-020-10313-8","author":[{"family":"Lersy","given":"François"},{"family":"Willaume","given":"Thibault"},{"family":"Brisset","given":"Jean Christophe"},{"family":"Collange","given":"Olivier"},{"family":"Helms","given":"Julie"},{"family":"Schneider","given":"Francis"},{"family":"Chammas","given":"Agathe"},{"family":"Willaume","given":"Alexandre"},{"family":"Meyer","given":"Nicolas"},{"family":"Anheim","given":"Mathieu"},{"family":"Cotton","given":"François"},{"family":"Kremer","given":"Stéphane"}],"issued":{"date-parts":[["2020"]]}}}],"schema":"https://github.com/citation-style-language/schema/raw/master/csl-citation.json"} </w:instrText>
            </w:r>
            <w:r>
              <w:rPr>
                <w:rFonts w:ascii="Times New Roman" w:eastAsia="Times New Roman" w:hAnsi="Times New Roman" w:cs="Times New Roman"/>
                <w:color w:val="000000"/>
                <w:sz w:val="13"/>
                <w:szCs w:val="13"/>
                <w:lang w:eastAsia="de-DE"/>
              </w:rPr>
              <w:fldChar w:fldCharType="separate"/>
            </w:r>
            <w:r w:rsidRPr="007A62EC">
              <w:rPr>
                <w:rFonts w:ascii="Times New Roman" w:hAnsi="Times New Roman" w:cs="Times New Roman"/>
                <w:color w:val="000000"/>
                <w:sz w:val="13"/>
                <w:vertAlign w:val="superscript"/>
              </w:rPr>
              <w:t>75</w:t>
            </w:r>
            <w:r>
              <w:rPr>
                <w:rFonts w:ascii="Times New Roman" w:eastAsia="Times New Roman" w:hAnsi="Times New Roman" w:cs="Times New Roman"/>
                <w:color w:val="000000"/>
                <w:sz w:val="13"/>
                <w:szCs w:val="13"/>
                <w:lang w:eastAsia="de-DE"/>
              </w:rPr>
              <w:fldChar w:fldCharType="end"/>
            </w:r>
          </w:p>
        </w:tc>
        <w:tc>
          <w:tcPr>
            <w:tcW w:w="350" w:type="pct"/>
            <w:tcBorders>
              <w:top w:val="nil"/>
              <w:left w:val="nil"/>
              <w:bottom w:val="nil"/>
              <w:right w:val="nil"/>
            </w:tcBorders>
            <w:shd w:val="clear" w:color="auto" w:fill="auto"/>
            <w:vAlign w:val="center"/>
            <w:hideMark/>
          </w:tcPr>
          <w:p w14:paraId="70F6A89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vAlign w:val="center"/>
            <w:hideMark/>
          </w:tcPr>
          <w:p w14:paraId="0286A6A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02B34B1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3354EB6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5BD7BFC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86" w:type="pct"/>
            <w:tcBorders>
              <w:top w:val="nil"/>
              <w:left w:val="nil"/>
              <w:bottom w:val="nil"/>
              <w:right w:val="nil"/>
            </w:tcBorders>
            <w:shd w:val="clear" w:color="auto" w:fill="auto"/>
            <w:vAlign w:val="center"/>
            <w:hideMark/>
          </w:tcPr>
          <w:p w14:paraId="7EE5270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493" w:type="pct"/>
            <w:tcBorders>
              <w:top w:val="nil"/>
              <w:left w:val="nil"/>
              <w:bottom w:val="nil"/>
              <w:right w:val="nil"/>
            </w:tcBorders>
            <w:shd w:val="clear" w:color="auto" w:fill="auto"/>
            <w:vAlign w:val="center"/>
            <w:hideMark/>
          </w:tcPr>
          <w:p w14:paraId="381753C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vAlign w:val="center"/>
            <w:hideMark/>
          </w:tcPr>
          <w:p w14:paraId="71F57BC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16" w:type="pct"/>
            <w:tcBorders>
              <w:top w:val="nil"/>
              <w:left w:val="nil"/>
              <w:bottom w:val="nil"/>
              <w:right w:val="nil"/>
            </w:tcBorders>
            <w:shd w:val="clear" w:color="auto" w:fill="auto"/>
            <w:vAlign w:val="center"/>
            <w:hideMark/>
          </w:tcPr>
          <w:p w14:paraId="7199E7D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385F200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6727B677" w14:textId="77777777" w:rsidTr="007B37AC">
        <w:trPr>
          <w:trHeight w:val="340"/>
        </w:trPr>
        <w:tc>
          <w:tcPr>
            <w:tcW w:w="1058" w:type="pct"/>
            <w:tcBorders>
              <w:top w:val="nil"/>
              <w:left w:val="nil"/>
              <w:bottom w:val="nil"/>
              <w:right w:val="nil"/>
            </w:tcBorders>
            <w:shd w:val="clear" w:color="auto" w:fill="auto"/>
            <w:vAlign w:val="center"/>
            <w:hideMark/>
          </w:tcPr>
          <w:p w14:paraId="06A64B15" w14:textId="06DB1548"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Shahjouei et al.</w:t>
            </w:r>
            <w:r w:rsidRPr="007A62EC">
              <w:rPr>
                <w:rFonts w:ascii="Times New Roman" w:eastAsia="Times New Roman" w:hAnsi="Times New Roman" w:cs="Times New Roman"/>
                <w:color w:val="000000"/>
                <w:sz w:val="13"/>
                <w:szCs w:val="13"/>
                <w:lang w:eastAsia="de-DE"/>
              </w:rPr>
              <w:t xml:space="preserve"> </w:t>
            </w:r>
            <w:r>
              <w:rPr>
                <w:rFonts w:ascii="Times New Roman" w:eastAsia="Times New Roman" w:hAnsi="Times New Roman" w:cs="Times New Roman"/>
                <w:color w:val="000000"/>
                <w:sz w:val="13"/>
                <w:szCs w:val="13"/>
                <w:lang w:val="de-DE" w:eastAsia="de-DE"/>
              </w:rPr>
              <w:fldChar w:fldCharType="begin"/>
            </w:r>
            <w:r w:rsidR="00E04972">
              <w:rPr>
                <w:rFonts w:ascii="Times New Roman" w:eastAsia="Times New Roman" w:hAnsi="Times New Roman" w:cs="Times New Roman"/>
                <w:color w:val="000000"/>
                <w:sz w:val="13"/>
                <w:szCs w:val="13"/>
                <w:lang w:eastAsia="de-DE"/>
              </w:rPr>
              <w:instrText xml:space="preserve"> ADDIN ZOTERO_ITEM CSL_CITATION {"citationID":"ec9bj2Ar","properties":{"formattedCitation":"\\super 76\\nosupersub{}","plainCitation":"76","noteIndex":0},"citationItems":[{"id":1598,"uris":["http://zotero.org/users/local/4rfnQu81/items/3C5CMFF4"],"uri":["http://zotero.org/users/local/4rfnQu81/items/3C5CMFF4"],"itemData":{"id":1598,"type":"article-journal","abstract":"Background: There is an increased attention to stroke following SARS-CoV-2. The goal of this study was to better depict the short-term risk of stroke and its associated factors among SARS-CoV-2 hospitalized patients. Methods: This multicentre, multinational observational study includes hospitalized SARS-CoV-2 patients from North and South America (United States, Canada, and Brazil), Europe (Greece, Italy, Finland, and Turkey), Asia (Lebanon, Iran, and India), and Oceania (New Zealand). The outcome was the risk of subsequent stroke. Centres were included by non-probability sampling. The counts and clinical characteristics including laboratory findings and imaging of the patients with and without a subsequent stroke were recorded according to a predefined protocol. Quality, risk of bias, and heterogeneity assessments were conducted according to ROBINS-E and Cochrane Q-test. The risk of subsequent stroke was estimated through meta-analyses with random effect models. Bivariate logistic regression was used to determine the parameters with predictive outcome value. The study was reported according to the STROBE, MOOSE, and EQUATOR guidelines. Findings: We received data from 26,175 hospitalized SARS-CoV-2 patients from 99 tertiary centres in 65 regions of 11 countries until May 1st, 2020. A total of 17,799 patients were included in meta-analyses. Among them, 156(0.9%) patients had a stroke—123(79%) ischaemic stroke, 27(17%) intracerebral/subarachnoid hemorrhage, and 6(4%) cerebral sinus thrombosis. Subsequent stroke risks calculated with meta-analyses, under low to moderate heterogeneity, were 0.5% among all centres in all countries, and 0.7% among countries with higher health expenditures. The need for mechanical ventilation (OR: 1.9, 95% CI:1.1–3.5, p = 0.03) and the presence of ischaemic heart disease (OR: 2.5, 95% CI:1.4–4.7, p = 0.006) were predictive of stroke. Interpretation: The results of this multi-national study on hospitalized patients with SARS-CoV-2 infection indicated an overall stroke risk of 0.5%(pooled risk: 0.9%). The need for mechanical ventilation and the history of ischaemic heart disease are the independent predictors of stroke among SARS-CoV-2 patients. Funding: None.","container-title":"EBioMedicine","DOI":"10.1016/j.ebiom.2020.102939","ISSN":"23523964","note":"PMID: 32818804","title":"Risk of stroke in hospitalized SARS-CoV-2 infected patients: A multinational study","volume":"59","author":[{"family":"Shahjouei","given":"Shima"},{"family":"Naderi","given":"Soheil"},{"family":"Li","given":"Jiang"},{"family":"Khan","given":"Ayesha"},{"family":"Chaudhary","given":"Durgesh"},{"family":"Farahmand","given":"Ghasem"},{"family":"Male","given":"Shailesh"},{"family":"Griessenauer","given":"Christoph"},{"family":"Sabra","given":"Mirna"},{"family":"Mondello","given":"Stefania"},{"family":"Cernigliaro","given":"Achille"},{"family":"Khodadadi","given":"Faezeh"},{"family":"Dev","given":"Apoorva"},{"family":"Goyal","given":"Nitin"},{"family":"Ranji-Burachaloo","given":"Sakineh"},{"family":"Olulana","given":"Oluwaseyi"},{"family":"Avula","given":"Venkatesh"},{"family":"Ebrahimzadeh","given":"Seyed Amir"},{"family":"Alizada","given":"Orkhan"},{"family":"Hancı","given":"Mehmet Murat"},{"family":"Ghorbani","given":"Askar"},{"family":"Vaghefi far","given":"Alaleh"},{"family":"Ranta","given":"Annemarei"},{"family":"Punter","given":"Martin"},{"family":"Ramezani","given":"Mahtab"},{"family":"Ostadrahimi","given":"Nima"},{"family":"Tsivgoulis","given":"Georgios"},{"family":"Fragkou","given":"Paraskevi C."},{"family":"Nowrouzi-Sohrabi","given":"Peyman"},{"family":"Karofylakis","given":"Emmanouil"},{"family":"Tsiodras","given":"Sotirios"},{"family":"Neshin Aghayari Sheikh","given":"Saeideh"},{"family":"Saberi","given":"Alia"},{"family":"Niemelä","given":"Mika"},{"family":"Rezai Jahromi","given":"Behnam"},{"family":"Mowla","given":"Ashkan"},{"family":"Mashayekhi","given":"Mahsa"},{"family":"Bavarsad Shahripour","given":"Reza"},{"family":"Sajedi","given":"Seyed Aidin"},{"family":"Ghorbani","given":"Mohammad"},{"family":"Kia","given":"Arash"},{"family":"Rahimian","given":"Nasrin"},{"family":"Abedi","given":"Vida"},{"family":"Zand","given":"Ramin"}],"issued":{"date-parts":[["2020"]]}}}],"schema":"https://github.com/citation-style-language/schema/raw/master/csl-citation.json"} </w:instrText>
            </w:r>
            <w:r>
              <w:rPr>
                <w:rFonts w:ascii="Times New Roman" w:eastAsia="Times New Roman" w:hAnsi="Times New Roman" w:cs="Times New Roman"/>
                <w:color w:val="000000"/>
                <w:sz w:val="13"/>
                <w:szCs w:val="13"/>
                <w:lang w:val="de-DE" w:eastAsia="de-DE"/>
              </w:rPr>
              <w:fldChar w:fldCharType="separate"/>
            </w:r>
            <w:r w:rsidRPr="00B92A51">
              <w:rPr>
                <w:rFonts w:ascii="Times New Roman" w:hAnsi="Times New Roman" w:cs="Times New Roman"/>
                <w:color w:val="000000"/>
                <w:sz w:val="13"/>
                <w:vertAlign w:val="superscript"/>
                <w:lang w:val="en-US"/>
              </w:rPr>
              <w:t>76</w:t>
            </w:r>
            <w:r>
              <w:rPr>
                <w:rFonts w:ascii="Times New Roman" w:eastAsia="Times New Roman" w:hAnsi="Times New Roman" w:cs="Times New Roman"/>
                <w:color w:val="000000"/>
                <w:sz w:val="13"/>
                <w:szCs w:val="13"/>
                <w:lang w:val="de-DE" w:eastAsia="de-DE"/>
              </w:rPr>
              <w:fldChar w:fldCharType="end"/>
            </w:r>
          </w:p>
        </w:tc>
        <w:tc>
          <w:tcPr>
            <w:tcW w:w="350" w:type="pct"/>
            <w:tcBorders>
              <w:top w:val="nil"/>
              <w:left w:val="nil"/>
              <w:bottom w:val="nil"/>
              <w:right w:val="nil"/>
            </w:tcBorders>
            <w:shd w:val="clear" w:color="auto" w:fill="auto"/>
            <w:noWrap/>
            <w:vAlign w:val="bottom"/>
            <w:hideMark/>
          </w:tcPr>
          <w:p w14:paraId="349B107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2020</w:t>
            </w:r>
          </w:p>
        </w:tc>
        <w:tc>
          <w:tcPr>
            <w:tcW w:w="350" w:type="pct"/>
            <w:tcBorders>
              <w:top w:val="nil"/>
              <w:left w:val="nil"/>
              <w:bottom w:val="nil"/>
              <w:right w:val="nil"/>
            </w:tcBorders>
            <w:shd w:val="clear" w:color="auto" w:fill="auto"/>
            <w:noWrap/>
            <w:vAlign w:val="bottom"/>
            <w:hideMark/>
          </w:tcPr>
          <w:p w14:paraId="390A1CC1" w14:textId="77777777" w:rsidR="007A62EC" w:rsidRPr="007B37AC" w:rsidRDefault="007A62EC" w:rsidP="007A62EC">
            <w:pPr>
              <w:rPr>
                <w:rFonts w:ascii="Times New Roman" w:eastAsia="Times New Roman" w:hAnsi="Times New Roman" w:cs="Times New Roman"/>
                <w:sz w:val="13"/>
                <w:szCs w:val="13"/>
                <w:lang w:eastAsia="de-DE"/>
              </w:rPr>
            </w:pPr>
          </w:p>
        </w:tc>
        <w:tc>
          <w:tcPr>
            <w:tcW w:w="384" w:type="pct"/>
            <w:tcBorders>
              <w:top w:val="nil"/>
              <w:left w:val="nil"/>
              <w:bottom w:val="nil"/>
              <w:right w:val="nil"/>
            </w:tcBorders>
            <w:shd w:val="clear" w:color="auto" w:fill="auto"/>
            <w:noWrap/>
            <w:vAlign w:val="bottom"/>
            <w:hideMark/>
          </w:tcPr>
          <w:p w14:paraId="53FDEB6F" w14:textId="77777777" w:rsidR="007A62EC" w:rsidRPr="007B37AC" w:rsidRDefault="007A62EC" w:rsidP="007A62EC">
            <w:pPr>
              <w:rPr>
                <w:rFonts w:ascii="Times New Roman" w:eastAsia="Times New Roman" w:hAnsi="Times New Roman" w:cs="Times New Roman"/>
                <w:sz w:val="13"/>
                <w:szCs w:val="13"/>
                <w:lang w:eastAsia="de-DE"/>
              </w:rPr>
            </w:pPr>
          </w:p>
        </w:tc>
        <w:tc>
          <w:tcPr>
            <w:tcW w:w="275" w:type="pct"/>
            <w:tcBorders>
              <w:top w:val="nil"/>
              <w:left w:val="nil"/>
              <w:bottom w:val="nil"/>
              <w:right w:val="nil"/>
            </w:tcBorders>
            <w:shd w:val="clear" w:color="auto" w:fill="auto"/>
            <w:noWrap/>
            <w:vAlign w:val="bottom"/>
            <w:hideMark/>
          </w:tcPr>
          <w:p w14:paraId="4F3DDA90" w14:textId="77777777" w:rsidR="007A62EC" w:rsidRPr="007B37AC" w:rsidRDefault="007A62EC" w:rsidP="007A62EC">
            <w:pPr>
              <w:rPr>
                <w:rFonts w:ascii="Times New Roman" w:eastAsia="Times New Roman" w:hAnsi="Times New Roman" w:cs="Times New Roman"/>
                <w:sz w:val="13"/>
                <w:szCs w:val="13"/>
                <w:lang w:eastAsia="de-DE"/>
              </w:rPr>
            </w:pPr>
          </w:p>
        </w:tc>
        <w:tc>
          <w:tcPr>
            <w:tcW w:w="384" w:type="pct"/>
            <w:tcBorders>
              <w:top w:val="nil"/>
              <w:left w:val="nil"/>
              <w:bottom w:val="nil"/>
              <w:right w:val="nil"/>
            </w:tcBorders>
            <w:shd w:val="clear" w:color="auto" w:fill="auto"/>
            <w:noWrap/>
            <w:vAlign w:val="bottom"/>
            <w:hideMark/>
          </w:tcPr>
          <w:p w14:paraId="12F6ACF8" w14:textId="77777777" w:rsidR="007A62EC" w:rsidRPr="007B37AC" w:rsidRDefault="007A62EC" w:rsidP="007A62EC">
            <w:pPr>
              <w:rPr>
                <w:rFonts w:ascii="Times New Roman" w:eastAsia="Times New Roman" w:hAnsi="Times New Roman" w:cs="Times New Roman"/>
                <w:sz w:val="13"/>
                <w:szCs w:val="13"/>
                <w:lang w:eastAsia="de-DE"/>
              </w:rPr>
            </w:pPr>
          </w:p>
        </w:tc>
        <w:tc>
          <w:tcPr>
            <w:tcW w:w="486" w:type="pct"/>
            <w:tcBorders>
              <w:top w:val="nil"/>
              <w:left w:val="nil"/>
              <w:bottom w:val="nil"/>
              <w:right w:val="nil"/>
            </w:tcBorders>
            <w:shd w:val="clear" w:color="auto" w:fill="auto"/>
            <w:noWrap/>
            <w:vAlign w:val="bottom"/>
            <w:hideMark/>
          </w:tcPr>
          <w:p w14:paraId="1C5653BA" w14:textId="77777777" w:rsidR="007A62EC" w:rsidRPr="007B37AC" w:rsidRDefault="007A62EC" w:rsidP="007A62EC">
            <w:pPr>
              <w:rPr>
                <w:rFonts w:ascii="Times New Roman" w:eastAsia="Times New Roman" w:hAnsi="Times New Roman" w:cs="Times New Roman"/>
                <w:sz w:val="13"/>
                <w:szCs w:val="13"/>
                <w:lang w:eastAsia="de-DE"/>
              </w:rPr>
            </w:pPr>
          </w:p>
        </w:tc>
        <w:tc>
          <w:tcPr>
            <w:tcW w:w="493" w:type="pct"/>
            <w:tcBorders>
              <w:top w:val="nil"/>
              <w:left w:val="nil"/>
              <w:bottom w:val="nil"/>
              <w:right w:val="nil"/>
            </w:tcBorders>
            <w:shd w:val="clear" w:color="auto" w:fill="auto"/>
            <w:noWrap/>
            <w:vAlign w:val="bottom"/>
            <w:hideMark/>
          </w:tcPr>
          <w:p w14:paraId="36D6D1CD" w14:textId="77777777" w:rsidR="007A62EC" w:rsidRPr="007B37AC" w:rsidRDefault="007A62EC" w:rsidP="007A62EC">
            <w:pPr>
              <w:rPr>
                <w:rFonts w:ascii="Times New Roman" w:eastAsia="Times New Roman" w:hAnsi="Times New Roman" w:cs="Times New Roman"/>
                <w:sz w:val="13"/>
                <w:szCs w:val="13"/>
                <w:lang w:eastAsia="de-DE"/>
              </w:rPr>
            </w:pPr>
          </w:p>
        </w:tc>
        <w:tc>
          <w:tcPr>
            <w:tcW w:w="629" w:type="pct"/>
            <w:tcBorders>
              <w:top w:val="nil"/>
              <w:left w:val="nil"/>
              <w:bottom w:val="nil"/>
              <w:right w:val="nil"/>
            </w:tcBorders>
            <w:shd w:val="clear" w:color="auto" w:fill="auto"/>
            <w:noWrap/>
            <w:vAlign w:val="bottom"/>
            <w:hideMark/>
          </w:tcPr>
          <w:p w14:paraId="6A3B6708" w14:textId="77777777" w:rsidR="007A62EC" w:rsidRPr="007B37AC" w:rsidRDefault="007A62EC" w:rsidP="007A62EC">
            <w:pPr>
              <w:rPr>
                <w:rFonts w:ascii="Times New Roman" w:eastAsia="Times New Roman" w:hAnsi="Times New Roman" w:cs="Times New Roman"/>
                <w:sz w:val="13"/>
                <w:szCs w:val="13"/>
                <w:lang w:eastAsia="de-DE"/>
              </w:rPr>
            </w:pPr>
          </w:p>
        </w:tc>
        <w:tc>
          <w:tcPr>
            <w:tcW w:w="316" w:type="pct"/>
            <w:tcBorders>
              <w:top w:val="nil"/>
              <w:left w:val="nil"/>
              <w:bottom w:val="nil"/>
              <w:right w:val="nil"/>
            </w:tcBorders>
            <w:shd w:val="clear" w:color="auto" w:fill="auto"/>
            <w:noWrap/>
            <w:vAlign w:val="bottom"/>
            <w:hideMark/>
          </w:tcPr>
          <w:p w14:paraId="03EC9BA4" w14:textId="77777777" w:rsidR="007A62EC" w:rsidRPr="007B37AC" w:rsidRDefault="007A62EC" w:rsidP="007A62EC">
            <w:pPr>
              <w:rPr>
                <w:rFonts w:ascii="Times New Roman" w:eastAsia="Times New Roman" w:hAnsi="Times New Roman" w:cs="Times New Roman"/>
                <w:sz w:val="13"/>
                <w:szCs w:val="13"/>
                <w:lang w:eastAsia="de-DE"/>
              </w:rPr>
            </w:pPr>
          </w:p>
        </w:tc>
        <w:tc>
          <w:tcPr>
            <w:tcW w:w="275" w:type="pct"/>
            <w:tcBorders>
              <w:top w:val="nil"/>
              <w:left w:val="nil"/>
              <w:bottom w:val="nil"/>
              <w:right w:val="nil"/>
            </w:tcBorders>
            <w:shd w:val="clear" w:color="auto" w:fill="auto"/>
            <w:noWrap/>
            <w:vAlign w:val="bottom"/>
            <w:hideMark/>
          </w:tcPr>
          <w:p w14:paraId="271B8E1D" w14:textId="77777777" w:rsidR="007A62EC" w:rsidRPr="007B37AC" w:rsidRDefault="007A62EC" w:rsidP="007A62EC">
            <w:pPr>
              <w:rPr>
                <w:rFonts w:ascii="Times New Roman" w:eastAsia="Times New Roman" w:hAnsi="Times New Roman" w:cs="Times New Roman"/>
                <w:sz w:val="13"/>
                <w:szCs w:val="13"/>
                <w:lang w:eastAsia="de-DE"/>
              </w:rPr>
            </w:pPr>
          </w:p>
        </w:tc>
      </w:tr>
      <w:tr w:rsidR="007A62EC" w:rsidRPr="007B37AC" w14:paraId="10CB395A" w14:textId="77777777" w:rsidTr="007B37AC">
        <w:trPr>
          <w:trHeight w:val="340"/>
        </w:trPr>
        <w:tc>
          <w:tcPr>
            <w:tcW w:w="1058" w:type="pct"/>
            <w:tcBorders>
              <w:top w:val="nil"/>
              <w:left w:val="nil"/>
              <w:bottom w:val="nil"/>
              <w:right w:val="nil"/>
            </w:tcBorders>
            <w:shd w:val="clear" w:color="auto" w:fill="auto"/>
            <w:vAlign w:val="center"/>
            <w:hideMark/>
          </w:tcPr>
          <w:p w14:paraId="798FDB74" w14:textId="47FD7D16"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PANDEMIC_001</w:t>
            </w:r>
          </w:p>
        </w:tc>
        <w:tc>
          <w:tcPr>
            <w:tcW w:w="350" w:type="pct"/>
            <w:tcBorders>
              <w:top w:val="nil"/>
              <w:left w:val="nil"/>
              <w:bottom w:val="nil"/>
              <w:right w:val="nil"/>
            </w:tcBorders>
            <w:shd w:val="clear" w:color="auto" w:fill="auto"/>
            <w:noWrap/>
            <w:vAlign w:val="bottom"/>
            <w:hideMark/>
          </w:tcPr>
          <w:p w14:paraId="1EE2E46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2021</w:t>
            </w:r>
          </w:p>
        </w:tc>
        <w:tc>
          <w:tcPr>
            <w:tcW w:w="350" w:type="pct"/>
            <w:tcBorders>
              <w:top w:val="nil"/>
              <w:left w:val="nil"/>
              <w:bottom w:val="nil"/>
              <w:right w:val="nil"/>
            </w:tcBorders>
            <w:shd w:val="clear" w:color="auto" w:fill="auto"/>
            <w:vAlign w:val="center"/>
            <w:hideMark/>
          </w:tcPr>
          <w:p w14:paraId="3E33CCF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336</w:t>
            </w:r>
          </w:p>
        </w:tc>
        <w:tc>
          <w:tcPr>
            <w:tcW w:w="384" w:type="pct"/>
            <w:tcBorders>
              <w:top w:val="nil"/>
              <w:left w:val="nil"/>
              <w:bottom w:val="nil"/>
              <w:right w:val="nil"/>
            </w:tcBorders>
            <w:shd w:val="clear" w:color="auto" w:fill="auto"/>
            <w:vAlign w:val="center"/>
            <w:hideMark/>
          </w:tcPr>
          <w:p w14:paraId="6449FD8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22</w:t>
            </w:r>
          </w:p>
        </w:tc>
        <w:tc>
          <w:tcPr>
            <w:tcW w:w="275" w:type="pct"/>
            <w:tcBorders>
              <w:top w:val="nil"/>
              <w:left w:val="nil"/>
              <w:bottom w:val="nil"/>
              <w:right w:val="nil"/>
            </w:tcBorders>
            <w:shd w:val="clear" w:color="auto" w:fill="auto"/>
            <w:vAlign w:val="center"/>
            <w:hideMark/>
          </w:tcPr>
          <w:p w14:paraId="058F5AC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w:t>
            </w:r>
          </w:p>
        </w:tc>
        <w:tc>
          <w:tcPr>
            <w:tcW w:w="384" w:type="pct"/>
            <w:tcBorders>
              <w:top w:val="nil"/>
              <w:left w:val="nil"/>
              <w:bottom w:val="nil"/>
              <w:right w:val="nil"/>
            </w:tcBorders>
            <w:shd w:val="clear" w:color="auto" w:fill="auto"/>
            <w:vAlign w:val="center"/>
            <w:hideMark/>
          </w:tcPr>
          <w:p w14:paraId="6799D25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79</w:t>
            </w:r>
          </w:p>
        </w:tc>
        <w:tc>
          <w:tcPr>
            <w:tcW w:w="486" w:type="pct"/>
            <w:tcBorders>
              <w:top w:val="nil"/>
              <w:left w:val="nil"/>
              <w:bottom w:val="nil"/>
              <w:right w:val="nil"/>
            </w:tcBorders>
            <w:shd w:val="clear" w:color="auto" w:fill="auto"/>
            <w:vAlign w:val="center"/>
            <w:hideMark/>
          </w:tcPr>
          <w:p w14:paraId="1326415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49</w:t>
            </w:r>
          </w:p>
        </w:tc>
        <w:tc>
          <w:tcPr>
            <w:tcW w:w="493" w:type="pct"/>
            <w:tcBorders>
              <w:top w:val="nil"/>
              <w:left w:val="nil"/>
              <w:bottom w:val="nil"/>
              <w:right w:val="nil"/>
            </w:tcBorders>
            <w:shd w:val="clear" w:color="auto" w:fill="auto"/>
            <w:vAlign w:val="center"/>
            <w:hideMark/>
          </w:tcPr>
          <w:p w14:paraId="3DA5B79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24</w:t>
            </w:r>
          </w:p>
        </w:tc>
        <w:tc>
          <w:tcPr>
            <w:tcW w:w="629" w:type="pct"/>
            <w:tcBorders>
              <w:top w:val="nil"/>
              <w:left w:val="nil"/>
              <w:bottom w:val="nil"/>
              <w:right w:val="nil"/>
            </w:tcBorders>
            <w:shd w:val="clear" w:color="auto" w:fill="auto"/>
            <w:vAlign w:val="center"/>
            <w:hideMark/>
          </w:tcPr>
          <w:p w14:paraId="198107E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vAlign w:val="center"/>
            <w:hideMark/>
          </w:tcPr>
          <w:p w14:paraId="0618FFE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43</w:t>
            </w:r>
          </w:p>
        </w:tc>
        <w:tc>
          <w:tcPr>
            <w:tcW w:w="275" w:type="pct"/>
            <w:tcBorders>
              <w:top w:val="nil"/>
              <w:left w:val="nil"/>
              <w:bottom w:val="nil"/>
              <w:right w:val="nil"/>
            </w:tcBorders>
            <w:shd w:val="clear" w:color="auto" w:fill="auto"/>
            <w:vAlign w:val="center"/>
            <w:hideMark/>
          </w:tcPr>
          <w:p w14:paraId="081E631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154396E5" w14:textId="77777777" w:rsidTr="007B37AC">
        <w:trPr>
          <w:trHeight w:val="340"/>
        </w:trPr>
        <w:tc>
          <w:tcPr>
            <w:tcW w:w="1058" w:type="pct"/>
            <w:tcBorders>
              <w:top w:val="nil"/>
              <w:left w:val="nil"/>
              <w:bottom w:val="nil"/>
              <w:right w:val="nil"/>
            </w:tcBorders>
            <w:shd w:val="clear" w:color="auto" w:fill="auto"/>
            <w:vAlign w:val="center"/>
            <w:hideMark/>
          </w:tcPr>
          <w:p w14:paraId="5F63F1AF" w14:textId="45901F44"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PANDEMIC_002</w:t>
            </w:r>
          </w:p>
        </w:tc>
        <w:tc>
          <w:tcPr>
            <w:tcW w:w="350" w:type="pct"/>
            <w:tcBorders>
              <w:top w:val="nil"/>
              <w:left w:val="nil"/>
              <w:bottom w:val="nil"/>
              <w:right w:val="nil"/>
            </w:tcBorders>
            <w:shd w:val="clear" w:color="auto" w:fill="auto"/>
            <w:noWrap/>
            <w:vAlign w:val="bottom"/>
            <w:hideMark/>
          </w:tcPr>
          <w:p w14:paraId="183BA51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2021</w:t>
            </w:r>
          </w:p>
        </w:tc>
        <w:tc>
          <w:tcPr>
            <w:tcW w:w="350" w:type="pct"/>
            <w:tcBorders>
              <w:top w:val="nil"/>
              <w:left w:val="nil"/>
              <w:bottom w:val="nil"/>
              <w:right w:val="nil"/>
            </w:tcBorders>
            <w:shd w:val="clear" w:color="auto" w:fill="auto"/>
            <w:vAlign w:val="center"/>
            <w:hideMark/>
          </w:tcPr>
          <w:p w14:paraId="4F0F922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326</w:t>
            </w:r>
          </w:p>
        </w:tc>
        <w:tc>
          <w:tcPr>
            <w:tcW w:w="384" w:type="pct"/>
            <w:tcBorders>
              <w:top w:val="nil"/>
              <w:left w:val="nil"/>
              <w:bottom w:val="nil"/>
              <w:right w:val="nil"/>
            </w:tcBorders>
            <w:shd w:val="clear" w:color="auto" w:fill="auto"/>
            <w:vAlign w:val="center"/>
            <w:hideMark/>
          </w:tcPr>
          <w:p w14:paraId="2367FEE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30</w:t>
            </w:r>
          </w:p>
        </w:tc>
        <w:tc>
          <w:tcPr>
            <w:tcW w:w="275" w:type="pct"/>
            <w:tcBorders>
              <w:top w:val="nil"/>
              <w:left w:val="nil"/>
              <w:bottom w:val="nil"/>
              <w:right w:val="nil"/>
            </w:tcBorders>
            <w:shd w:val="clear" w:color="auto" w:fill="auto"/>
            <w:vAlign w:val="center"/>
            <w:hideMark/>
          </w:tcPr>
          <w:p w14:paraId="67A99D2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w:t>
            </w:r>
          </w:p>
        </w:tc>
        <w:tc>
          <w:tcPr>
            <w:tcW w:w="384" w:type="pct"/>
            <w:tcBorders>
              <w:top w:val="nil"/>
              <w:left w:val="nil"/>
              <w:bottom w:val="nil"/>
              <w:right w:val="nil"/>
            </w:tcBorders>
            <w:shd w:val="clear" w:color="auto" w:fill="auto"/>
            <w:vAlign w:val="center"/>
            <w:hideMark/>
          </w:tcPr>
          <w:p w14:paraId="70FDFF4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75</w:t>
            </w:r>
          </w:p>
        </w:tc>
        <w:tc>
          <w:tcPr>
            <w:tcW w:w="486" w:type="pct"/>
            <w:tcBorders>
              <w:top w:val="nil"/>
              <w:left w:val="nil"/>
              <w:bottom w:val="nil"/>
              <w:right w:val="nil"/>
            </w:tcBorders>
            <w:shd w:val="clear" w:color="auto" w:fill="auto"/>
            <w:vAlign w:val="center"/>
            <w:hideMark/>
          </w:tcPr>
          <w:p w14:paraId="5B38715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66</w:t>
            </w:r>
          </w:p>
        </w:tc>
        <w:tc>
          <w:tcPr>
            <w:tcW w:w="493" w:type="pct"/>
            <w:tcBorders>
              <w:top w:val="nil"/>
              <w:left w:val="nil"/>
              <w:bottom w:val="nil"/>
              <w:right w:val="nil"/>
            </w:tcBorders>
            <w:shd w:val="clear" w:color="auto" w:fill="auto"/>
            <w:vAlign w:val="center"/>
            <w:hideMark/>
          </w:tcPr>
          <w:p w14:paraId="1F61B36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123</w:t>
            </w:r>
          </w:p>
        </w:tc>
        <w:tc>
          <w:tcPr>
            <w:tcW w:w="629" w:type="pct"/>
            <w:tcBorders>
              <w:top w:val="nil"/>
              <w:left w:val="nil"/>
              <w:bottom w:val="nil"/>
              <w:right w:val="nil"/>
            </w:tcBorders>
            <w:shd w:val="clear" w:color="auto" w:fill="auto"/>
            <w:vAlign w:val="center"/>
            <w:hideMark/>
          </w:tcPr>
          <w:p w14:paraId="022C869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vAlign w:val="center"/>
            <w:hideMark/>
          </w:tcPr>
          <w:p w14:paraId="0133C7E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14</w:t>
            </w:r>
          </w:p>
        </w:tc>
        <w:tc>
          <w:tcPr>
            <w:tcW w:w="275" w:type="pct"/>
            <w:tcBorders>
              <w:top w:val="nil"/>
              <w:left w:val="nil"/>
              <w:bottom w:val="nil"/>
              <w:right w:val="nil"/>
            </w:tcBorders>
            <w:shd w:val="clear" w:color="auto" w:fill="auto"/>
            <w:vAlign w:val="center"/>
            <w:hideMark/>
          </w:tcPr>
          <w:p w14:paraId="3A882D6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06055CB4" w14:textId="77777777" w:rsidTr="007B37AC">
        <w:trPr>
          <w:trHeight w:val="340"/>
        </w:trPr>
        <w:tc>
          <w:tcPr>
            <w:tcW w:w="1058" w:type="pct"/>
            <w:tcBorders>
              <w:top w:val="nil"/>
              <w:left w:val="nil"/>
              <w:bottom w:val="nil"/>
              <w:right w:val="nil"/>
            </w:tcBorders>
            <w:shd w:val="clear" w:color="auto" w:fill="auto"/>
            <w:vAlign w:val="center"/>
            <w:hideMark/>
          </w:tcPr>
          <w:p w14:paraId="5D008FEE" w14:textId="01755CCA"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PANDEMIC_003</w:t>
            </w:r>
          </w:p>
        </w:tc>
        <w:tc>
          <w:tcPr>
            <w:tcW w:w="350" w:type="pct"/>
            <w:tcBorders>
              <w:top w:val="nil"/>
              <w:left w:val="nil"/>
              <w:bottom w:val="nil"/>
              <w:right w:val="nil"/>
            </w:tcBorders>
            <w:shd w:val="clear" w:color="auto" w:fill="auto"/>
            <w:noWrap/>
            <w:vAlign w:val="bottom"/>
            <w:hideMark/>
          </w:tcPr>
          <w:p w14:paraId="799E74E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2021</w:t>
            </w:r>
          </w:p>
        </w:tc>
        <w:tc>
          <w:tcPr>
            <w:tcW w:w="350" w:type="pct"/>
            <w:tcBorders>
              <w:top w:val="nil"/>
              <w:left w:val="nil"/>
              <w:bottom w:val="nil"/>
              <w:right w:val="nil"/>
            </w:tcBorders>
            <w:shd w:val="clear" w:color="auto" w:fill="auto"/>
            <w:vAlign w:val="center"/>
            <w:hideMark/>
          </w:tcPr>
          <w:p w14:paraId="3AADF04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331</w:t>
            </w:r>
          </w:p>
        </w:tc>
        <w:tc>
          <w:tcPr>
            <w:tcW w:w="384" w:type="pct"/>
            <w:tcBorders>
              <w:top w:val="nil"/>
              <w:left w:val="nil"/>
              <w:bottom w:val="nil"/>
              <w:right w:val="nil"/>
            </w:tcBorders>
            <w:shd w:val="clear" w:color="auto" w:fill="auto"/>
            <w:vAlign w:val="center"/>
            <w:hideMark/>
          </w:tcPr>
          <w:p w14:paraId="3DE79F6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25</w:t>
            </w:r>
          </w:p>
        </w:tc>
        <w:tc>
          <w:tcPr>
            <w:tcW w:w="275" w:type="pct"/>
            <w:tcBorders>
              <w:top w:val="nil"/>
              <w:left w:val="nil"/>
              <w:bottom w:val="nil"/>
              <w:right w:val="nil"/>
            </w:tcBorders>
            <w:shd w:val="clear" w:color="auto" w:fill="auto"/>
            <w:vAlign w:val="center"/>
            <w:hideMark/>
          </w:tcPr>
          <w:p w14:paraId="79DACA1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vAlign w:val="center"/>
            <w:hideMark/>
          </w:tcPr>
          <w:p w14:paraId="5987E3D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126</w:t>
            </w:r>
          </w:p>
        </w:tc>
        <w:tc>
          <w:tcPr>
            <w:tcW w:w="486" w:type="pct"/>
            <w:tcBorders>
              <w:top w:val="nil"/>
              <w:left w:val="nil"/>
              <w:bottom w:val="nil"/>
              <w:right w:val="nil"/>
            </w:tcBorders>
            <w:shd w:val="clear" w:color="auto" w:fill="auto"/>
            <w:vAlign w:val="center"/>
            <w:hideMark/>
          </w:tcPr>
          <w:p w14:paraId="4D3CA95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261</w:t>
            </w:r>
          </w:p>
        </w:tc>
        <w:tc>
          <w:tcPr>
            <w:tcW w:w="493" w:type="pct"/>
            <w:tcBorders>
              <w:top w:val="nil"/>
              <w:left w:val="nil"/>
              <w:bottom w:val="nil"/>
              <w:right w:val="nil"/>
            </w:tcBorders>
            <w:shd w:val="clear" w:color="auto" w:fill="auto"/>
            <w:vAlign w:val="center"/>
            <w:hideMark/>
          </w:tcPr>
          <w:p w14:paraId="2B3845B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c>
          <w:tcPr>
            <w:tcW w:w="629" w:type="pct"/>
            <w:tcBorders>
              <w:top w:val="nil"/>
              <w:left w:val="nil"/>
              <w:bottom w:val="nil"/>
              <w:right w:val="nil"/>
            </w:tcBorders>
            <w:shd w:val="clear" w:color="auto" w:fill="auto"/>
            <w:vAlign w:val="center"/>
            <w:hideMark/>
          </w:tcPr>
          <w:p w14:paraId="28D76DA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vAlign w:val="center"/>
            <w:hideMark/>
          </w:tcPr>
          <w:p w14:paraId="6B964FE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16</w:t>
            </w:r>
          </w:p>
        </w:tc>
        <w:tc>
          <w:tcPr>
            <w:tcW w:w="275" w:type="pct"/>
            <w:tcBorders>
              <w:top w:val="nil"/>
              <w:left w:val="nil"/>
              <w:bottom w:val="nil"/>
              <w:right w:val="nil"/>
            </w:tcBorders>
            <w:shd w:val="clear" w:color="auto" w:fill="auto"/>
            <w:vAlign w:val="center"/>
            <w:hideMark/>
          </w:tcPr>
          <w:p w14:paraId="0084E9A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3DB71CAB" w14:textId="77777777" w:rsidTr="007B37AC">
        <w:trPr>
          <w:trHeight w:val="340"/>
        </w:trPr>
        <w:tc>
          <w:tcPr>
            <w:tcW w:w="1058" w:type="pct"/>
            <w:tcBorders>
              <w:top w:val="nil"/>
              <w:left w:val="nil"/>
              <w:bottom w:val="nil"/>
              <w:right w:val="nil"/>
            </w:tcBorders>
            <w:shd w:val="clear" w:color="auto" w:fill="auto"/>
            <w:vAlign w:val="center"/>
            <w:hideMark/>
          </w:tcPr>
          <w:p w14:paraId="16C22A7B" w14:textId="464C98E2"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PANDEMIC_004</w:t>
            </w:r>
          </w:p>
        </w:tc>
        <w:tc>
          <w:tcPr>
            <w:tcW w:w="350" w:type="pct"/>
            <w:tcBorders>
              <w:top w:val="nil"/>
              <w:left w:val="nil"/>
              <w:bottom w:val="nil"/>
              <w:right w:val="nil"/>
            </w:tcBorders>
            <w:shd w:val="clear" w:color="auto" w:fill="auto"/>
            <w:noWrap/>
            <w:vAlign w:val="bottom"/>
            <w:hideMark/>
          </w:tcPr>
          <w:p w14:paraId="31E45B6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2021</w:t>
            </w:r>
          </w:p>
        </w:tc>
        <w:tc>
          <w:tcPr>
            <w:tcW w:w="350" w:type="pct"/>
            <w:tcBorders>
              <w:top w:val="nil"/>
              <w:left w:val="nil"/>
              <w:bottom w:val="nil"/>
              <w:right w:val="nil"/>
            </w:tcBorders>
            <w:shd w:val="clear" w:color="auto" w:fill="auto"/>
            <w:vAlign w:val="center"/>
            <w:hideMark/>
          </w:tcPr>
          <w:p w14:paraId="7152479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499</w:t>
            </w:r>
          </w:p>
        </w:tc>
        <w:tc>
          <w:tcPr>
            <w:tcW w:w="384" w:type="pct"/>
            <w:tcBorders>
              <w:top w:val="nil"/>
              <w:left w:val="nil"/>
              <w:bottom w:val="nil"/>
              <w:right w:val="nil"/>
            </w:tcBorders>
            <w:shd w:val="clear" w:color="auto" w:fill="auto"/>
            <w:vAlign w:val="center"/>
            <w:hideMark/>
          </w:tcPr>
          <w:p w14:paraId="7C924B5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8</w:t>
            </w:r>
          </w:p>
        </w:tc>
        <w:tc>
          <w:tcPr>
            <w:tcW w:w="275" w:type="pct"/>
            <w:tcBorders>
              <w:top w:val="nil"/>
              <w:left w:val="nil"/>
              <w:bottom w:val="nil"/>
              <w:right w:val="nil"/>
            </w:tcBorders>
            <w:shd w:val="clear" w:color="auto" w:fill="auto"/>
            <w:vAlign w:val="center"/>
            <w:hideMark/>
          </w:tcPr>
          <w:p w14:paraId="13614BC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w:t>
            </w:r>
          </w:p>
        </w:tc>
        <w:tc>
          <w:tcPr>
            <w:tcW w:w="384" w:type="pct"/>
            <w:tcBorders>
              <w:top w:val="nil"/>
              <w:left w:val="nil"/>
              <w:bottom w:val="nil"/>
              <w:right w:val="nil"/>
            </w:tcBorders>
            <w:shd w:val="clear" w:color="auto" w:fill="auto"/>
            <w:vAlign w:val="center"/>
            <w:hideMark/>
          </w:tcPr>
          <w:p w14:paraId="16A5F9C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60</w:t>
            </w:r>
          </w:p>
        </w:tc>
        <w:tc>
          <w:tcPr>
            <w:tcW w:w="486" w:type="pct"/>
            <w:tcBorders>
              <w:top w:val="nil"/>
              <w:left w:val="nil"/>
              <w:bottom w:val="nil"/>
              <w:right w:val="nil"/>
            </w:tcBorders>
            <w:shd w:val="clear" w:color="auto" w:fill="auto"/>
            <w:vAlign w:val="center"/>
            <w:hideMark/>
          </w:tcPr>
          <w:p w14:paraId="786BF5E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31</w:t>
            </w:r>
          </w:p>
        </w:tc>
        <w:tc>
          <w:tcPr>
            <w:tcW w:w="493" w:type="pct"/>
            <w:tcBorders>
              <w:top w:val="nil"/>
              <w:left w:val="nil"/>
              <w:bottom w:val="nil"/>
              <w:right w:val="nil"/>
            </w:tcBorders>
            <w:shd w:val="clear" w:color="auto" w:fill="auto"/>
            <w:vAlign w:val="center"/>
            <w:hideMark/>
          </w:tcPr>
          <w:p w14:paraId="60C551A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35</w:t>
            </w:r>
          </w:p>
        </w:tc>
        <w:tc>
          <w:tcPr>
            <w:tcW w:w="629" w:type="pct"/>
            <w:tcBorders>
              <w:top w:val="nil"/>
              <w:left w:val="nil"/>
              <w:bottom w:val="nil"/>
              <w:right w:val="nil"/>
            </w:tcBorders>
            <w:shd w:val="clear" w:color="auto" w:fill="auto"/>
            <w:vAlign w:val="center"/>
            <w:hideMark/>
          </w:tcPr>
          <w:p w14:paraId="0CD9FFB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vAlign w:val="center"/>
            <w:hideMark/>
          </w:tcPr>
          <w:p w14:paraId="22348C2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8</w:t>
            </w:r>
          </w:p>
        </w:tc>
        <w:tc>
          <w:tcPr>
            <w:tcW w:w="275" w:type="pct"/>
            <w:tcBorders>
              <w:top w:val="nil"/>
              <w:left w:val="nil"/>
              <w:bottom w:val="nil"/>
              <w:right w:val="nil"/>
            </w:tcBorders>
            <w:shd w:val="clear" w:color="auto" w:fill="auto"/>
            <w:vAlign w:val="center"/>
            <w:hideMark/>
          </w:tcPr>
          <w:p w14:paraId="54F1076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5D0A340B" w14:textId="77777777" w:rsidTr="007B37AC">
        <w:trPr>
          <w:trHeight w:val="340"/>
        </w:trPr>
        <w:tc>
          <w:tcPr>
            <w:tcW w:w="1058" w:type="pct"/>
            <w:tcBorders>
              <w:top w:val="nil"/>
              <w:left w:val="nil"/>
              <w:bottom w:val="nil"/>
              <w:right w:val="nil"/>
            </w:tcBorders>
            <w:shd w:val="clear" w:color="auto" w:fill="auto"/>
            <w:vAlign w:val="center"/>
            <w:hideMark/>
          </w:tcPr>
          <w:p w14:paraId="34D3A2D0" w14:textId="106B353A"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PANDEMIC_005</w:t>
            </w:r>
          </w:p>
        </w:tc>
        <w:tc>
          <w:tcPr>
            <w:tcW w:w="350" w:type="pct"/>
            <w:tcBorders>
              <w:top w:val="nil"/>
              <w:left w:val="nil"/>
              <w:bottom w:val="nil"/>
              <w:right w:val="nil"/>
            </w:tcBorders>
            <w:shd w:val="clear" w:color="auto" w:fill="auto"/>
            <w:noWrap/>
            <w:vAlign w:val="bottom"/>
            <w:hideMark/>
          </w:tcPr>
          <w:p w14:paraId="3619E57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2021</w:t>
            </w:r>
          </w:p>
        </w:tc>
        <w:tc>
          <w:tcPr>
            <w:tcW w:w="350" w:type="pct"/>
            <w:tcBorders>
              <w:top w:val="nil"/>
              <w:left w:val="nil"/>
              <w:bottom w:val="nil"/>
              <w:right w:val="nil"/>
            </w:tcBorders>
            <w:shd w:val="clear" w:color="auto" w:fill="auto"/>
            <w:vAlign w:val="center"/>
            <w:hideMark/>
          </w:tcPr>
          <w:p w14:paraId="28774D5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208</w:t>
            </w:r>
          </w:p>
        </w:tc>
        <w:tc>
          <w:tcPr>
            <w:tcW w:w="384" w:type="pct"/>
            <w:tcBorders>
              <w:top w:val="nil"/>
              <w:left w:val="nil"/>
              <w:bottom w:val="nil"/>
              <w:right w:val="nil"/>
            </w:tcBorders>
            <w:shd w:val="clear" w:color="auto" w:fill="auto"/>
            <w:vAlign w:val="center"/>
            <w:hideMark/>
          </w:tcPr>
          <w:p w14:paraId="03DECD1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15</w:t>
            </w:r>
          </w:p>
        </w:tc>
        <w:tc>
          <w:tcPr>
            <w:tcW w:w="275" w:type="pct"/>
            <w:tcBorders>
              <w:top w:val="nil"/>
              <w:left w:val="nil"/>
              <w:bottom w:val="nil"/>
              <w:right w:val="nil"/>
            </w:tcBorders>
            <w:shd w:val="clear" w:color="auto" w:fill="auto"/>
            <w:vAlign w:val="center"/>
            <w:hideMark/>
          </w:tcPr>
          <w:p w14:paraId="156E8D9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vAlign w:val="center"/>
            <w:hideMark/>
          </w:tcPr>
          <w:p w14:paraId="4D3B00C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30</w:t>
            </w:r>
          </w:p>
        </w:tc>
        <w:tc>
          <w:tcPr>
            <w:tcW w:w="486" w:type="pct"/>
            <w:tcBorders>
              <w:top w:val="nil"/>
              <w:left w:val="nil"/>
              <w:bottom w:val="nil"/>
              <w:right w:val="nil"/>
            </w:tcBorders>
            <w:shd w:val="clear" w:color="auto" w:fill="auto"/>
            <w:vAlign w:val="center"/>
            <w:hideMark/>
          </w:tcPr>
          <w:p w14:paraId="6B9A604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214</w:t>
            </w:r>
          </w:p>
        </w:tc>
        <w:tc>
          <w:tcPr>
            <w:tcW w:w="493" w:type="pct"/>
            <w:tcBorders>
              <w:top w:val="nil"/>
              <w:left w:val="nil"/>
              <w:bottom w:val="nil"/>
              <w:right w:val="nil"/>
            </w:tcBorders>
            <w:shd w:val="clear" w:color="auto" w:fill="auto"/>
            <w:vAlign w:val="center"/>
            <w:hideMark/>
          </w:tcPr>
          <w:p w14:paraId="1C6BAF2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35</w:t>
            </w:r>
          </w:p>
        </w:tc>
        <w:tc>
          <w:tcPr>
            <w:tcW w:w="629" w:type="pct"/>
            <w:tcBorders>
              <w:top w:val="nil"/>
              <w:left w:val="nil"/>
              <w:bottom w:val="nil"/>
              <w:right w:val="nil"/>
            </w:tcBorders>
            <w:shd w:val="clear" w:color="auto" w:fill="auto"/>
            <w:vAlign w:val="center"/>
            <w:hideMark/>
          </w:tcPr>
          <w:p w14:paraId="6A2A2ED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vAlign w:val="center"/>
            <w:hideMark/>
          </w:tcPr>
          <w:p w14:paraId="6F550F7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16</w:t>
            </w:r>
          </w:p>
        </w:tc>
        <w:tc>
          <w:tcPr>
            <w:tcW w:w="275" w:type="pct"/>
            <w:tcBorders>
              <w:top w:val="nil"/>
              <w:left w:val="nil"/>
              <w:bottom w:val="nil"/>
              <w:right w:val="nil"/>
            </w:tcBorders>
            <w:shd w:val="clear" w:color="auto" w:fill="auto"/>
            <w:vAlign w:val="center"/>
            <w:hideMark/>
          </w:tcPr>
          <w:p w14:paraId="2D3ECB4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240C197C" w14:textId="77777777" w:rsidTr="007B37AC">
        <w:trPr>
          <w:trHeight w:val="340"/>
        </w:trPr>
        <w:tc>
          <w:tcPr>
            <w:tcW w:w="1058" w:type="pct"/>
            <w:tcBorders>
              <w:top w:val="nil"/>
              <w:left w:val="nil"/>
              <w:bottom w:val="nil"/>
              <w:right w:val="nil"/>
            </w:tcBorders>
            <w:shd w:val="clear" w:color="auto" w:fill="auto"/>
            <w:vAlign w:val="center"/>
            <w:hideMark/>
          </w:tcPr>
          <w:p w14:paraId="6B7B797D" w14:textId="3679A199"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PANDEMIC_006</w:t>
            </w:r>
          </w:p>
        </w:tc>
        <w:tc>
          <w:tcPr>
            <w:tcW w:w="350" w:type="pct"/>
            <w:tcBorders>
              <w:top w:val="nil"/>
              <w:left w:val="nil"/>
              <w:bottom w:val="nil"/>
              <w:right w:val="nil"/>
            </w:tcBorders>
            <w:shd w:val="clear" w:color="auto" w:fill="auto"/>
            <w:noWrap/>
            <w:vAlign w:val="bottom"/>
            <w:hideMark/>
          </w:tcPr>
          <w:p w14:paraId="7AF0950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2021</w:t>
            </w:r>
          </w:p>
        </w:tc>
        <w:tc>
          <w:tcPr>
            <w:tcW w:w="350" w:type="pct"/>
            <w:tcBorders>
              <w:top w:val="nil"/>
              <w:left w:val="nil"/>
              <w:bottom w:val="nil"/>
              <w:right w:val="nil"/>
            </w:tcBorders>
            <w:shd w:val="clear" w:color="auto" w:fill="auto"/>
            <w:vAlign w:val="center"/>
            <w:hideMark/>
          </w:tcPr>
          <w:p w14:paraId="0314E3E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232</w:t>
            </w:r>
          </w:p>
        </w:tc>
        <w:tc>
          <w:tcPr>
            <w:tcW w:w="384" w:type="pct"/>
            <w:tcBorders>
              <w:top w:val="nil"/>
              <w:left w:val="nil"/>
              <w:bottom w:val="nil"/>
              <w:right w:val="nil"/>
            </w:tcBorders>
            <w:shd w:val="clear" w:color="auto" w:fill="auto"/>
            <w:vAlign w:val="center"/>
            <w:hideMark/>
          </w:tcPr>
          <w:p w14:paraId="5379089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31</w:t>
            </w:r>
          </w:p>
        </w:tc>
        <w:tc>
          <w:tcPr>
            <w:tcW w:w="275" w:type="pct"/>
            <w:tcBorders>
              <w:top w:val="nil"/>
              <w:left w:val="nil"/>
              <w:bottom w:val="nil"/>
              <w:right w:val="nil"/>
            </w:tcBorders>
            <w:shd w:val="clear" w:color="auto" w:fill="auto"/>
            <w:vAlign w:val="center"/>
            <w:hideMark/>
          </w:tcPr>
          <w:p w14:paraId="654A53C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vAlign w:val="center"/>
            <w:hideMark/>
          </w:tcPr>
          <w:p w14:paraId="6F7C02F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77</w:t>
            </w:r>
          </w:p>
        </w:tc>
        <w:tc>
          <w:tcPr>
            <w:tcW w:w="486" w:type="pct"/>
            <w:tcBorders>
              <w:top w:val="nil"/>
              <w:left w:val="nil"/>
              <w:bottom w:val="nil"/>
              <w:right w:val="nil"/>
            </w:tcBorders>
            <w:shd w:val="clear" w:color="auto" w:fill="auto"/>
            <w:vAlign w:val="center"/>
            <w:hideMark/>
          </w:tcPr>
          <w:p w14:paraId="038B384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136</w:t>
            </w:r>
          </w:p>
        </w:tc>
        <w:tc>
          <w:tcPr>
            <w:tcW w:w="493" w:type="pct"/>
            <w:tcBorders>
              <w:top w:val="nil"/>
              <w:left w:val="nil"/>
              <w:bottom w:val="nil"/>
              <w:right w:val="nil"/>
            </w:tcBorders>
            <w:shd w:val="clear" w:color="auto" w:fill="auto"/>
            <w:vAlign w:val="center"/>
            <w:hideMark/>
          </w:tcPr>
          <w:p w14:paraId="0EFB584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35</w:t>
            </w:r>
          </w:p>
        </w:tc>
        <w:tc>
          <w:tcPr>
            <w:tcW w:w="629" w:type="pct"/>
            <w:tcBorders>
              <w:top w:val="nil"/>
              <w:left w:val="nil"/>
              <w:bottom w:val="nil"/>
              <w:right w:val="nil"/>
            </w:tcBorders>
            <w:shd w:val="clear" w:color="auto" w:fill="auto"/>
            <w:vAlign w:val="center"/>
            <w:hideMark/>
          </w:tcPr>
          <w:p w14:paraId="5B7797F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MRI</w:t>
            </w:r>
          </w:p>
        </w:tc>
        <w:tc>
          <w:tcPr>
            <w:tcW w:w="316" w:type="pct"/>
            <w:tcBorders>
              <w:top w:val="nil"/>
              <w:left w:val="nil"/>
              <w:bottom w:val="nil"/>
              <w:right w:val="nil"/>
            </w:tcBorders>
            <w:shd w:val="clear" w:color="auto" w:fill="auto"/>
            <w:vAlign w:val="center"/>
            <w:hideMark/>
          </w:tcPr>
          <w:p w14:paraId="160E446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79</w:t>
            </w:r>
          </w:p>
        </w:tc>
        <w:tc>
          <w:tcPr>
            <w:tcW w:w="275" w:type="pct"/>
            <w:tcBorders>
              <w:top w:val="nil"/>
              <w:left w:val="nil"/>
              <w:bottom w:val="nil"/>
              <w:right w:val="nil"/>
            </w:tcBorders>
            <w:shd w:val="clear" w:color="auto" w:fill="auto"/>
            <w:vAlign w:val="center"/>
            <w:hideMark/>
          </w:tcPr>
          <w:p w14:paraId="3C62596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w:t>
            </w:r>
          </w:p>
        </w:tc>
      </w:tr>
      <w:tr w:rsidR="007A62EC" w:rsidRPr="007B37AC" w14:paraId="1B394DA8" w14:textId="77777777" w:rsidTr="007B37AC">
        <w:trPr>
          <w:trHeight w:val="340"/>
        </w:trPr>
        <w:tc>
          <w:tcPr>
            <w:tcW w:w="1058" w:type="pct"/>
            <w:tcBorders>
              <w:top w:val="nil"/>
              <w:left w:val="nil"/>
              <w:bottom w:val="nil"/>
              <w:right w:val="nil"/>
            </w:tcBorders>
            <w:shd w:val="clear" w:color="auto" w:fill="auto"/>
            <w:vAlign w:val="center"/>
            <w:hideMark/>
          </w:tcPr>
          <w:p w14:paraId="7F3A80CF" w14:textId="75CC42DF"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PANDEMIC_007</w:t>
            </w:r>
          </w:p>
        </w:tc>
        <w:tc>
          <w:tcPr>
            <w:tcW w:w="350" w:type="pct"/>
            <w:tcBorders>
              <w:top w:val="nil"/>
              <w:left w:val="nil"/>
              <w:bottom w:val="nil"/>
              <w:right w:val="nil"/>
            </w:tcBorders>
            <w:shd w:val="clear" w:color="auto" w:fill="auto"/>
            <w:noWrap/>
            <w:vAlign w:val="bottom"/>
            <w:hideMark/>
          </w:tcPr>
          <w:p w14:paraId="026C927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2021</w:t>
            </w:r>
          </w:p>
        </w:tc>
        <w:tc>
          <w:tcPr>
            <w:tcW w:w="350" w:type="pct"/>
            <w:tcBorders>
              <w:top w:val="nil"/>
              <w:left w:val="nil"/>
              <w:bottom w:val="nil"/>
              <w:right w:val="nil"/>
            </w:tcBorders>
            <w:shd w:val="clear" w:color="auto" w:fill="auto"/>
            <w:vAlign w:val="center"/>
            <w:hideMark/>
          </w:tcPr>
          <w:p w14:paraId="3AD727B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23</w:t>
            </w:r>
          </w:p>
        </w:tc>
        <w:tc>
          <w:tcPr>
            <w:tcW w:w="384" w:type="pct"/>
            <w:tcBorders>
              <w:top w:val="nil"/>
              <w:left w:val="nil"/>
              <w:bottom w:val="nil"/>
              <w:right w:val="nil"/>
            </w:tcBorders>
            <w:shd w:val="clear" w:color="auto" w:fill="auto"/>
            <w:vAlign w:val="center"/>
            <w:hideMark/>
          </w:tcPr>
          <w:p w14:paraId="6B1BBB3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11</w:t>
            </w:r>
          </w:p>
        </w:tc>
        <w:tc>
          <w:tcPr>
            <w:tcW w:w="275" w:type="pct"/>
            <w:tcBorders>
              <w:top w:val="nil"/>
              <w:left w:val="nil"/>
              <w:bottom w:val="nil"/>
              <w:right w:val="nil"/>
            </w:tcBorders>
            <w:shd w:val="clear" w:color="auto" w:fill="auto"/>
            <w:vAlign w:val="center"/>
            <w:hideMark/>
          </w:tcPr>
          <w:p w14:paraId="21E968F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vAlign w:val="center"/>
            <w:hideMark/>
          </w:tcPr>
          <w:p w14:paraId="126BE87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34</w:t>
            </w:r>
          </w:p>
        </w:tc>
        <w:tc>
          <w:tcPr>
            <w:tcW w:w="486" w:type="pct"/>
            <w:tcBorders>
              <w:top w:val="nil"/>
              <w:left w:val="nil"/>
              <w:bottom w:val="nil"/>
              <w:right w:val="nil"/>
            </w:tcBorders>
            <w:shd w:val="clear" w:color="auto" w:fill="auto"/>
            <w:vAlign w:val="center"/>
            <w:hideMark/>
          </w:tcPr>
          <w:p w14:paraId="50C16A2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306</w:t>
            </w:r>
          </w:p>
        </w:tc>
        <w:tc>
          <w:tcPr>
            <w:tcW w:w="493" w:type="pct"/>
            <w:tcBorders>
              <w:top w:val="nil"/>
              <w:left w:val="nil"/>
              <w:bottom w:val="nil"/>
              <w:right w:val="nil"/>
            </w:tcBorders>
            <w:shd w:val="clear" w:color="auto" w:fill="auto"/>
            <w:vAlign w:val="center"/>
            <w:hideMark/>
          </w:tcPr>
          <w:p w14:paraId="2711527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vAlign w:val="center"/>
            <w:hideMark/>
          </w:tcPr>
          <w:p w14:paraId="5E95C7A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vAlign w:val="center"/>
            <w:hideMark/>
          </w:tcPr>
          <w:p w14:paraId="3319D18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0088CD5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5</w:t>
            </w:r>
          </w:p>
        </w:tc>
      </w:tr>
      <w:tr w:rsidR="007A62EC" w:rsidRPr="007B37AC" w14:paraId="6C3FF04A" w14:textId="77777777" w:rsidTr="007B37AC">
        <w:trPr>
          <w:trHeight w:val="340"/>
        </w:trPr>
        <w:tc>
          <w:tcPr>
            <w:tcW w:w="1058" w:type="pct"/>
            <w:tcBorders>
              <w:top w:val="nil"/>
              <w:left w:val="nil"/>
              <w:bottom w:val="nil"/>
              <w:right w:val="nil"/>
            </w:tcBorders>
            <w:shd w:val="clear" w:color="auto" w:fill="auto"/>
            <w:vAlign w:val="center"/>
            <w:hideMark/>
          </w:tcPr>
          <w:p w14:paraId="0064E67A" w14:textId="6497DBA0"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PANDEMIC_008</w:t>
            </w:r>
          </w:p>
        </w:tc>
        <w:tc>
          <w:tcPr>
            <w:tcW w:w="350" w:type="pct"/>
            <w:tcBorders>
              <w:top w:val="nil"/>
              <w:left w:val="nil"/>
              <w:bottom w:val="nil"/>
              <w:right w:val="nil"/>
            </w:tcBorders>
            <w:shd w:val="clear" w:color="auto" w:fill="auto"/>
            <w:noWrap/>
            <w:vAlign w:val="bottom"/>
            <w:hideMark/>
          </w:tcPr>
          <w:p w14:paraId="39EA770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2021</w:t>
            </w:r>
          </w:p>
        </w:tc>
        <w:tc>
          <w:tcPr>
            <w:tcW w:w="350" w:type="pct"/>
            <w:tcBorders>
              <w:top w:val="nil"/>
              <w:left w:val="nil"/>
              <w:bottom w:val="nil"/>
              <w:right w:val="nil"/>
            </w:tcBorders>
            <w:shd w:val="clear" w:color="auto" w:fill="auto"/>
            <w:vAlign w:val="center"/>
            <w:hideMark/>
          </w:tcPr>
          <w:p w14:paraId="5DDE84B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103</w:t>
            </w:r>
          </w:p>
        </w:tc>
        <w:tc>
          <w:tcPr>
            <w:tcW w:w="384" w:type="pct"/>
            <w:tcBorders>
              <w:top w:val="nil"/>
              <w:left w:val="nil"/>
              <w:bottom w:val="nil"/>
              <w:right w:val="nil"/>
            </w:tcBorders>
            <w:shd w:val="clear" w:color="auto" w:fill="auto"/>
            <w:vAlign w:val="center"/>
            <w:hideMark/>
          </w:tcPr>
          <w:p w14:paraId="3C95BAB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13</w:t>
            </w:r>
          </w:p>
        </w:tc>
        <w:tc>
          <w:tcPr>
            <w:tcW w:w="275" w:type="pct"/>
            <w:tcBorders>
              <w:top w:val="nil"/>
              <w:left w:val="nil"/>
              <w:bottom w:val="nil"/>
              <w:right w:val="nil"/>
            </w:tcBorders>
            <w:shd w:val="clear" w:color="auto" w:fill="auto"/>
            <w:vAlign w:val="center"/>
            <w:hideMark/>
          </w:tcPr>
          <w:p w14:paraId="5728E9B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vAlign w:val="center"/>
            <w:hideMark/>
          </w:tcPr>
          <w:p w14:paraId="579A757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26</w:t>
            </w:r>
          </w:p>
        </w:tc>
        <w:tc>
          <w:tcPr>
            <w:tcW w:w="486" w:type="pct"/>
            <w:tcBorders>
              <w:top w:val="nil"/>
              <w:left w:val="nil"/>
              <w:bottom w:val="nil"/>
              <w:right w:val="nil"/>
            </w:tcBorders>
            <w:shd w:val="clear" w:color="auto" w:fill="auto"/>
            <w:vAlign w:val="center"/>
            <w:hideMark/>
          </w:tcPr>
          <w:p w14:paraId="5B98E5E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188</w:t>
            </w:r>
          </w:p>
        </w:tc>
        <w:tc>
          <w:tcPr>
            <w:tcW w:w="493" w:type="pct"/>
            <w:tcBorders>
              <w:top w:val="nil"/>
              <w:left w:val="nil"/>
              <w:bottom w:val="nil"/>
              <w:right w:val="nil"/>
            </w:tcBorders>
            <w:shd w:val="clear" w:color="auto" w:fill="auto"/>
            <w:vAlign w:val="center"/>
            <w:hideMark/>
          </w:tcPr>
          <w:p w14:paraId="13B8343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5</w:t>
            </w:r>
          </w:p>
        </w:tc>
        <w:tc>
          <w:tcPr>
            <w:tcW w:w="629" w:type="pct"/>
            <w:tcBorders>
              <w:top w:val="nil"/>
              <w:left w:val="nil"/>
              <w:bottom w:val="nil"/>
              <w:right w:val="nil"/>
            </w:tcBorders>
            <w:shd w:val="clear" w:color="auto" w:fill="auto"/>
            <w:vAlign w:val="center"/>
            <w:hideMark/>
          </w:tcPr>
          <w:p w14:paraId="1CB9154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MRI</w:t>
            </w:r>
          </w:p>
        </w:tc>
        <w:tc>
          <w:tcPr>
            <w:tcW w:w="316" w:type="pct"/>
            <w:tcBorders>
              <w:top w:val="nil"/>
              <w:left w:val="nil"/>
              <w:bottom w:val="nil"/>
              <w:right w:val="nil"/>
            </w:tcBorders>
            <w:shd w:val="clear" w:color="auto" w:fill="auto"/>
            <w:vAlign w:val="center"/>
            <w:hideMark/>
          </w:tcPr>
          <w:p w14:paraId="0371133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23FAEC1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r>
      <w:tr w:rsidR="007A62EC" w:rsidRPr="007B37AC" w14:paraId="20B1BA1C" w14:textId="77777777" w:rsidTr="007B37AC">
        <w:trPr>
          <w:trHeight w:val="340"/>
        </w:trPr>
        <w:tc>
          <w:tcPr>
            <w:tcW w:w="1058" w:type="pct"/>
            <w:tcBorders>
              <w:top w:val="nil"/>
              <w:left w:val="nil"/>
              <w:bottom w:val="nil"/>
              <w:right w:val="nil"/>
            </w:tcBorders>
            <w:shd w:val="clear" w:color="auto" w:fill="auto"/>
            <w:vAlign w:val="center"/>
            <w:hideMark/>
          </w:tcPr>
          <w:p w14:paraId="6BF24117" w14:textId="6EC26D63"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PANDEMIC_009</w:t>
            </w:r>
          </w:p>
        </w:tc>
        <w:tc>
          <w:tcPr>
            <w:tcW w:w="350" w:type="pct"/>
            <w:tcBorders>
              <w:top w:val="nil"/>
              <w:left w:val="nil"/>
              <w:bottom w:val="nil"/>
              <w:right w:val="nil"/>
            </w:tcBorders>
            <w:shd w:val="clear" w:color="auto" w:fill="auto"/>
            <w:noWrap/>
            <w:vAlign w:val="bottom"/>
            <w:hideMark/>
          </w:tcPr>
          <w:p w14:paraId="47B7F31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2021</w:t>
            </w:r>
          </w:p>
        </w:tc>
        <w:tc>
          <w:tcPr>
            <w:tcW w:w="350" w:type="pct"/>
            <w:tcBorders>
              <w:top w:val="nil"/>
              <w:left w:val="nil"/>
              <w:bottom w:val="nil"/>
              <w:right w:val="nil"/>
            </w:tcBorders>
            <w:shd w:val="clear" w:color="auto" w:fill="auto"/>
            <w:vAlign w:val="center"/>
            <w:hideMark/>
          </w:tcPr>
          <w:p w14:paraId="3D8BDA9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151</w:t>
            </w:r>
          </w:p>
        </w:tc>
        <w:tc>
          <w:tcPr>
            <w:tcW w:w="384" w:type="pct"/>
            <w:tcBorders>
              <w:top w:val="nil"/>
              <w:left w:val="nil"/>
              <w:bottom w:val="nil"/>
              <w:right w:val="nil"/>
            </w:tcBorders>
            <w:shd w:val="clear" w:color="auto" w:fill="auto"/>
            <w:vAlign w:val="center"/>
            <w:hideMark/>
          </w:tcPr>
          <w:p w14:paraId="394CB90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w:t>
            </w:r>
          </w:p>
        </w:tc>
        <w:tc>
          <w:tcPr>
            <w:tcW w:w="275" w:type="pct"/>
            <w:tcBorders>
              <w:top w:val="nil"/>
              <w:left w:val="nil"/>
              <w:bottom w:val="nil"/>
              <w:right w:val="nil"/>
            </w:tcBorders>
            <w:shd w:val="clear" w:color="auto" w:fill="auto"/>
            <w:vAlign w:val="center"/>
            <w:hideMark/>
          </w:tcPr>
          <w:p w14:paraId="4F631EE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w:t>
            </w:r>
          </w:p>
        </w:tc>
        <w:tc>
          <w:tcPr>
            <w:tcW w:w="384" w:type="pct"/>
            <w:tcBorders>
              <w:top w:val="nil"/>
              <w:left w:val="nil"/>
              <w:bottom w:val="nil"/>
              <w:right w:val="nil"/>
            </w:tcBorders>
            <w:shd w:val="clear" w:color="auto" w:fill="auto"/>
            <w:vAlign w:val="center"/>
            <w:hideMark/>
          </w:tcPr>
          <w:p w14:paraId="28A56A3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39</w:t>
            </w:r>
          </w:p>
        </w:tc>
        <w:tc>
          <w:tcPr>
            <w:tcW w:w="486" w:type="pct"/>
            <w:tcBorders>
              <w:top w:val="nil"/>
              <w:left w:val="nil"/>
              <w:bottom w:val="nil"/>
              <w:right w:val="nil"/>
            </w:tcBorders>
            <w:shd w:val="clear" w:color="auto" w:fill="auto"/>
            <w:vAlign w:val="center"/>
            <w:hideMark/>
          </w:tcPr>
          <w:p w14:paraId="6CE7D7A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186</w:t>
            </w:r>
          </w:p>
        </w:tc>
        <w:tc>
          <w:tcPr>
            <w:tcW w:w="493" w:type="pct"/>
            <w:tcBorders>
              <w:top w:val="nil"/>
              <w:left w:val="nil"/>
              <w:bottom w:val="nil"/>
              <w:right w:val="nil"/>
            </w:tcBorders>
            <w:shd w:val="clear" w:color="auto" w:fill="auto"/>
            <w:vAlign w:val="center"/>
            <w:hideMark/>
          </w:tcPr>
          <w:p w14:paraId="154A0E0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vAlign w:val="center"/>
            <w:hideMark/>
          </w:tcPr>
          <w:p w14:paraId="5509A21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vAlign w:val="center"/>
            <w:hideMark/>
          </w:tcPr>
          <w:p w14:paraId="6D9D6F3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c>
          <w:tcPr>
            <w:tcW w:w="275" w:type="pct"/>
            <w:tcBorders>
              <w:top w:val="nil"/>
              <w:left w:val="nil"/>
              <w:bottom w:val="nil"/>
              <w:right w:val="nil"/>
            </w:tcBorders>
            <w:shd w:val="clear" w:color="auto" w:fill="auto"/>
            <w:vAlign w:val="center"/>
            <w:hideMark/>
          </w:tcPr>
          <w:p w14:paraId="4BC005F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56FC1BA1" w14:textId="77777777" w:rsidTr="007B37AC">
        <w:trPr>
          <w:trHeight w:val="340"/>
        </w:trPr>
        <w:tc>
          <w:tcPr>
            <w:tcW w:w="1058" w:type="pct"/>
            <w:tcBorders>
              <w:top w:val="nil"/>
              <w:left w:val="nil"/>
              <w:bottom w:val="nil"/>
              <w:right w:val="nil"/>
            </w:tcBorders>
            <w:shd w:val="clear" w:color="auto" w:fill="auto"/>
            <w:vAlign w:val="center"/>
            <w:hideMark/>
          </w:tcPr>
          <w:p w14:paraId="5D3D94CB" w14:textId="689087C0"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PANDEMIC_010</w:t>
            </w:r>
          </w:p>
        </w:tc>
        <w:tc>
          <w:tcPr>
            <w:tcW w:w="350" w:type="pct"/>
            <w:tcBorders>
              <w:top w:val="nil"/>
              <w:left w:val="nil"/>
              <w:bottom w:val="nil"/>
              <w:right w:val="nil"/>
            </w:tcBorders>
            <w:shd w:val="clear" w:color="auto" w:fill="auto"/>
            <w:noWrap/>
            <w:vAlign w:val="bottom"/>
            <w:hideMark/>
          </w:tcPr>
          <w:p w14:paraId="1E821AA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2021</w:t>
            </w:r>
          </w:p>
        </w:tc>
        <w:tc>
          <w:tcPr>
            <w:tcW w:w="350" w:type="pct"/>
            <w:tcBorders>
              <w:top w:val="nil"/>
              <w:left w:val="nil"/>
              <w:bottom w:val="nil"/>
              <w:right w:val="nil"/>
            </w:tcBorders>
            <w:shd w:val="clear" w:color="auto" w:fill="auto"/>
            <w:vAlign w:val="center"/>
            <w:hideMark/>
          </w:tcPr>
          <w:p w14:paraId="682BADF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41</w:t>
            </w:r>
          </w:p>
        </w:tc>
        <w:tc>
          <w:tcPr>
            <w:tcW w:w="384" w:type="pct"/>
            <w:tcBorders>
              <w:top w:val="nil"/>
              <w:left w:val="nil"/>
              <w:bottom w:val="nil"/>
              <w:right w:val="nil"/>
            </w:tcBorders>
            <w:shd w:val="clear" w:color="auto" w:fill="auto"/>
            <w:vAlign w:val="center"/>
            <w:hideMark/>
          </w:tcPr>
          <w:p w14:paraId="6EBDF3A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18</w:t>
            </w:r>
          </w:p>
        </w:tc>
        <w:tc>
          <w:tcPr>
            <w:tcW w:w="275" w:type="pct"/>
            <w:tcBorders>
              <w:top w:val="nil"/>
              <w:left w:val="nil"/>
              <w:bottom w:val="nil"/>
              <w:right w:val="nil"/>
            </w:tcBorders>
            <w:shd w:val="clear" w:color="auto" w:fill="auto"/>
            <w:vAlign w:val="center"/>
            <w:hideMark/>
          </w:tcPr>
          <w:p w14:paraId="0838875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vAlign w:val="center"/>
            <w:hideMark/>
          </w:tcPr>
          <w:p w14:paraId="7BABCC7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35</w:t>
            </w:r>
          </w:p>
        </w:tc>
        <w:tc>
          <w:tcPr>
            <w:tcW w:w="486" w:type="pct"/>
            <w:tcBorders>
              <w:top w:val="nil"/>
              <w:left w:val="nil"/>
              <w:bottom w:val="nil"/>
              <w:right w:val="nil"/>
            </w:tcBorders>
            <w:shd w:val="clear" w:color="auto" w:fill="auto"/>
            <w:vAlign w:val="center"/>
            <w:hideMark/>
          </w:tcPr>
          <w:p w14:paraId="08D0119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532</w:t>
            </w:r>
          </w:p>
        </w:tc>
        <w:tc>
          <w:tcPr>
            <w:tcW w:w="493" w:type="pct"/>
            <w:tcBorders>
              <w:top w:val="nil"/>
              <w:left w:val="nil"/>
              <w:bottom w:val="nil"/>
              <w:right w:val="nil"/>
            </w:tcBorders>
            <w:shd w:val="clear" w:color="auto" w:fill="auto"/>
            <w:vAlign w:val="center"/>
            <w:hideMark/>
          </w:tcPr>
          <w:p w14:paraId="313F298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w:t>
            </w:r>
          </w:p>
        </w:tc>
        <w:tc>
          <w:tcPr>
            <w:tcW w:w="629" w:type="pct"/>
            <w:tcBorders>
              <w:top w:val="nil"/>
              <w:left w:val="nil"/>
              <w:bottom w:val="nil"/>
              <w:right w:val="nil"/>
            </w:tcBorders>
            <w:shd w:val="clear" w:color="auto" w:fill="auto"/>
            <w:vAlign w:val="center"/>
            <w:hideMark/>
          </w:tcPr>
          <w:p w14:paraId="5F28831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vAlign w:val="center"/>
            <w:hideMark/>
          </w:tcPr>
          <w:p w14:paraId="303B11C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23</w:t>
            </w:r>
          </w:p>
        </w:tc>
        <w:tc>
          <w:tcPr>
            <w:tcW w:w="275" w:type="pct"/>
            <w:tcBorders>
              <w:top w:val="nil"/>
              <w:left w:val="nil"/>
              <w:bottom w:val="nil"/>
              <w:right w:val="nil"/>
            </w:tcBorders>
            <w:shd w:val="clear" w:color="auto" w:fill="auto"/>
            <w:vAlign w:val="center"/>
            <w:hideMark/>
          </w:tcPr>
          <w:p w14:paraId="6524FC9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52F782B3" w14:textId="77777777" w:rsidTr="007B37AC">
        <w:trPr>
          <w:trHeight w:val="340"/>
        </w:trPr>
        <w:tc>
          <w:tcPr>
            <w:tcW w:w="1058" w:type="pct"/>
            <w:tcBorders>
              <w:top w:val="nil"/>
              <w:left w:val="nil"/>
              <w:bottom w:val="nil"/>
              <w:right w:val="nil"/>
            </w:tcBorders>
            <w:shd w:val="clear" w:color="auto" w:fill="auto"/>
            <w:vAlign w:val="center"/>
            <w:hideMark/>
          </w:tcPr>
          <w:p w14:paraId="20BCCE5A" w14:textId="2FD2B411"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PANDEMIC_011</w:t>
            </w:r>
          </w:p>
        </w:tc>
        <w:tc>
          <w:tcPr>
            <w:tcW w:w="350" w:type="pct"/>
            <w:tcBorders>
              <w:top w:val="nil"/>
              <w:left w:val="nil"/>
              <w:bottom w:val="nil"/>
              <w:right w:val="nil"/>
            </w:tcBorders>
            <w:shd w:val="clear" w:color="auto" w:fill="auto"/>
            <w:noWrap/>
            <w:vAlign w:val="bottom"/>
            <w:hideMark/>
          </w:tcPr>
          <w:p w14:paraId="0645048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2021</w:t>
            </w:r>
          </w:p>
        </w:tc>
        <w:tc>
          <w:tcPr>
            <w:tcW w:w="350" w:type="pct"/>
            <w:tcBorders>
              <w:top w:val="nil"/>
              <w:left w:val="nil"/>
              <w:bottom w:val="nil"/>
              <w:right w:val="nil"/>
            </w:tcBorders>
            <w:shd w:val="clear" w:color="auto" w:fill="auto"/>
            <w:vAlign w:val="center"/>
            <w:hideMark/>
          </w:tcPr>
          <w:p w14:paraId="2666C89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568</w:t>
            </w:r>
          </w:p>
        </w:tc>
        <w:tc>
          <w:tcPr>
            <w:tcW w:w="384" w:type="pct"/>
            <w:tcBorders>
              <w:top w:val="nil"/>
              <w:left w:val="nil"/>
              <w:bottom w:val="nil"/>
              <w:right w:val="nil"/>
            </w:tcBorders>
            <w:shd w:val="clear" w:color="auto" w:fill="auto"/>
            <w:vAlign w:val="center"/>
            <w:hideMark/>
          </w:tcPr>
          <w:p w14:paraId="5029BA6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13</w:t>
            </w:r>
          </w:p>
        </w:tc>
        <w:tc>
          <w:tcPr>
            <w:tcW w:w="275" w:type="pct"/>
            <w:tcBorders>
              <w:top w:val="nil"/>
              <w:left w:val="nil"/>
              <w:bottom w:val="nil"/>
              <w:right w:val="nil"/>
            </w:tcBorders>
            <w:shd w:val="clear" w:color="auto" w:fill="auto"/>
            <w:vAlign w:val="center"/>
            <w:hideMark/>
          </w:tcPr>
          <w:p w14:paraId="6BE08C5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vAlign w:val="center"/>
            <w:hideMark/>
          </w:tcPr>
          <w:p w14:paraId="20756CD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143</w:t>
            </w:r>
          </w:p>
        </w:tc>
        <w:tc>
          <w:tcPr>
            <w:tcW w:w="486" w:type="pct"/>
            <w:tcBorders>
              <w:top w:val="nil"/>
              <w:left w:val="nil"/>
              <w:bottom w:val="nil"/>
              <w:right w:val="nil"/>
            </w:tcBorders>
            <w:shd w:val="clear" w:color="auto" w:fill="auto"/>
            <w:vAlign w:val="center"/>
            <w:hideMark/>
          </w:tcPr>
          <w:p w14:paraId="53DCDEE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129</w:t>
            </w:r>
          </w:p>
        </w:tc>
        <w:tc>
          <w:tcPr>
            <w:tcW w:w="493" w:type="pct"/>
            <w:tcBorders>
              <w:top w:val="nil"/>
              <w:left w:val="nil"/>
              <w:bottom w:val="nil"/>
              <w:right w:val="nil"/>
            </w:tcBorders>
            <w:shd w:val="clear" w:color="auto" w:fill="auto"/>
            <w:vAlign w:val="center"/>
            <w:hideMark/>
          </w:tcPr>
          <w:p w14:paraId="5B600E3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18</w:t>
            </w:r>
          </w:p>
        </w:tc>
        <w:tc>
          <w:tcPr>
            <w:tcW w:w="629" w:type="pct"/>
            <w:tcBorders>
              <w:top w:val="nil"/>
              <w:left w:val="nil"/>
              <w:bottom w:val="nil"/>
              <w:right w:val="nil"/>
            </w:tcBorders>
            <w:shd w:val="clear" w:color="auto" w:fill="auto"/>
            <w:vAlign w:val="center"/>
            <w:hideMark/>
          </w:tcPr>
          <w:p w14:paraId="0F0F67E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vAlign w:val="center"/>
            <w:hideMark/>
          </w:tcPr>
          <w:p w14:paraId="5D1284D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35</w:t>
            </w:r>
          </w:p>
        </w:tc>
        <w:tc>
          <w:tcPr>
            <w:tcW w:w="275" w:type="pct"/>
            <w:tcBorders>
              <w:top w:val="nil"/>
              <w:left w:val="nil"/>
              <w:bottom w:val="nil"/>
              <w:right w:val="nil"/>
            </w:tcBorders>
            <w:shd w:val="clear" w:color="auto" w:fill="auto"/>
            <w:vAlign w:val="center"/>
            <w:hideMark/>
          </w:tcPr>
          <w:p w14:paraId="2A7E866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5</w:t>
            </w:r>
          </w:p>
        </w:tc>
      </w:tr>
      <w:tr w:rsidR="007A62EC" w:rsidRPr="007B37AC" w14:paraId="5CF9E220" w14:textId="77777777" w:rsidTr="007B37AC">
        <w:trPr>
          <w:trHeight w:val="340"/>
        </w:trPr>
        <w:tc>
          <w:tcPr>
            <w:tcW w:w="1058" w:type="pct"/>
            <w:tcBorders>
              <w:top w:val="nil"/>
              <w:left w:val="nil"/>
              <w:bottom w:val="nil"/>
              <w:right w:val="nil"/>
            </w:tcBorders>
            <w:shd w:val="clear" w:color="auto" w:fill="auto"/>
            <w:vAlign w:val="center"/>
            <w:hideMark/>
          </w:tcPr>
          <w:p w14:paraId="7C5DDFF8" w14:textId="20422B72"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PANDEMIC_012</w:t>
            </w:r>
          </w:p>
        </w:tc>
        <w:tc>
          <w:tcPr>
            <w:tcW w:w="350" w:type="pct"/>
            <w:tcBorders>
              <w:top w:val="nil"/>
              <w:left w:val="nil"/>
              <w:bottom w:val="nil"/>
              <w:right w:val="nil"/>
            </w:tcBorders>
            <w:shd w:val="clear" w:color="auto" w:fill="auto"/>
            <w:noWrap/>
            <w:vAlign w:val="bottom"/>
            <w:hideMark/>
          </w:tcPr>
          <w:p w14:paraId="3866303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2021</w:t>
            </w:r>
          </w:p>
        </w:tc>
        <w:tc>
          <w:tcPr>
            <w:tcW w:w="350" w:type="pct"/>
            <w:tcBorders>
              <w:top w:val="nil"/>
              <w:left w:val="nil"/>
              <w:bottom w:val="nil"/>
              <w:right w:val="nil"/>
            </w:tcBorders>
            <w:shd w:val="clear" w:color="auto" w:fill="auto"/>
            <w:vAlign w:val="center"/>
            <w:hideMark/>
          </w:tcPr>
          <w:p w14:paraId="740EA70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458</w:t>
            </w:r>
          </w:p>
        </w:tc>
        <w:tc>
          <w:tcPr>
            <w:tcW w:w="384" w:type="pct"/>
            <w:tcBorders>
              <w:top w:val="nil"/>
              <w:left w:val="nil"/>
              <w:bottom w:val="nil"/>
              <w:right w:val="nil"/>
            </w:tcBorders>
            <w:shd w:val="clear" w:color="auto" w:fill="auto"/>
            <w:vAlign w:val="center"/>
            <w:hideMark/>
          </w:tcPr>
          <w:p w14:paraId="712BA18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30</w:t>
            </w:r>
          </w:p>
        </w:tc>
        <w:tc>
          <w:tcPr>
            <w:tcW w:w="275" w:type="pct"/>
            <w:tcBorders>
              <w:top w:val="nil"/>
              <w:left w:val="nil"/>
              <w:bottom w:val="nil"/>
              <w:right w:val="nil"/>
            </w:tcBorders>
            <w:shd w:val="clear" w:color="auto" w:fill="auto"/>
            <w:vAlign w:val="center"/>
            <w:hideMark/>
          </w:tcPr>
          <w:p w14:paraId="31E058A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vAlign w:val="center"/>
            <w:hideMark/>
          </w:tcPr>
          <w:p w14:paraId="06B53FA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62</w:t>
            </w:r>
          </w:p>
        </w:tc>
        <w:tc>
          <w:tcPr>
            <w:tcW w:w="486" w:type="pct"/>
            <w:tcBorders>
              <w:top w:val="nil"/>
              <w:left w:val="nil"/>
              <w:bottom w:val="nil"/>
              <w:right w:val="nil"/>
            </w:tcBorders>
            <w:shd w:val="clear" w:color="auto" w:fill="auto"/>
            <w:vAlign w:val="center"/>
            <w:hideMark/>
          </w:tcPr>
          <w:p w14:paraId="7257CCB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155</w:t>
            </w:r>
          </w:p>
        </w:tc>
        <w:tc>
          <w:tcPr>
            <w:tcW w:w="493" w:type="pct"/>
            <w:tcBorders>
              <w:top w:val="nil"/>
              <w:left w:val="nil"/>
              <w:bottom w:val="nil"/>
              <w:right w:val="nil"/>
            </w:tcBorders>
            <w:shd w:val="clear" w:color="auto" w:fill="auto"/>
            <w:vAlign w:val="center"/>
            <w:hideMark/>
          </w:tcPr>
          <w:p w14:paraId="2D55B3F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vAlign w:val="center"/>
            <w:hideMark/>
          </w:tcPr>
          <w:p w14:paraId="4BE6E89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vAlign w:val="center"/>
            <w:hideMark/>
          </w:tcPr>
          <w:p w14:paraId="747505F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18</w:t>
            </w:r>
          </w:p>
        </w:tc>
        <w:tc>
          <w:tcPr>
            <w:tcW w:w="275" w:type="pct"/>
            <w:tcBorders>
              <w:top w:val="nil"/>
              <w:left w:val="nil"/>
              <w:bottom w:val="nil"/>
              <w:right w:val="nil"/>
            </w:tcBorders>
            <w:shd w:val="clear" w:color="auto" w:fill="auto"/>
            <w:vAlign w:val="center"/>
            <w:hideMark/>
          </w:tcPr>
          <w:p w14:paraId="48721E1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79AED542" w14:textId="77777777" w:rsidTr="007B37AC">
        <w:trPr>
          <w:trHeight w:val="340"/>
        </w:trPr>
        <w:tc>
          <w:tcPr>
            <w:tcW w:w="1058" w:type="pct"/>
            <w:tcBorders>
              <w:top w:val="nil"/>
              <w:left w:val="nil"/>
              <w:bottom w:val="nil"/>
              <w:right w:val="nil"/>
            </w:tcBorders>
            <w:shd w:val="clear" w:color="auto" w:fill="auto"/>
            <w:vAlign w:val="center"/>
            <w:hideMark/>
          </w:tcPr>
          <w:p w14:paraId="7964CA2D" w14:textId="26CA6051"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PANDEMIC_013</w:t>
            </w:r>
          </w:p>
        </w:tc>
        <w:tc>
          <w:tcPr>
            <w:tcW w:w="350" w:type="pct"/>
            <w:tcBorders>
              <w:top w:val="nil"/>
              <w:left w:val="nil"/>
              <w:bottom w:val="nil"/>
              <w:right w:val="nil"/>
            </w:tcBorders>
            <w:shd w:val="clear" w:color="auto" w:fill="auto"/>
            <w:noWrap/>
            <w:vAlign w:val="bottom"/>
            <w:hideMark/>
          </w:tcPr>
          <w:p w14:paraId="2AAD176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2021</w:t>
            </w:r>
          </w:p>
        </w:tc>
        <w:tc>
          <w:tcPr>
            <w:tcW w:w="350" w:type="pct"/>
            <w:tcBorders>
              <w:top w:val="nil"/>
              <w:left w:val="nil"/>
              <w:bottom w:val="nil"/>
              <w:right w:val="nil"/>
            </w:tcBorders>
            <w:shd w:val="clear" w:color="auto" w:fill="auto"/>
            <w:vAlign w:val="center"/>
            <w:hideMark/>
          </w:tcPr>
          <w:p w14:paraId="0F83540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340</w:t>
            </w:r>
          </w:p>
        </w:tc>
        <w:tc>
          <w:tcPr>
            <w:tcW w:w="384" w:type="pct"/>
            <w:tcBorders>
              <w:top w:val="nil"/>
              <w:left w:val="nil"/>
              <w:bottom w:val="nil"/>
              <w:right w:val="nil"/>
            </w:tcBorders>
            <w:shd w:val="clear" w:color="auto" w:fill="auto"/>
            <w:vAlign w:val="center"/>
            <w:hideMark/>
          </w:tcPr>
          <w:p w14:paraId="3C3AD16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21</w:t>
            </w:r>
          </w:p>
        </w:tc>
        <w:tc>
          <w:tcPr>
            <w:tcW w:w="275" w:type="pct"/>
            <w:tcBorders>
              <w:top w:val="nil"/>
              <w:left w:val="nil"/>
              <w:bottom w:val="nil"/>
              <w:right w:val="nil"/>
            </w:tcBorders>
            <w:shd w:val="clear" w:color="auto" w:fill="auto"/>
            <w:vAlign w:val="center"/>
            <w:hideMark/>
          </w:tcPr>
          <w:p w14:paraId="377F4B5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w:t>
            </w:r>
          </w:p>
        </w:tc>
        <w:tc>
          <w:tcPr>
            <w:tcW w:w="384" w:type="pct"/>
            <w:tcBorders>
              <w:top w:val="nil"/>
              <w:left w:val="nil"/>
              <w:bottom w:val="nil"/>
              <w:right w:val="nil"/>
            </w:tcBorders>
            <w:shd w:val="clear" w:color="auto" w:fill="auto"/>
            <w:vAlign w:val="center"/>
            <w:hideMark/>
          </w:tcPr>
          <w:p w14:paraId="297AC91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90</w:t>
            </w:r>
          </w:p>
        </w:tc>
        <w:tc>
          <w:tcPr>
            <w:tcW w:w="486" w:type="pct"/>
            <w:tcBorders>
              <w:top w:val="nil"/>
              <w:left w:val="nil"/>
              <w:bottom w:val="nil"/>
              <w:right w:val="nil"/>
            </w:tcBorders>
            <w:shd w:val="clear" w:color="auto" w:fill="auto"/>
            <w:vAlign w:val="center"/>
            <w:hideMark/>
          </w:tcPr>
          <w:p w14:paraId="6681217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141</w:t>
            </w:r>
          </w:p>
        </w:tc>
        <w:tc>
          <w:tcPr>
            <w:tcW w:w="493" w:type="pct"/>
            <w:tcBorders>
              <w:top w:val="nil"/>
              <w:left w:val="nil"/>
              <w:bottom w:val="nil"/>
              <w:right w:val="nil"/>
            </w:tcBorders>
            <w:shd w:val="clear" w:color="auto" w:fill="auto"/>
            <w:vAlign w:val="center"/>
            <w:hideMark/>
          </w:tcPr>
          <w:p w14:paraId="02EDAF3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12</w:t>
            </w:r>
          </w:p>
        </w:tc>
        <w:tc>
          <w:tcPr>
            <w:tcW w:w="629" w:type="pct"/>
            <w:tcBorders>
              <w:top w:val="nil"/>
              <w:left w:val="nil"/>
              <w:bottom w:val="nil"/>
              <w:right w:val="nil"/>
            </w:tcBorders>
            <w:shd w:val="clear" w:color="auto" w:fill="auto"/>
            <w:vAlign w:val="center"/>
            <w:hideMark/>
          </w:tcPr>
          <w:p w14:paraId="7367BAC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vAlign w:val="center"/>
            <w:hideMark/>
          </w:tcPr>
          <w:p w14:paraId="6D75506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32</w:t>
            </w:r>
          </w:p>
        </w:tc>
        <w:tc>
          <w:tcPr>
            <w:tcW w:w="275" w:type="pct"/>
            <w:tcBorders>
              <w:top w:val="nil"/>
              <w:left w:val="nil"/>
              <w:bottom w:val="nil"/>
              <w:right w:val="nil"/>
            </w:tcBorders>
            <w:shd w:val="clear" w:color="auto" w:fill="auto"/>
            <w:vAlign w:val="center"/>
            <w:hideMark/>
          </w:tcPr>
          <w:p w14:paraId="489AE77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2350FB1E" w14:textId="77777777" w:rsidTr="007B37AC">
        <w:trPr>
          <w:trHeight w:val="340"/>
        </w:trPr>
        <w:tc>
          <w:tcPr>
            <w:tcW w:w="1058" w:type="pct"/>
            <w:tcBorders>
              <w:top w:val="nil"/>
              <w:left w:val="nil"/>
              <w:bottom w:val="nil"/>
              <w:right w:val="nil"/>
            </w:tcBorders>
            <w:shd w:val="clear" w:color="auto" w:fill="auto"/>
            <w:vAlign w:val="center"/>
            <w:hideMark/>
          </w:tcPr>
          <w:p w14:paraId="4338500B" w14:textId="2345507E"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PANDEMIC_014</w:t>
            </w:r>
          </w:p>
        </w:tc>
        <w:tc>
          <w:tcPr>
            <w:tcW w:w="350" w:type="pct"/>
            <w:tcBorders>
              <w:top w:val="nil"/>
              <w:left w:val="nil"/>
              <w:bottom w:val="nil"/>
              <w:right w:val="nil"/>
            </w:tcBorders>
            <w:shd w:val="clear" w:color="auto" w:fill="auto"/>
            <w:noWrap/>
            <w:vAlign w:val="bottom"/>
            <w:hideMark/>
          </w:tcPr>
          <w:p w14:paraId="626394A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2021</w:t>
            </w:r>
          </w:p>
        </w:tc>
        <w:tc>
          <w:tcPr>
            <w:tcW w:w="350" w:type="pct"/>
            <w:tcBorders>
              <w:top w:val="nil"/>
              <w:left w:val="nil"/>
              <w:bottom w:val="nil"/>
              <w:right w:val="nil"/>
            </w:tcBorders>
            <w:shd w:val="clear" w:color="auto" w:fill="auto"/>
            <w:vAlign w:val="center"/>
            <w:hideMark/>
          </w:tcPr>
          <w:p w14:paraId="4C87344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302</w:t>
            </w:r>
          </w:p>
        </w:tc>
        <w:tc>
          <w:tcPr>
            <w:tcW w:w="384" w:type="pct"/>
            <w:tcBorders>
              <w:top w:val="nil"/>
              <w:left w:val="nil"/>
              <w:bottom w:val="nil"/>
              <w:right w:val="nil"/>
            </w:tcBorders>
            <w:shd w:val="clear" w:color="auto" w:fill="auto"/>
            <w:vAlign w:val="center"/>
            <w:hideMark/>
          </w:tcPr>
          <w:p w14:paraId="79EEA43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26</w:t>
            </w:r>
          </w:p>
        </w:tc>
        <w:tc>
          <w:tcPr>
            <w:tcW w:w="275" w:type="pct"/>
            <w:tcBorders>
              <w:top w:val="nil"/>
              <w:left w:val="nil"/>
              <w:bottom w:val="nil"/>
              <w:right w:val="nil"/>
            </w:tcBorders>
            <w:shd w:val="clear" w:color="auto" w:fill="auto"/>
            <w:vAlign w:val="center"/>
            <w:hideMark/>
          </w:tcPr>
          <w:p w14:paraId="531E08C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vAlign w:val="center"/>
            <w:hideMark/>
          </w:tcPr>
          <w:p w14:paraId="4243827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47</w:t>
            </w:r>
          </w:p>
        </w:tc>
        <w:tc>
          <w:tcPr>
            <w:tcW w:w="486" w:type="pct"/>
            <w:tcBorders>
              <w:top w:val="nil"/>
              <w:left w:val="nil"/>
              <w:bottom w:val="nil"/>
              <w:right w:val="nil"/>
            </w:tcBorders>
            <w:shd w:val="clear" w:color="auto" w:fill="auto"/>
            <w:vAlign w:val="center"/>
            <w:hideMark/>
          </w:tcPr>
          <w:p w14:paraId="32F04C8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113</w:t>
            </w:r>
          </w:p>
        </w:tc>
        <w:tc>
          <w:tcPr>
            <w:tcW w:w="493" w:type="pct"/>
            <w:tcBorders>
              <w:top w:val="nil"/>
              <w:left w:val="nil"/>
              <w:bottom w:val="nil"/>
              <w:right w:val="nil"/>
            </w:tcBorders>
            <w:shd w:val="clear" w:color="auto" w:fill="auto"/>
            <w:vAlign w:val="center"/>
            <w:hideMark/>
          </w:tcPr>
          <w:p w14:paraId="47B5575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23</w:t>
            </w:r>
          </w:p>
        </w:tc>
        <w:tc>
          <w:tcPr>
            <w:tcW w:w="629" w:type="pct"/>
            <w:tcBorders>
              <w:top w:val="nil"/>
              <w:left w:val="nil"/>
              <w:bottom w:val="nil"/>
              <w:right w:val="nil"/>
            </w:tcBorders>
            <w:shd w:val="clear" w:color="auto" w:fill="auto"/>
            <w:vAlign w:val="center"/>
            <w:hideMark/>
          </w:tcPr>
          <w:p w14:paraId="12E5C06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vAlign w:val="center"/>
            <w:hideMark/>
          </w:tcPr>
          <w:p w14:paraId="1313616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26</w:t>
            </w:r>
          </w:p>
        </w:tc>
        <w:tc>
          <w:tcPr>
            <w:tcW w:w="275" w:type="pct"/>
            <w:tcBorders>
              <w:top w:val="nil"/>
              <w:left w:val="nil"/>
              <w:bottom w:val="nil"/>
              <w:right w:val="nil"/>
            </w:tcBorders>
            <w:shd w:val="clear" w:color="auto" w:fill="auto"/>
            <w:vAlign w:val="center"/>
            <w:hideMark/>
          </w:tcPr>
          <w:p w14:paraId="698B628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53E90248" w14:textId="77777777" w:rsidTr="007B37AC">
        <w:trPr>
          <w:trHeight w:val="340"/>
        </w:trPr>
        <w:tc>
          <w:tcPr>
            <w:tcW w:w="1058" w:type="pct"/>
            <w:tcBorders>
              <w:top w:val="nil"/>
              <w:left w:val="nil"/>
              <w:bottom w:val="nil"/>
              <w:right w:val="nil"/>
            </w:tcBorders>
            <w:shd w:val="clear" w:color="auto" w:fill="auto"/>
            <w:vAlign w:val="center"/>
            <w:hideMark/>
          </w:tcPr>
          <w:p w14:paraId="74BE6857" w14:textId="37DDC3BC"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PANDEMIC_015</w:t>
            </w:r>
          </w:p>
        </w:tc>
        <w:tc>
          <w:tcPr>
            <w:tcW w:w="350" w:type="pct"/>
            <w:tcBorders>
              <w:top w:val="nil"/>
              <w:left w:val="nil"/>
              <w:bottom w:val="nil"/>
              <w:right w:val="nil"/>
            </w:tcBorders>
            <w:shd w:val="clear" w:color="auto" w:fill="auto"/>
            <w:noWrap/>
            <w:vAlign w:val="bottom"/>
            <w:hideMark/>
          </w:tcPr>
          <w:p w14:paraId="47B5C58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2021</w:t>
            </w:r>
          </w:p>
        </w:tc>
        <w:tc>
          <w:tcPr>
            <w:tcW w:w="350" w:type="pct"/>
            <w:tcBorders>
              <w:top w:val="nil"/>
              <w:left w:val="nil"/>
              <w:bottom w:val="nil"/>
              <w:right w:val="nil"/>
            </w:tcBorders>
            <w:shd w:val="clear" w:color="auto" w:fill="auto"/>
            <w:vAlign w:val="center"/>
            <w:hideMark/>
          </w:tcPr>
          <w:p w14:paraId="2A81CE3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345</w:t>
            </w:r>
          </w:p>
        </w:tc>
        <w:tc>
          <w:tcPr>
            <w:tcW w:w="384" w:type="pct"/>
            <w:tcBorders>
              <w:top w:val="nil"/>
              <w:left w:val="nil"/>
              <w:bottom w:val="nil"/>
              <w:right w:val="nil"/>
            </w:tcBorders>
            <w:shd w:val="clear" w:color="auto" w:fill="auto"/>
            <w:vAlign w:val="center"/>
            <w:hideMark/>
          </w:tcPr>
          <w:p w14:paraId="50D2101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21</w:t>
            </w:r>
          </w:p>
        </w:tc>
        <w:tc>
          <w:tcPr>
            <w:tcW w:w="275" w:type="pct"/>
            <w:tcBorders>
              <w:top w:val="nil"/>
              <w:left w:val="nil"/>
              <w:bottom w:val="nil"/>
              <w:right w:val="nil"/>
            </w:tcBorders>
            <w:shd w:val="clear" w:color="auto" w:fill="auto"/>
            <w:vAlign w:val="center"/>
            <w:hideMark/>
          </w:tcPr>
          <w:p w14:paraId="25C02DF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vAlign w:val="center"/>
            <w:hideMark/>
          </w:tcPr>
          <w:p w14:paraId="58AFBD2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115</w:t>
            </w:r>
          </w:p>
        </w:tc>
        <w:tc>
          <w:tcPr>
            <w:tcW w:w="486" w:type="pct"/>
            <w:tcBorders>
              <w:top w:val="nil"/>
              <w:left w:val="nil"/>
              <w:bottom w:val="nil"/>
              <w:right w:val="nil"/>
            </w:tcBorders>
            <w:shd w:val="clear" w:color="auto" w:fill="auto"/>
            <w:vAlign w:val="center"/>
            <w:hideMark/>
          </w:tcPr>
          <w:p w14:paraId="68F9A23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103</w:t>
            </w:r>
          </w:p>
        </w:tc>
        <w:tc>
          <w:tcPr>
            <w:tcW w:w="493" w:type="pct"/>
            <w:tcBorders>
              <w:top w:val="nil"/>
              <w:left w:val="nil"/>
              <w:bottom w:val="nil"/>
              <w:right w:val="nil"/>
            </w:tcBorders>
            <w:shd w:val="clear" w:color="auto" w:fill="auto"/>
            <w:vAlign w:val="center"/>
            <w:hideMark/>
          </w:tcPr>
          <w:p w14:paraId="4BD118A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10</w:t>
            </w:r>
          </w:p>
        </w:tc>
        <w:tc>
          <w:tcPr>
            <w:tcW w:w="629" w:type="pct"/>
            <w:tcBorders>
              <w:top w:val="nil"/>
              <w:left w:val="nil"/>
              <w:bottom w:val="nil"/>
              <w:right w:val="nil"/>
            </w:tcBorders>
            <w:shd w:val="clear" w:color="auto" w:fill="auto"/>
            <w:vAlign w:val="center"/>
            <w:hideMark/>
          </w:tcPr>
          <w:p w14:paraId="2FAAD3F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vAlign w:val="center"/>
            <w:hideMark/>
          </w:tcPr>
          <w:p w14:paraId="4792B81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26</w:t>
            </w:r>
          </w:p>
        </w:tc>
        <w:tc>
          <w:tcPr>
            <w:tcW w:w="275" w:type="pct"/>
            <w:tcBorders>
              <w:top w:val="nil"/>
              <w:left w:val="nil"/>
              <w:bottom w:val="nil"/>
              <w:right w:val="nil"/>
            </w:tcBorders>
            <w:shd w:val="clear" w:color="auto" w:fill="auto"/>
            <w:vAlign w:val="center"/>
            <w:hideMark/>
          </w:tcPr>
          <w:p w14:paraId="62AE4DB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r>
      <w:tr w:rsidR="007A62EC" w:rsidRPr="007B37AC" w14:paraId="63F0DC9F" w14:textId="77777777" w:rsidTr="007B37AC">
        <w:trPr>
          <w:trHeight w:val="340"/>
        </w:trPr>
        <w:tc>
          <w:tcPr>
            <w:tcW w:w="1058" w:type="pct"/>
            <w:tcBorders>
              <w:top w:val="nil"/>
              <w:left w:val="nil"/>
              <w:bottom w:val="nil"/>
              <w:right w:val="nil"/>
            </w:tcBorders>
            <w:shd w:val="clear" w:color="auto" w:fill="auto"/>
            <w:vAlign w:val="center"/>
            <w:hideMark/>
          </w:tcPr>
          <w:p w14:paraId="2D096DF5" w14:textId="22D2BAD0"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PANDEMIC_016</w:t>
            </w:r>
          </w:p>
        </w:tc>
        <w:tc>
          <w:tcPr>
            <w:tcW w:w="350" w:type="pct"/>
            <w:tcBorders>
              <w:top w:val="nil"/>
              <w:left w:val="nil"/>
              <w:bottom w:val="nil"/>
              <w:right w:val="nil"/>
            </w:tcBorders>
            <w:shd w:val="clear" w:color="auto" w:fill="auto"/>
            <w:noWrap/>
            <w:vAlign w:val="bottom"/>
            <w:hideMark/>
          </w:tcPr>
          <w:p w14:paraId="5DCC15C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2021</w:t>
            </w:r>
          </w:p>
        </w:tc>
        <w:tc>
          <w:tcPr>
            <w:tcW w:w="350" w:type="pct"/>
            <w:tcBorders>
              <w:top w:val="nil"/>
              <w:left w:val="nil"/>
              <w:bottom w:val="nil"/>
              <w:right w:val="nil"/>
            </w:tcBorders>
            <w:shd w:val="clear" w:color="auto" w:fill="auto"/>
            <w:vAlign w:val="center"/>
            <w:hideMark/>
          </w:tcPr>
          <w:p w14:paraId="35BDD1B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414</w:t>
            </w:r>
          </w:p>
        </w:tc>
        <w:tc>
          <w:tcPr>
            <w:tcW w:w="384" w:type="pct"/>
            <w:tcBorders>
              <w:top w:val="nil"/>
              <w:left w:val="nil"/>
              <w:bottom w:val="nil"/>
              <w:right w:val="nil"/>
            </w:tcBorders>
            <w:shd w:val="clear" w:color="auto" w:fill="auto"/>
            <w:vAlign w:val="center"/>
            <w:hideMark/>
          </w:tcPr>
          <w:p w14:paraId="4E228CA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19</w:t>
            </w:r>
          </w:p>
        </w:tc>
        <w:tc>
          <w:tcPr>
            <w:tcW w:w="275" w:type="pct"/>
            <w:tcBorders>
              <w:top w:val="nil"/>
              <w:left w:val="nil"/>
              <w:bottom w:val="nil"/>
              <w:right w:val="nil"/>
            </w:tcBorders>
            <w:shd w:val="clear" w:color="auto" w:fill="auto"/>
            <w:vAlign w:val="center"/>
            <w:hideMark/>
          </w:tcPr>
          <w:p w14:paraId="1E7BC21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w:t>
            </w:r>
          </w:p>
        </w:tc>
        <w:tc>
          <w:tcPr>
            <w:tcW w:w="384" w:type="pct"/>
            <w:tcBorders>
              <w:top w:val="nil"/>
              <w:left w:val="nil"/>
              <w:bottom w:val="nil"/>
              <w:right w:val="nil"/>
            </w:tcBorders>
            <w:shd w:val="clear" w:color="auto" w:fill="auto"/>
            <w:vAlign w:val="center"/>
            <w:hideMark/>
          </w:tcPr>
          <w:p w14:paraId="0CD1756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30</w:t>
            </w:r>
          </w:p>
        </w:tc>
        <w:tc>
          <w:tcPr>
            <w:tcW w:w="486" w:type="pct"/>
            <w:tcBorders>
              <w:top w:val="nil"/>
              <w:left w:val="nil"/>
              <w:bottom w:val="nil"/>
              <w:right w:val="nil"/>
            </w:tcBorders>
            <w:shd w:val="clear" w:color="auto" w:fill="auto"/>
            <w:vAlign w:val="center"/>
            <w:hideMark/>
          </w:tcPr>
          <w:p w14:paraId="5A92893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127</w:t>
            </w:r>
          </w:p>
        </w:tc>
        <w:tc>
          <w:tcPr>
            <w:tcW w:w="493" w:type="pct"/>
            <w:tcBorders>
              <w:top w:val="nil"/>
              <w:left w:val="nil"/>
              <w:bottom w:val="nil"/>
              <w:right w:val="nil"/>
            </w:tcBorders>
            <w:shd w:val="clear" w:color="auto" w:fill="auto"/>
            <w:vAlign w:val="center"/>
            <w:hideMark/>
          </w:tcPr>
          <w:p w14:paraId="42A82DF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35</w:t>
            </w:r>
          </w:p>
        </w:tc>
        <w:tc>
          <w:tcPr>
            <w:tcW w:w="629" w:type="pct"/>
            <w:tcBorders>
              <w:top w:val="nil"/>
              <w:left w:val="nil"/>
              <w:bottom w:val="nil"/>
              <w:right w:val="nil"/>
            </w:tcBorders>
            <w:shd w:val="clear" w:color="auto" w:fill="auto"/>
            <w:vAlign w:val="center"/>
            <w:hideMark/>
          </w:tcPr>
          <w:p w14:paraId="48F96FF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vAlign w:val="center"/>
            <w:hideMark/>
          </w:tcPr>
          <w:p w14:paraId="244A53B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c>
          <w:tcPr>
            <w:tcW w:w="275" w:type="pct"/>
            <w:tcBorders>
              <w:top w:val="nil"/>
              <w:left w:val="nil"/>
              <w:bottom w:val="nil"/>
              <w:right w:val="nil"/>
            </w:tcBorders>
            <w:shd w:val="clear" w:color="auto" w:fill="auto"/>
            <w:vAlign w:val="center"/>
            <w:hideMark/>
          </w:tcPr>
          <w:p w14:paraId="527B6C2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66168298" w14:textId="77777777" w:rsidTr="007B37AC">
        <w:trPr>
          <w:trHeight w:val="340"/>
        </w:trPr>
        <w:tc>
          <w:tcPr>
            <w:tcW w:w="1058" w:type="pct"/>
            <w:tcBorders>
              <w:top w:val="nil"/>
              <w:left w:val="nil"/>
              <w:bottom w:val="nil"/>
              <w:right w:val="nil"/>
            </w:tcBorders>
            <w:shd w:val="clear" w:color="auto" w:fill="auto"/>
            <w:vAlign w:val="center"/>
            <w:hideMark/>
          </w:tcPr>
          <w:p w14:paraId="2A4CB267" w14:textId="2ED8730E"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PANDEMIC_017</w:t>
            </w:r>
          </w:p>
        </w:tc>
        <w:tc>
          <w:tcPr>
            <w:tcW w:w="350" w:type="pct"/>
            <w:tcBorders>
              <w:top w:val="nil"/>
              <w:left w:val="nil"/>
              <w:bottom w:val="nil"/>
              <w:right w:val="nil"/>
            </w:tcBorders>
            <w:shd w:val="clear" w:color="auto" w:fill="auto"/>
            <w:noWrap/>
            <w:vAlign w:val="bottom"/>
            <w:hideMark/>
          </w:tcPr>
          <w:p w14:paraId="5B64EFC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2021</w:t>
            </w:r>
          </w:p>
        </w:tc>
        <w:tc>
          <w:tcPr>
            <w:tcW w:w="350" w:type="pct"/>
            <w:tcBorders>
              <w:top w:val="nil"/>
              <w:left w:val="nil"/>
              <w:bottom w:val="nil"/>
              <w:right w:val="nil"/>
            </w:tcBorders>
            <w:shd w:val="clear" w:color="auto" w:fill="auto"/>
            <w:vAlign w:val="center"/>
            <w:hideMark/>
          </w:tcPr>
          <w:p w14:paraId="363A59E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353</w:t>
            </w:r>
          </w:p>
        </w:tc>
        <w:tc>
          <w:tcPr>
            <w:tcW w:w="384" w:type="pct"/>
            <w:tcBorders>
              <w:top w:val="nil"/>
              <w:left w:val="nil"/>
              <w:bottom w:val="nil"/>
              <w:right w:val="nil"/>
            </w:tcBorders>
            <w:shd w:val="clear" w:color="auto" w:fill="auto"/>
            <w:vAlign w:val="center"/>
            <w:hideMark/>
          </w:tcPr>
          <w:p w14:paraId="7798D0F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18</w:t>
            </w:r>
          </w:p>
        </w:tc>
        <w:tc>
          <w:tcPr>
            <w:tcW w:w="275" w:type="pct"/>
            <w:tcBorders>
              <w:top w:val="nil"/>
              <w:left w:val="nil"/>
              <w:bottom w:val="nil"/>
              <w:right w:val="nil"/>
            </w:tcBorders>
            <w:shd w:val="clear" w:color="auto" w:fill="auto"/>
            <w:vAlign w:val="center"/>
            <w:hideMark/>
          </w:tcPr>
          <w:p w14:paraId="3C961F0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w:t>
            </w:r>
          </w:p>
        </w:tc>
        <w:tc>
          <w:tcPr>
            <w:tcW w:w="384" w:type="pct"/>
            <w:tcBorders>
              <w:top w:val="nil"/>
              <w:left w:val="nil"/>
              <w:bottom w:val="nil"/>
              <w:right w:val="nil"/>
            </w:tcBorders>
            <w:shd w:val="clear" w:color="auto" w:fill="auto"/>
            <w:vAlign w:val="center"/>
            <w:hideMark/>
          </w:tcPr>
          <w:p w14:paraId="6630198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79</w:t>
            </w:r>
          </w:p>
        </w:tc>
        <w:tc>
          <w:tcPr>
            <w:tcW w:w="486" w:type="pct"/>
            <w:tcBorders>
              <w:top w:val="nil"/>
              <w:left w:val="nil"/>
              <w:bottom w:val="nil"/>
              <w:right w:val="nil"/>
            </w:tcBorders>
            <w:shd w:val="clear" w:color="auto" w:fill="auto"/>
            <w:vAlign w:val="center"/>
            <w:hideMark/>
          </w:tcPr>
          <w:p w14:paraId="5E50BB7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95</w:t>
            </w:r>
          </w:p>
        </w:tc>
        <w:tc>
          <w:tcPr>
            <w:tcW w:w="493" w:type="pct"/>
            <w:tcBorders>
              <w:top w:val="nil"/>
              <w:left w:val="nil"/>
              <w:bottom w:val="nil"/>
              <w:right w:val="nil"/>
            </w:tcBorders>
            <w:shd w:val="clear" w:color="auto" w:fill="auto"/>
            <w:vAlign w:val="center"/>
            <w:hideMark/>
          </w:tcPr>
          <w:p w14:paraId="5A34B97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10</w:t>
            </w:r>
          </w:p>
        </w:tc>
        <w:tc>
          <w:tcPr>
            <w:tcW w:w="629" w:type="pct"/>
            <w:tcBorders>
              <w:top w:val="nil"/>
              <w:left w:val="nil"/>
              <w:bottom w:val="nil"/>
              <w:right w:val="nil"/>
            </w:tcBorders>
            <w:shd w:val="clear" w:color="auto" w:fill="auto"/>
            <w:vAlign w:val="center"/>
            <w:hideMark/>
          </w:tcPr>
          <w:p w14:paraId="33BCFAE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vAlign w:val="center"/>
            <w:hideMark/>
          </w:tcPr>
          <w:p w14:paraId="73F156F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31</w:t>
            </w:r>
          </w:p>
        </w:tc>
        <w:tc>
          <w:tcPr>
            <w:tcW w:w="275" w:type="pct"/>
            <w:tcBorders>
              <w:top w:val="nil"/>
              <w:left w:val="nil"/>
              <w:bottom w:val="nil"/>
              <w:right w:val="nil"/>
            </w:tcBorders>
            <w:shd w:val="clear" w:color="auto" w:fill="auto"/>
            <w:vAlign w:val="center"/>
            <w:hideMark/>
          </w:tcPr>
          <w:p w14:paraId="0CA30C2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216DE285" w14:textId="77777777" w:rsidTr="007B37AC">
        <w:trPr>
          <w:trHeight w:val="340"/>
        </w:trPr>
        <w:tc>
          <w:tcPr>
            <w:tcW w:w="1058" w:type="pct"/>
            <w:tcBorders>
              <w:top w:val="nil"/>
              <w:left w:val="nil"/>
              <w:bottom w:val="nil"/>
              <w:right w:val="nil"/>
            </w:tcBorders>
            <w:shd w:val="clear" w:color="auto" w:fill="auto"/>
            <w:vAlign w:val="center"/>
            <w:hideMark/>
          </w:tcPr>
          <w:p w14:paraId="089CEB2C" w14:textId="07558271"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PANDEMIC_018</w:t>
            </w:r>
          </w:p>
        </w:tc>
        <w:tc>
          <w:tcPr>
            <w:tcW w:w="350" w:type="pct"/>
            <w:tcBorders>
              <w:top w:val="nil"/>
              <w:left w:val="nil"/>
              <w:bottom w:val="nil"/>
              <w:right w:val="nil"/>
            </w:tcBorders>
            <w:shd w:val="clear" w:color="auto" w:fill="auto"/>
            <w:noWrap/>
            <w:vAlign w:val="bottom"/>
            <w:hideMark/>
          </w:tcPr>
          <w:p w14:paraId="06F6A45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2021</w:t>
            </w:r>
          </w:p>
        </w:tc>
        <w:tc>
          <w:tcPr>
            <w:tcW w:w="350" w:type="pct"/>
            <w:tcBorders>
              <w:top w:val="nil"/>
              <w:left w:val="nil"/>
              <w:bottom w:val="nil"/>
              <w:right w:val="nil"/>
            </w:tcBorders>
            <w:shd w:val="clear" w:color="auto" w:fill="auto"/>
            <w:vAlign w:val="center"/>
            <w:hideMark/>
          </w:tcPr>
          <w:p w14:paraId="63F4F7E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30</w:t>
            </w:r>
          </w:p>
        </w:tc>
        <w:tc>
          <w:tcPr>
            <w:tcW w:w="384" w:type="pct"/>
            <w:tcBorders>
              <w:top w:val="nil"/>
              <w:left w:val="nil"/>
              <w:bottom w:val="nil"/>
              <w:right w:val="nil"/>
            </w:tcBorders>
            <w:shd w:val="clear" w:color="auto" w:fill="auto"/>
            <w:vAlign w:val="center"/>
            <w:hideMark/>
          </w:tcPr>
          <w:p w14:paraId="47D678C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22</w:t>
            </w:r>
          </w:p>
        </w:tc>
        <w:tc>
          <w:tcPr>
            <w:tcW w:w="275" w:type="pct"/>
            <w:tcBorders>
              <w:top w:val="nil"/>
              <w:left w:val="nil"/>
              <w:bottom w:val="nil"/>
              <w:right w:val="nil"/>
            </w:tcBorders>
            <w:shd w:val="clear" w:color="auto" w:fill="auto"/>
            <w:vAlign w:val="center"/>
            <w:hideMark/>
          </w:tcPr>
          <w:p w14:paraId="09E48F2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w:t>
            </w:r>
          </w:p>
        </w:tc>
        <w:tc>
          <w:tcPr>
            <w:tcW w:w="384" w:type="pct"/>
            <w:tcBorders>
              <w:top w:val="nil"/>
              <w:left w:val="nil"/>
              <w:bottom w:val="nil"/>
              <w:right w:val="nil"/>
            </w:tcBorders>
            <w:shd w:val="clear" w:color="auto" w:fill="auto"/>
            <w:vAlign w:val="center"/>
            <w:hideMark/>
          </w:tcPr>
          <w:p w14:paraId="2053FC9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68</w:t>
            </w:r>
          </w:p>
        </w:tc>
        <w:tc>
          <w:tcPr>
            <w:tcW w:w="486" w:type="pct"/>
            <w:tcBorders>
              <w:top w:val="nil"/>
              <w:left w:val="nil"/>
              <w:bottom w:val="nil"/>
              <w:right w:val="nil"/>
            </w:tcBorders>
            <w:shd w:val="clear" w:color="auto" w:fill="auto"/>
            <w:vAlign w:val="center"/>
            <w:hideMark/>
          </w:tcPr>
          <w:p w14:paraId="510D321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371</w:t>
            </w:r>
          </w:p>
        </w:tc>
        <w:tc>
          <w:tcPr>
            <w:tcW w:w="493" w:type="pct"/>
            <w:tcBorders>
              <w:top w:val="nil"/>
              <w:left w:val="nil"/>
              <w:bottom w:val="nil"/>
              <w:right w:val="nil"/>
            </w:tcBorders>
            <w:shd w:val="clear" w:color="auto" w:fill="auto"/>
            <w:vAlign w:val="center"/>
            <w:hideMark/>
          </w:tcPr>
          <w:p w14:paraId="0248BB3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629" w:type="pct"/>
            <w:tcBorders>
              <w:top w:val="nil"/>
              <w:left w:val="nil"/>
              <w:bottom w:val="nil"/>
              <w:right w:val="nil"/>
            </w:tcBorders>
            <w:shd w:val="clear" w:color="auto" w:fill="auto"/>
            <w:vAlign w:val="center"/>
            <w:hideMark/>
          </w:tcPr>
          <w:p w14:paraId="3B43BCD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vAlign w:val="center"/>
            <w:hideMark/>
          </w:tcPr>
          <w:p w14:paraId="30AF9DD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16</w:t>
            </w:r>
          </w:p>
        </w:tc>
        <w:tc>
          <w:tcPr>
            <w:tcW w:w="275" w:type="pct"/>
            <w:tcBorders>
              <w:top w:val="nil"/>
              <w:left w:val="nil"/>
              <w:bottom w:val="nil"/>
              <w:right w:val="nil"/>
            </w:tcBorders>
            <w:shd w:val="clear" w:color="auto" w:fill="auto"/>
            <w:vAlign w:val="center"/>
            <w:hideMark/>
          </w:tcPr>
          <w:p w14:paraId="5C46C12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w:t>
            </w:r>
          </w:p>
        </w:tc>
      </w:tr>
      <w:tr w:rsidR="007A62EC" w:rsidRPr="007B37AC" w14:paraId="71402591" w14:textId="77777777" w:rsidTr="007B37AC">
        <w:trPr>
          <w:trHeight w:val="340"/>
        </w:trPr>
        <w:tc>
          <w:tcPr>
            <w:tcW w:w="1058" w:type="pct"/>
            <w:tcBorders>
              <w:top w:val="nil"/>
              <w:left w:val="nil"/>
              <w:bottom w:val="nil"/>
              <w:right w:val="nil"/>
            </w:tcBorders>
            <w:shd w:val="clear" w:color="auto" w:fill="auto"/>
            <w:vAlign w:val="center"/>
            <w:hideMark/>
          </w:tcPr>
          <w:p w14:paraId="0F97D5DF" w14:textId="3A05B020"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PANDEMIC_019</w:t>
            </w:r>
          </w:p>
        </w:tc>
        <w:tc>
          <w:tcPr>
            <w:tcW w:w="350" w:type="pct"/>
            <w:tcBorders>
              <w:top w:val="nil"/>
              <w:left w:val="nil"/>
              <w:bottom w:val="nil"/>
              <w:right w:val="nil"/>
            </w:tcBorders>
            <w:shd w:val="clear" w:color="auto" w:fill="auto"/>
            <w:noWrap/>
            <w:vAlign w:val="bottom"/>
            <w:hideMark/>
          </w:tcPr>
          <w:p w14:paraId="4EF47F6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2021</w:t>
            </w:r>
          </w:p>
        </w:tc>
        <w:tc>
          <w:tcPr>
            <w:tcW w:w="350" w:type="pct"/>
            <w:tcBorders>
              <w:top w:val="nil"/>
              <w:left w:val="nil"/>
              <w:bottom w:val="nil"/>
              <w:right w:val="nil"/>
            </w:tcBorders>
            <w:shd w:val="clear" w:color="auto" w:fill="auto"/>
            <w:vAlign w:val="center"/>
            <w:hideMark/>
          </w:tcPr>
          <w:p w14:paraId="5D3E2BE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360</w:t>
            </w:r>
          </w:p>
        </w:tc>
        <w:tc>
          <w:tcPr>
            <w:tcW w:w="384" w:type="pct"/>
            <w:tcBorders>
              <w:top w:val="nil"/>
              <w:left w:val="nil"/>
              <w:bottom w:val="nil"/>
              <w:right w:val="nil"/>
            </w:tcBorders>
            <w:shd w:val="clear" w:color="auto" w:fill="auto"/>
            <w:vAlign w:val="center"/>
            <w:hideMark/>
          </w:tcPr>
          <w:p w14:paraId="352647C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26</w:t>
            </w:r>
          </w:p>
        </w:tc>
        <w:tc>
          <w:tcPr>
            <w:tcW w:w="275" w:type="pct"/>
            <w:tcBorders>
              <w:top w:val="nil"/>
              <w:left w:val="nil"/>
              <w:bottom w:val="nil"/>
              <w:right w:val="nil"/>
            </w:tcBorders>
            <w:shd w:val="clear" w:color="auto" w:fill="auto"/>
            <w:vAlign w:val="center"/>
            <w:hideMark/>
          </w:tcPr>
          <w:p w14:paraId="189D875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w:t>
            </w:r>
          </w:p>
        </w:tc>
        <w:tc>
          <w:tcPr>
            <w:tcW w:w="384" w:type="pct"/>
            <w:tcBorders>
              <w:top w:val="nil"/>
              <w:left w:val="nil"/>
              <w:bottom w:val="nil"/>
              <w:right w:val="nil"/>
            </w:tcBorders>
            <w:shd w:val="clear" w:color="auto" w:fill="auto"/>
            <w:vAlign w:val="center"/>
            <w:hideMark/>
          </w:tcPr>
          <w:p w14:paraId="6E5E2F2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55</w:t>
            </w:r>
          </w:p>
        </w:tc>
        <w:tc>
          <w:tcPr>
            <w:tcW w:w="486" w:type="pct"/>
            <w:tcBorders>
              <w:top w:val="nil"/>
              <w:left w:val="nil"/>
              <w:bottom w:val="nil"/>
              <w:right w:val="nil"/>
            </w:tcBorders>
            <w:shd w:val="clear" w:color="auto" w:fill="auto"/>
            <w:vAlign w:val="center"/>
            <w:hideMark/>
          </w:tcPr>
          <w:p w14:paraId="2E44ED5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37</w:t>
            </w:r>
          </w:p>
        </w:tc>
        <w:tc>
          <w:tcPr>
            <w:tcW w:w="493" w:type="pct"/>
            <w:tcBorders>
              <w:top w:val="nil"/>
              <w:left w:val="nil"/>
              <w:bottom w:val="nil"/>
              <w:right w:val="nil"/>
            </w:tcBorders>
            <w:shd w:val="clear" w:color="auto" w:fill="auto"/>
            <w:vAlign w:val="center"/>
            <w:hideMark/>
          </w:tcPr>
          <w:p w14:paraId="2552501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w:t>
            </w:r>
          </w:p>
        </w:tc>
        <w:tc>
          <w:tcPr>
            <w:tcW w:w="629" w:type="pct"/>
            <w:tcBorders>
              <w:top w:val="nil"/>
              <w:left w:val="nil"/>
              <w:bottom w:val="nil"/>
              <w:right w:val="nil"/>
            </w:tcBorders>
            <w:shd w:val="clear" w:color="auto" w:fill="auto"/>
            <w:vAlign w:val="center"/>
            <w:hideMark/>
          </w:tcPr>
          <w:p w14:paraId="61D662C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vAlign w:val="center"/>
            <w:hideMark/>
          </w:tcPr>
          <w:p w14:paraId="78978A5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62</w:t>
            </w:r>
          </w:p>
        </w:tc>
        <w:tc>
          <w:tcPr>
            <w:tcW w:w="275" w:type="pct"/>
            <w:tcBorders>
              <w:top w:val="nil"/>
              <w:left w:val="nil"/>
              <w:bottom w:val="nil"/>
              <w:right w:val="nil"/>
            </w:tcBorders>
            <w:shd w:val="clear" w:color="auto" w:fill="auto"/>
            <w:vAlign w:val="center"/>
            <w:hideMark/>
          </w:tcPr>
          <w:p w14:paraId="68A3DC1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6465FB2C" w14:textId="77777777" w:rsidTr="007B37AC">
        <w:trPr>
          <w:trHeight w:val="340"/>
        </w:trPr>
        <w:tc>
          <w:tcPr>
            <w:tcW w:w="1058" w:type="pct"/>
            <w:tcBorders>
              <w:top w:val="nil"/>
              <w:left w:val="nil"/>
              <w:bottom w:val="nil"/>
              <w:right w:val="nil"/>
            </w:tcBorders>
            <w:shd w:val="clear" w:color="auto" w:fill="auto"/>
            <w:vAlign w:val="center"/>
            <w:hideMark/>
          </w:tcPr>
          <w:p w14:paraId="44EE0E22" w14:textId="1D2B2D69"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lastRenderedPageBreak/>
              <w:t>PANDEMIC_020</w:t>
            </w:r>
          </w:p>
        </w:tc>
        <w:tc>
          <w:tcPr>
            <w:tcW w:w="350" w:type="pct"/>
            <w:tcBorders>
              <w:top w:val="nil"/>
              <w:left w:val="nil"/>
              <w:bottom w:val="nil"/>
              <w:right w:val="nil"/>
            </w:tcBorders>
            <w:shd w:val="clear" w:color="auto" w:fill="auto"/>
            <w:noWrap/>
            <w:vAlign w:val="bottom"/>
            <w:hideMark/>
          </w:tcPr>
          <w:p w14:paraId="7BA0FBE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2021</w:t>
            </w:r>
          </w:p>
        </w:tc>
        <w:tc>
          <w:tcPr>
            <w:tcW w:w="350" w:type="pct"/>
            <w:tcBorders>
              <w:top w:val="nil"/>
              <w:left w:val="nil"/>
              <w:bottom w:val="nil"/>
              <w:right w:val="nil"/>
            </w:tcBorders>
            <w:shd w:val="clear" w:color="auto" w:fill="auto"/>
            <w:vAlign w:val="center"/>
            <w:hideMark/>
          </w:tcPr>
          <w:p w14:paraId="1ABFEE6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330</w:t>
            </w:r>
          </w:p>
        </w:tc>
        <w:tc>
          <w:tcPr>
            <w:tcW w:w="384" w:type="pct"/>
            <w:tcBorders>
              <w:top w:val="nil"/>
              <w:left w:val="nil"/>
              <w:bottom w:val="nil"/>
              <w:right w:val="nil"/>
            </w:tcBorders>
            <w:shd w:val="clear" w:color="auto" w:fill="auto"/>
            <w:vAlign w:val="center"/>
            <w:hideMark/>
          </w:tcPr>
          <w:p w14:paraId="5029CF7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33</w:t>
            </w:r>
          </w:p>
        </w:tc>
        <w:tc>
          <w:tcPr>
            <w:tcW w:w="275" w:type="pct"/>
            <w:tcBorders>
              <w:top w:val="nil"/>
              <w:left w:val="nil"/>
              <w:bottom w:val="nil"/>
              <w:right w:val="nil"/>
            </w:tcBorders>
            <w:shd w:val="clear" w:color="auto" w:fill="auto"/>
            <w:vAlign w:val="center"/>
            <w:hideMark/>
          </w:tcPr>
          <w:p w14:paraId="6F07FCB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vAlign w:val="center"/>
            <w:hideMark/>
          </w:tcPr>
          <w:p w14:paraId="2076CA1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44</w:t>
            </w:r>
          </w:p>
        </w:tc>
        <w:tc>
          <w:tcPr>
            <w:tcW w:w="486" w:type="pct"/>
            <w:tcBorders>
              <w:top w:val="nil"/>
              <w:left w:val="nil"/>
              <w:bottom w:val="nil"/>
              <w:right w:val="nil"/>
            </w:tcBorders>
            <w:shd w:val="clear" w:color="auto" w:fill="auto"/>
            <w:vAlign w:val="center"/>
            <w:hideMark/>
          </w:tcPr>
          <w:p w14:paraId="083333C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190</w:t>
            </w:r>
          </w:p>
        </w:tc>
        <w:tc>
          <w:tcPr>
            <w:tcW w:w="493" w:type="pct"/>
            <w:tcBorders>
              <w:top w:val="nil"/>
              <w:left w:val="nil"/>
              <w:bottom w:val="nil"/>
              <w:right w:val="nil"/>
            </w:tcBorders>
            <w:shd w:val="clear" w:color="auto" w:fill="auto"/>
            <w:vAlign w:val="center"/>
            <w:hideMark/>
          </w:tcPr>
          <w:p w14:paraId="2F55992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18</w:t>
            </w:r>
          </w:p>
        </w:tc>
        <w:tc>
          <w:tcPr>
            <w:tcW w:w="629" w:type="pct"/>
            <w:tcBorders>
              <w:top w:val="nil"/>
              <w:left w:val="nil"/>
              <w:bottom w:val="nil"/>
              <w:right w:val="nil"/>
            </w:tcBorders>
            <w:shd w:val="clear" w:color="auto" w:fill="auto"/>
            <w:vAlign w:val="center"/>
            <w:hideMark/>
          </w:tcPr>
          <w:p w14:paraId="01E15AC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MRI</w:t>
            </w:r>
          </w:p>
        </w:tc>
        <w:tc>
          <w:tcPr>
            <w:tcW w:w="316" w:type="pct"/>
            <w:tcBorders>
              <w:top w:val="nil"/>
              <w:left w:val="nil"/>
              <w:bottom w:val="nil"/>
              <w:right w:val="nil"/>
            </w:tcBorders>
            <w:shd w:val="clear" w:color="auto" w:fill="auto"/>
            <w:vAlign w:val="center"/>
            <w:hideMark/>
          </w:tcPr>
          <w:p w14:paraId="3D64C74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21</w:t>
            </w:r>
          </w:p>
        </w:tc>
        <w:tc>
          <w:tcPr>
            <w:tcW w:w="275" w:type="pct"/>
            <w:tcBorders>
              <w:top w:val="nil"/>
              <w:left w:val="nil"/>
              <w:bottom w:val="nil"/>
              <w:right w:val="nil"/>
            </w:tcBorders>
            <w:shd w:val="clear" w:color="auto" w:fill="auto"/>
            <w:vAlign w:val="center"/>
            <w:hideMark/>
          </w:tcPr>
          <w:p w14:paraId="5E3CFA9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28AC118F" w14:textId="77777777" w:rsidTr="007B37AC">
        <w:trPr>
          <w:trHeight w:val="340"/>
        </w:trPr>
        <w:tc>
          <w:tcPr>
            <w:tcW w:w="1058" w:type="pct"/>
            <w:tcBorders>
              <w:top w:val="nil"/>
              <w:left w:val="nil"/>
              <w:bottom w:val="nil"/>
              <w:right w:val="nil"/>
            </w:tcBorders>
            <w:shd w:val="clear" w:color="auto" w:fill="auto"/>
            <w:vAlign w:val="center"/>
            <w:hideMark/>
          </w:tcPr>
          <w:p w14:paraId="3761A70B" w14:textId="07E14420"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PANDEMIC_021</w:t>
            </w:r>
          </w:p>
        </w:tc>
        <w:tc>
          <w:tcPr>
            <w:tcW w:w="350" w:type="pct"/>
            <w:tcBorders>
              <w:top w:val="nil"/>
              <w:left w:val="nil"/>
              <w:bottom w:val="nil"/>
              <w:right w:val="nil"/>
            </w:tcBorders>
            <w:shd w:val="clear" w:color="auto" w:fill="auto"/>
            <w:noWrap/>
            <w:vAlign w:val="bottom"/>
            <w:hideMark/>
          </w:tcPr>
          <w:p w14:paraId="3852259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2021</w:t>
            </w:r>
          </w:p>
        </w:tc>
        <w:tc>
          <w:tcPr>
            <w:tcW w:w="350" w:type="pct"/>
            <w:tcBorders>
              <w:top w:val="nil"/>
              <w:left w:val="nil"/>
              <w:bottom w:val="nil"/>
              <w:right w:val="nil"/>
            </w:tcBorders>
            <w:shd w:val="clear" w:color="auto" w:fill="auto"/>
            <w:vAlign w:val="center"/>
            <w:hideMark/>
          </w:tcPr>
          <w:p w14:paraId="1AF2A5A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500</w:t>
            </w:r>
          </w:p>
        </w:tc>
        <w:tc>
          <w:tcPr>
            <w:tcW w:w="384" w:type="pct"/>
            <w:tcBorders>
              <w:top w:val="nil"/>
              <w:left w:val="nil"/>
              <w:bottom w:val="nil"/>
              <w:right w:val="nil"/>
            </w:tcBorders>
            <w:shd w:val="clear" w:color="auto" w:fill="auto"/>
            <w:vAlign w:val="center"/>
            <w:hideMark/>
          </w:tcPr>
          <w:p w14:paraId="69C8B9D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38</w:t>
            </w:r>
          </w:p>
        </w:tc>
        <w:tc>
          <w:tcPr>
            <w:tcW w:w="275" w:type="pct"/>
            <w:tcBorders>
              <w:top w:val="nil"/>
              <w:left w:val="nil"/>
              <w:bottom w:val="nil"/>
              <w:right w:val="nil"/>
            </w:tcBorders>
            <w:shd w:val="clear" w:color="auto" w:fill="auto"/>
            <w:vAlign w:val="center"/>
            <w:hideMark/>
          </w:tcPr>
          <w:p w14:paraId="548F9C8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vAlign w:val="center"/>
            <w:hideMark/>
          </w:tcPr>
          <w:p w14:paraId="247555F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65</w:t>
            </w:r>
          </w:p>
        </w:tc>
        <w:tc>
          <w:tcPr>
            <w:tcW w:w="486" w:type="pct"/>
            <w:tcBorders>
              <w:top w:val="nil"/>
              <w:left w:val="nil"/>
              <w:bottom w:val="nil"/>
              <w:right w:val="nil"/>
            </w:tcBorders>
            <w:shd w:val="clear" w:color="auto" w:fill="auto"/>
            <w:vAlign w:val="center"/>
            <w:hideMark/>
          </w:tcPr>
          <w:p w14:paraId="4470AE6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350</w:t>
            </w:r>
          </w:p>
        </w:tc>
        <w:tc>
          <w:tcPr>
            <w:tcW w:w="493" w:type="pct"/>
            <w:tcBorders>
              <w:top w:val="nil"/>
              <w:left w:val="nil"/>
              <w:bottom w:val="nil"/>
              <w:right w:val="nil"/>
            </w:tcBorders>
            <w:shd w:val="clear" w:color="auto" w:fill="auto"/>
            <w:vAlign w:val="center"/>
            <w:hideMark/>
          </w:tcPr>
          <w:p w14:paraId="31DFFAB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8</w:t>
            </w:r>
          </w:p>
        </w:tc>
        <w:tc>
          <w:tcPr>
            <w:tcW w:w="629" w:type="pct"/>
            <w:tcBorders>
              <w:top w:val="nil"/>
              <w:left w:val="nil"/>
              <w:bottom w:val="nil"/>
              <w:right w:val="nil"/>
            </w:tcBorders>
            <w:shd w:val="clear" w:color="auto" w:fill="auto"/>
            <w:vAlign w:val="center"/>
            <w:hideMark/>
          </w:tcPr>
          <w:p w14:paraId="78A3038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MRI</w:t>
            </w:r>
          </w:p>
        </w:tc>
        <w:tc>
          <w:tcPr>
            <w:tcW w:w="316" w:type="pct"/>
            <w:tcBorders>
              <w:top w:val="nil"/>
              <w:left w:val="nil"/>
              <w:bottom w:val="nil"/>
              <w:right w:val="nil"/>
            </w:tcBorders>
            <w:shd w:val="clear" w:color="auto" w:fill="auto"/>
            <w:vAlign w:val="center"/>
            <w:hideMark/>
          </w:tcPr>
          <w:p w14:paraId="20CADD8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26</w:t>
            </w:r>
          </w:p>
        </w:tc>
        <w:tc>
          <w:tcPr>
            <w:tcW w:w="275" w:type="pct"/>
            <w:tcBorders>
              <w:top w:val="nil"/>
              <w:left w:val="nil"/>
              <w:bottom w:val="nil"/>
              <w:right w:val="nil"/>
            </w:tcBorders>
            <w:shd w:val="clear" w:color="auto" w:fill="auto"/>
            <w:vAlign w:val="center"/>
            <w:hideMark/>
          </w:tcPr>
          <w:p w14:paraId="21A0962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6BAB03C9" w14:textId="77777777" w:rsidTr="007B37AC">
        <w:trPr>
          <w:trHeight w:val="340"/>
        </w:trPr>
        <w:tc>
          <w:tcPr>
            <w:tcW w:w="1058" w:type="pct"/>
            <w:tcBorders>
              <w:top w:val="nil"/>
              <w:left w:val="nil"/>
              <w:bottom w:val="nil"/>
              <w:right w:val="nil"/>
            </w:tcBorders>
            <w:shd w:val="clear" w:color="auto" w:fill="auto"/>
            <w:vAlign w:val="center"/>
            <w:hideMark/>
          </w:tcPr>
          <w:p w14:paraId="6C2A5CCF" w14:textId="45CDED4E"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PANDEMIC_022</w:t>
            </w:r>
          </w:p>
        </w:tc>
        <w:tc>
          <w:tcPr>
            <w:tcW w:w="350" w:type="pct"/>
            <w:tcBorders>
              <w:top w:val="nil"/>
              <w:left w:val="nil"/>
              <w:bottom w:val="nil"/>
              <w:right w:val="nil"/>
            </w:tcBorders>
            <w:shd w:val="clear" w:color="auto" w:fill="auto"/>
            <w:noWrap/>
            <w:vAlign w:val="bottom"/>
            <w:hideMark/>
          </w:tcPr>
          <w:p w14:paraId="3037647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2021</w:t>
            </w:r>
          </w:p>
        </w:tc>
        <w:tc>
          <w:tcPr>
            <w:tcW w:w="350" w:type="pct"/>
            <w:tcBorders>
              <w:top w:val="nil"/>
              <w:left w:val="nil"/>
              <w:bottom w:val="nil"/>
              <w:right w:val="nil"/>
            </w:tcBorders>
            <w:shd w:val="clear" w:color="auto" w:fill="auto"/>
            <w:vAlign w:val="center"/>
            <w:hideMark/>
          </w:tcPr>
          <w:p w14:paraId="55BED4A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340</w:t>
            </w:r>
          </w:p>
        </w:tc>
        <w:tc>
          <w:tcPr>
            <w:tcW w:w="384" w:type="pct"/>
            <w:tcBorders>
              <w:top w:val="nil"/>
              <w:left w:val="nil"/>
              <w:bottom w:val="nil"/>
              <w:right w:val="nil"/>
            </w:tcBorders>
            <w:shd w:val="clear" w:color="auto" w:fill="auto"/>
            <w:vAlign w:val="center"/>
            <w:hideMark/>
          </w:tcPr>
          <w:p w14:paraId="14F1117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275" w:type="pct"/>
            <w:tcBorders>
              <w:top w:val="nil"/>
              <w:left w:val="nil"/>
              <w:bottom w:val="nil"/>
              <w:right w:val="nil"/>
            </w:tcBorders>
            <w:shd w:val="clear" w:color="auto" w:fill="auto"/>
            <w:vAlign w:val="center"/>
            <w:hideMark/>
          </w:tcPr>
          <w:p w14:paraId="7F37D34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vAlign w:val="center"/>
            <w:hideMark/>
          </w:tcPr>
          <w:p w14:paraId="1BB21F5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40</w:t>
            </w:r>
          </w:p>
        </w:tc>
        <w:tc>
          <w:tcPr>
            <w:tcW w:w="486" w:type="pct"/>
            <w:tcBorders>
              <w:top w:val="nil"/>
              <w:left w:val="nil"/>
              <w:bottom w:val="nil"/>
              <w:right w:val="nil"/>
            </w:tcBorders>
            <w:shd w:val="clear" w:color="auto" w:fill="auto"/>
            <w:vAlign w:val="center"/>
            <w:hideMark/>
          </w:tcPr>
          <w:p w14:paraId="1B693BE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40</w:t>
            </w:r>
          </w:p>
        </w:tc>
        <w:tc>
          <w:tcPr>
            <w:tcW w:w="493" w:type="pct"/>
            <w:tcBorders>
              <w:top w:val="nil"/>
              <w:left w:val="nil"/>
              <w:bottom w:val="nil"/>
              <w:right w:val="nil"/>
            </w:tcBorders>
            <w:shd w:val="clear" w:color="auto" w:fill="auto"/>
            <w:vAlign w:val="center"/>
            <w:hideMark/>
          </w:tcPr>
          <w:p w14:paraId="2F2AD01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w:t>
            </w:r>
          </w:p>
        </w:tc>
        <w:tc>
          <w:tcPr>
            <w:tcW w:w="629" w:type="pct"/>
            <w:tcBorders>
              <w:top w:val="nil"/>
              <w:left w:val="nil"/>
              <w:bottom w:val="nil"/>
              <w:right w:val="nil"/>
            </w:tcBorders>
            <w:shd w:val="clear" w:color="auto" w:fill="auto"/>
            <w:vAlign w:val="center"/>
            <w:hideMark/>
          </w:tcPr>
          <w:p w14:paraId="187E331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vAlign w:val="center"/>
            <w:hideMark/>
          </w:tcPr>
          <w:p w14:paraId="3C7BA5D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10</w:t>
            </w:r>
          </w:p>
        </w:tc>
        <w:tc>
          <w:tcPr>
            <w:tcW w:w="275" w:type="pct"/>
            <w:tcBorders>
              <w:top w:val="nil"/>
              <w:left w:val="nil"/>
              <w:bottom w:val="nil"/>
              <w:right w:val="nil"/>
            </w:tcBorders>
            <w:shd w:val="clear" w:color="auto" w:fill="auto"/>
            <w:vAlign w:val="center"/>
            <w:hideMark/>
          </w:tcPr>
          <w:p w14:paraId="6E952B4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w:t>
            </w:r>
          </w:p>
        </w:tc>
      </w:tr>
      <w:tr w:rsidR="007A62EC" w:rsidRPr="007B37AC" w14:paraId="3D9CCB40" w14:textId="77777777" w:rsidTr="007B37AC">
        <w:trPr>
          <w:trHeight w:val="340"/>
        </w:trPr>
        <w:tc>
          <w:tcPr>
            <w:tcW w:w="1058" w:type="pct"/>
            <w:tcBorders>
              <w:top w:val="nil"/>
              <w:left w:val="nil"/>
              <w:bottom w:val="nil"/>
              <w:right w:val="nil"/>
            </w:tcBorders>
            <w:shd w:val="clear" w:color="auto" w:fill="auto"/>
            <w:vAlign w:val="center"/>
            <w:hideMark/>
          </w:tcPr>
          <w:p w14:paraId="1ABD158E" w14:textId="41444578"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PANDEMIC_023</w:t>
            </w:r>
          </w:p>
        </w:tc>
        <w:tc>
          <w:tcPr>
            <w:tcW w:w="350" w:type="pct"/>
            <w:tcBorders>
              <w:top w:val="nil"/>
              <w:left w:val="nil"/>
              <w:bottom w:val="nil"/>
              <w:right w:val="nil"/>
            </w:tcBorders>
            <w:shd w:val="clear" w:color="auto" w:fill="auto"/>
            <w:noWrap/>
            <w:vAlign w:val="bottom"/>
            <w:hideMark/>
          </w:tcPr>
          <w:p w14:paraId="62F0B2D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2021</w:t>
            </w:r>
          </w:p>
        </w:tc>
        <w:tc>
          <w:tcPr>
            <w:tcW w:w="350" w:type="pct"/>
            <w:tcBorders>
              <w:top w:val="nil"/>
              <w:left w:val="nil"/>
              <w:bottom w:val="nil"/>
              <w:right w:val="nil"/>
            </w:tcBorders>
            <w:shd w:val="clear" w:color="auto" w:fill="auto"/>
            <w:vAlign w:val="center"/>
            <w:hideMark/>
          </w:tcPr>
          <w:p w14:paraId="08E6417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340</w:t>
            </w:r>
          </w:p>
        </w:tc>
        <w:tc>
          <w:tcPr>
            <w:tcW w:w="384" w:type="pct"/>
            <w:tcBorders>
              <w:top w:val="nil"/>
              <w:left w:val="nil"/>
              <w:bottom w:val="nil"/>
              <w:right w:val="nil"/>
            </w:tcBorders>
            <w:shd w:val="clear" w:color="auto" w:fill="auto"/>
            <w:vAlign w:val="center"/>
            <w:hideMark/>
          </w:tcPr>
          <w:p w14:paraId="046A78B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w:t>
            </w:r>
          </w:p>
        </w:tc>
        <w:tc>
          <w:tcPr>
            <w:tcW w:w="275" w:type="pct"/>
            <w:tcBorders>
              <w:top w:val="nil"/>
              <w:left w:val="nil"/>
              <w:bottom w:val="nil"/>
              <w:right w:val="nil"/>
            </w:tcBorders>
            <w:shd w:val="clear" w:color="auto" w:fill="auto"/>
            <w:vAlign w:val="center"/>
            <w:hideMark/>
          </w:tcPr>
          <w:p w14:paraId="03A6532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vAlign w:val="center"/>
            <w:hideMark/>
          </w:tcPr>
          <w:p w14:paraId="1ED017D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46</w:t>
            </w:r>
          </w:p>
        </w:tc>
        <w:tc>
          <w:tcPr>
            <w:tcW w:w="486" w:type="pct"/>
            <w:tcBorders>
              <w:top w:val="nil"/>
              <w:left w:val="nil"/>
              <w:bottom w:val="nil"/>
              <w:right w:val="nil"/>
            </w:tcBorders>
            <w:shd w:val="clear" w:color="auto" w:fill="auto"/>
            <w:vAlign w:val="center"/>
            <w:hideMark/>
          </w:tcPr>
          <w:p w14:paraId="302F80C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42</w:t>
            </w:r>
          </w:p>
        </w:tc>
        <w:tc>
          <w:tcPr>
            <w:tcW w:w="493" w:type="pct"/>
            <w:tcBorders>
              <w:top w:val="nil"/>
              <w:left w:val="nil"/>
              <w:bottom w:val="nil"/>
              <w:right w:val="nil"/>
            </w:tcBorders>
            <w:shd w:val="clear" w:color="auto" w:fill="auto"/>
            <w:vAlign w:val="center"/>
            <w:hideMark/>
          </w:tcPr>
          <w:p w14:paraId="296D0F5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10</w:t>
            </w:r>
          </w:p>
        </w:tc>
        <w:tc>
          <w:tcPr>
            <w:tcW w:w="629" w:type="pct"/>
            <w:tcBorders>
              <w:top w:val="nil"/>
              <w:left w:val="nil"/>
              <w:bottom w:val="nil"/>
              <w:right w:val="nil"/>
            </w:tcBorders>
            <w:shd w:val="clear" w:color="auto" w:fill="auto"/>
            <w:vAlign w:val="center"/>
            <w:hideMark/>
          </w:tcPr>
          <w:p w14:paraId="57F15DE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MRI</w:t>
            </w:r>
          </w:p>
        </w:tc>
        <w:tc>
          <w:tcPr>
            <w:tcW w:w="316" w:type="pct"/>
            <w:tcBorders>
              <w:top w:val="nil"/>
              <w:left w:val="nil"/>
              <w:bottom w:val="nil"/>
              <w:right w:val="nil"/>
            </w:tcBorders>
            <w:shd w:val="clear" w:color="auto" w:fill="auto"/>
            <w:vAlign w:val="center"/>
            <w:hideMark/>
          </w:tcPr>
          <w:p w14:paraId="61AC720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30</w:t>
            </w:r>
          </w:p>
        </w:tc>
        <w:tc>
          <w:tcPr>
            <w:tcW w:w="275" w:type="pct"/>
            <w:tcBorders>
              <w:top w:val="nil"/>
              <w:left w:val="nil"/>
              <w:bottom w:val="nil"/>
              <w:right w:val="nil"/>
            </w:tcBorders>
            <w:shd w:val="clear" w:color="auto" w:fill="auto"/>
            <w:vAlign w:val="center"/>
            <w:hideMark/>
          </w:tcPr>
          <w:p w14:paraId="2FA08F0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w:t>
            </w:r>
          </w:p>
        </w:tc>
      </w:tr>
      <w:tr w:rsidR="007A62EC" w:rsidRPr="007B37AC" w14:paraId="4AB728C7" w14:textId="77777777" w:rsidTr="007B37AC">
        <w:trPr>
          <w:trHeight w:val="340"/>
        </w:trPr>
        <w:tc>
          <w:tcPr>
            <w:tcW w:w="1058" w:type="pct"/>
            <w:tcBorders>
              <w:top w:val="nil"/>
              <w:left w:val="nil"/>
              <w:bottom w:val="nil"/>
              <w:right w:val="nil"/>
            </w:tcBorders>
            <w:shd w:val="clear" w:color="auto" w:fill="auto"/>
            <w:vAlign w:val="center"/>
            <w:hideMark/>
          </w:tcPr>
          <w:p w14:paraId="432E34CF" w14:textId="27BF55EA"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PANDEMIC_024</w:t>
            </w:r>
          </w:p>
        </w:tc>
        <w:tc>
          <w:tcPr>
            <w:tcW w:w="350" w:type="pct"/>
            <w:tcBorders>
              <w:top w:val="nil"/>
              <w:left w:val="nil"/>
              <w:bottom w:val="nil"/>
              <w:right w:val="nil"/>
            </w:tcBorders>
            <w:shd w:val="clear" w:color="auto" w:fill="auto"/>
            <w:noWrap/>
            <w:vAlign w:val="bottom"/>
            <w:hideMark/>
          </w:tcPr>
          <w:p w14:paraId="5EACCBE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2021</w:t>
            </w:r>
          </w:p>
        </w:tc>
        <w:tc>
          <w:tcPr>
            <w:tcW w:w="350" w:type="pct"/>
            <w:tcBorders>
              <w:top w:val="nil"/>
              <w:left w:val="nil"/>
              <w:bottom w:val="nil"/>
              <w:right w:val="nil"/>
            </w:tcBorders>
            <w:shd w:val="clear" w:color="auto" w:fill="auto"/>
            <w:vAlign w:val="center"/>
            <w:hideMark/>
          </w:tcPr>
          <w:p w14:paraId="28294AC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480</w:t>
            </w:r>
          </w:p>
        </w:tc>
        <w:tc>
          <w:tcPr>
            <w:tcW w:w="384" w:type="pct"/>
            <w:tcBorders>
              <w:top w:val="nil"/>
              <w:left w:val="nil"/>
              <w:bottom w:val="nil"/>
              <w:right w:val="nil"/>
            </w:tcBorders>
            <w:shd w:val="clear" w:color="auto" w:fill="auto"/>
            <w:vAlign w:val="center"/>
            <w:hideMark/>
          </w:tcPr>
          <w:p w14:paraId="532735A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18</w:t>
            </w:r>
          </w:p>
        </w:tc>
        <w:tc>
          <w:tcPr>
            <w:tcW w:w="275" w:type="pct"/>
            <w:tcBorders>
              <w:top w:val="nil"/>
              <w:left w:val="nil"/>
              <w:bottom w:val="nil"/>
              <w:right w:val="nil"/>
            </w:tcBorders>
            <w:shd w:val="clear" w:color="auto" w:fill="auto"/>
            <w:vAlign w:val="center"/>
            <w:hideMark/>
          </w:tcPr>
          <w:p w14:paraId="22416EE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vAlign w:val="center"/>
            <w:hideMark/>
          </w:tcPr>
          <w:p w14:paraId="4348EE1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60</w:t>
            </w:r>
          </w:p>
        </w:tc>
        <w:tc>
          <w:tcPr>
            <w:tcW w:w="486" w:type="pct"/>
            <w:tcBorders>
              <w:top w:val="nil"/>
              <w:left w:val="nil"/>
              <w:bottom w:val="nil"/>
              <w:right w:val="nil"/>
            </w:tcBorders>
            <w:shd w:val="clear" w:color="auto" w:fill="auto"/>
            <w:vAlign w:val="center"/>
            <w:hideMark/>
          </w:tcPr>
          <w:p w14:paraId="5FE37F9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84</w:t>
            </w:r>
          </w:p>
        </w:tc>
        <w:tc>
          <w:tcPr>
            <w:tcW w:w="493" w:type="pct"/>
            <w:tcBorders>
              <w:top w:val="nil"/>
              <w:left w:val="nil"/>
              <w:bottom w:val="nil"/>
              <w:right w:val="nil"/>
            </w:tcBorders>
            <w:shd w:val="clear" w:color="auto" w:fill="auto"/>
            <w:vAlign w:val="center"/>
            <w:hideMark/>
          </w:tcPr>
          <w:p w14:paraId="35A382E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w:t>
            </w:r>
          </w:p>
        </w:tc>
        <w:tc>
          <w:tcPr>
            <w:tcW w:w="629" w:type="pct"/>
            <w:tcBorders>
              <w:top w:val="nil"/>
              <w:left w:val="nil"/>
              <w:bottom w:val="nil"/>
              <w:right w:val="nil"/>
            </w:tcBorders>
            <w:shd w:val="clear" w:color="auto" w:fill="auto"/>
            <w:vAlign w:val="center"/>
            <w:hideMark/>
          </w:tcPr>
          <w:p w14:paraId="5CE19BB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vAlign w:val="center"/>
            <w:hideMark/>
          </w:tcPr>
          <w:p w14:paraId="5620172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48</w:t>
            </w:r>
          </w:p>
        </w:tc>
        <w:tc>
          <w:tcPr>
            <w:tcW w:w="275" w:type="pct"/>
            <w:tcBorders>
              <w:top w:val="nil"/>
              <w:left w:val="nil"/>
              <w:bottom w:val="nil"/>
              <w:right w:val="nil"/>
            </w:tcBorders>
            <w:shd w:val="clear" w:color="auto" w:fill="auto"/>
            <w:vAlign w:val="center"/>
            <w:hideMark/>
          </w:tcPr>
          <w:p w14:paraId="2825BC5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w:t>
            </w:r>
          </w:p>
        </w:tc>
      </w:tr>
      <w:tr w:rsidR="007A62EC" w:rsidRPr="007B37AC" w14:paraId="20367B97" w14:textId="77777777" w:rsidTr="007B37AC">
        <w:trPr>
          <w:trHeight w:val="340"/>
        </w:trPr>
        <w:tc>
          <w:tcPr>
            <w:tcW w:w="1058" w:type="pct"/>
            <w:tcBorders>
              <w:top w:val="nil"/>
              <w:left w:val="nil"/>
              <w:bottom w:val="nil"/>
              <w:right w:val="nil"/>
            </w:tcBorders>
            <w:shd w:val="clear" w:color="auto" w:fill="auto"/>
            <w:vAlign w:val="center"/>
            <w:hideMark/>
          </w:tcPr>
          <w:p w14:paraId="6FA42598" w14:textId="779A348A"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PANDEMIC_025</w:t>
            </w:r>
          </w:p>
        </w:tc>
        <w:tc>
          <w:tcPr>
            <w:tcW w:w="350" w:type="pct"/>
            <w:tcBorders>
              <w:top w:val="nil"/>
              <w:left w:val="nil"/>
              <w:bottom w:val="nil"/>
              <w:right w:val="nil"/>
            </w:tcBorders>
            <w:shd w:val="clear" w:color="auto" w:fill="auto"/>
            <w:noWrap/>
            <w:vAlign w:val="bottom"/>
            <w:hideMark/>
          </w:tcPr>
          <w:p w14:paraId="0743271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2021</w:t>
            </w:r>
          </w:p>
        </w:tc>
        <w:tc>
          <w:tcPr>
            <w:tcW w:w="350" w:type="pct"/>
            <w:tcBorders>
              <w:top w:val="nil"/>
              <w:left w:val="nil"/>
              <w:bottom w:val="nil"/>
              <w:right w:val="nil"/>
            </w:tcBorders>
            <w:shd w:val="clear" w:color="auto" w:fill="auto"/>
            <w:vAlign w:val="center"/>
            <w:hideMark/>
          </w:tcPr>
          <w:p w14:paraId="26CAC11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230</w:t>
            </w:r>
          </w:p>
        </w:tc>
        <w:tc>
          <w:tcPr>
            <w:tcW w:w="384" w:type="pct"/>
            <w:tcBorders>
              <w:top w:val="nil"/>
              <w:left w:val="nil"/>
              <w:bottom w:val="nil"/>
              <w:right w:val="nil"/>
            </w:tcBorders>
            <w:shd w:val="clear" w:color="auto" w:fill="auto"/>
            <w:vAlign w:val="center"/>
            <w:hideMark/>
          </w:tcPr>
          <w:p w14:paraId="4B5D886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28</w:t>
            </w:r>
          </w:p>
        </w:tc>
        <w:tc>
          <w:tcPr>
            <w:tcW w:w="275" w:type="pct"/>
            <w:tcBorders>
              <w:top w:val="nil"/>
              <w:left w:val="nil"/>
              <w:bottom w:val="nil"/>
              <w:right w:val="nil"/>
            </w:tcBorders>
            <w:shd w:val="clear" w:color="auto" w:fill="auto"/>
            <w:vAlign w:val="center"/>
            <w:hideMark/>
          </w:tcPr>
          <w:p w14:paraId="5E46F8D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vAlign w:val="center"/>
            <w:hideMark/>
          </w:tcPr>
          <w:p w14:paraId="63C4272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55</w:t>
            </w:r>
          </w:p>
        </w:tc>
        <w:tc>
          <w:tcPr>
            <w:tcW w:w="486" w:type="pct"/>
            <w:tcBorders>
              <w:top w:val="nil"/>
              <w:left w:val="nil"/>
              <w:bottom w:val="nil"/>
              <w:right w:val="nil"/>
            </w:tcBorders>
            <w:shd w:val="clear" w:color="auto" w:fill="auto"/>
            <w:vAlign w:val="center"/>
            <w:hideMark/>
          </w:tcPr>
          <w:p w14:paraId="771E794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98</w:t>
            </w:r>
          </w:p>
        </w:tc>
        <w:tc>
          <w:tcPr>
            <w:tcW w:w="493" w:type="pct"/>
            <w:tcBorders>
              <w:top w:val="nil"/>
              <w:left w:val="nil"/>
              <w:bottom w:val="nil"/>
              <w:right w:val="nil"/>
            </w:tcBorders>
            <w:shd w:val="clear" w:color="auto" w:fill="auto"/>
            <w:vAlign w:val="center"/>
            <w:hideMark/>
          </w:tcPr>
          <w:p w14:paraId="671F738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17</w:t>
            </w:r>
          </w:p>
        </w:tc>
        <w:tc>
          <w:tcPr>
            <w:tcW w:w="629" w:type="pct"/>
            <w:tcBorders>
              <w:top w:val="nil"/>
              <w:left w:val="nil"/>
              <w:bottom w:val="nil"/>
              <w:right w:val="nil"/>
            </w:tcBorders>
            <w:shd w:val="clear" w:color="auto" w:fill="auto"/>
            <w:vAlign w:val="center"/>
            <w:hideMark/>
          </w:tcPr>
          <w:p w14:paraId="3CA0010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MRI</w:t>
            </w:r>
          </w:p>
        </w:tc>
        <w:tc>
          <w:tcPr>
            <w:tcW w:w="316" w:type="pct"/>
            <w:tcBorders>
              <w:top w:val="nil"/>
              <w:left w:val="nil"/>
              <w:bottom w:val="nil"/>
              <w:right w:val="nil"/>
            </w:tcBorders>
            <w:shd w:val="clear" w:color="auto" w:fill="auto"/>
            <w:vAlign w:val="center"/>
            <w:hideMark/>
          </w:tcPr>
          <w:p w14:paraId="6154FEA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33</w:t>
            </w:r>
          </w:p>
        </w:tc>
        <w:tc>
          <w:tcPr>
            <w:tcW w:w="275" w:type="pct"/>
            <w:tcBorders>
              <w:top w:val="nil"/>
              <w:left w:val="nil"/>
              <w:bottom w:val="nil"/>
              <w:right w:val="nil"/>
            </w:tcBorders>
            <w:shd w:val="clear" w:color="auto" w:fill="auto"/>
            <w:vAlign w:val="center"/>
            <w:hideMark/>
          </w:tcPr>
          <w:p w14:paraId="14B9351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5</w:t>
            </w:r>
          </w:p>
        </w:tc>
      </w:tr>
      <w:tr w:rsidR="007A62EC" w:rsidRPr="007B37AC" w14:paraId="0D1C321E" w14:textId="77777777" w:rsidTr="007B37AC">
        <w:trPr>
          <w:trHeight w:val="340"/>
        </w:trPr>
        <w:tc>
          <w:tcPr>
            <w:tcW w:w="1058" w:type="pct"/>
            <w:tcBorders>
              <w:top w:val="nil"/>
              <w:left w:val="nil"/>
              <w:bottom w:val="nil"/>
              <w:right w:val="nil"/>
            </w:tcBorders>
            <w:shd w:val="clear" w:color="auto" w:fill="auto"/>
            <w:vAlign w:val="center"/>
            <w:hideMark/>
          </w:tcPr>
          <w:p w14:paraId="6530073A" w14:textId="01534DFF"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PANDEMIC_026</w:t>
            </w:r>
          </w:p>
        </w:tc>
        <w:tc>
          <w:tcPr>
            <w:tcW w:w="350" w:type="pct"/>
            <w:tcBorders>
              <w:top w:val="nil"/>
              <w:left w:val="nil"/>
              <w:bottom w:val="nil"/>
              <w:right w:val="nil"/>
            </w:tcBorders>
            <w:shd w:val="clear" w:color="auto" w:fill="auto"/>
            <w:noWrap/>
            <w:vAlign w:val="bottom"/>
            <w:hideMark/>
          </w:tcPr>
          <w:p w14:paraId="7E921ED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2021</w:t>
            </w:r>
          </w:p>
        </w:tc>
        <w:tc>
          <w:tcPr>
            <w:tcW w:w="350" w:type="pct"/>
            <w:tcBorders>
              <w:top w:val="nil"/>
              <w:left w:val="nil"/>
              <w:bottom w:val="nil"/>
              <w:right w:val="nil"/>
            </w:tcBorders>
            <w:shd w:val="clear" w:color="auto" w:fill="auto"/>
            <w:vAlign w:val="center"/>
            <w:hideMark/>
          </w:tcPr>
          <w:p w14:paraId="559A7E1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440</w:t>
            </w:r>
          </w:p>
        </w:tc>
        <w:tc>
          <w:tcPr>
            <w:tcW w:w="384" w:type="pct"/>
            <w:tcBorders>
              <w:top w:val="nil"/>
              <w:left w:val="nil"/>
              <w:bottom w:val="nil"/>
              <w:right w:val="nil"/>
            </w:tcBorders>
            <w:shd w:val="clear" w:color="auto" w:fill="auto"/>
            <w:vAlign w:val="center"/>
            <w:hideMark/>
          </w:tcPr>
          <w:p w14:paraId="22E4256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35</w:t>
            </w:r>
          </w:p>
        </w:tc>
        <w:tc>
          <w:tcPr>
            <w:tcW w:w="275" w:type="pct"/>
            <w:tcBorders>
              <w:top w:val="nil"/>
              <w:left w:val="nil"/>
              <w:bottom w:val="nil"/>
              <w:right w:val="nil"/>
            </w:tcBorders>
            <w:shd w:val="clear" w:color="auto" w:fill="auto"/>
            <w:vAlign w:val="center"/>
            <w:hideMark/>
          </w:tcPr>
          <w:p w14:paraId="257AB8B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vAlign w:val="center"/>
            <w:hideMark/>
          </w:tcPr>
          <w:p w14:paraId="700DA42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45</w:t>
            </w:r>
          </w:p>
        </w:tc>
        <w:tc>
          <w:tcPr>
            <w:tcW w:w="486" w:type="pct"/>
            <w:tcBorders>
              <w:top w:val="nil"/>
              <w:left w:val="nil"/>
              <w:bottom w:val="nil"/>
              <w:right w:val="nil"/>
            </w:tcBorders>
            <w:shd w:val="clear" w:color="auto" w:fill="auto"/>
            <w:vAlign w:val="center"/>
            <w:hideMark/>
          </w:tcPr>
          <w:p w14:paraId="565EDA7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26</w:t>
            </w:r>
          </w:p>
        </w:tc>
        <w:tc>
          <w:tcPr>
            <w:tcW w:w="493" w:type="pct"/>
            <w:tcBorders>
              <w:top w:val="nil"/>
              <w:left w:val="nil"/>
              <w:bottom w:val="nil"/>
              <w:right w:val="nil"/>
            </w:tcBorders>
            <w:shd w:val="clear" w:color="auto" w:fill="auto"/>
            <w:vAlign w:val="center"/>
            <w:hideMark/>
          </w:tcPr>
          <w:p w14:paraId="0FF0A5F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w:t>
            </w:r>
          </w:p>
        </w:tc>
        <w:tc>
          <w:tcPr>
            <w:tcW w:w="629" w:type="pct"/>
            <w:tcBorders>
              <w:top w:val="nil"/>
              <w:left w:val="nil"/>
              <w:bottom w:val="nil"/>
              <w:right w:val="nil"/>
            </w:tcBorders>
            <w:shd w:val="clear" w:color="auto" w:fill="auto"/>
            <w:vAlign w:val="center"/>
            <w:hideMark/>
          </w:tcPr>
          <w:p w14:paraId="1E1C6D5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MRI</w:t>
            </w:r>
          </w:p>
        </w:tc>
        <w:tc>
          <w:tcPr>
            <w:tcW w:w="316" w:type="pct"/>
            <w:tcBorders>
              <w:top w:val="nil"/>
              <w:left w:val="nil"/>
              <w:bottom w:val="nil"/>
              <w:right w:val="nil"/>
            </w:tcBorders>
            <w:shd w:val="clear" w:color="auto" w:fill="auto"/>
            <w:vAlign w:val="center"/>
            <w:hideMark/>
          </w:tcPr>
          <w:p w14:paraId="439B96A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68</w:t>
            </w:r>
          </w:p>
        </w:tc>
        <w:tc>
          <w:tcPr>
            <w:tcW w:w="275" w:type="pct"/>
            <w:tcBorders>
              <w:top w:val="nil"/>
              <w:left w:val="nil"/>
              <w:bottom w:val="nil"/>
              <w:right w:val="nil"/>
            </w:tcBorders>
            <w:shd w:val="clear" w:color="auto" w:fill="auto"/>
            <w:vAlign w:val="center"/>
            <w:hideMark/>
          </w:tcPr>
          <w:p w14:paraId="42F005D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w:t>
            </w:r>
          </w:p>
        </w:tc>
      </w:tr>
      <w:tr w:rsidR="007A62EC" w:rsidRPr="007B37AC" w14:paraId="0EB77949" w14:textId="77777777" w:rsidTr="007B37AC">
        <w:trPr>
          <w:trHeight w:val="340"/>
        </w:trPr>
        <w:tc>
          <w:tcPr>
            <w:tcW w:w="1058" w:type="pct"/>
            <w:tcBorders>
              <w:top w:val="nil"/>
              <w:left w:val="nil"/>
              <w:bottom w:val="nil"/>
              <w:right w:val="nil"/>
            </w:tcBorders>
            <w:shd w:val="clear" w:color="auto" w:fill="auto"/>
            <w:vAlign w:val="center"/>
            <w:hideMark/>
          </w:tcPr>
          <w:p w14:paraId="0DBB60CC" w14:textId="06703986"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PANDEMIC_027</w:t>
            </w:r>
          </w:p>
        </w:tc>
        <w:tc>
          <w:tcPr>
            <w:tcW w:w="350" w:type="pct"/>
            <w:tcBorders>
              <w:top w:val="nil"/>
              <w:left w:val="nil"/>
              <w:bottom w:val="nil"/>
              <w:right w:val="nil"/>
            </w:tcBorders>
            <w:shd w:val="clear" w:color="auto" w:fill="auto"/>
            <w:noWrap/>
            <w:vAlign w:val="bottom"/>
            <w:hideMark/>
          </w:tcPr>
          <w:p w14:paraId="687D38E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2021</w:t>
            </w:r>
          </w:p>
        </w:tc>
        <w:tc>
          <w:tcPr>
            <w:tcW w:w="350" w:type="pct"/>
            <w:tcBorders>
              <w:top w:val="nil"/>
              <w:left w:val="nil"/>
              <w:bottom w:val="nil"/>
              <w:right w:val="nil"/>
            </w:tcBorders>
            <w:shd w:val="clear" w:color="auto" w:fill="auto"/>
            <w:vAlign w:val="center"/>
            <w:hideMark/>
          </w:tcPr>
          <w:p w14:paraId="1E6E655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390</w:t>
            </w:r>
          </w:p>
        </w:tc>
        <w:tc>
          <w:tcPr>
            <w:tcW w:w="384" w:type="pct"/>
            <w:tcBorders>
              <w:top w:val="nil"/>
              <w:left w:val="nil"/>
              <w:bottom w:val="nil"/>
              <w:right w:val="nil"/>
            </w:tcBorders>
            <w:shd w:val="clear" w:color="auto" w:fill="auto"/>
            <w:vAlign w:val="center"/>
            <w:hideMark/>
          </w:tcPr>
          <w:p w14:paraId="0C33AFC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18</w:t>
            </w:r>
          </w:p>
        </w:tc>
        <w:tc>
          <w:tcPr>
            <w:tcW w:w="275" w:type="pct"/>
            <w:tcBorders>
              <w:top w:val="nil"/>
              <w:left w:val="nil"/>
              <w:bottom w:val="nil"/>
              <w:right w:val="nil"/>
            </w:tcBorders>
            <w:shd w:val="clear" w:color="auto" w:fill="auto"/>
            <w:vAlign w:val="center"/>
            <w:hideMark/>
          </w:tcPr>
          <w:p w14:paraId="35EA221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vAlign w:val="center"/>
            <w:hideMark/>
          </w:tcPr>
          <w:p w14:paraId="722B38F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43</w:t>
            </w:r>
          </w:p>
        </w:tc>
        <w:tc>
          <w:tcPr>
            <w:tcW w:w="486" w:type="pct"/>
            <w:tcBorders>
              <w:top w:val="nil"/>
              <w:left w:val="nil"/>
              <w:bottom w:val="nil"/>
              <w:right w:val="nil"/>
            </w:tcBorders>
            <w:shd w:val="clear" w:color="auto" w:fill="auto"/>
            <w:vAlign w:val="center"/>
            <w:hideMark/>
          </w:tcPr>
          <w:p w14:paraId="7F35C07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170</w:t>
            </w:r>
          </w:p>
        </w:tc>
        <w:tc>
          <w:tcPr>
            <w:tcW w:w="493" w:type="pct"/>
            <w:tcBorders>
              <w:top w:val="nil"/>
              <w:left w:val="nil"/>
              <w:bottom w:val="nil"/>
              <w:right w:val="nil"/>
            </w:tcBorders>
            <w:shd w:val="clear" w:color="auto" w:fill="auto"/>
            <w:vAlign w:val="center"/>
            <w:hideMark/>
          </w:tcPr>
          <w:p w14:paraId="4C26440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5</w:t>
            </w:r>
          </w:p>
        </w:tc>
        <w:tc>
          <w:tcPr>
            <w:tcW w:w="629" w:type="pct"/>
            <w:tcBorders>
              <w:top w:val="nil"/>
              <w:left w:val="nil"/>
              <w:bottom w:val="nil"/>
              <w:right w:val="nil"/>
            </w:tcBorders>
            <w:shd w:val="clear" w:color="auto" w:fill="auto"/>
            <w:vAlign w:val="center"/>
            <w:hideMark/>
          </w:tcPr>
          <w:p w14:paraId="730C27B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vAlign w:val="center"/>
            <w:hideMark/>
          </w:tcPr>
          <w:p w14:paraId="345D792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13</w:t>
            </w:r>
          </w:p>
        </w:tc>
        <w:tc>
          <w:tcPr>
            <w:tcW w:w="275" w:type="pct"/>
            <w:tcBorders>
              <w:top w:val="nil"/>
              <w:left w:val="nil"/>
              <w:bottom w:val="nil"/>
              <w:right w:val="nil"/>
            </w:tcBorders>
            <w:shd w:val="clear" w:color="auto" w:fill="auto"/>
            <w:vAlign w:val="center"/>
            <w:hideMark/>
          </w:tcPr>
          <w:p w14:paraId="00FD411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w:t>
            </w:r>
          </w:p>
        </w:tc>
      </w:tr>
      <w:tr w:rsidR="007A62EC" w:rsidRPr="007B37AC" w14:paraId="4232BEDB" w14:textId="77777777" w:rsidTr="007B37AC">
        <w:trPr>
          <w:trHeight w:val="340"/>
        </w:trPr>
        <w:tc>
          <w:tcPr>
            <w:tcW w:w="1058" w:type="pct"/>
            <w:tcBorders>
              <w:top w:val="nil"/>
              <w:left w:val="nil"/>
              <w:bottom w:val="nil"/>
              <w:right w:val="nil"/>
            </w:tcBorders>
            <w:shd w:val="clear" w:color="auto" w:fill="auto"/>
            <w:vAlign w:val="center"/>
            <w:hideMark/>
          </w:tcPr>
          <w:p w14:paraId="2FB49C25" w14:textId="45A61921"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PANDEMIC_028</w:t>
            </w:r>
          </w:p>
        </w:tc>
        <w:tc>
          <w:tcPr>
            <w:tcW w:w="350" w:type="pct"/>
            <w:tcBorders>
              <w:top w:val="nil"/>
              <w:left w:val="nil"/>
              <w:bottom w:val="nil"/>
              <w:right w:val="nil"/>
            </w:tcBorders>
            <w:shd w:val="clear" w:color="auto" w:fill="auto"/>
            <w:noWrap/>
            <w:vAlign w:val="bottom"/>
            <w:hideMark/>
          </w:tcPr>
          <w:p w14:paraId="3ED7066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2021</w:t>
            </w:r>
          </w:p>
        </w:tc>
        <w:tc>
          <w:tcPr>
            <w:tcW w:w="350" w:type="pct"/>
            <w:tcBorders>
              <w:top w:val="nil"/>
              <w:left w:val="nil"/>
              <w:bottom w:val="nil"/>
              <w:right w:val="nil"/>
            </w:tcBorders>
            <w:shd w:val="clear" w:color="auto" w:fill="auto"/>
            <w:vAlign w:val="center"/>
            <w:hideMark/>
          </w:tcPr>
          <w:p w14:paraId="3C6F279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370</w:t>
            </w:r>
          </w:p>
        </w:tc>
        <w:tc>
          <w:tcPr>
            <w:tcW w:w="384" w:type="pct"/>
            <w:tcBorders>
              <w:top w:val="nil"/>
              <w:left w:val="nil"/>
              <w:bottom w:val="nil"/>
              <w:right w:val="nil"/>
            </w:tcBorders>
            <w:shd w:val="clear" w:color="auto" w:fill="auto"/>
            <w:vAlign w:val="center"/>
            <w:hideMark/>
          </w:tcPr>
          <w:p w14:paraId="0F4DCBB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13</w:t>
            </w:r>
          </w:p>
        </w:tc>
        <w:tc>
          <w:tcPr>
            <w:tcW w:w="275" w:type="pct"/>
            <w:tcBorders>
              <w:top w:val="nil"/>
              <w:left w:val="nil"/>
              <w:bottom w:val="nil"/>
              <w:right w:val="nil"/>
            </w:tcBorders>
            <w:shd w:val="clear" w:color="auto" w:fill="auto"/>
            <w:vAlign w:val="center"/>
            <w:hideMark/>
          </w:tcPr>
          <w:p w14:paraId="368D878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w:t>
            </w:r>
          </w:p>
        </w:tc>
        <w:tc>
          <w:tcPr>
            <w:tcW w:w="384" w:type="pct"/>
            <w:tcBorders>
              <w:top w:val="nil"/>
              <w:left w:val="nil"/>
              <w:bottom w:val="nil"/>
              <w:right w:val="nil"/>
            </w:tcBorders>
            <w:shd w:val="clear" w:color="auto" w:fill="auto"/>
            <w:vAlign w:val="center"/>
            <w:hideMark/>
          </w:tcPr>
          <w:p w14:paraId="6E95CBB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70</w:t>
            </w:r>
          </w:p>
        </w:tc>
        <w:tc>
          <w:tcPr>
            <w:tcW w:w="486" w:type="pct"/>
            <w:tcBorders>
              <w:top w:val="nil"/>
              <w:left w:val="nil"/>
              <w:bottom w:val="nil"/>
              <w:right w:val="nil"/>
            </w:tcBorders>
            <w:shd w:val="clear" w:color="auto" w:fill="auto"/>
            <w:vAlign w:val="center"/>
            <w:hideMark/>
          </w:tcPr>
          <w:p w14:paraId="03B42A3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66</w:t>
            </w:r>
          </w:p>
        </w:tc>
        <w:tc>
          <w:tcPr>
            <w:tcW w:w="493" w:type="pct"/>
            <w:tcBorders>
              <w:top w:val="nil"/>
              <w:left w:val="nil"/>
              <w:bottom w:val="nil"/>
              <w:right w:val="nil"/>
            </w:tcBorders>
            <w:shd w:val="clear" w:color="auto" w:fill="auto"/>
            <w:vAlign w:val="center"/>
            <w:hideMark/>
          </w:tcPr>
          <w:p w14:paraId="31C4E6B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w:t>
            </w:r>
          </w:p>
        </w:tc>
        <w:tc>
          <w:tcPr>
            <w:tcW w:w="629" w:type="pct"/>
            <w:tcBorders>
              <w:top w:val="nil"/>
              <w:left w:val="nil"/>
              <w:bottom w:val="nil"/>
              <w:right w:val="nil"/>
            </w:tcBorders>
            <w:shd w:val="clear" w:color="auto" w:fill="auto"/>
            <w:vAlign w:val="center"/>
            <w:hideMark/>
          </w:tcPr>
          <w:p w14:paraId="69D2ABD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vAlign w:val="center"/>
            <w:hideMark/>
          </w:tcPr>
          <w:p w14:paraId="5216BF3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21</w:t>
            </w:r>
          </w:p>
        </w:tc>
        <w:tc>
          <w:tcPr>
            <w:tcW w:w="275" w:type="pct"/>
            <w:tcBorders>
              <w:top w:val="nil"/>
              <w:left w:val="nil"/>
              <w:bottom w:val="nil"/>
              <w:right w:val="nil"/>
            </w:tcBorders>
            <w:shd w:val="clear" w:color="auto" w:fill="auto"/>
            <w:vAlign w:val="center"/>
            <w:hideMark/>
          </w:tcPr>
          <w:p w14:paraId="4DB209E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52CF57CE" w14:textId="77777777" w:rsidTr="007B37AC">
        <w:trPr>
          <w:trHeight w:val="340"/>
        </w:trPr>
        <w:tc>
          <w:tcPr>
            <w:tcW w:w="1058" w:type="pct"/>
            <w:tcBorders>
              <w:top w:val="nil"/>
              <w:left w:val="nil"/>
              <w:bottom w:val="nil"/>
              <w:right w:val="nil"/>
            </w:tcBorders>
            <w:shd w:val="clear" w:color="auto" w:fill="auto"/>
            <w:vAlign w:val="center"/>
            <w:hideMark/>
          </w:tcPr>
          <w:p w14:paraId="2FD0AC87" w14:textId="0DA39FAC"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PANDEMIC_029</w:t>
            </w:r>
          </w:p>
        </w:tc>
        <w:tc>
          <w:tcPr>
            <w:tcW w:w="350" w:type="pct"/>
            <w:tcBorders>
              <w:top w:val="nil"/>
              <w:left w:val="nil"/>
              <w:bottom w:val="nil"/>
              <w:right w:val="nil"/>
            </w:tcBorders>
            <w:shd w:val="clear" w:color="auto" w:fill="auto"/>
            <w:noWrap/>
            <w:vAlign w:val="bottom"/>
            <w:hideMark/>
          </w:tcPr>
          <w:p w14:paraId="7377902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2021</w:t>
            </w:r>
          </w:p>
        </w:tc>
        <w:tc>
          <w:tcPr>
            <w:tcW w:w="350" w:type="pct"/>
            <w:tcBorders>
              <w:top w:val="nil"/>
              <w:left w:val="nil"/>
              <w:bottom w:val="nil"/>
              <w:right w:val="nil"/>
            </w:tcBorders>
            <w:shd w:val="clear" w:color="auto" w:fill="auto"/>
            <w:vAlign w:val="center"/>
            <w:hideMark/>
          </w:tcPr>
          <w:p w14:paraId="409F9C9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350</w:t>
            </w:r>
          </w:p>
        </w:tc>
        <w:tc>
          <w:tcPr>
            <w:tcW w:w="384" w:type="pct"/>
            <w:tcBorders>
              <w:top w:val="nil"/>
              <w:left w:val="nil"/>
              <w:bottom w:val="nil"/>
              <w:right w:val="nil"/>
            </w:tcBorders>
            <w:shd w:val="clear" w:color="auto" w:fill="auto"/>
            <w:vAlign w:val="center"/>
            <w:hideMark/>
          </w:tcPr>
          <w:p w14:paraId="46477FC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13,44</w:t>
            </w:r>
          </w:p>
        </w:tc>
        <w:tc>
          <w:tcPr>
            <w:tcW w:w="275" w:type="pct"/>
            <w:tcBorders>
              <w:top w:val="nil"/>
              <w:left w:val="nil"/>
              <w:bottom w:val="nil"/>
              <w:right w:val="nil"/>
            </w:tcBorders>
            <w:shd w:val="clear" w:color="auto" w:fill="auto"/>
            <w:vAlign w:val="center"/>
            <w:hideMark/>
          </w:tcPr>
          <w:p w14:paraId="3FFE129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vAlign w:val="center"/>
            <w:hideMark/>
          </w:tcPr>
          <w:p w14:paraId="111B28A2" w14:textId="77777777" w:rsidR="007A62EC" w:rsidRPr="007B37AC" w:rsidRDefault="007A62EC" w:rsidP="007A62EC">
            <w:pPr>
              <w:rPr>
                <w:rFonts w:ascii="Times New Roman" w:eastAsia="Times New Roman" w:hAnsi="Times New Roman" w:cs="Times New Roman"/>
                <w:color w:val="000000"/>
                <w:sz w:val="13"/>
                <w:szCs w:val="13"/>
                <w:lang w:eastAsia="de-DE"/>
              </w:rPr>
            </w:pPr>
          </w:p>
        </w:tc>
        <w:tc>
          <w:tcPr>
            <w:tcW w:w="486" w:type="pct"/>
            <w:tcBorders>
              <w:top w:val="nil"/>
              <w:left w:val="nil"/>
              <w:bottom w:val="nil"/>
              <w:right w:val="nil"/>
            </w:tcBorders>
            <w:shd w:val="clear" w:color="auto" w:fill="auto"/>
            <w:vAlign w:val="center"/>
            <w:hideMark/>
          </w:tcPr>
          <w:p w14:paraId="59F28E2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105</w:t>
            </w:r>
          </w:p>
        </w:tc>
        <w:tc>
          <w:tcPr>
            <w:tcW w:w="493" w:type="pct"/>
            <w:tcBorders>
              <w:top w:val="nil"/>
              <w:left w:val="nil"/>
              <w:bottom w:val="nil"/>
              <w:right w:val="nil"/>
            </w:tcBorders>
            <w:shd w:val="clear" w:color="auto" w:fill="auto"/>
            <w:vAlign w:val="center"/>
            <w:hideMark/>
          </w:tcPr>
          <w:p w14:paraId="4944CDC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7</w:t>
            </w:r>
          </w:p>
        </w:tc>
        <w:tc>
          <w:tcPr>
            <w:tcW w:w="629" w:type="pct"/>
            <w:tcBorders>
              <w:top w:val="nil"/>
              <w:left w:val="nil"/>
              <w:bottom w:val="nil"/>
              <w:right w:val="nil"/>
            </w:tcBorders>
            <w:shd w:val="clear" w:color="auto" w:fill="auto"/>
            <w:vAlign w:val="center"/>
            <w:hideMark/>
          </w:tcPr>
          <w:p w14:paraId="6F963F8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vAlign w:val="center"/>
            <w:hideMark/>
          </w:tcPr>
          <w:p w14:paraId="7210E74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w:t>
            </w:r>
          </w:p>
        </w:tc>
        <w:tc>
          <w:tcPr>
            <w:tcW w:w="275" w:type="pct"/>
            <w:tcBorders>
              <w:top w:val="nil"/>
              <w:left w:val="nil"/>
              <w:bottom w:val="nil"/>
              <w:right w:val="nil"/>
            </w:tcBorders>
            <w:shd w:val="clear" w:color="auto" w:fill="auto"/>
            <w:vAlign w:val="center"/>
            <w:hideMark/>
          </w:tcPr>
          <w:p w14:paraId="0D856DB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2762F8AC" w14:textId="77777777" w:rsidTr="007B37AC">
        <w:trPr>
          <w:trHeight w:val="340"/>
        </w:trPr>
        <w:tc>
          <w:tcPr>
            <w:tcW w:w="1058" w:type="pct"/>
            <w:tcBorders>
              <w:top w:val="nil"/>
              <w:left w:val="nil"/>
              <w:bottom w:val="nil"/>
              <w:right w:val="nil"/>
            </w:tcBorders>
            <w:shd w:val="clear" w:color="auto" w:fill="auto"/>
            <w:vAlign w:val="center"/>
            <w:hideMark/>
          </w:tcPr>
          <w:p w14:paraId="77684E80" w14:textId="503903D5"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PANDEMIC_030</w:t>
            </w:r>
          </w:p>
        </w:tc>
        <w:tc>
          <w:tcPr>
            <w:tcW w:w="350" w:type="pct"/>
            <w:tcBorders>
              <w:top w:val="nil"/>
              <w:left w:val="nil"/>
              <w:bottom w:val="nil"/>
              <w:right w:val="nil"/>
            </w:tcBorders>
            <w:shd w:val="clear" w:color="auto" w:fill="auto"/>
            <w:noWrap/>
            <w:vAlign w:val="bottom"/>
            <w:hideMark/>
          </w:tcPr>
          <w:p w14:paraId="77988E7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2021</w:t>
            </w:r>
          </w:p>
        </w:tc>
        <w:tc>
          <w:tcPr>
            <w:tcW w:w="350" w:type="pct"/>
            <w:tcBorders>
              <w:top w:val="nil"/>
              <w:left w:val="nil"/>
              <w:bottom w:val="nil"/>
              <w:right w:val="nil"/>
            </w:tcBorders>
            <w:shd w:val="clear" w:color="auto" w:fill="auto"/>
            <w:vAlign w:val="center"/>
            <w:hideMark/>
          </w:tcPr>
          <w:p w14:paraId="4141B52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415</w:t>
            </w:r>
          </w:p>
        </w:tc>
        <w:tc>
          <w:tcPr>
            <w:tcW w:w="384" w:type="pct"/>
            <w:tcBorders>
              <w:top w:val="nil"/>
              <w:left w:val="nil"/>
              <w:bottom w:val="nil"/>
              <w:right w:val="nil"/>
            </w:tcBorders>
            <w:shd w:val="clear" w:color="auto" w:fill="auto"/>
            <w:vAlign w:val="center"/>
            <w:hideMark/>
          </w:tcPr>
          <w:p w14:paraId="10D0190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14</w:t>
            </w:r>
          </w:p>
        </w:tc>
        <w:tc>
          <w:tcPr>
            <w:tcW w:w="275" w:type="pct"/>
            <w:tcBorders>
              <w:top w:val="nil"/>
              <w:left w:val="nil"/>
              <w:bottom w:val="nil"/>
              <w:right w:val="nil"/>
            </w:tcBorders>
            <w:shd w:val="clear" w:color="auto" w:fill="auto"/>
            <w:vAlign w:val="center"/>
            <w:hideMark/>
          </w:tcPr>
          <w:p w14:paraId="1A5DC6D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c>
          <w:tcPr>
            <w:tcW w:w="384" w:type="pct"/>
            <w:tcBorders>
              <w:top w:val="nil"/>
              <w:left w:val="nil"/>
              <w:bottom w:val="nil"/>
              <w:right w:val="nil"/>
            </w:tcBorders>
            <w:shd w:val="clear" w:color="auto" w:fill="auto"/>
            <w:vAlign w:val="center"/>
            <w:hideMark/>
          </w:tcPr>
          <w:p w14:paraId="1AA0F12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92</w:t>
            </w:r>
          </w:p>
        </w:tc>
        <w:tc>
          <w:tcPr>
            <w:tcW w:w="486" w:type="pct"/>
            <w:tcBorders>
              <w:top w:val="nil"/>
              <w:left w:val="nil"/>
              <w:bottom w:val="nil"/>
              <w:right w:val="nil"/>
            </w:tcBorders>
            <w:shd w:val="clear" w:color="auto" w:fill="auto"/>
            <w:vAlign w:val="center"/>
            <w:hideMark/>
          </w:tcPr>
          <w:p w14:paraId="2B504BF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493" w:type="pct"/>
            <w:tcBorders>
              <w:top w:val="nil"/>
              <w:left w:val="nil"/>
              <w:bottom w:val="nil"/>
              <w:right w:val="nil"/>
            </w:tcBorders>
            <w:shd w:val="clear" w:color="auto" w:fill="auto"/>
            <w:vAlign w:val="center"/>
            <w:hideMark/>
          </w:tcPr>
          <w:p w14:paraId="427F4B0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8</w:t>
            </w:r>
          </w:p>
        </w:tc>
        <w:tc>
          <w:tcPr>
            <w:tcW w:w="629" w:type="pct"/>
            <w:tcBorders>
              <w:top w:val="nil"/>
              <w:left w:val="nil"/>
              <w:bottom w:val="nil"/>
              <w:right w:val="nil"/>
            </w:tcBorders>
            <w:shd w:val="clear" w:color="auto" w:fill="auto"/>
            <w:vAlign w:val="center"/>
            <w:hideMark/>
          </w:tcPr>
          <w:p w14:paraId="286E0E8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vAlign w:val="center"/>
            <w:hideMark/>
          </w:tcPr>
          <w:p w14:paraId="213039B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19</w:t>
            </w:r>
          </w:p>
        </w:tc>
        <w:tc>
          <w:tcPr>
            <w:tcW w:w="275" w:type="pct"/>
            <w:tcBorders>
              <w:top w:val="nil"/>
              <w:left w:val="nil"/>
              <w:bottom w:val="nil"/>
              <w:right w:val="nil"/>
            </w:tcBorders>
            <w:shd w:val="clear" w:color="auto" w:fill="auto"/>
            <w:vAlign w:val="center"/>
            <w:hideMark/>
          </w:tcPr>
          <w:p w14:paraId="5223182B"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6B11C8EB" w14:textId="77777777" w:rsidTr="007B37AC">
        <w:trPr>
          <w:trHeight w:val="340"/>
        </w:trPr>
        <w:tc>
          <w:tcPr>
            <w:tcW w:w="1058" w:type="pct"/>
            <w:tcBorders>
              <w:top w:val="nil"/>
              <w:left w:val="nil"/>
              <w:bottom w:val="nil"/>
              <w:right w:val="nil"/>
            </w:tcBorders>
            <w:shd w:val="clear" w:color="auto" w:fill="auto"/>
            <w:vAlign w:val="center"/>
            <w:hideMark/>
          </w:tcPr>
          <w:p w14:paraId="1AEAAA2A" w14:textId="72404E9D"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PANDEMIC_031</w:t>
            </w:r>
          </w:p>
        </w:tc>
        <w:tc>
          <w:tcPr>
            <w:tcW w:w="350" w:type="pct"/>
            <w:tcBorders>
              <w:top w:val="nil"/>
              <w:left w:val="nil"/>
              <w:bottom w:val="nil"/>
              <w:right w:val="nil"/>
            </w:tcBorders>
            <w:shd w:val="clear" w:color="auto" w:fill="auto"/>
            <w:noWrap/>
            <w:vAlign w:val="center"/>
            <w:hideMark/>
          </w:tcPr>
          <w:p w14:paraId="378ED24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2021</w:t>
            </w:r>
          </w:p>
        </w:tc>
        <w:tc>
          <w:tcPr>
            <w:tcW w:w="350" w:type="pct"/>
            <w:tcBorders>
              <w:top w:val="nil"/>
              <w:left w:val="nil"/>
              <w:bottom w:val="nil"/>
              <w:right w:val="nil"/>
            </w:tcBorders>
            <w:shd w:val="clear" w:color="auto" w:fill="auto"/>
            <w:vAlign w:val="center"/>
            <w:hideMark/>
          </w:tcPr>
          <w:p w14:paraId="2D5B878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175</w:t>
            </w:r>
          </w:p>
        </w:tc>
        <w:tc>
          <w:tcPr>
            <w:tcW w:w="384" w:type="pct"/>
            <w:tcBorders>
              <w:top w:val="nil"/>
              <w:left w:val="nil"/>
              <w:bottom w:val="nil"/>
              <w:right w:val="nil"/>
            </w:tcBorders>
            <w:shd w:val="clear" w:color="auto" w:fill="auto"/>
            <w:vAlign w:val="center"/>
            <w:hideMark/>
          </w:tcPr>
          <w:p w14:paraId="2B6BC70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23</w:t>
            </w:r>
          </w:p>
        </w:tc>
        <w:tc>
          <w:tcPr>
            <w:tcW w:w="275" w:type="pct"/>
            <w:tcBorders>
              <w:top w:val="nil"/>
              <w:left w:val="nil"/>
              <w:bottom w:val="nil"/>
              <w:right w:val="nil"/>
            </w:tcBorders>
            <w:shd w:val="clear" w:color="auto" w:fill="auto"/>
            <w:vAlign w:val="center"/>
            <w:hideMark/>
          </w:tcPr>
          <w:p w14:paraId="60BFF23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w:t>
            </w:r>
          </w:p>
        </w:tc>
        <w:tc>
          <w:tcPr>
            <w:tcW w:w="384" w:type="pct"/>
            <w:tcBorders>
              <w:top w:val="nil"/>
              <w:left w:val="nil"/>
              <w:bottom w:val="nil"/>
              <w:right w:val="nil"/>
            </w:tcBorders>
            <w:shd w:val="clear" w:color="auto" w:fill="auto"/>
            <w:vAlign w:val="center"/>
            <w:hideMark/>
          </w:tcPr>
          <w:p w14:paraId="3EBD416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68</w:t>
            </w:r>
          </w:p>
        </w:tc>
        <w:tc>
          <w:tcPr>
            <w:tcW w:w="486" w:type="pct"/>
            <w:tcBorders>
              <w:top w:val="nil"/>
              <w:left w:val="nil"/>
              <w:bottom w:val="nil"/>
              <w:right w:val="nil"/>
            </w:tcBorders>
            <w:shd w:val="clear" w:color="auto" w:fill="auto"/>
            <w:vAlign w:val="center"/>
            <w:hideMark/>
          </w:tcPr>
          <w:p w14:paraId="7D825F6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113</w:t>
            </w:r>
          </w:p>
        </w:tc>
        <w:tc>
          <w:tcPr>
            <w:tcW w:w="493" w:type="pct"/>
            <w:tcBorders>
              <w:top w:val="nil"/>
              <w:left w:val="nil"/>
              <w:bottom w:val="nil"/>
              <w:right w:val="nil"/>
            </w:tcBorders>
            <w:shd w:val="clear" w:color="auto" w:fill="auto"/>
            <w:vAlign w:val="center"/>
            <w:hideMark/>
          </w:tcPr>
          <w:p w14:paraId="0D922C7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w:t>
            </w:r>
          </w:p>
        </w:tc>
        <w:tc>
          <w:tcPr>
            <w:tcW w:w="629" w:type="pct"/>
            <w:tcBorders>
              <w:top w:val="nil"/>
              <w:left w:val="nil"/>
              <w:bottom w:val="nil"/>
              <w:right w:val="nil"/>
            </w:tcBorders>
            <w:shd w:val="clear" w:color="auto" w:fill="auto"/>
            <w:vAlign w:val="center"/>
            <w:hideMark/>
          </w:tcPr>
          <w:p w14:paraId="3BBF85A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vAlign w:val="center"/>
            <w:hideMark/>
          </w:tcPr>
          <w:p w14:paraId="3D771DA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13</w:t>
            </w:r>
          </w:p>
        </w:tc>
        <w:tc>
          <w:tcPr>
            <w:tcW w:w="275" w:type="pct"/>
            <w:tcBorders>
              <w:top w:val="nil"/>
              <w:left w:val="nil"/>
              <w:bottom w:val="nil"/>
              <w:right w:val="nil"/>
            </w:tcBorders>
            <w:shd w:val="clear" w:color="auto" w:fill="auto"/>
            <w:vAlign w:val="center"/>
            <w:hideMark/>
          </w:tcPr>
          <w:p w14:paraId="1DB95C2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2202401E" w14:textId="77777777" w:rsidTr="007B37AC">
        <w:trPr>
          <w:trHeight w:val="340"/>
        </w:trPr>
        <w:tc>
          <w:tcPr>
            <w:tcW w:w="1058" w:type="pct"/>
            <w:tcBorders>
              <w:top w:val="nil"/>
              <w:left w:val="nil"/>
              <w:bottom w:val="nil"/>
              <w:right w:val="nil"/>
            </w:tcBorders>
            <w:shd w:val="clear" w:color="auto" w:fill="auto"/>
            <w:vAlign w:val="center"/>
            <w:hideMark/>
          </w:tcPr>
          <w:p w14:paraId="2455BD68" w14:textId="42C0472F"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PANDEMIC_032</w:t>
            </w:r>
          </w:p>
        </w:tc>
        <w:tc>
          <w:tcPr>
            <w:tcW w:w="350" w:type="pct"/>
            <w:tcBorders>
              <w:top w:val="nil"/>
              <w:left w:val="nil"/>
              <w:bottom w:val="nil"/>
              <w:right w:val="nil"/>
            </w:tcBorders>
            <w:shd w:val="clear" w:color="auto" w:fill="auto"/>
            <w:noWrap/>
            <w:vAlign w:val="bottom"/>
            <w:hideMark/>
          </w:tcPr>
          <w:p w14:paraId="0850172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2021</w:t>
            </w:r>
          </w:p>
        </w:tc>
        <w:tc>
          <w:tcPr>
            <w:tcW w:w="350" w:type="pct"/>
            <w:tcBorders>
              <w:top w:val="nil"/>
              <w:left w:val="nil"/>
              <w:bottom w:val="nil"/>
              <w:right w:val="nil"/>
            </w:tcBorders>
            <w:shd w:val="clear" w:color="auto" w:fill="auto"/>
            <w:vAlign w:val="center"/>
            <w:hideMark/>
          </w:tcPr>
          <w:p w14:paraId="0F75243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1BFB4DB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12</w:t>
            </w:r>
          </w:p>
        </w:tc>
        <w:tc>
          <w:tcPr>
            <w:tcW w:w="275" w:type="pct"/>
            <w:tcBorders>
              <w:top w:val="nil"/>
              <w:left w:val="nil"/>
              <w:bottom w:val="nil"/>
              <w:right w:val="nil"/>
            </w:tcBorders>
            <w:shd w:val="clear" w:color="auto" w:fill="auto"/>
            <w:vAlign w:val="center"/>
            <w:hideMark/>
          </w:tcPr>
          <w:p w14:paraId="12E02E8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w:t>
            </w:r>
          </w:p>
        </w:tc>
        <w:tc>
          <w:tcPr>
            <w:tcW w:w="384" w:type="pct"/>
            <w:tcBorders>
              <w:top w:val="nil"/>
              <w:left w:val="nil"/>
              <w:bottom w:val="nil"/>
              <w:right w:val="nil"/>
            </w:tcBorders>
            <w:shd w:val="clear" w:color="auto" w:fill="auto"/>
            <w:vAlign w:val="center"/>
            <w:hideMark/>
          </w:tcPr>
          <w:p w14:paraId="3D64F55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58</w:t>
            </w:r>
          </w:p>
        </w:tc>
        <w:tc>
          <w:tcPr>
            <w:tcW w:w="486" w:type="pct"/>
            <w:tcBorders>
              <w:top w:val="nil"/>
              <w:left w:val="nil"/>
              <w:bottom w:val="nil"/>
              <w:right w:val="nil"/>
            </w:tcBorders>
            <w:shd w:val="clear" w:color="auto" w:fill="auto"/>
            <w:vAlign w:val="center"/>
            <w:hideMark/>
          </w:tcPr>
          <w:p w14:paraId="6524C25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145</w:t>
            </w:r>
          </w:p>
        </w:tc>
        <w:tc>
          <w:tcPr>
            <w:tcW w:w="493" w:type="pct"/>
            <w:tcBorders>
              <w:top w:val="nil"/>
              <w:left w:val="nil"/>
              <w:bottom w:val="nil"/>
              <w:right w:val="nil"/>
            </w:tcBorders>
            <w:shd w:val="clear" w:color="auto" w:fill="auto"/>
            <w:vAlign w:val="center"/>
            <w:hideMark/>
          </w:tcPr>
          <w:p w14:paraId="4E40D5EE"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79</w:t>
            </w:r>
          </w:p>
        </w:tc>
        <w:tc>
          <w:tcPr>
            <w:tcW w:w="629" w:type="pct"/>
            <w:tcBorders>
              <w:top w:val="nil"/>
              <w:left w:val="nil"/>
              <w:bottom w:val="nil"/>
              <w:right w:val="nil"/>
            </w:tcBorders>
            <w:shd w:val="clear" w:color="auto" w:fill="auto"/>
            <w:vAlign w:val="center"/>
            <w:hideMark/>
          </w:tcPr>
          <w:p w14:paraId="285BE02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vAlign w:val="center"/>
            <w:hideMark/>
          </w:tcPr>
          <w:p w14:paraId="67B2359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16</w:t>
            </w:r>
          </w:p>
        </w:tc>
        <w:tc>
          <w:tcPr>
            <w:tcW w:w="275" w:type="pct"/>
            <w:tcBorders>
              <w:top w:val="nil"/>
              <w:left w:val="nil"/>
              <w:bottom w:val="nil"/>
              <w:right w:val="nil"/>
            </w:tcBorders>
            <w:shd w:val="clear" w:color="auto" w:fill="auto"/>
            <w:vAlign w:val="center"/>
            <w:hideMark/>
          </w:tcPr>
          <w:p w14:paraId="3ABDE4E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60344F6E" w14:textId="77777777" w:rsidTr="007B37AC">
        <w:trPr>
          <w:trHeight w:val="340"/>
        </w:trPr>
        <w:tc>
          <w:tcPr>
            <w:tcW w:w="1058" w:type="pct"/>
            <w:tcBorders>
              <w:top w:val="nil"/>
              <w:left w:val="nil"/>
              <w:bottom w:val="nil"/>
              <w:right w:val="nil"/>
            </w:tcBorders>
            <w:shd w:val="clear" w:color="auto" w:fill="auto"/>
            <w:vAlign w:val="center"/>
            <w:hideMark/>
          </w:tcPr>
          <w:p w14:paraId="4B62711A" w14:textId="3BE692B5"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PANDEMIC_033</w:t>
            </w:r>
          </w:p>
        </w:tc>
        <w:tc>
          <w:tcPr>
            <w:tcW w:w="350" w:type="pct"/>
            <w:tcBorders>
              <w:top w:val="nil"/>
              <w:left w:val="nil"/>
              <w:bottom w:val="nil"/>
              <w:right w:val="nil"/>
            </w:tcBorders>
            <w:shd w:val="clear" w:color="auto" w:fill="auto"/>
            <w:noWrap/>
            <w:vAlign w:val="bottom"/>
            <w:hideMark/>
          </w:tcPr>
          <w:p w14:paraId="1A99C0BF"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2021</w:t>
            </w:r>
          </w:p>
        </w:tc>
        <w:tc>
          <w:tcPr>
            <w:tcW w:w="350" w:type="pct"/>
            <w:tcBorders>
              <w:top w:val="nil"/>
              <w:left w:val="nil"/>
              <w:bottom w:val="nil"/>
              <w:right w:val="nil"/>
            </w:tcBorders>
            <w:shd w:val="clear" w:color="auto" w:fill="auto"/>
            <w:vAlign w:val="center"/>
            <w:hideMark/>
          </w:tcPr>
          <w:p w14:paraId="734CEE2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69589A77"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28</w:t>
            </w:r>
          </w:p>
        </w:tc>
        <w:tc>
          <w:tcPr>
            <w:tcW w:w="275" w:type="pct"/>
            <w:tcBorders>
              <w:top w:val="nil"/>
              <w:left w:val="nil"/>
              <w:bottom w:val="nil"/>
              <w:right w:val="nil"/>
            </w:tcBorders>
            <w:shd w:val="clear" w:color="auto" w:fill="auto"/>
            <w:vAlign w:val="center"/>
            <w:hideMark/>
          </w:tcPr>
          <w:p w14:paraId="072ABAD9"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w:t>
            </w:r>
          </w:p>
        </w:tc>
        <w:tc>
          <w:tcPr>
            <w:tcW w:w="384" w:type="pct"/>
            <w:tcBorders>
              <w:top w:val="nil"/>
              <w:left w:val="nil"/>
              <w:bottom w:val="nil"/>
              <w:right w:val="nil"/>
            </w:tcBorders>
            <w:shd w:val="clear" w:color="auto" w:fill="auto"/>
            <w:vAlign w:val="center"/>
            <w:hideMark/>
          </w:tcPr>
          <w:p w14:paraId="0D4ED4BA"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56</w:t>
            </w:r>
          </w:p>
        </w:tc>
        <w:tc>
          <w:tcPr>
            <w:tcW w:w="486" w:type="pct"/>
            <w:tcBorders>
              <w:top w:val="nil"/>
              <w:left w:val="nil"/>
              <w:bottom w:val="nil"/>
              <w:right w:val="nil"/>
            </w:tcBorders>
            <w:shd w:val="clear" w:color="auto" w:fill="auto"/>
            <w:vAlign w:val="center"/>
            <w:hideMark/>
          </w:tcPr>
          <w:p w14:paraId="24439866"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116</w:t>
            </w:r>
          </w:p>
        </w:tc>
        <w:tc>
          <w:tcPr>
            <w:tcW w:w="493" w:type="pct"/>
            <w:tcBorders>
              <w:top w:val="nil"/>
              <w:left w:val="nil"/>
              <w:bottom w:val="nil"/>
              <w:right w:val="nil"/>
            </w:tcBorders>
            <w:shd w:val="clear" w:color="auto" w:fill="auto"/>
            <w:vAlign w:val="center"/>
            <w:hideMark/>
          </w:tcPr>
          <w:p w14:paraId="503A36B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118</w:t>
            </w:r>
          </w:p>
        </w:tc>
        <w:tc>
          <w:tcPr>
            <w:tcW w:w="629" w:type="pct"/>
            <w:tcBorders>
              <w:top w:val="nil"/>
              <w:left w:val="nil"/>
              <w:bottom w:val="nil"/>
              <w:right w:val="nil"/>
            </w:tcBorders>
            <w:shd w:val="clear" w:color="auto" w:fill="auto"/>
            <w:vAlign w:val="center"/>
            <w:hideMark/>
          </w:tcPr>
          <w:p w14:paraId="64517353"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vAlign w:val="center"/>
            <w:hideMark/>
          </w:tcPr>
          <w:p w14:paraId="23C2327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12</w:t>
            </w:r>
          </w:p>
        </w:tc>
        <w:tc>
          <w:tcPr>
            <w:tcW w:w="275" w:type="pct"/>
            <w:tcBorders>
              <w:top w:val="nil"/>
              <w:left w:val="nil"/>
              <w:bottom w:val="nil"/>
              <w:right w:val="nil"/>
            </w:tcBorders>
            <w:shd w:val="clear" w:color="auto" w:fill="auto"/>
            <w:vAlign w:val="center"/>
            <w:hideMark/>
          </w:tcPr>
          <w:p w14:paraId="6C179822"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r w:rsidR="007A62EC" w:rsidRPr="007B37AC" w14:paraId="5D4FC5FE" w14:textId="77777777" w:rsidTr="007B37AC">
        <w:trPr>
          <w:trHeight w:val="340"/>
        </w:trPr>
        <w:tc>
          <w:tcPr>
            <w:tcW w:w="1058" w:type="pct"/>
            <w:tcBorders>
              <w:top w:val="nil"/>
              <w:left w:val="nil"/>
              <w:bottom w:val="nil"/>
              <w:right w:val="nil"/>
            </w:tcBorders>
            <w:shd w:val="clear" w:color="auto" w:fill="auto"/>
            <w:vAlign w:val="center"/>
            <w:hideMark/>
          </w:tcPr>
          <w:p w14:paraId="51D80B32" w14:textId="14ABAFD6" w:rsidR="007A62EC" w:rsidRPr="007B37AC" w:rsidRDefault="007A62EC" w:rsidP="007A62EC">
            <w:pPr>
              <w:rPr>
                <w:rFonts w:ascii="Times New Roman" w:eastAsia="Times New Roman" w:hAnsi="Times New Roman" w:cs="Times New Roman"/>
                <w:color w:val="000000"/>
                <w:sz w:val="13"/>
                <w:szCs w:val="13"/>
                <w:lang w:eastAsia="de-DE"/>
              </w:rPr>
            </w:pPr>
            <w:r w:rsidRPr="00C336CB">
              <w:rPr>
                <w:rFonts w:ascii="Times New Roman" w:eastAsia="Times New Roman" w:hAnsi="Times New Roman" w:cs="Times New Roman"/>
                <w:color w:val="000000"/>
                <w:sz w:val="13"/>
                <w:szCs w:val="13"/>
                <w:lang w:eastAsia="de-DE"/>
              </w:rPr>
              <w:t>PANDEMIC_034</w:t>
            </w:r>
          </w:p>
        </w:tc>
        <w:tc>
          <w:tcPr>
            <w:tcW w:w="350" w:type="pct"/>
            <w:tcBorders>
              <w:top w:val="nil"/>
              <w:left w:val="nil"/>
              <w:bottom w:val="nil"/>
              <w:right w:val="nil"/>
            </w:tcBorders>
            <w:shd w:val="clear" w:color="auto" w:fill="auto"/>
            <w:noWrap/>
            <w:vAlign w:val="bottom"/>
            <w:hideMark/>
          </w:tcPr>
          <w:p w14:paraId="68326E01"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2021</w:t>
            </w:r>
          </w:p>
        </w:tc>
        <w:tc>
          <w:tcPr>
            <w:tcW w:w="350" w:type="pct"/>
            <w:tcBorders>
              <w:top w:val="nil"/>
              <w:left w:val="nil"/>
              <w:bottom w:val="nil"/>
              <w:right w:val="nil"/>
            </w:tcBorders>
            <w:shd w:val="clear" w:color="auto" w:fill="auto"/>
            <w:vAlign w:val="center"/>
            <w:hideMark/>
          </w:tcPr>
          <w:p w14:paraId="1A8203B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NK</w:t>
            </w:r>
          </w:p>
        </w:tc>
        <w:tc>
          <w:tcPr>
            <w:tcW w:w="384" w:type="pct"/>
            <w:tcBorders>
              <w:top w:val="nil"/>
              <w:left w:val="nil"/>
              <w:bottom w:val="nil"/>
              <w:right w:val="nil"/>
            </w:tcBorders>
            <w:shd w:val="clear" w:color="auto" w:fill="auto"/>
            <w:vAlign w:val="center"/>
            <w:hideMark/>
          </w:tcPr>
          <w:p w14:paraId="08D4DD6C"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13</w:t>
            </w:r>
          </w:p>
        </w:tc>
        <w:tc>
          <w:tcPr>
            <w:tcW w:w="275" w:type="pct"/>
            <w:tcBorders>
              <w:top w:val="nil"/>
              <w:left w:val="nil"/>
              <w:bottom w:val="nil"/>
              <w:right w:val="nil"/>
            </w:tcBorders>
            <w:shd w:val="clear" w:color="auto" w:fill="auto"/>
            <w:vAlign w:val="center"/>
            <w:hideMark/>
          </w:tcPr>
          <w:p w14:paraId="693F2138"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w:t>
            </w:r>
          </w:p>
        </w:tc>
        <w:tc>
          <w:tcPr>
            <w:tcW w:w="384" w:type="pct"/>
            <w:tcBorders>
              <w:top w:val="nil"/>
              <w:left w:val="nil"/>
              <w:bottom w:val="nil"/>
              <w:right w:val="nil"/>
            </w:tcBorders>
            <w:shd w:val="clear" w:color="auto" w:fill="auto"/>
            <w:vAlign w:val="center"/>
            <w:hideMark/>
          </w:tcPr>
          <w:p w14:paraId="35EA48E5"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46</w:t>
            </w:r>
          </w:p>
        </w:tc>
        <w:tc>
          <w:tcPr>
            <w:tcW w:w="486" w:type="pct"/>
            <w:tcBorders>
              <w:top w:val="nil"/>
              <w:left w:val="nil"/>
              <w:bottom w:val="nil"/>
              <w:right w:val="nil"/>
            </w:tcBorders>
            <w:shd w:val="clear" w:color="auto" w:fill="auto"/>
            <w:vAlign w:val="center"/>
            <w:hideMark/>
          </w:tcPr>
          <w:p w14:paraId="77FB541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182</w:t>
            </w:r>
          </w:p>
        </w:tc>
        <w:tc>
          <w:tcPr>
            <w:tcW w:w="493" w:type="pct"/>
            <w:tcBorders>
              <w:top w:val="nil"/>
              <w:left w:val="nil"/>
              <w:bottom w:val="nil"/>
              <w:right w:val="nil"/>
            </w:tcBorders>
            <w:shd w:val="clear" w:color="auto" w:fill="auto"/>
            <w:vAlign w:val="center"/>
            <w:hideMark/>
          </w:tcPr>
          <w:p w14:paraId="7FD569C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3</w:t>
            </w:r>
          </w:p>
        </w:tc>
        <w:tc>
          <w:tcPr>
            <w:tcW w:w="629" w:type="pct"/>
            <w:tcBorders>
              <w:top w:val="nil"/>
              <w:left w:val="nil"/>
              <w:bottom w:val="nil"/>
              <w:right w:val="nil"/>
            </w:tcBorders>
            <w:shd w:val="clear" w:color="auto" w:fill="auto"/>
            <w:vAlign w:val="center"/>
            <w:hideMark/>
          </w:tcPr>
          <w:p w14:paraId="394770A0"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CT</w:t>
            </w:r>
          </w:p>
        </w:tc>
        <w:tc>
          <w:tcPr>
            <w:tcW w:w="316" w:type="pct"/>
            <w:tcBorders>
              <w:top w:val="nil"/>
              <w:left w:val="nil"/>
              <w:bottom w:val="nil"/>
              <w:right w:val="nil"/>
            </w:tcBorders>
            <w:shd w:val="clear" w:color="auto" w:fill="auto"/>
            <w:vAlign w:val="center"/>
            <w:hideMark/>
          </w:tcPr>
          <w:p w14:paraId="04B87DAD"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27</w:t>
            </w:r>
          </w:p>
        </w:tc>
        <w:tc>
          <w:tcPr>
            <w:tcW w:w="275" w:type="pct"/>
            <w:tcBorders>
              <w:top w:val="nil"/>
              <w:left w:val="nil"/>
              <w:bottom w:val="nil"/>
              <w:right w:val="nil"/>
            </w:tcBorders>
            <w:shd w:val="clear" w:color="auto" w:fill="auto"/>
            <w:vAlign w:val="center"/>
            <w:hideMark/>
          </w:tcPr>
          <w:p w14:paraId="34B9F744" w14:textId="77777777" w:rsidR="007A62EC" w:rsidRPr="007B37AC" w:rsidRDefault="007A62EC" w:rsidP="007A62EC">
            <w:pPr>
              <w:rPr>
                <w:rFonts w:ascii="Times New Roman" w:eastAsia="Times New Roman" w:hAnsi="Times New Roman" w:cs="Times New Roman"/>
                <w:color w:val="000000"/>
                <w:sz w:val="13"/>
                <w:szCs w:val="13"/>
                <w:lang w:eastAsia="de-DE"/>
              </w:rPr>
            </w:pPr>
            <w:r w:rsidRPr="007B37AC">
              <w:rPr>
                <w:rFonts w:ascii="Times New Roman" w:eastAsia="Times New Roman" w:hAnsi="Times New Roman" w:cs="Times New Roman"/>
                <w:color w:val="000000"/>
                <w:sz w:val="13"/>
                <w:szCs w:val="13"/>
                <w:lang w:eastAsia="de-DE"/>
              </w:rPr>
              <w:t>6</w:t>
            </w:r>
          </w:p>
        </w:tc>
      </w:tr>
    </w:tbl>
    <w:p w14:paraId="0FE3B6F9" w14:textId="3C8ECBC2" w:rsidR="007B37AC" w:rsidRDefault="007B37AC"/>
    <w:p w14:paraId="3874214F" w14:textId="22C5EEA5" w:rsidR="0007420A" w:rsidRPr="0007420A" w:rsidRDefault="0007420A" w:rsidP="0007420A">
      <w:pPr>
        <w:rPr>
          <w:lang w:val="en-US"/>
        </w:rPr>
      </w:pPr>
      <w:r w:rsidRPr="0007420A">
        <w:rPr>
          <w:i/>
          <w:iCs/>
          <w:lang w:val="en-US"/>
        </w:rPr>
        <w:t>NK</w:t>
      </w:r>
      <w:r w:rsidRPr="00B92A51">
        <w:rPr>
          <w:lang w:val="en-US"/>
        </w:rPr>
        <w:t xml:space="preserve"> not known</w:t>
      </w:r>
      <w:r>
        <w:rPr>
          <w:lang w:val="en-US"/>
        </w:rPr>
        <w:t xml:space="preserve">; </w:t>
      </w:r>
      <w:r w:rsidRPr="0007420A">
        <w:rPr>
          <w:i/>
          <w:iCs/>
          <w:lang w:val="en-US"/>
        </w:rPr>
        <w:t>CRP</w:t>
      </w:r>
      <w:r>
        <w:rPr>
          <w:lang w:val="en-US"/>
        </w:rPr>
        <w:t xml:space="preserve"> C-reactive protein; </w:t>
      </w:r>
      <w:r>
        <w:rPr>
          <w:bCs/>
          <w:i/>
          <w:iCs/>
          <w:lang w:val="en-US"/>
        </w:rPr>
        <w:t xml:space="preserve">INR </w:t>
      </w:r>
      <w:r>
        <w:rPr>
          <w:bCs/>
          <w:lang w:val="en-US"/>
        </w:rPr>
        <w:t>international normalized ratio,</w:t>
      </w:r>
      <w:r>
        <w:rPr>
          <w:bCs/>
          <w:i/>
          <w:iCs/>
          <w:lang w:val="en-US"/>
        </w:rPr>
        <w:t xml:space="preserve"> </w:t>
      </w:r>
      <w:proofErr w:type="spellStart"/>
      <w:r>
        <w:rPr>
          <w:bCs/>
          <w:i/>
          <w:iCs/>
          <w:lang w:val="en-US"/>
        </w:rPr>
        <w:t>aPTT</w:t>
      </w:r>
      <w:proofErr w:type="spellEnd"/>
      <w:r w:rsidRPr="000F2BD0">
        <w:rPr>
          <w:bCs/>
          <w:lang w:val="en-US"/>
        </w:rPr>
        <w:t xml:space="preserve"> partial thromboplastin time</w:t>
      </w:r>
      <w:r>
        <w:rPr>
          <w:bCs/>
          <w:lang w:val="en-US"/>
        </w:rPr>
        <w:t xml:space="preserve">; </w:t>
      </w:r>
      <w:proofErr w:type="spellStart"/>
      <w:r w:rsidRPr="0007420A">
        <w:rPr>
          <w:bCs/>
          <w:i/>
          <w:iCs/>
          <w:lang w:val="en-US"/>
        </w:rPr>
        <w:t>mRS</w:t>
      </w:r>
      <w:proofErr w:type="spellEnd"/>
      <w:r>
        <w:rPr>
          <w:bCs/>
          <w:i/>
          <w:iCs/>
          <w:lang w:val="en-US"/>
        </w:rPr>
        <w:t xml:space="preserve"> </w:t>
      </w:r>
      <w:r>
        <w:rPr>
          <w:bCs/>
          <w:lang w:val="en-US"/>
        </w:rPr>
        <w:t>modified Rankin Scale</w:t>
      </w:r>
    </w:p>
    <w:p w14:paraId="56AB6937" w14:textId="5A2EB781" w:rsidR="0007420A" w:rsidRPr="0007420A" w:rsidRDefault="0007420A">
      <w:pPr>
        <w:rPr>
          <w:lang w:val="en-US"/>
        </w:rPr>
      </w:pPr>
    </w:p>
    <w:p w14:paraId="06E0AD5B" w14:textId="77777777" w:rsidR="0007420A" w:rsidRDefault="0007420A"/>
    <w:p w14:paraId="4D2BAF83" w14:textId="08F0545A" w:rsidR="007B37AC" w:rsidRDefault="007B37AC">
      <w:r>
        <w:br w:type="page"/>
      </w:r>
    </w:p>
    <w:p w14:paraId="44F0A7A1" w14:textId="77777777" w:rsidR="00E04972" w:rsidRPr="00B92A51" w:rsidRDefault="00E04972" w:rsidP="00E04972">
      <w:pPr>
        <w:pStyle w:val="Literaturverzeichnis1"/>
        <w:rPr>
          <w:rFonts w:ascii="Calibri" w:cs="Calibri"/>
          <w:lang w:val="en-US"/>
        </w:rPr>
      </w:pPr>
      <w:r>
        <w:lastRenderedPageBreak/>
        <w:fldChar w:fldCharType="begin"/>
      </w:r>
      <w:r>
        <w:instrText xml:space="preserve"> ADDIN ZOTERO_BIBL {"uncited":[],"omitted":[],"custom":[]} CSL_BIBLIOGRAPHY </w:instrText>
      </w:r>
      <w:r>
        <w:fldChar w:fldCharType="separate"/>
      </w:r>
      <w:r w:rsidRPr="00B92A51">
        <w:rPr>
          <w:rFonts w:ascii="Calibri" w:cs="Calibri"/>
          <w:lang w:val="en-US"/>
        </w:rPr>
        <w:t xml:space="preserve">1. </w:t>
      </w:r>
      <w:r w:rsidRPr="00B92A51">
        <w:rPr>
          <w:rFonts w:ascii="Calibri" w:cs="Calibri"/>
          <w:lang w:val="en-US"/>
        </w:rPr>
        <w:tab/>
        <w:t xml:space="preserve">Agarwal A, Vishnu VY, Vibha D, et al. Intracerebral Hemorrhage and SARS-CoV-2: Association or Causation. </w:t>
      </w:r>
      <w:r w:rsidRPr="00B92A51">
        <w:rPr>
          <w:rFonts w:ascii="Calibri" w:cs="Calibri"/>
          <w:i/>
          <w:iCs/>
          <w:lang w:val="en-US"/>
        </w:rPr>
        <w:t>Ann Indian Acad Neurol</w:t>
      </w:r>
      <w:r w:rsidRPr="00B92A51">
        <w:rPr>
          <w:rFonts w:ascii="Calibri" w:cs="Calibri"/>
          <w:lang w:val="en-US"/>
        </w:rPr>
        <w:t>. 2020;23(3):261-264. doi:10.4103/aian.AIAN_362_20</w:t>
      </w:r>
    </w:p>
    <w:p w14:paraId="5F5BB4C3"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2. </w:t>
      </w:r>
      <w:r w:rsidRPr="00B92A51">
        <w:rPr>
          <w:rFonts w:ascii="Calibri" w:cs="Calibri"/>
          <w:lang w:val="en-US"/>
        </w:rPr>
        <w:tab/>
        <w:t xml:space="preserve">Al Saiegh F, Ghosh R, Leibold A, et al. Status of SARS-CoV-2 in cerebrospinal fluid of patients with COVID-19 and stroke. </w:t>
      </w:r>
      <w:r w:rsidRPr="00B92A51">
        <w:rPr>
          <w:rFonts w:ascii="Calibri" w:cs="Calibri"/>
          <w:i/>
          <w:iCs/>
          <w:lang w:val="en-US"/>
        </w:rPr>
        <w:t>J Neurol Neurosurg Psychiatry</w:t>
      </w:r>
      <w:r w:rsidRPr="00B92A51">
        <w:rPr>
          <w:rFonts w:ascii="Calibri" w:cs="Calibri"/>
          <w:lang w:val="en-US"/>
        </w:rPr>
        <w:t>. 2020;91(8):846-848. doi:10.1136/jnnp-2020-323522</w:t>
      </w:r>
    </w:p>
    <w:p w14:paraId="5C327E8C"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3. </w:t>
      </w:r>
      <w:r w:rsidRPr="00B92A51">
        <w:rPr>
          <w:rFonts w:ascii="Calibri" w:cs="Calibri"/>
          <w:lang w:val="en-US"/>
        </w:rPr>
        <w:tab/>
        <w:t xml:space="preserve">Al-Dalahmah O, Thakur KT, Nordvig AS, et al. Neuronophagia and microglial nodules in a SARS-CoV-2 patient with cerebellar hemorrhage. </w:t>
      </w:r>
      <w:r w:rsidRPr="00B92A51">
        <w:rPr>
          <w:rFonts w:ascii="Calibri" w:cs="Calibri"/>
          <w:i/>
          <w:iCs/>
          <w:lang w:val="en-US"/>
        </w:rPr>
        <w:t>Acta Neuropathol Commun</w:t>
      </w:r>
      <w:r w:rsidRPr="00B92A51">
        <w:rPr>
          <w:rFonts w:ascii="Calibri" w:cs="Calibri"/>
          <w:lang w:val="en-US"/>
        </w:rPr>
        <w:t>. 2020;8(1):1-7. doi:10.1186/s40478-020-01024-2</w:t>
      </w:r>
    </w:p>
    <w:p w14:paraId="182D954E"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4. </w:t>
      </w:r>
      <w:r w:rsidRPr="00B92A51">
        <w:rPr>
          <w:rFonts w:ascii="Calibri" w:cs="Calibri"/>
          <w:lang w:val="en-US"/>
        </w:rPr>
        <w:tab/>
        <w:t xml:space="preserve">Al-Olama M, Rashid A, Garozzo D. COVID-19-associated meningoencephalitis complicated with intracranial hemorrhage: a case report. </w:t>
      </w:r>
      <w:r w:rsidRPr="00B92A51">
        <w:rPr>
          <w:rFonts w:ascii="Calibri" w:cs="Calibri"/>
          <w:i/>
          <w:iCs/>
          <w:lang w:val="en-US"/>
        </w:rPr>
        <w:t>Acta Neurochir (Wien)</w:t>
      </w:r>
      <w:r w:rsidRPr="00B92A51">
        <w:rPr>
          <w:rFonts w:ascii="Calibri" w:cs="Calibri"/>
          <w:lang w:val="en-US"/>
        </w:rPr>
        <w:t>. 2020;162(7):1495-1499. doi:10.1007/s00701-020-04402-w</w:t>
      </w:r>
    </w:p>
    <w:p w14:paraId="27C5A003"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5. </w:t>
      </w:r>
      <w:r w:rsidRPr="00B92A51">
        <w:rPr>
          <w:rFonts w:ascii="Calibri" w:cs="Calibri"/>
          <w:lang w:val="en-US"/>
        </w:rPr>
        <w:tab/>
        <w:t xml:space="preserve">Benger M, Williams O, Siddiqui J, Sztriha L. Intracerebral haemorrhage and COVID-19: Clinical characteristics from a case series. </w:t>
      </w:r>
      <w:r w:rsidRPr="00B92A51">
        <w:rPr>
          <w:rFonts w:ascii="Calibri" w:cs="Calibri"/>
          <w:i/>
          <w:iCs/>
          <w:lang w:val="en-US"/>
        </w:rPr>
        <w:t>Brain Behav Immun</w:t>
      </w:r>
      <w:r w:rsidRPr="00B92A51">
        <w:rPr>
          <w:rFonts w:ascii="Calibri" w:cs="Calibri"/>
          <w:lang w:val="en-US"/>
        </w:rPr>
        <w:t>. 2020;88(June):940-944. doi:10.1016/j.bbi.2020.06.005</w:t>
      </w:r>
    </w:p>
    <w:p w14:paraId="6398624A"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6. </w:t>
      </w:r>
      <w:r w:rsidRPr="00B92A51">
        <w:rPr>
          <w:rFonts w:ascii="Calibri" w:cs="Calibri"/>
          <w:lang w:val="en-US"/>
        </w:rPr>
        <w:tab/>
        <w:t xml:space="preserve">Cannac O, Martinez-Almoyna L, Hraiech S. Critical illness-associated cerebral microbleeds in COVID-19 acute respiratory distress syndrome. </w:t>
      </w:r>
      <w:r w:rsidRPr="00B92A51">
        <w:rPr>
          <w:rFonts w:ascii="Calibri" w:cs="Calibri"/>
          <w:i/>
          <w:iCs/>
          <w:lang w:val="en-US"/>
        </w:rPr>
        <w:t>Neurology</w:t>
      </w:r>
      <w:r w:rsidRPr="00B92A51">
        <w:rPr>
          <w:rFonts w:ascii="Calibri" w:cs="Calibri"/>
          <w:lang w:val="en-US"/>
        </w:rPr>
        <w:t>. 2020;95(11):498-499. doi:10.1212/WNL.0000000000010537</w:t>
      </w:r>
    </w:p>
    <w:p w14:paraId="67FF8A7F"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7. </w:t>
      </w:r>
      <w:r w:rsidRPr="00B92A51">
        <w:rPr>
          <w:rFonts w:ascii="Calibri" w:cs="Calibri"/>
          <w:lang w:val="en-US"/>
        </w:rPr>
        <w:tab/>
        <w:t xml:space="preserve">Carroll E, Lewis A. Catastrophic Intracranial Hemorrhage in Two Critically Ill Patients with COVID-19. </w:t>
      </w:r>
      <w:r w:rsidRPr="00B92A51">
        <w:rPr>
          <w:rFonts w:ascii="Calibri" w:cs="Calibri"/>
          <w:i/>
          <w:iCs/>
          <w:lang w:val="en-US"/>
        </w:rPr>
        <w:t>Neurocrit Care</w:t>
      </w:r>
      <w:r w:rsidRPr="00B92A51">
        <w:rPr>
          <w:rFonts w:ascii="Calibri" w:cs="Calibri"/>
          <w:lang w:val="en-US"/>
        </w:rPr>
        <w:t>. Published online May 2020:1-5. doi:10.1007/s12028-020-00993-5</w:t>
      </w:r>
    </w:p>
    <w:p w14:paraId="51710D44"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8. </w:t>
      </w:r>
      <w:r w:rsidRPr="00B92A51">
        <w:rPr>
          <w:rFonts w:ascii="Calibri" w:cs="Calibri"/>
          <w:lang w:val="en-US"/>
        </w:rPr>
        <w:tab/>
        <w:t xml:space="preserve">Chougar L, Mathon B, Weiss N, Degos V, Shor N. Atypical Deep Cerebral Vein Thrombosis with Hemorrhagic Venous Infarction in a Patient Positive for COVID-19. </w:t>
      </w:r>
      <w:r w:rsidRPr="00B92A51">
        <w:rPr>
          <w:rFonts w:ascii="Calibri" w:cs="Calibri"/>
          <w:i/>
          <w:iCs/>
          <w:lang w:val="en-US"/>
        </w:rPr>
        <w:t>AJNR Am J Neuroradiol</w:t>
      </w:r>
      <w:r w:rsidRPr="00B92A51">
        <w:rPr>
          <w:rFonts w:ascii="Calibri" w:cs="Calibri"/>
          <w:lang w:val="en-US"/>
        </w:rPr>
        <w:t>. 2020;41(8):1377-1379. doi:10.3174/ajnr.A6642</w:t>
      </w:r>
    </w:p>
    <w:p w14:paraId="7916CF74" w14:textId="77777777" w:rsidR="00E04972" w:rsidRPr="00E04972" w:rsidRDefault="00E04972" w:rsidP="00E04972">
      <w:pPr>
        <w:pStyle w:val="Literaturverzeichnis1"/>
        <w:rPr>
          <w:rFonts w:ascii="Calibri" w:cs="Calibri"/>
          <w:lang w:val="de-DE"/>
        </w:rPr>
      </w:pPr>
      <w:r w:rsidRPr="00B92A51">
        <w:rPr>
          <w:rFonts w:ascii="Calibri" w:cs="Calibri"/>
          <w:lang w:val="en-US"/>
        </w:rPr>
        <w:t xml:space="preserve">9. </w:t>
      </w:r>
      <w:r w:rsidRPr="00B92A51">
        <w:rPr>
          <w:rFonts w:ascii="Calibri" w:cs="Calibri"/>
          <w:lang w:val="en-US"/>
        </w:rPr>
        <w:tab/>
        <w:t xml:space="preserve">Daci R, Kennelly M, Ferris A, et al. Bilateral Basal Ganglia Hemorrhage in a Patient with Confirmed COVID-19. </w:t>
      </w:r>
      <w:r w:rsidRPr="00E04972">
        <w:rPr>
          <w:rFonts w:ascii="Calibri" w:cs="Calibri"/>
          <w:i/>
          <w:iCs/>
          <w:lang w:val="de-DE"/>
        </w:rPr>
        <w:t>AJNR Am J Neuroradiol</w:t>
      </w:r>
      <w:r w:rsidRPr="00E04972">
        <w:rPr>
          <w:rFonts w:ascii="Calibri" w:cs="Calibri"/>
          <w:lang w:val="de-DE"/>
        </w:rPr>
        <w:t>. 2020;41(10):1797-1799. doi:10.3174/ajnr.A6712</w:t>
      </w:r>
    </w:p>
    <w:p w14:paraId="7B21889A" w14:textId="77777777" w:rsidR="00E04972" w:rsidRPr="00B92A51" w:rsidRDefault="00E04972" w:rsidP="00E04972">
      <w:pPr>
        <w:pStyle w:val="Literaturverzeichnis1"/>
        <w:rPr>
          <w:rFonts w:ascii="Calibri" w:cs="Calibri"/>
          <w:lang w:val="en-US"/>
        </w:rPr>
      </w:pPr>
      <w:r w:rsidRPr="00E04972">
        <w:rPr>
          <w:rFonts w:ascii="Calibri" w:cs="Calibri"/>
          <w:lang w:val="de-DE"/>
        </w:rPr>
        <w:t xml:space="preserve">10. </w:t>
      </w:r>
      <w:r w:rsidRPr="00E04972">
        <w:rPr>
          <w:rFonts w:ascii="Calibri" w:cs="Calibri"/>
          <w:lang w:val="de-DE"/>
        </w:rPr>
        <w:tab/>
        <w:t xml:space="preserve">Dakay K, Kaur G, Gulko E, et al. </w:t>
      </w:r>
      <w:r w:rsidRPr="00B92A51">
        <w:rPr>
          <w:rFonts w:ascii="Calibri" w:cs="Calibri"/>
          <w:i/>
          <w:iCs/>
          <w:lang w:val="en-US"/>
        </w:rPr>
        <w:t>Reversible Cerebral Vasoconstriction Syndrome and Dissection in the Setting of COVID-19 Infection.</w:t>
      </w:r>
      <w:r w:rsidRPr="00B92A51">
        <w:rPr>
          <w:rFonts w:ascii="Calibri" w:cs="Calibri"/>
          <w:lang w:val="en-US"/>
        </w:rPr>
        <w:t xml:space="preserve"> Vol 29.; 2020. doi:10.1016/j.jstrokecerebrovasdis.2020.105011</w:t>
      </w:r>
    </w:p>
    <w:p w14:paraId="508278B3"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11. </w:t>
      </w:r>
      <w:r w:rsidRPr="00B92A51">
        <w:rPr>
          <w:rFonts w:ascii="Calibri" w:cs="Calibri"/>
          <w:lang w:val="en-US"/>
        </w:rPr>
        <w:tab/>
        <w:t xml:space="preserve">De Stefano P, Nencha U, De Stefano L, Mégevand P, Seeck M. </w:t>
      </w:r>
      <w:r w:rsidRPr="00B92A51">
        <w:rPr>
          <w:rFonts w:ascii="Calibri" w:cs="Calibri"/>
          <w:i/>
          <w:iCs/>
          <w:lang w:val="en-US"/>
        </w:rPr>
        <w:t>Focal EEG Changes Indicating Critical Illness Associated Cerebral Microbleeds in a Covid-19 Patient.</w:t>
      </w:r>
      <w:r w:rsidRPr="00B92A51">
        <w:rPr>
          <w:rFonts w:ascii="Calibri" w:cs="Calibri"/>
          <w:lang w:val="en-US"/>
        </w:rPr>
        <w:t xml:space="preserve"> Vol 5.; 2020. doi:10.1016/j.cnp.2020.05.004</w:t>
      </w:r>
    </w:p>
    <w:p w14:paraId="385D5580" w14:textId="77777777" w:rsidR="00E04972" w:rsidRPr="00B92A51" w:rsidRDefault="00E04972" w:rsidP="00E04972">
      <w:pPr>
        <w:pStyle w:val="Literaturverzeichnis1"/>
        <w:rPr>
          <w:rFonts w:ascii="Calibri" w:cs="Calibri"/>
          <w:lang w:val="en-US"/>
        </w:rPr>
      </w:pPr>
      <w:r w:rsidRPr="00B92A51">
        <w:rPr>
          <w:rFonts w:ascii="Calibri" w:cs="Calibri"/>
          <w:lang w:val="en-US"/>
        </w:rPr>
        <w:lastRenderedPageBreak/>
        <w:t xml:space="preserve">12. </w:t>
      </w:r>
      <w:r w:rsidRPr="00B92A51">
        <w:rPr>
          <w:rFonts w:ascii="Calibri" w:cs="Calibri"/>
          <w:lang w:val="en-US"/>
        </w:rPr>
        <w:tab/>
        <w:t xml:space="preserve">Dixon L, Varley J, Gontsarova A, et al. COVID-19-related acute necrotizing encephalopathy with brain stem involvement in a patient with aplastic anemia. </w:t>
      </w:r>
      <w:r w:rsidRPr="00B92A51">
        <w:rPr>
          <w:rFonts w:ascii="Calibri" w:cs="Calibri"/>
          <w:i/>
          <w:iCs/>
          <w:lang w:val="en-US"/>
        </w:rPr>
        <w:t>Neurol Neuroimmunol Neuroinflammation</w:t>
      </w:r>
      <w:r w:rsidRPr="00B92A51">
        <w:rPr>
          <w:rFonts w:ascii="Calibri" w:cs="Calibri"/>
          <w:lang w:val="en-US"/>
        </w:rPr>
        <w:t>. 2020;7(5). doi:10.1212/NXI.0000000000000789</w:t>
      </w:r>
    </w:p>
    <w:p w14:paraId="6FA5ED9B"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13. </w:t>
      </w:r>
      <w:r w:rsidRPr="00B92A51">
        <w:rPr>
          <w:rFonts w:ascii="Calibri" w:cs="Calibri"/>
          <w:lang w:val="en-US"/>
        </w:rPr>
        <w:tab/>
        <w:t xml:space="preserve">Franceschi AM, Ahmed O, Giliberto L, Castillo M. Hemorrhagic Posterior Reversible Encephalopathy Syndrome as a Manifestation of COVID-19 Infection. </w:t>
      </w:r>
      <w:r w:rsidRPr="00B92A51">
        <w:rPr>
          <w:rFonts w:ascii="Calibri" w:cs="Calibri"/>
          <w:i/>
          <w:iCs/>
          <w:lang w:val="en-US"/>
        </w:rPr>
        <w:t>AJNR Am J Neuroradiol</w:t>
      </w:r>
      <w:r w:rsidRPr="00B92A51">
        <w:rPr>
          <w:rFonts w:ascii="Calibri" w:cs="Calibri"/>
          <w:lang w:val="en-US"/>
        </w:rPr>
        <w:t>. 2020;41(7):1173-1176. doi:10.3174/ajnr.A6595</w:t>
      </w:r>
    </w:p>
    <w:p w14:paraId="4B9958E8"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14. </w:t>
      </w:r>
      <w:r w:rsidRPr="00B92A51">
        <w:rPr>
          <w:rFonts w:ascii="Calibri" w:cs="Calibri"/>
          <w:lang w:val="en-US"/>
        </w:rPr>
        <w:tab/>
        <w:t xml:space="preserve">Ghani MU, Kumar M, Ghani U, Sonia F, Abbas SA. Intracranial hemorrhage complicating anticoagulant prophylactic therapy in three hospitalized COVID-19 patients. </w:t>
      </w:r>
      <w:r w:rsidRPr="00B92A51">
        <w:rPr>
          <w:rFonts w:ascii="Calibri" w:cs="Calibri"/>
          <w:i/>
          <w:iCs/>
          <w:lang w:val="en-US"/>
        </w:rPr>
        <w:t>J Neurovirol</w:t>
      </w:r>
      <w:r w:rsidRPr="00B92A51">
        <w:rPr>
          <w:rFonts w:ascii="Calibri" w:cs="Calibri"/>
          <w:lang w:val="en-US"/>
        </w:rPr>
        <w:t>. 2020;26(4):602-604. doi:10.1007/s13365-020-00869-6</w:t>
      </w:r>
    </w:p>
    <w:p w14:paraId="54F49106"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15. </w:t>
      </w:r>
      <w:r w:rsidRPr="00B92A51">
        <w:rPr>
          <w:rFonts w:ascii="Calibri" w:cs="Calibri"/>
          <w:lang w:val="en-US"/>
        </w:rPr>
        <w:tab/>
        <w:t xml:space="preserve">Gogia B, Fang X, Rai P. Intracranial Hemorrhage in a Patient With COVID-19: Possible Explanations and  Considerations. </w:t>
      </w:r>
      <w:r w:rsidRPr="00B92A51">
        <w:rPr>
          <w:rFonts w:ascii="Calibri" w:cs="Calibri"/>
          <w:i/>
          <w:iCs/>
          <w:lang w:val="en-US"/>
        </w:rPr>
        <w:t>Cureus</w:t>
      </w:r>
      <w:r w:rsidRPr="00B92A51">
        <w:rPr>
          <w:rFonts w:ascii="Calibri" w:cs="Calibri"/>
          <w:lang w:val="en-US"/>
        </w:rPr>
        <w:t>. 2020;12(8):e10159. doi:10.7759/cureus.10159</w:t>
      </w:r>
    </w:p>
    <w:p w14:paraId="456C7DBA"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16. </w:t>
      </w:r>
      <w:r w:rsidRPr="00B92A51">
        <w:rPr>
          <w:rFonts w:ascii="Calibri" w:cs="Calibri"/>
          <w:lang w:val="en-US"/>
        </w:rPr>
        <w:tab/>
        <w:t xml:space="preserve">Gonçalves B, Righy C, Kurtz P. Thrombotic and Hemorrhagic Neurological Complications in Critically Ill COVID-19 Patients. </w:t>
      </w:r>
      <w:r w:rsidRPr="00B92A51">
        <w:rPr>
          <w:rFonts w:ascii="Calibri" w:cs="Calibri"/>
          <w:i/>
          <w:iCs/>
          <w:lang w:val="en-US"/>
        </w:rPr>
        <w:t>Neurocrit Care</w:t>
      </w:r>
      <w:r w:rsidRPr="00B92A51">
        <w:rPr>
          <w:rFonts w:ascii="Calibri" w:cs="Calibri"/>
          <w:lang w:val="en-US"/>
        </w:rPr>
        <w:t>. 2020;33(2):587-590. doi:10.1007/s12028-020-01078-z</w:t>
      </w:r>
    </w:p>
    <w:p w14:paraId="6E202DA5"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17. </w:t>
      </w:r>
      <w:r w:rsidRPr="00B92A51">
        <w:rPr>
          <w:rFonts w:ascii="Calibri" w:cs="Calibri"/>
          <w:lang w:val="en-US"/>
        </w:rPr>
        <w:tab/>
        <w:t xml:space="preserve">Gupta NA, Lien C, Iv M. Critical illness-associated cerebral microbleeds in severe COVID-19 infection. </w:t>
      </w:r>
      <w:r w:rsidRPr="00B92A51">
        <w:rPr>
          <w:rFonts w:ascii="Calibri" w:cs="Calibri"/>
          <w:i/>
          <w:iCs/>
          <w:lang w:val="en-US"/>
        </w:rPr>
        <w:t>Clin Imaging</w:t>
      </w:r>
      <w:r w:rsidRPr="00B92A51">
        <w:rPr>
          <w:rFonts w:ascii="Calibri" w:cs="Calibri"/>
          <w:lang w:val="en-US"/>
        </w:rPr>
        <w:t>. 2020;68:239-241. doi:10.1016/j.clinimag.2020.08.029</w:t>
      </w:r>
    </w:p>
    <w:p w14:paraId="6384146A"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18. </w:t>
      </w:r>
      <w:r w:rsidRPr="00B92A51">
        <w:rPr>
          <w:rFonts w:ascii="Calibri" w:cs="Calibri"/>
          <w:lang w:val="en-US"/>
        </w:rPr>
        <w:tab/>
        <w:t xml:space="preserve">Harrogate S, Mortimer A, Burrows L, Fiddes B, Thomas I, Rice CM. Non-aneurysmal subarachnoid haemorrhage in COVID-19. </w:t>
      </w:r>
      <w:r w:rsidRPr="00B92A51">
        <w:rPr>
          <w:rFonts w:ascii="Calibri" w:cs="Calibri"/>
          <w:i/>
          <w:iCs/>
          <w:lang w:val="en-US"/>
        </w:rPr>
        <w:t>Neuroradiology</w:t>
      </w:r>
      <w:r w:rsidRPr="00B92A51">
        <w:rPr>
          <w:rFonts w:ascii="Calibri" w:cs="Calibri"/>
          <w:lang w:val="en-US"/>
        </w:rPr>
        <w:t>. Published online August 2020:1-4. doi:10.1007/s00234-020-02535-4</w:t>
      </w:r>
    </w:p>
    <w:p w14:paraId="5D1021EA"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19. </w:t>
      </w:r>
      <w:r w:rsidRPr="00B92A51">
        <w:rPr>
          <w:rFonts w:ascii="Calibri" w:cs="Calibri"/>
          <w:lang w:val="en-US"/>
        </w:rPr>
        <w:tab/>
        <w:t xml:space="preserve">Heman-Ackah SM, Su YRS, Spadola M, et al. Neurologically devastating intraparenchymal hemorrhage in COVID-19 patients on extracorporeal membrane oxygenation: A case series. </w:t>
      </w:r>
      <w:r w:rsidRPr="00B92A51">
        <w:rPr>
          <w:rFonts w:ascii="Calibri" w:cs="Calibri"/>
          <w:i/>
          <w:iCs/>
          <w:lang w:val="en-US"/>
        </w:rPr>
        <w:t>Neurosurgery</w:t>
      </w:r>
      <w:r w:rsidRPr="00B92A51">
        <w:rPr>
          <w:rFonts w:ascii="Calibri" w:cs="Calibri"/>
          <w:lang w:val="en-US"/>
        </w:rPr>
        <w:t>. 2020;87(2):E147-E151. doi:10.1093/neuros/nyaa198</w:t>
      </w:r>
    </w:p>
    <w:p w14:paraId="4EF1EE11"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20. </w:t>
      </w:r>
      <w:r w:rsidRPr="00B92A51">
        <w:rPr>
          <w:rFonts w:ascii="Calibri" w:cs="Calibri"/>
          <w:lang w:val="en-US"/>
        </w:rPr>
        <w:tab/>
        <w:t xml:space="preserve">Hemasian H, Ansari B. First case of Covid-19 presented with cerebral venous thrombosis: A rare and dreaded case. </w:t>
      </w:r>
      <w:r w:rsidRPr="00B92A51">
        <w:rPr>
          <w:rFonts w:ascii="Calibri" w:cs="Calibri"/>
          <w:i/>
          <w:iCs/>
          <w:lang w:val="en-US"/>
        </w:rPr>
        <w:t>Rev Neurol (Paris)</w:t>
      </w:r>
      <w:r w:rsidRPr="00B92A51">
        <w:rPr>
          <w:rFonts w:ascii="Calibri" w:cs="Calibri"/>
          <w:lang w:val="en-US"/>
        </w:rPr>
        <w:t>. 2020;176(6):521-523. doi:10.1016/j.neurol.2020.04.013</w:t>
      </w:r>
    </w:p>
    <w:p w14:paraId="3246D6C5"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21. </w:t>
      </w:r>
      <w:r w:rsidRPr="00B92A51">
        <w:rPr>
          <w:rFonts w:ascii="Calibri" w:cs="Calibri"/>
          <w:lang w:val="en-US"/>
        </w:rPr>
        <w:tab/>
        <w:t xml:space="preserve">Hernandez-Fernandez F, Sandoval Valencia H, Barbella-Aponte RA, et al. Cerebrovascular disease in patients with COVID-19: Neuroimaging, histological and clinical description. </w:t>
      </w:r>
      <w:r w:rsidRPr="00B92A51">
        <w:rPr>
          <w:rFonts w:ascii="Calibri" w:cs="Calibri"/>
          <w:i/>
          <w:iCs/>
          <w:lang w:val="en-US"/>
        </w:rPr>
        <w:t>Brain</w:t>
      </w:r>
      <w:r w:rsidRPr="00B92A51">
        <w:rPr>
          <w:rFonts w:ascii="Calibri" w:cs="Calibri"/>
          <w:lang w:val="en-US"/>
        </w:rPr>
        <w:t>. 2020;143(10):3089-3103. doi:10.1093/brain/awaa239</w:t>
      </w:r>
    </w:p>
    <w:p w14:paraId="62AA202D"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22. </w:t>
      </w:r>
      <w:r w:rsidRPr="00B92A51">
        <w:rPr>
          <w:rFonts w:ascii="Calibri" w:cs="Calibri"/>
          <w:lang w:val="en-US"/>
        </w:rPr>
        <w:tab/>
        <w:t xml:space="preserve">Khattar NK, Sharma M, McCallum AP, et al. Intracranial hemorrhage in a young COVID-19 patient. </w:t>
      </w:r>
      <w:r w:rsidRPr="00B92A51">
        <w:rPr>
          <w:rFonts w:ascii="Calibri" w:cs="Calibri"/>
          <w:i/>
          <w:iCs/>
          <w:lang w:val="en-US"/>
        </w:rPr>
        <w:t>Interdiscip Neurosurg Adv Tech Case Manag</w:t>
      </w:r>
      <w:r w:rsidRPr="00B92A51">
        <w:rPr>
          <w:rFonts w:ascii="Calibri" w:cs="Calibri"/>
          <w:lang w:val="en-US"/>
        </w:rPr>
        <w:t>. 2020;22:100878. doi:10.1016/j.inat.2020.100878</w:t>
      </w:r>
    </w:p>
    <w:p w14:paraId="33A14BAB" w14:textId="77777777" w:rsidR="00E04972" w:rsidRPr="00B92A51" w:rsidRDefault="00E04972" w:rsidP="00E04972">
      <w:pPr>
        <w:pStyle w:val="Literaturverzeichnis1"/>
        <w:rPr>
          <w:rFonts w:ascii="Calibri" w:cs="Calibri"/>
          <w:lang w:val="en-US"/>
        </w:rPr>
      </w:pPr>
      <w:r w:rsidRPr="00B92A51">
        <w:rPr>
          <w:rFonts w:ascii="Calibri" w:cs="Calibri"/>
          <w:lang w:val="en-US"/>
        </w:rPr>
        <w:lastRenderedPageBreak/>
        <w:t xml:space="preserve">23. </w:t>
      </w:r>
      <w:r w:rsidRPr="00B92A51">
        <w:rPr>
          <w:rFonts w:ascii="Calibri" w:cs="Calibri"/>
          <w:lang w:val="en-US"/>
        </w:rPr>
        <w:tab/>
        <w:t xml:space="preserve">Lévesque V, Millaire É, Corsilli D, Rioux-Massé B, Carrier F-M. Severe immune thrombocytopenic purpura in critical COVID-19. </w:t>
      </w:r>
      <w:r w:rsidRPr="00B92A51">
        <w:rPr>
          <w:rFonts w:ascii="Calibri" w:cs="Calibri"/>
          <w:i/>
          <w:iCs/>
          <w:lang w:val="en-US"/>
        </w:rPr>
        <w:t>Int J Hematol</w:t>
      </w:r>
      <w:r w:rsidRPr="00B92A51">
        <w:rPr>
          <w:rFonts w:ascii="Calibri" w:cs="Calibri"/>
          <w:lang w:val="en-US"/>
        </w:rPr>
        <w:t>. 2020;112(5):746-750. doi:10.1007/s12185-020-02931-9</w:t>
      </w:r>
    </w:p>
    <w:p w14:paraId="4DE0B97C"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24. </w:t>
      </w:r>
      <w:r w:rsidRPr="00B92A51">
        <w:rPr>
          <w:rFonts w:ascii="Calibri" w:cs="Calibri"/>
          <w:lang w:val="en-US"/>
        </w:rPr>
        <w:tab/>
        <w:t xml:space="preserve">Li J, Long X, Zhu C, et al. A case of COVID-19 pneumonia with cerebral hemorrhage. </w:t>
      </w:r>
      <w:r w:rsidRPr="00B92A51">
        <w:rPr>
          <w:rFonts w:ascii="Calibri" w:cs="Calibri"/>
          <w:i/>
          <w:iCs/>
          <w:lang w:val="en-US"/>
        </w:rPr>
        <w:t>Thromb Res</w:t>
      </w:r>
      <w:r w:rsidRPr="00B92A51">
        <w:rPr>
          <w:rFonts w:ascii="Calibri" w:cs="Calibri"/>
          <w:lang w:val="en-US"/>
        </w:rPr>
        <w:t>. 2020;193(May):22-24. doi:10.1016/j.thromres.2020.05.050</w:t>
      </w:r>
    </w:p>
    <w:p w14:paraId="4138A622"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25. </w:t>
      </w:r>
      <w:r w:rsidRPr="00B92A51">
        <w:rPr>
          <w:rFonts w:ascii="Calibri" w:cs="Calibri"/>
          <w:lang w:val="en-US"/>
        </w:rPr>
        <w:tab/>
        <w:t xml:space="preserve">Montes-Ramirez J, Aquino-Lopez E. COVID-19-associated diffuse leukoencephalopathy and cerebral microbleeds during puerperium. </w:t>
      </w:r>
      <w:r w:rsidRPr="00B92A51">
        <w:rPr>
          <w:rFonts w:ascii="Calibri" w:cs="Calibri"/>
          <w:i/>
          <w:iCs/>
          <w:lang w:val="en-US"/>
        </w:rPr>
        <w:t>Int J Gynecol Obstet</w:t>
      </w:r>
      <w:r w:rsidRPr="00B92A51">
        <w:rPr>
          <w:rFonts w:ascii="Calibri" w:cs="Calibri"/>
          <w:lang w:val="en-US"/>
        </w:rPr>
        <w:t>. 2020;151(3):466-467. doi:10.1002/ijgo.13399</w:t>
      </w:r>
    </w:p>
    <w:p w14:paraId="354A4942"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26. </w:t>
      </w:r>
      <w:r w:rsidRPr="00B92A51">
        <w:rPr>
          <w:rFonts w:ascii="Calibri" w:cs="Calibri"/>
          <w:lang w:val="en-US"/>
        </w:rPr>
        <w:tab/>
        <w:t xml:space="preserve">Motoie R, Akai M, Kitahara T, et al. Coronavirus Disease 2019 Complicated by Multiple Simultaneous Intracerebral Hemorrhages. </w:t>
      </w:r>
      <w:r w:rsidRPr="00B92A51">
        <w:rPr>
          <w:rFonts w:ascii="Calibri" w:cs="Calibri"/>
          <w:i/>
          <w:iCs/>
          <w:lang w:val="en-US"/>
        </w:rPr>
        <w:t>Intern Med Tokyo Jpn</w:t>
      </w:r>
      <w:r w:rsidRPr="00B92A51">
        <w:rPr>
          <w:rFonts w:ascii="Calibri" w:cs="Calibri"/>
          <w:lang w:val="en-US"/>
        </w:rPr>
        <w:t>. 2020;59(20):2597-2600. doi:10.2169/internalmedicine.5697-20</w:t>
      </w:r>
    </w:p>
    <w:p w14:paraId="7DE939D2"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27. </w:t>
      </w:r>
      <w:r w:rsidRPr="00B92A51">
        <w:rPr>
          <w:rFonts w:ascii="Calibri" w:cs="Calibri"/>
          <w:lang w:val="en-US"/>
        </w:rPr>
        <w:tab/>
        <w:t xml:space="preserve">Muhammad S, Petridis A, Cornelius JF, Hänggi D. Letter to editor: Severe brain haemorrhage and concomitant COVID-19 Infection: A  neurovascular complication of COVID-19. </w:t>
      </w:r>
      <w:r w:rsidRPr="00B92A51">
        <w:rPr>
          <w:rFonts w:ascii="Calibri" w:cs="Calibri"/>
          <w:i/>
          <w:iCs/>
          <w:lang w:val="en-US"/>
        </w:rPr>
        <w:t>Brain Behav Immun</w:t>
      </w:r>
      <w:r w:rsidRPr="00B92A51">
        <w:rPr>
          <w:rFonts w:ascii="Calibri" w:cs="Calibri"/>
          <w:lang w:val="en-US"/>
        </w:rPr>
        <w:t>. 2020;87:150-151. doi:10.1016/j.bbi.2020.05.015</w:t>
      </w:r>
    </w:p>
    <w:p w14:paraId="775C2D1D"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28. </w:t>
      </w:r>
      <w:r w:rsidRPr="00B92A51">
        <w:rPr>
          <w:rFonts w:ascii="Calibri" w:cs="Calibri"/>
          <w:lang w:val="en-US"/>
        </w:rPr>
        <w:tab/>
        <w:t xml:space="preserve">Planinc D, El-Rekaby A, Sivakumar R, Saksena R, Ngeh J. Acute stroke showing cerebral infarcts and microbleeds in a 31-year-old man with covid-19 pneumonia. </w:t>
      </w:r>
      <w:r w:rsidRPr="00B92A51">
        <w:rPr>
          <w:rFonts w:ascii="Calibri" w:cs="Calibri"/>
          <w:i/>
          <w:iCs/>
          <w:lang w:val="en-US"/>
        </w:rPr>
        <w:t>Br J Hosp Med</w:t>
      </w:r>
      <w:r w:rsidRPr="00B92A51">
        <w:rPr>
          <w:rFonts w:ascii="Calibri" w:cs="Calibri"/>
          <w:lang w:val="en-US"/>
        </w:rPr>
        <w:t>. 2020;81(8):6-8. doi:10.12968/hmed.2020.0366</w:t>
      </w:r>
    </w:p>
    <w:p w14:paraId="263BAD3E"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29. </w:t>
      </w:r>
      <w:r w:rsidRPr="00B92A51">
        <w:rPr>
          <w:rFonts w:ascii="Calibri" w:cs="Calibri"/>
          <w:lang w:val="en-US"/>
        </w:rPr>
        <w:tab/>
        <w:t xml:space="preserve">Shekhar R, Sheikh AB, Suriya SS, Upadhyay S, Zafar A. Neurological Complications Among Native Americans with COVID-19: Our Experience at a Tertiary Care Academic Hospital in the U.S. </w:t>
      </w:r>
      <w:r w:rsidRPr="00B92A51">
        <w:rPr>
          <w:rFonts w:ascii="Calibri" w:cs="Calibri"/>
          <w:i/>
          <w:iCs/>
          <w:lang w:val="en-US"/>
        </w:rPr>
        <w:t>J Stroke Cerebrovasc Dis Off J Natl Stroke Assoc</w:t>
      </w:r>
      <w:r w:rsidRPr="00B92A51">
        <w:rPr>
          <w:rFonts w:ascii="Calibri" w:cs="Calibri"/>
          <w:lang w:val="en-US"/>
        </w:rPr>
        <w:t>. 2020;29(12):105260. doi:10.1016/j.jstrokecerebrovasdis.2020.105260</w:t>
      </w:r>
    </w:p>
    <w:p w14:paraId="5A71F92A"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30. </w:t>
      </w:r>
      <w:r w:rsidRPr="00B92A51">
        <w:rPr>
          <w:rFonts w:ascii="Calibri" w:cs="Calibri"/>
          <w:lang w:val="en-US"/>
        </w:rPr>
        <w:tab/>
        <w:t xml:space="preserve">Soldatelli MD, do Amaral LF, Veiga VC, Rojas SSO, Omar S, Marussi VHR. Neurovascular and perfusion imaging findings in coronavirus disease 2019: Case report and literature review. </w:t>
      </w:r>
      <w:r w:rsidRPr="00B92A51">
        <w:rPr>
          <w:rFonts w:ascii="Calibri" w:cs="Calibri"/>
          <w:i/>
          <w:iCs/>
          <w:lang w:val="en-US"/>
        </w:rPr>
        <w:t>Neuroradiol J</w:t>
      </w:r>
      <w:r w:rsidRPr="00B92A51">
        <w:rPr>
          <w:rFonts w:ascii="Calibri" w:cs="Calibri"/>
          <w:lang w:val="en-US"/>
        </w:rPr>
        <w:t>. 2020;33(5):368-373. doi:10.1177/1971400920941652</w:t>
      </w:r>
    </w:p>
    <w:p w14:paraId="6170B1B3"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31. </w:t>
      </w:r>
      <w:r w:rsidRPr="00B92A51">
        <w:rPr>
          <w:rFonts w:ascii="Calibri" w:cs="Calibri"/>
          <w:lang w:val="en-US"/>
        </w:rPr>
        <w:tab/>
        <w:t xml:space="preserve">Thu SS, Matin N, Levine SR. Olfactory gyrus intracerebral hemorrhage in a patient with COVID-19 infection. </w:t>
      </w:r>
      <w:r w:rsidRPr="00B92A51">
        <w:rPr>
          <w:rFonts w:ascii="Calibri" w:cs="Calibri"/>
          <w:i/>
          <w:iCs/>
          <w:lang w:val="en-US"/>
        </w:rPr>
        <w:t>J Clin Neurosci</w:t>
      </w:r>
      <w:r w:rsidRPr="00B92A51">
        <w:rPr>
          <w:rFonts w:ascii="Calibri" w:cs="Calibri"/>
          <w:lang w:val="en-US"/>
        </w:rPr>
        <w:t>. 2020;79:275-276. doi:10.1016/j.jocn.2020.07.033</w:t>
      </w:r>
    </w:p>
    <w:p w14:paraId="3B5DFA04"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32. </w:t>
      </w:r>
      <w:r w:rsidRPr="00B92A51">
        <w:rPr>
          <w:rFonts w:ascii="Calibri" w:cs="Calibri"/>
          <w:lang w:val="en-US"/>
        </w:rPr>
        <w:tab/>
        <w:t xml:space="preserve">Usman AA, Han J, Acker A, et al. A Case Series of Devastating Intracranial Hemorrhage During Venovenous Extracorporeal Membrane Oxygenation for COVID-19. </w:t>
      </w:r>
      <w:r w:rsidRPr="00B92A51">
        <w:rPr>
          <w:rFonts w:ascii="Calibri" w:cs="Calibri"/>
          <w:i/>
          <w:iCs/>
          <w:lang w:val="en-US"/>
        </w:rPr>
        <w:t>J Cardiothorac Vasc Anesth</w:t>
      </w:r>
      <w:r w:rsidRPr="00B92A51">
        <w:rPr>
          <w:rFonts w:ascii="Calibri" w:cs="Calibri"/>
          <w:lang w:val="en-US"/>
        </w:rPr>
        <w:t>. 2020;34(11):3006-3012. doi:10.1053/j.jvca.2020.07.063</w:t>
      </w:r>
    </w:p>
    <w:p w14:paraId="1F4D4B10" w14:textId="77777777" w:rsidR="00E04972" w:rsidRPr="00B92A51" w:rsidRDefault="00E04972" w:rsidP="00E04972">
      <w:pPr>
        <w:pStyle w:val="Literaturverzeichnis1"/>
        <w:rPr>
          <w:rFonts w:ascii="Calibri" w:cs="Calibri"/>
          <w:lang w:val="en-US"/>
        </w:rPr>
      </w:pPr>
      <w:r w:rsidRPr="00B92A51">
        <w:rPr>
          <w:rFonts w:ascii="Calibri" w:cs="Calibri"/>
          <w:lang w:val="en-US"/>
        </w:rPr>
        <w:lastRenderedPageBreak/>
        <w:t xml:space="preserve">33. </w:t>
      </w:r>
      <w:r w:rsidRPr="00B92A51">
        <w:rPr>
          <w:rFonts w:ascii="Calibri" w:cs="Calibri"/>
          <w:lang w:val="en-US"/>
        </w:rPr>
        <w:tab/>
        <w:t xml:space="preserve">Vattoth S, Abdelhady M, Alsoub H, Own A, Elsotouhy A. Critical illness-associated cerebral microbleeds in COVID-19. </w:t>
      </w:r>
      <w:r w:rsidRPr="00B92A51">
        <w:rPr>
          <w:rFonts w:ascii="Calibri" w:cs="Calibri"/>
          <w:i/>
          <w:iCs/>
          <w:lang w:val="en-US"/>
        </w:rPr>
        <w:t>Neuroradiol J</w:t>
      </w:r>
      <w:r w:rsidRPr="00B92A51">
        <w:rPr>
          <w:rFonts w:ascii="Calibri" w:cs="Calibri"/>
          <w:lang w:val="en-US"/>
        </w:rPr>
        <w:t>. 2020;33(5):374-376. doi:10.1177/1971400920939229</w:t>
      </w:r>
    </w:p>
    <w:p w14:paraId="734575F5"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34. </w:t>
      </w:r>
      <w:r w:rsidRPr="00B92A51">
        <w:rPr>
          <w:rFonts w:ascii="Calibri" w:cs="Calibri"/>
          <w:lang w:val="en-US"/>
        </w:rPr>
        <w:tab/>
        <w:t xml:space="preserve">Vu D, Ruggiero M, Choi WS, et al. Three unsuspected CT diagnoses of COVID-19. </w:t>
      </w:r>
      <w:r w:rsidRPr="00B92A51">
        <w:rPr>
          <w:rFonts w:ascii="Calibri" w:cs="Calibri"/>
          <w:i/>
          <w:iCs/>
          <w:lang w:val="en-US"/>
        </w:rPr>
        <w:t>Emerg Radiol</w:t>
      </w:r>
      <w:r w:rsidRPr="00B92A51">
        <w:rPr>
          <w:rFonts w:ascii="Calibri" w:cs="Calibri"/>
          <w:lang w:val="en-US"/>
        </w:rPr>
        <w:t>. 2020;27(3):229-232. doi:10.1007/s10140-020-01775-4</w:t>
      </w:r>
    </w:p>
    <w:p w14:paraId="4ACB2D57"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35. </w:t>
      </w:r>
      <w:r w:rsidRPr="00B92A51">
        <w:rPr>
          <w:rFonts w:ascii="Calibri" w:cs="Calibri"/>
          <w:lang w:val="en-US"/>
        </w:rPr>
        <w:tab/>
        <w:t xml:space="preserve">Wee NK, Fan EB, Lee KCH, Chia YW, Lim TCC. CT Fluid-blood levels in COVID-19 intracranial hemorrhage. </w:t>
      </w:r>
      <w:r w:rsidRPr="00B92A51">
        <w:rPr>
          <w:rFonts w:ascii="Calibri" w:cs="Calibri"/>
          <w:i/>
          <w:iCs/>
          <w:lang w:val="en-US"/>
        </w:rPr>
        <w:t>Am J Neuroradiol</w:t>
      </w:r>
      <w:r w:rsidRPr="00B92A51">
        <w:rPr>
          <w:rFonts w:ascii="Calibri" w:cs="Calibri"/>
          <w:lang w:val="en-US"/>
        </w:rPr>
        <w:t>. 2020;41(9):E76-E77. doi:10.3174/ajnr.A6672</w:t>
      </w:r>
    </w:p>
    <w:p w14:paraId="6F974DD3"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36. </w:t>
      </w:r>
      <w:r w:rsidRPr="00B92A51">
        <w:rPr>
          <w:rFonts w:ascii="Calibri" w:cs="Calibri"/>
          <w:lang w:val="en-US"/>
        </w:rPr>
        <w:tab/>
        <w:t xml:space="preserve">Zulfiqar A-A, Lorenzo-Villalba N, Hassler P, Andrès E. Immune Thrombocytopenic Purpura in a Patient with Covid-19. </w:t>
      </w:r>
      <w:r w:rsidRPr="00B92A51">
        <w:rPr>
          <w:rFonts w:ascii="Calibri" w:cs="Calibri"/>
          <w:i/>
          <w:iCs/>
          <w:lang w:val="en-US"/>
        </w:rPr>
        <w:t>N Engl J Med</w:t>
      </w:r>
      <w:r w:rsidRPr="00B92A51">
        <w:rPr>
          <w:rFonts w:ascii="Calibri" w:cs="Calibri"/>
          <w:lang w:val="en-US"/>
        </w:rPr>
        <w:t>. 2020;382(18):e43. doi:10.1056/nejmc2010472</w:t>
      </w:r>
    </w:p>
    <w:p w14:paraId="1A919516"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37. </w:t>
      </w:r>
      <w:r w:rsidRPr="00B92A51">
        <w:rPr>
          <w:rFonts w:ascii="Calibri" w:cs="Calibri"/>
          <w:lang w:val="en-US"/>
        </w:rPr>
        <w:tab/>
        <w:t xml:space="preserve">Sharifi-Razavi A, Karimi N, Rouhani N. COVID-19 and intracerebral haemorrhage: causative or coincidental? </w:t>
      </w:r>
      <w:r w:rsidRPr="00B92A51">
        <w:rPr>
          <w:rFonts w:ascii="Calibri" w:cs="Calibri"/>
          <w:i/>
          <w:iCs/>
          <w:lang w:val="en-US"/>
        </w:rPr>
        <w:t>New Microbes New Infect</w:t>
      </w:r>
      <w:r w:rsidRPr="00B92A51">
        <w:rPr>
          <w:rFonts w:ascii="Calibri" w:cs="Calibri"/>
          <w:lang w:val="en-US"/>
        </w:rPr>
        <w:t>. 2020;35. doi:10.1016/j.nmni.2020.100669</w:t>
      </w:r>
    </w:p>
    <w:p w14:paraId="5E11232A"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38. </w:t>
      </w:r>
      <w:r w:rsidRPr="00B92A51">
        <w:rPr>
          <w:rFonts w:ascii="Calibri" w:cs="Calibri"/>
          <w:lang w:val="en-US"/>
        </w:rPr>
        <w:tab/>
        <w:t xml:space="preserve">Rustemi O, Raneri F, Iannucci G, Volpin L, Segna A. Aneurysmal subarachnoid hemorrhage in a SARS-CoV-2 positive testing: casual or causal? </w:t>
      </w:r>
      <w:r w:rsidRPr="00B92A51">
        <w:rPr>
          <w:rFonts w:ascii="Calibri" w:cs="Calibri"/>
          <w:i/>
          <w:iCs/>
          <w:lang w:val="en-US"/>
        </w:rPr>
        <w:t>Br J Neurosurg</w:t>
      </w:r>
      <w:r w:rsidRPr="00B92A51">
        <w:rPr>
          <w:rFonts w:ascii="Calibri" w:cs="Calibri"/>
          <w:lang w:val="en-US"/>
        </w:rPr>
        <w:t>. 2020;0(0):1-2. doi:10.1080/02688697.2020.1787343</w:t>
      </w:r>
    </w:p>
    <w:p w14:paraId="527EE89C"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39. </w:t>
      </w:r>
      <w:r w:rsidRPr="00B92A51">
        <w:rPr>
          <w:rFonts w:ascii="Calibri" w:cs="Calibri"/>
          <w:lang w:val="en-US"/>
        </w:rPr>
        <w:tab/>
        <w:t xml:space="preserve">Batcik OE, Kanat A, Cankay TU, et al. COVID-19 infection produces subarachnoid hemorrhage; acting now to understand its cause: A short communication. </w:t>
      </w:r>
      <w:r w:rsidRPr="00B92A51">
        <w:rPr>
          <w:rFonts w:ascii="Calibri" w:cs="Calibri"/>
          <w:i/>
          <w:iCs/>
          <w:lang w:val="en-US"/>
        </w:rPr>
        <w:t>Clin Neurol Neurosurg</w:t>
      </w:r>
      <w:r w:rsidRPr="00B92A51">
        <w:rPr>
          <w:rFonts w:ascii="Calibri" w:cs="Calibri"/>
          <w:lang w:val="en-US"/>
        </w:rPr>
        <w:t>. Published online 2021:4.</w:t>
      </w:r>
    </w:p>
    <w:p w14:paraId="69AE8727"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40. </w:t>
      </w:r>
      <w:r w:rsidRPr="00B92A51">
        <w:rPr>
          <w:rFonts w:ascii="Calibri" w:cs="Calibri"/>
          <w:lang w:val="en-US"/>
        </w:rPr>
        <w:tab/>
        <w:t xml:space="preserve">Cezar-Junior AB, Faquini IV, Silva JLJ, et al. Subarachnoid hemorrhage and COVID-19. </w:t>
      </w:r>
      <w:r w:rsidRPr="00B92A51">
        <w:rPr>
          <w:rFonts w:ascii="Calibri" w:cs="Calibri"/>
          <w:i/>
          <w:iCs/>
          <w:lang w:val="en-US"/>
        </w:rPr>
        <w:t>Medicine (Baltimore)</w:t>
      </w:r>
      <w:r w:rsidRPr="00B92A51">
        <w:rPr>
          <w:rFonts w:ascii="Calibri" w:cs="Calibri"/>
          <w:lang w:val="en-US"/>
        </w:rPr>
        <w:t>. 2020;99(51):e23862. doi:10.1097/md.0000000000023862</w:t>
      </w:r>
    </w:p>
    <w:p w14:paraId="6783E53E"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41. </w:t>
      </w:r>
      <w:r w:rsidRPr="00B92A51">
        <w:rPr>
          <w:rFonts w:ascii="Calibri" w:cs="Calibri"/>
          <w:lang w:val="en-US"/>
        </w:rPr>
        <w:tab/>
        <w:t xml:space="preserve">Fayed I, Pivazyan G, Conte AG, Chang J, Mai JC. Intracranial hemorrhage in critically ill patients hospitalized for. </w:t>
      </w:r>
      <w:r w:rsidRPr="00B92A51">
        <w:rPr>
          <w:rFonts w:ascii="Calibri" w:cs="Calibri"/>
          <w:i/>
          <w:iCs/>
          <w:lang w:val="en-US"/>
        </w:rPr>
        <w:t>J Clin Neurosci</w:t>
      </w:r>
      <w:r w:rsidRPr="00B92A51">
        <w:rPr>
          <w:rFonts w:ascii="Calibri" w:cs="Calibri"/>
          <w:lang w:val="en-US"/>
        </w:rPr>
        <w:t>. Published online 2020:5.</w:t>
      </w:r>
    </w:p>
    <w:p w14:paraId="49FE61F3"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42. </w:t>
      </w:r>
      <w:r w:rsidRPr="00B92A51">
        <w:rPr>
          <w:rFonts w:ascii="Calibri" w:cs="Calibri"/>
          <w:lang w:val="en-US"/>
        </w:rPr>
        <w:tab/>
        <w:t xml:space="preserve">Ghosh R, Dubey S, Kanti Ray B, Chatterjee S, Benito-León J. COVID-19 Presenting With Thalamic Hemorrhage Unmasking Moyamoya Angiopathy. </w:t>
      </w:r>
      <w:r w:rsidRPr="00B92A51">
        <w:rPr>
          <w:rFonts w:ascii="Calibri" w:cs="Calibri"/>
          <w:i/>
          <w:iCs/>
          <w:lang w:val="en-US"/>
        </w:rPr>
        <w:t>Can J Neurol Sci J Can Sci Neurol</w:t>
      </w:r>
      <w:r w:rsidRPr="00B92A51">
        <w:rPr>
          <w:rFonts w:ascii="Calibri" w:cs="Calibri"/>
          <w:lang w:val="en-US"/>
        </w:rPr>
        <w:t>. 2020;47(6):849-851. doi:10.1017/cjn.2020.117</w:t>
      </w:r>
    </w:p>
    <w:p w14:paraId="3F008CBB"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43. </w:t>
      </w:r>
      <w:r w:rsidRPr="00B92A51">
        <w:rPr>
          <w:rFonts w:ascii="Calibri" w:cs="Calibri"/>
          <w:lang w:val="en-US"/>
        </w:rPr>
        <w:tab/>
        <w:t xml:space="preserve">Haroon KH, Patro SN, Hussain S, Zafar A, Muhammad A. Multiple Microbleeds: A Serious Neurological Manifestation in a Critically Ill COVID-19 Patient. </w:t>
      </w:r>
      <w:r w:rsidRPr="00B92A51">
        <w:rPr>
          <w:rFonts w:ascii="Calibri" w:cs="Calibri"/>
          <w:i/>
          <w:iCs/>
          <w:lang w:val="en-US"/>
        </w:rPr>
        <w:t>Case Rep Neurol</w:t>
      </w:r>
      <w:r w:rsidRPr="00B92A51">
        <w:rPr>
          <w:rFonts w:ascii="Calibri" w:cs="Calibri"/>
          <w:lang w:val="en-US"/>
        </w:rPr>
        <w:t>. 2020;3050:373-377. doi:10.1159/000512322</w:t>
      </w:r>
    </w:p>
    <w:p w14:paraId="1323B987" w14:textId="77777777" w:rsidR="00E04972" w:rsidRPr="00B92A51" w:rsidRDefault="00E04972" w:rsidP="00E04972">
      <w:pPr>
        <w:pStyle w:val="Literaturverzeichnis1"/>
        <w:rPr>
          <w:rFonts w:ascii="Calibri" w:cs="Calibri"/>
          <w:lang w:val="en-US"/>
        </w:rPr>
      </w:pPr>
      <w:r w:rsidRPr="00B92A51">
        <w:rPr>
          <w:rFonts w:ascii="Calibri" w:cs="Calibri"/>
          <w:lang w:val="en-US"/>
        </w:rPr>
        <w:lastRenderedPageBreak/>
        <w:t xml:space="preserve">44. </w:t>
      </w:r>
      <w:r w:rsidRPr="00B92A51">
        <w:rPr>
          <w:rFonts w:ascii="Calibri" w:cs="Calibri"/>
          <w:lang w:val="en-US"/>
        </w:rPr>
        <w:tab/>
        <w:t>Mousa-Ibrahim F, Berg S, OdTPDetola O, Teitcher M, Ruland S. Intracranial Hemorrhage in Hospitalized SARS-CoV-2 Patients: A Case Series. :8.</w:t>
      </w:r>
    </w:p>
    <w:p w14:paraId="5C91307B"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45. </w:t>
      </w:r>
      <w:r w:rsidRPr="00B92A51">
        <w:rPr>
          <w:rFonts w:ascii="Calibri" w:cs="Calibri"/>
          <w:lang w:val="en-US"/>
        </w:rPr>
        <w:tab/>
        <w:t xml:space="preserve">Nicolas-Jilwan M, Almaghrabi RS. Diffuse necrotising leukoencephalopathy with microhaemorrhages in a patient with severe COVID-19 disease. </w:t>
      </w:r>
      <w:r w:rsidRPr="00B92A51">
        <w:rPr>
          <w:rFonts w:ascii="Calibri" w:cs="Calibri"/>
          <w:i/>
          <w:iCs/>
          <w:lang w:val="en-US"/>
        </w:rPr>
        <w:t>Neuroradiol J</w:t>
      </w:r>
      <w:r w:rsidRPr="00B92A51">
        <w:rPr>
          <w:rFonts w:ascii="Calibri" w:cs="Calibri"/>
          <w:lang w:val="en-US"/>
        </w:rPr>
        <w:t>. 2020;33(6):528-531. doi:10.1177/1971400920959324</w:t>
      </w:r>
    </w:p>
    <w:p w14:paraId="48FDC09D"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46. </w:t>
      </w:r>
      <w:r w:rsidRPr="00B92A51">
        <w:rPr>
          <w:rFonts w:ascii="Calibri" w:cs="Calibri"/>
          <w:lang w:val="en-US"/>
        </w:rPr>
        <w:tab/>
        <w:t xml:space="preserve">Ordinola AAM, Osmar SS, Marussi VHR, et al. Hemorragia cerebral durante fase ativa de infecção por SARS-CoV-2 em paciente com angiopatia amiloide: relato de caso. </w:t>
      </w:r>
      <w:r w:rsidRPr="00B92A51">
        <w:rPr>
          <w:rFonts w:ascii="Calibri" w:cs="Calibri"/>
          <w:i/>
          <w:iCs/>
          <w:lang w:val="en-US"/>
        </w:rPr>
        <w:t>Rev Bras Ter Intensiva</w:t>
      </w:r>
      <w:r w:rsidRPr="00B92A51">
        <w:rPr>
          <w:rFonts w:ascii="Calibri" w:cs="Calibri"/>
          <w:lang w:val="en-US"/>
        </w:rPr>
        <w:t>. 2020;32(4):603-605. doi:10.5935/0103-507X.20200098</w:t>
      </w:r>
    </w:p>
    <w:p w14:paraId="49D33062"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47. </w:t>
      </w:r>
      <w:r w:rsidRPr="00B92A51">
        <w:rPr>
          <w:rFonts w:ascii="Calibri" w:cs="Calibri"/>
          <w:lang w:val="en-US"/>
        </w:rPr>
        <w:tab/>
        <w:t xml:space="preserve">Pavlov V, Beylerli O, Gareev I, Torres Solis LF, Solís Herrera A, Aliev G. COVID-19-Related Intracerebral Hemorrhage. </w:t>
      </w:r>
      <w:r w:rsidRPr="00B92A51">
        <w:rPr>
          <w:rFonts w:ascii="Calibri" w:cs="Calibri"/>
          <w:i/>
          <w:iCs/>
          <w:lang w:val="en-US"/>
        </w:rPr>
        <w:t>Front Aging Neurosci</w:t>
      </w:r>
      <w:r w:rsidRPr="00B92A51">
        <w:rPr>
          <w:rFonts w:ascii="Calibri" w:cs="Calibri"/>
          <w:lang w:val="en-US"/>
        </w:rPr>
        <w:t>. 2020;12(October):1-6. doi:10.3389/fnagi.2020.600172</w:t>
      </w:r>
    </w:p>
    <w:p w14:paraId="45F40847"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48. </w:t>
      </w:r>
      <w:r w:rsidRPr="00B92A51">
        <w:rPr>
          <w:rFonts w:ascii="Calibri" w:cs="Calibri"/>
          <w:lang w:val="en-US"/>
        </w:rPr>
        <w:tab/>
        <w:t>Tristán-Samaniego DP, Chiquete E, Treviño I, et al. COVID-19-related diffuse posthypoxic leukoencephalopathy and microbleeds masquerades as acute necrot. :6.</w:t>
      </w:r>
    </w:p>
    <w:p w14:paraId="3DEE5C1E" w14:textId="77777777" w:rsidR="00E04972" w:rsidRPr="00E04972" w:rsidRDefault="00E04972" w:rsidP="00E04972">
      <w:pPr>
        <w:pStyle w:val="Literaturverzeichnis1"/>
        <w:rPr>
          <w:rFonts w:ascii="Calibri" w:cs="Calibri"/>
          <w:lang w:val="de-DE"/>
        </w:rPr>
      </w:pPr>
      <w:r w:rsidRPr="00B92A51">
        <w:rPr>
          <w:rFonts w:ascii="Calibri" w:cs="Calibri"/>
          <w:lang w:val="en-US"/>
        </w:rPr>
        <w:t xml:space="preserve">49. </w:t>
      </w:r>
      <w:r w:rsidRPr="00B92A51">
        <w:rPr>
          <w:rFonts w:ascii="Calibri" w:cs="Calibri"/>
          <w:lang w:val="en-US"/>
        </w:rPr>
        <w:tab/>
        <w:t xml:space="preserve">Daneshi SA, Taheri M, Fattahi A. SARS coronavirus 2 and central nervous system manifestations: causation, relation, or coexistence? a case series study and literature review. </w:t>
      </w:r>
      <w:r w:rsidRPr="00E04972">
        <w:rPr>
          <w:rFonts w:ascii="Calibri" w:cs="Calibri"/>
          <w:i/>
          <w:iCs/>
          <w:lang w:val="de-DE"/>
        </w:rPr>
        <w:t>Br J Neurosurg</w:t>
      </w:r>
      <w:r w:rsidRPr="00E04972">
        <w:rPr>
          <w:rFonts w:ascii="Calibri" w:cs="Calibri"/>
          <w:lang w:val="de-DE"/>
        </w:rPr>
        <w:t>. 2020;0(0):1-6. doi:10.1080/02688697.2020.1861433</w:t>
      </w:r>
    </w:p>
    <w:p w14:paraId="7C50B9F2" w14:textId="77777777" w:rsidR="00E04972" w:rsidRPr="00B92A51" w:rsidRDefault="00E04972" w:rsidP="00E04972">
      <w:pPr>
        <w:pStyle w:val="Literaturverzeichnis1"/>
        <w:rPr>
          <w:rFonts w:ascii="Calibri" w:cs="Calibri"/>
          <w:lang w:val="en-US"/>
        </w:rPr>
      </w:pPr>
      <w:r w:rsidRPr="00E04972">
        <w:rPr>
          <w:rFonts w:ascii="Calibri" w:cs="Calibri"/>
          <w:lang w:val="de-DE"/>
        </w:rPr>
        <w:t xml:space="preserve">50. </w:t>
      </w:r>
      <w:r w:rsidRPr="00E04972">
        <w:rPr>
          <w:rFonts w:ascii="Calibri" w:cs="Calibri"/>
          <w:lang w:val="de-DE"/>
        </w:rPr>
        <w:tab/>
        <w:t xml:space="preserve">Kirschenbaum D, Imbach LL, Rushing EJ, et al. </w:t>
      </w:r>
      <w:r w:rsidRPr="00B92A51">
        <w:rPr>
          <w:rFonts w:ascii="Calibri" w:cs="Calibri"/>
          <w:lang w:val="en-US"/>
        </w:rPr>
        <w:t xml:space="preserve">Intracerebral endotheliitis and microbleeds are neuropathological features of COVID-19. </w:t>
      </w:r>
      <w:r w:rsidRPr="00B92A51">
        <w:rPr>
          <w:rFonts w:ascii="Calibri" w:cs="Calibri"/>
          <w:i/>
          <w:iCs/>
          <w:lang w:val="en-US"/>
        </w:rPr>
        <w:t>Neuropathol Appl Neurobiol</w:t>
      </w:r>
      <w:r w:rsidRPr="00B92A51">
        <w:rPr>
          <w:rFonts w:ascii="Calibri" w:cs="Calibri"/>
          <w:lang w:val="en-US"/>
        </w:rPr>
        <w:t>. 2020;(July):1-6. doi:10.1111/nan.12677</w:t>
      </w:r>
    </w:p>
    <w:p w14:paraId="3FFA6AF5"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51. </w:t>
      </w:r>
      <w:r w:rsidRPr="00B92A51">
        <w:rPr>
          <w:rFonts w:ascii="Calibri" w:cs="Calibri"/>
          <w:lang w:val="en-US"/>
        </w:rPr>
        <w:tab/>
        <w:t xml:space="preserve">Mishra S, Choueka M, Wang Q, et al. Intracranial Hemorrhage in COVID-19 Patients. </w:t>
      </w:r>
      <w:r w:rsidRPr="00B92A51">
        <w:rPr>
          <w:rFonts w:ascii="Calibri" w:cs="Calibri"/>
          <w:i/>
          <w:iCs/>
          <w:lang w:val="en-US"/>
        </w:rPr>
        <w:t>J Stroke Cerebrovasc Dis Off J Natl Stroke Assoc</w:t>
      </w:r>
      <w:r w:rsidRPr="00B92A51">
        <w:rPr>
          <w:rFonts w:ascii="Calibri" w:cs="Calibri"/>
          <w:lang w:val="en-US"/>
        </w:rPr>
        <w:t>. 2021;30(4):105603. doi:10.1016/j.jstrokecerebrovasdis.2021.105603</w:t>
      </w:r>
    </w:p>
    <w:p w14:paraId="04E5FE2B"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52. </w:t>
      </w:r>
      <w:r w:rsidRPr="00B92A51">
        <w:rPr>
          <w:rFonts w:ascii="Calibri" w:cs="Calibri"/>
          <w:lang w:val="en-US"/>
        </w:rPr>
        <w:tab/>
        <w:t xml:space="preserve">Agarwal S, Jain R, Dogra S, et al. Cerebral Microbleeds and Leukoencephalopathy in Critically Ill Patients with COVID-19. </w:t>
      </w:r>
      <w:r w:rsidRPr="00B92A51">
        <w:rPr>
          <w:rFonts w:ascii="Calibri" w:cs="Calibri"/>
          <w:i/>
          <w:iCs/>
          <w:lang w:val="en-US"/>
        </w:rPr>
        <w:t>Stroke</w:t>
      </w:r>
      <w:r w:rsidRPr="00B92A51">
        <w:rPr>
          <w:rFonts w:ascii="Calibri" w:cs="Calibri"/>
          <w:lang w:val="en-US"/>
        </w:rPr>
        <w:t>. 2020;(September):2649-2655. doi:10.1161/STROKEAHA.120.030940</w:t>
      </w:r>
    </w:p>
    <w:p w14:paraId="06545DD7" w14:textId="77777777" w:rsidR="00E04972" w:rsidRPr="00E04972" w:rsidRDefault="00E04972" w:rsidP="00E04972">
      <w:pPr>
        <w:pStyle w:val="Literaturverzeichnis1"/>
        <w:rPr>
          <w:rFonts w:ascii="Calibri" w:cs="Calibri"/>
          <w:lang w:val="de-DE"/>
        </w:rPr>
      </w:pPr>
      <w:r w:rsidRPr="00B92A51">
        <w:rPr>
          <w:rFonts w:ascii="Calibri" w:cs="Calibri"/>
          <w:lang w:val="en-US"/>
        </w:rPr>
        <w:t xml:space="preserve">53. </w:t>
      </w:r>
      <w:r w:rsidRPr="00B92A51">
        <w:rPr>
          <w:rFonts w:ascii="Calibri" w:cs="Calibri"/>
          <w:lang w:val="en-US"/>
        </w:rPr>
        <w:tab/>
        <w:t xml:space="preserve">Altschul DJ, Unda SR, de La Garza Ramos R, et al. Hemorrhagic presentations of COVID-19: Risk factors for mortality. </w:t>
      </w:r>
      <w:r w:rsidRPr="00E04972">
        <w:rPr>
          <w:rFonts w:ascii="Calibri" w:cs="Calibri"/>
          <w:i/>
          <w:iCs/>
          <w:lang w:val="de-DE"/>
        </w:rPr>
        <w:t>Clin Neurol Neurosurg</w:t>
      </w:r>
      <w:r w:rsidRPr="00E04972">
        <w:rPr>
          <w:rFonts w:ascii="Calibri" w:cs="Calibri"/>
          <w:lang w:val="de-DE"/>
        </w:rPr>
        <w:t>. 2020;198:106112. doi:10.1016/j.clineuro.2020.106112</w:t>
      </w:r>
    </w:p>
    <w:p w14:paraId="6DA0A6A4" w14:textId="77777777" w:rsidR="00E04972" w:rsidRPr="00B92A51" w:rsidRDefault="00E04972" w:rsidP="00E04972">
      <w:pPr>
        <w:pStyle w:val="Literaturverzeichnis1"/>
        <w:rPr>
          <w:rFonts w:ascii="Calibri" w:cs="Calibri"/>
          <w:lang w:val="en-US"/>
        </w:rPr>
      </w:pPr>
      <w:r w:rsidRPr="00E04972">
        <w:rPr>
          <w:rFonts w:ascii="Calibri" w:cs="Calibri"/>
          <w:lang w:val="de-DE"/>
        </w:rPr>
        <w:t xml:space="preserve">54. </w:t>
      </w:r>
      <w:r w:rsidRPr="00E04972">
        <w:rPr>
          <w:rFonts w:ascii="Calibri" w:cs="Calibri"/>
          <w:lang w:val="de-DE"/>
        </w:rPr>
        <w:tab/>
        <w:t xml:space="preserve">Coolen T, Lolli V, Sadeghi N, et al. </w:t>
      </w:r>
      <w:r w:rsidRPr="00B92A51">
        <w:rPr>
          <w:rFonts w:ascii="Calibri" w:cs="Calibri"/>
          <w:lang w:val="en-US"/>
        </w:rPr>
        <w:t xml:space="preserve">Early postmortem brain MRI findings in COVID-19 non-survivors. </w:t>
      </w:r>
      <w:r w:rsidRPr="00B92A51">
        <w:rPr>
          <w:rFonts w:ascii="Calibri" w:cs="Calibri"/>
          <w:i/>
          <w:iCs/>
          <w:lang w:val="en-US"/>
        </w:rPr>
        <w:t>Neurology</w:t>
      </w:r>
      <w:r w:rsidRPr="00B92A51">
        <w:rPr>
          <w:rFonts w:ascii="Calibri" w:cs="Calibri"/>
          <w:lang w:val="en-US"/>
        </w:rPr>
        <w:t>. 2020;95(14):e2016-e2027. doi:10.1212/WNL.0000000000010116</w:t>
      </w:r>
    </w:p>
    <w:p w14:paraId="4725E1DB" w14:textId="77777777" w:rsidR="00E04972" w:rsidRPr="00B92A51" w:rsidRDefault="00E04972" w:rsidP="00E04972">
      <w:pPr>
        <w:pStyle w:val="Literaturverzeichnis1"/>
        <w:rPr>
          <w:rFonts w:ascii="Calibri" w:cs="Calibri"/>
          <w:lang w:val="en-US"/>
        </w:rPr>
      </w:pPr>
      <w:r w:rsidRPr="00B92A51">
        <w:rPr>
          <w:rFonts w:ascii="Calibri" w:cs="Calibri"/>
          <w:lang w:val="en-US"/>
        </w:rPr>
        <w:lastRenderedPageBreak/>
        <w:t xml:space="preserve">55. </w:t>
      </w:r>
      <w:r w:rsidRPr="00B92A51">
        <w:rPr>
          <w:rFonts w:ascii="Calibri" w:cs="Calibri"/>
          <w:lang w:val="en-US"/>
        </w:rPr>
        <w:tab/>
        <w:t xml:space="preserve">D’Amore F, Vinacci G, Agosti E, et al. Pressing issues in COVID-19: Probable cause to seize SARSCoV-2 for Its preferential involvement of posterior circulation manifesting as severe posterior reversible encephalopathy syndrome and posterior strokes. </w:t>
      </w:r>
      <w:r w:rsidRPr="00B92A51">
        <w:rPr>
          <w:rFonts w:ascii="Calibri" w:cs="Calibri"/>
          <w:i/>
          <w:iCs/>
          <w:lang w:val="en-US"/>
        </w:rPr>
        <w:t>Am J Neuroradiol</w:t>
      </w:r>
      <w:r w:rsidRPr="00B92A51">
        <w:rPr>
          <w:rFonts w:ascii="Calibri" w:cs="Calibri"/>
          <w:lang w:val="en-US"/>
        </w:rPr>
        <w:t>. 2020;41(10):1800-1803. doi:10.3174/ajnr.A6679</w:t>
      </w:r>
    </w:p>
    <w:p w14:paraId="13566734"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56. </w:t>
      </w:r>
      <w:r w:rsidRPr="00B92A51">
        <w:rPr>
          <w:rFonts w:ascii="Calibri" w:cs="Calibri"/>
          <w:lang w:val="en-US"/>
        </w:rPr>
        <w:tab/>
        <w:t xml:space="preserve">Dogra S, Jain R, Cao M, et al. Hemorrhagic stroke and anticoagulation in COVID-19. </w:t>
      </w:r>
      <w:r w:rsidRPr="00B92A51">
        <w:rPr>
          <w:rFonts w:ascii="Calibri" w:cs="Calibri"/>
          <w:i/>
          <w:iCs/>
          <w:lang w:val="en-US"/>
        </w:rPr>
        <w:t>J Stroke Cerebrovasc Dis Off J Natl Stroke Assoc</w:t>
      </w:r>
      <w:r w:rsidRPr="00B92A51">
        <w:rPr>
          <w:rFonts w:ascii="Calibri" w:cs="Calibri"/>
          <w:lang w:val="en-US"/>
        </w:rPr>
        <w:t>. 2020;29(8):104984. doi:10.1016/j.jstrokecerebrovasdis.2020.104984</w:t>
      </w:r>
    </w:p>
    <w:p w14:paraId="74C1E4CB"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57. </w:t>
      </w:r>
      <w:r w:rsidRPr="00B92A51">
        <w:rPr>
          <w:rFonts w:ascii="Calibri" w:cs="Calibri"/>
          <w:lang w:val="en-US"/>
        </w:rPr>
        <w:tab/>
        <w:t xml:space="preserve">Fitsiori A, Pugin D, Thieffry C, Lalive P, Vargas MI. COVID-19 is Associated with an Unusual Pattern of Brain Microbleeds in Critically Ill Patients. </w:t>
      </w:r>
      <w:r w:rsidRPr="00B92A51">
        <w:rPr>
          <w:rFonts w:ascii="Calibri" w:cs="Calibri"/>
          <w:i/>
          <w:iCs/>
          <w:lang w:val="en-US"/>
        </w:rPr>
        <w:t>J Neuroimaging Off J Am Soc Neuroimaging</w:t>
      </w:r>
      <w:r w:rsidRPr="00B92A51">
        <w:rPr>
          <w:rFonts w:ascii="Calibri" w:cs="Calibri"/>
          <w:lang w:val="en-US"/>
        </w:rPr>
        <w:t>. 2020;30(5):593-597. doi:10.1111/jon.12755</w:t>
      </w:r>
    </w:p>
    <w:p w14:paraId="4D7334B5"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58. </w:t>
      </w:r>
      <w:r w:rsidRPr="00B92A51">
        <w:rPr>
          <w:rFonts w:ascii="Calibri" w:cs="Calibri"/>
          <w:lang w:val="en-US"/>
        </w:rPr>
        <w:tab/>
        <w:t xml:space="preserve">Katz JM, Libman RB, Wang JJ, et al. COVID-19 Severity and Stroke: Correlation of Imaging and Laboratory Markers. </w:t>
      </w:r>
      <w:r w:rsidRPr="00B92A51">
        <w:rPr>
          <w:rFonts w:ascii="Calibri" w:cs="Calibri"/>
          <w:i/>
          <w:iCs/>
          <w:lang w:val="en-US"/>
        </w:rPr>
        <w:t>AJNR Am J Neuroradiol</w:t>
      </w:r>
      <w:r w:rsidRPr="00B92A51">
        <w:rPr>
          <w:rFonts w:ascii="Calibri" w:cs="Calibri"/>
          <w:lang w:val="en-US"/>
        </w:rPr>
        <w:t>. Published online October 2020. doi:10.3174/ajnr.A6920</w:t>
      </w:r>
    </w:p>
    <w:p w14:paraId="57B9F26C"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59. </w:t>
      </w:r>
      <w:r w:rsidRPr="00B92A51">
        <w:rPr>
          <w:rFonts w:ascii="Calibri" w:cs="Calibri"/>
          <w:lang w:val="en-US"/>
        </w:rPr>
        <w:tab/>
      </w:r>
      <w:r w:rsidRPr="00E04972">
        <w:rPr>
          <w:rFonts w:ascii="Calibri" w:cs="Calibri"/>
          <w:lang w:val="de-DE"/>
        </w:rPr>
        <w:t xml:space="preserve">Lin E, Lantos JE, Strauss SB, et al. </w:t>
      </w:r>
      <w:r w:rsidRPr="00B92A51">
        <w:rPr>
          <w:rFonts w:ascii="Calibri" w:cs="Calibri"/>
          <w:lang w:val="en-US"/>
        </w:rPr>
        <w:t xml:space="preserve">Brain Imaging of Patients with COVID-19: Findings at an Academic Institution during the Height of the Outbreak in New York City. </w:t>
      </w:r>
      <w:r w:rsidRPr="00B92A51">
        <w:rPr>
          <w:rFonts w:ascii="Calibri" w:cs="Calibri"/>
          <w:i/>
          <w:iCs/>
          <w:lang w:val="en-US"/>
        </w:rPr>
        <w:t>AJNR Am J Neuroradiol</w:t>
      </w:r>
      <w:r w:rsidRPr="00B92A51">
        <w:rPr>
          <w:rFonts w:ascii="Calibri" w:cs="Calibri"/>
          <w:lang w:val="en-US"/>
        </w:rPr>
        <w:t>. Published online August 2020. doi:10.3174/ajnr.A6793</w:t>
      </w:r>
    </w:p>
    <w:p w14:paraId="1395FDF1"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60. </w:t>
      </w:r>
      <w:r w:rsidRPr="00B92A51">
        <w:rPr>
          <w:rFonts w:ascii="Calibri" w:cs="Calibri"/>
          <w:lang w:val="en-US"/>
        </w:rPr>
        <w:tab/>
        <w:t xml:space="preserve">Masur J, Freeman CW, Mohan S. A double-edged sword: Neurologic complications and mortality in extracorporeal membrane oxygenation therapy for COVID-19-related severe acute respiratory distress syndrome at a tertiary care center. </w:t>
      </w:r>
      <w:r w:rsidRPr="00B92A51">
        <w:rPr>
          <w:rFonts w:ascii="Calibri" w:cs="Calibri"/>
          <w:i/>
          <w:iCs/>
          <w:lang w:val="en-US"/>
        </w:rPr>
        <w:t>Am J Neuroradiol</w:t>
      </w:r>
      <w:r w:rsidRPr="00B92A51">
        <w:rPr>
          <w:rFonts w:ascii="Calibri" w:cs="Calibri"/>
          <w:lang w:val="en-US"/>
        </w:rPr>
        <w:t>. 2020;41(11):2009-2011. doi:10.3174/ajnr.A6728</w:t>
      </w:r>
    </w:p>
    <w:p w14:paraId="7C3BBED2"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61. </w:t>
      </w:r>
      <w:r w:rsidRPr="00B92A51">
        <w:rPr>
          <w:rFonts w:ascii="Calibri" w:cs="Calibri"/>
          <w:lang w:val="en-US"/>
        </w:rPr>
        <w:tab/>
        <w:t xml:space="preserve">Nawabi J, Morotti A, Wildgruber M, et al. Clinical and Imaging Characteristics in Patients with SARS-CoV-2 Infection and Acute Intracranial Hemorrhage. </w:t>
      </w:r>
      <w:r w:rsidRPr="00B92A51">
        <w:rPr>
          <w:rFonts w:ascii="Calibri" w:cs="Calibri"/>
          <w:i/>
          <w:iCs/>
          <w:lang w:val="en-US"/>
        </w:rPr>
        <w:t>J Clin Med</w:t>
      </w:r>
      <w:r w:rsidRPr="00B92A51">
        <w:rPr>
          <w:rFonts w:ascii="Calibri" w:cs="Calibri"/>
          <w:lang w:val="en-US"/>
        </w:rPr>
        <w:t>. 2020;9(8):2543. doi:10.3390/jcm9082543</w:t>
      </w:r>
    </w:p>
    <w:p w14:paraId="1B1467F1"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62. </w:t>
      </w:r>
      <w:r w:rsidRPr="00B92A51">
        <w:rPr>
          <w:rFonts w:ascii="Calibri" w:cs="Calibri"/>
          <w:lang w:val="en-US"/>
        </w:rPr>
        <w:tab/>
        <w:t xml:space="preserve">Radmanesh A, Derman A, Lui YW, et al. COVID-19-associated Diffuse Leukoencephalopathy and Microhemorrhages. </w:t>
      </w:r>
      <w:r w:rsidRPr="00B92A51">
        <w:rPr>
          <w:rFonts w:ascii="Calibri" w:cs="Calibri"/>
          <w:i/>
          <w:iCs/>
          <w:lang w:val="en-US"/>
        </w:rPr>
        <w:t>Radiology</w:t>
      </w:r>
      <w:r w:rsidRPr="00B92A51">
        <w:rPr>
          <w:rFonts w:ascii="Calibri" w:cs="Calibri"/>
          <w:lang w:val="en-US"/>
        </w:rPr>
        <w:t>. 2020;297(1):E223-E227. doi:10.1148/radiol.2020202040</w:t>
      </w:r>
    </w:p>
    <w:p w14:paraId="78E44085"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63. </w:t>
      </w:r>
      <w:r w:rsidRPr="00B92A51">
        <w:rPr>
          <w:rFonts w:ascii="Calibri" w:cs="Calibri"/>
          <w:lang w:val="en-US"/>
        </w:rPr>
        <w:tab/>
        <w:t xml:space="preserve">Requena M, Olivé-Gadea M, Muchada M, et al. COVID-19 and Stroke: Incidence and Etiological Description in a High-Volume Center. </w:t>
      </w:r>
      <w:r w:rsidRPr="00B92A51">
        <w:rPr>
          <w:rFonts w:ascii="Calibri" w:cs="Calibri"/>
          <w:i/>
          <w:iCs/>
          <w:lang w:val="en-US"/>
        </w:rPr>
        <w:t>J Stroke Cerebrovasc Dis Off J Natl Stroke Assoc</w:t>
      </w:r>
      <w:r w:rsidRPr="00B92A51">
        <w:rPr>
          <w:rFonts w:ascii="Calibri" w:cs="Calibri"/>
          <w:lang w:val="en-US"/>
        </w:rPr>
        <w:t>. 2020;29(11):105225. doi:10.1016/j.jstrokecerebrovasdis.2020.105225</w:t>
      </w:r>
    </w:p>
    <w:p w14:paraId="678C2274"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64. </w:t>
      </w:r>
      <w:r w:rsidRPr="00B92A51">
        <w:rPr>
          <w:rFonts w:ascii="Calibri" w:cs="Calibri"/>
          <w:lang w:val="en-US"/>
        </w:rPr>
        <w:tab/>
        <w:t xml:space="preserve">Rothstein A, Oldridge O, Schwennesen H, Do D, Cucchiara BL. Acute Cerebrovascular Events in Hospitalized COVID-19 Patients. </w:t>
      </w:r>
      <w:r w:rsidRPr="00B92A51">
        <w:rPr>
          <w:rFonts w:ascii="Calibri" w:cs="Calibri"/>
          <w:i/>
          <w:iCs/>
          <w:lang w:val="en-US"/>
        </w:rPr>
        <w:t>Stroke</w:t>
      </w:r>
      <w:r w:rsidRPr="00B92A51">
        <w:rPr>
          <w:rFonts w:ascii="Calibri" w:cs="Calibri"/>
          <w:lang w:val="en-US"/>
        </w:rPr>
        <w:t>. 2020;(September):219-222. doi:10.1161/STROKEAHA.120.030995</w:t>
      </w:r>
    </w:p>
    <w:p w14:paraId="0612AAF7" w14:textId="77777777" w:rsidR="00E04972" w:rsidRPr="00B92A51" w:rsidRDefault="00E04972" w:rsidP="00E04972">
      <w:pPr>
        <w:pStyle w:val="Literaturverzeichnis1"/>
        <w:rPr>
          <w:rFonts w:ascii="Calibri" w:cs="Calibri"/>
          <w:lang w:val="en-US"/>
        </w:rPr>
      </w:pPr>
      <w:r w:rsidRPr="00B92A51">
        <w:rPr>
          <w:rFonts w:ascii="Calibri" w:cs="Calibri"/>
          <w:lang w:val="en-US"/>
        </w:rPr>
        <w:lastRenderedPageBreak/>
        <w:t xml:space="preserve">65. </w:t>
      </w:r>
      <w:r w:rsidRPr="00B92A51">
        <w:rPr>
          <w:rFonts w:ascii="Calibri" w:cs="Calibri"/>
          <w:lang w:val="en-US"/>
        </w:rPr>
        <w:tab/>
        <w:t xml:space="preserve">Sawlani V, Scotton S, Nader K, et al. COVID-19-related intracranial imaging findings: a large single-centre experience. </w:t>
      </w:r>
      <w:r w:rsidRPr="00B92A51">
        <w:rPr>
          <w:rFonts w:ascii="Calibri" w:cs="Calibri"/>
          <w:i/>
          <w:iCs/>
          <w:lang w:val="en-US"/>
        </w:rPr>
        <w:t>Clin Radiol</w:t>
      </w:r>
      <w:r w:rsidRPr="00B92A51">
        <w:rPr>
          <w:rFonts w:ascii="Calibri" w:cs="Calibri"/>
          <w:lang w:val="en-US"/>
        </w:rPr>
        <w:t>. 2021;76(2):108-116. doi:10.1016/j.crad.2020.09.002</w:t>
      </w:r>
    </w:p>
    <w:p w14:paraId="15356BA6"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66. </w:t>
      </w:r>
      <w:r w:rsidRPr="00B92A51">
        <w:rPr>
          <w:rFonts w:ascii="Calibri" w:cs="Calibri"/>
          <w:lang w:val="en-US"/>
        </w:rPr>
        <w:tab/>
        <w:t xml:space="preserve">Siegler JE, Cardona P, Arenillas JF, et al. Cerebrovascular events and outcomes in hospitalized patients with COVID-19: The SVIN COVID-19 Multinational Registry. </w:t>
      </w:r>
      <w:r w:rsidRPr="00B92A51">
        <w:rPr>
          <w:rFonts w:ascii="Calibri" w:cs="Calibri"/>
          <w:i/>
          <w:iCs/>
          <w:lang w:val="en-US"/>
        </w:rPr>
        <w:t>Int J Stroke Off J Int Stroke Soc</w:t>
      </w:r>
      <w:r w:rsidRPr="00B92A51">
        <w:rPr>
          <w:rFonts w:ascii="Calibri" w:cs="Calibri"/>
          <w:lang w:val="en-US"/>
        </w:rPr>
        <w:t>. Published online September 2020:1747493020959216. doi:10.1177/1747493020959216</w:t>
      </w:r>
    </w:p>
    <w:p w14:paraId="3D6F6F56" w14:textId="77777777" w:rsidR="00E04972" w:rsidRPr="00B92A51" w:rsidRDefault="00E04972" w:rsidP="00E04972">
      <w:pPr>
        <w:pStyle w:val="Literaturverzeichnis1"/>
        <w:rPr>
          <w:rFonts w:ascii="Calibri" w:cs="Calibri"/>
          <w:lang w:val="en-US"/>
        </w:rPr>
      </w:pPr>
      <w:r w:rsidRPr="00E04972">
        <w:rPr>
          <w:rFonts w:ascii="Calibri" w:cs="Calibri"/>
          <w:lang w:val="de-DE"/>
        </w:rPr>
        <w:t xml:space="preserve">67. </w:t>
      </w:r>
      <w:r w:rsidRPr="00E04972">
        <w:rPr>
          <w:rFonts w:ascii="Calibri" w:cs="Calibri"/>
          <w:lang w:val="de-DE"/>
        </w:rPr>
        <w:tab/>
        <w:t xml:space="preserve">Trifan G, Goldenberg FD, Caprio FZ, et al. </w:t>
      </w:r>
      <w:r w:rsidRPr="00B92A51">
        <w:rPr>
          <w:rFonts w:ascii="Calibri" w:cs="Calibri"/>
          <w:lang w:val="en-US"/>
        </w:rPr>
        <w:t xml:space="preserve">Characteristics of a Diverse Cohort of Stroke Patients with SARS-CoV-2 and Outcome by Sex. </w:t>
      </w:r>
      <w:r w:rsidRPr="00B92A51">
        <w:rPr>
          <w:rFonts w:ascii="Calibri" w:cs="Calibri"/>
          <w:i/>
          <w:iCs/>
          <w:lang w:val="en-US"/>
        </w:rPr>
        <w:t>J Stroke Cerebrovasc Dis Off J Natl Stroke Assoc</w:t>
      </w:r>
      <w:r w:rsidRPr="00B92A51">
        <w:rPr>
          <w:rFonts w:ascii="Calibri" w:cs="Calibri"/>
          <w:lang w:val="en-US"/>
        </w:rPr>
        <w:t>. 2020;29(11):105314. doi:10.1016/j.jstrokecerebrovasdis.2020.105314</w:t>
      </w:r>
    </w:p>
    <w:p w14:paraId="770EFA46"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68. </w:t>
      </w:r>
      <w:r w:rsidRPr="00B92A51">
        <w:rPr>
          <w:rFonts w:ascii="Calibri" w:cs="Calibri"/>
          <w:lang w:val="en-US"/>
        </w:rPr>
        <w:tab/>
        <w:t xml:space="preserve">Sweid A, Hammoud B, Bekelis K, et al. Cerebral ischemic and hemorrhagic complications of coronavirus disease 2019. </w:t>
      </w:r>
      <w:r w:rsidRPr="00B92A51">
        <w:rPr>
          <w:rFonts w:ascii="Calibri" w:cs="Calibri"/>
          <w:i/>
          <w:iCs/>
          <w:lang w:val="en-US"/>
        </w:rPr>
        <w:t>Int J Stroke</w:t>
      </w:r>
      <w:r w:rsidRPr="00B92A51">
        <w:rPr>
          <w:rFonts w:ascii="Calibri" w:cs="Calibri"/>
          <w:lang w:val="en-US"/>
        </w:rPr>
        <w:t>. 2020;15(7):733-742. doi:10.1177/1747493020937189</w:t>
      </w:r>
    </w:p>
    <w:p w14:paraId="14A44CF0"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69. </w:t>
      </w:r>
      <w:r w:rsidRPr="00B92A51">
        <w:rPr>
          <w:rFonts w:ascii="Calibri" w:cs="Calibri"/>
          <w:lang w:val="en-US"/>
        </w:rPr>
        <w:tab/>
        <w:t xml:space="preserve">Bermea RS, Raz Y, Sertic F, et al. Increased Intracranial Hemorrhage Amid Elevated Inflammatory Markers in those with COVID-19 Supported with Extracorporeal Membrane Oxygenation. </w:t>
      </w:r>
      <w:r w:rsidRPr="00B92A51">
        <w:rPr>
          <w:rFonts w:ascii="Calibri" w:cs="Calibri"/>
          <w:i/>
          <w:iCs/>
          <w:lang w:val="en-US"/>
        </w:rPr>
        <w:t>Shock</w:t>
      </w:r>
      <w:r w:rsidRPr="00B92A51">
        <w:rPr>
          <w:rFonts w:ascii="Calibri" w:cs="Calibri"/>
          <w:lang w:val="en-US"/>
        </w:rPr>
        <w:t>. 2021;Publish Ahead of Print. doi:10.1097/SHK.0000000000001730</w:t>
      </w:r>
    </w:p>
    <w:p w14:paraId="7E285040" w14:textId="77777777" w:rsidR="00E04972" w:rsidRPr="00E04972" w:rsidRDefault="00E04972" w:rsidP="00E04972">
      <w:pPr>
        <w:pStyle w:val="Literaturverzeichnis1"/>
        <w:rPr>
          <w:rFonts w:ascii="Calibri" w:cs="Calibri"/>
          <w:lang w:val="de-DE"/>
        </w:rPr>
      </w:pPr>
      <w:r w:rsidRPr="00B92A51">
        <w:rPr>
          <w:rFonts w:ascii="Calibri" w:cs="Calibri"/>
          <w:lang w:val="en-US"/>
        </w:rPr>
        <w:t xml:space="preserve">70. </w:t>
      </w:r>
      <w:r w:rsidRPr="00B92A51">
        <w:rPr>
          <w:rFonts w:ascii="Calibri" w:cs="Calibri"/>
          <w:lang w:val="en-US"/>
        </w:rPr>
        <w:tab/>
        <w:t xml:space="preserve">Büttner L, Bauknecht HC, Fleckenstein FN, et al. Neuroimaging Findings in Conjunction with Severe COVID-19. </w:t>
      </w:r>
      <w:r w:rsidRPr="00E04972">
        <w:rPr>
          <w:rFonts w:ascii="Calibri" w:cs="Calibri"/>
          <w:i/>
          <w:iCs/>
          <w:lang w:val="de-DE"/>
        </w:rPr>
        <w:t>RoFo Fortschritte Auf Dem Geb Rontgenstrahlen Bildgeb Verfahr</w:t>
      </w:r>
      <w:r w:rsidRPr="00E04972">
        <w:rPr>
          <w:rFonts w:ascii="Calibri" w:cs="Calibri"/>
          <w:lang w:val="de-DE"/>
        </w:rPr>
        <w:t>. Published online 2021. doi:10.1055/a-1345-9784</w:t>
      </w:r>
    </w:p>
    <w:p w14:paraId="6B9BA8E0"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71. </w:t>
      </w:r>
      <w:r w:rsidRPr="00B92A51">
        <w:rPr>
          <w:rFonts w:ascii="Calibri" w:cs="Calibri"/>
          <w:lang w:val="en-US"/>
        </w:rPr>
        <w:tab/>
        <w:t xml:space="preserve">Dixon L, Mcnamara C, Gaur P, et al. Cerebral microhaemorrhage in COVID-19: A critical illness related phenomenon? </w:t>
      </w:r>
      <w:r w:rsidRPr="00B92A51">
        <w:rPr>
          <w:rFonts w:ascii="Calibri" w:cs="Calibri"/>
          <w:i/>
          <w:iCs/>
          <w:lang w:val="en-US"/>
        </w:rPr>
        <w:t>Stroke Vasc Neurol</w:t>
      </w:r>
      <w:r w:rsidRPr="00B92A51">
        <w:rPr>
          <w:rFonts w:ascii="Calibri" w:cs="Calibri"/>
          <w:lang w:val="en-US"/>
        </w:rPr>
        <w:t>. 2020;5(4):315-322. doi:10.1136/svn-2020-000652</w:t>
      </w:r>
    </w:p>
    <w:p w14:paraId="4DAA7C81"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72. </w:t>
      </w:r>
      <w:r w:rsidRPr="00B92A51">
        <w:rPr>
          <w:rFonts w:ascii="Calibri" w:cs="Calibri"/>
          <w:lang w:val="en-US"/>
        </w:rPr>
        <w:tab/>
        <w:t xml:space="preserve">John S, Hussain SI, Piechowski-Jozwiak B, et al. Clinical characteristics and admission patterns of stroke patients during the COVID 19 pandemic: A single center retrospective, observational study from the Abu Dhabi, United Arab Emirates. </w:t>
      </w:r>
      <w:r w:rsidRPr="00B92A51">
        <w:rPr>
          <w:rFonts w:ascii="Calibri" w:cs="Calibri"/>
          <w:i/>
          <w:iCs/>
          <w:lang w:val="en-US"/>
        </w:rPr>
        <w:t>Clin Neurol Neurosurg</w:t>
      </w:r>
      <w:r w:rsidRPr="00B92A51">
        <w:rPr>
          <w:rFonts w:ascii="Calibri" w:cs="Calibri"/>
          <w:lang w:val="en-US"/>
        </w:rPr>
        <w:t>. 2020;199(January). doi:10.1016/j.clineuro.2020.106227</w:t>
      </w:r>
    </w:p>
    <w:p w14:paraId="207746B1"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73. </w:t>
      </w:r>
      <w:r w:rsidRPr="00B92A51">
        <w:rPr>
          <w:rFonts w:ascii="Calibri" w:cs="Calibri"/>
          <w:lang w:val="en-US"/>
        </w:rPr>
        <w:tab/>
        <w:t xml:space="preserve">Lang CN, Dettinger JS, Berchtold-Herz M, et al. Intracerebral Hemorrhage in COVID-19 Patients with Pulmonary Failure: A Propensity Score-Matched Registry Study. </w:t>
      </w:r>
      <w:r w:rsidRPr="00B92A51">
        <w:rPr>
          <w:rFonts w:ascii="Calibri" w:cs="Calibri"/>
          <w:i/>
          <w:iCs/>
          <w:lang w:val="en-US"/>
        </w:rPr>
        <w:t>Neurocrit Care</w:t>
      </w:r>
      <w:r w:rsidRPr="00B92A51">
        <w:rPr>
          <w:rFonts w:ascii="Calibri" w:cs="Calibri"/>
          <w:lang w:val="en-US"/>
        </w:rPr>
        <w:t>. Published online 2021. doi:10.1007/s12028-021-01202-7</w:t>
      </w:r>
    </w:p>
    <w:p w14:paraId="1ADFC85F" w14:textId="77777777" w:rsidR="00E04972" w:rsidRPr="00B92A51" w:rsidRDefault="00E04972" w:rsidP="00E04972">
      <w:pPr>
        <w:pStyle w:val="Literaturverzeichnis1"/>
        <w:rPr>
          <w:rFonts w:ascii="Calibri" w:cs="Calibri"/>
          <w:lang w:val="en-US"/>
        </w:rPr>
      </w:pPr>
      <w:r w:rsidRPr="00B92A51">
        <w:rPr>
          <w:rFonts w:ascii="Calibri" w:cs="Calibri"/>
          <w:lang w:val="en-US"/>
        </w:rPr>
        <w:t xml:space="preserve">74. </w:t>
      </w:r>
      <w:r w:rsidRPr="00B92A51">
        <w:rPr>
          <w:rFonts w:ascii="Calibri" w:cs="Calibri"/>
          <w:lang w:val="en-US"/>
        </w:rPr>
        <w:tab/>
        <w:t xml:space="preserve">Lawton MT, Alimohammadi E, Bagheri SR, et al. Coronavirus disease 2019 (COVID-19) can predispose young to Intracerebral hemorrhage: a retrospective observational study. </w:t>
      </w:r>
      <w:r w:rsidRPr="00B92A51">
        <w:rPr>
          <w:rFonts w:ascii="Calibri" w:cs="Calibri"/>
          <w:i/>
          <w:iCs/>
          <w:lang w:val="en-US"/>
        </w:rPr>
        <w:t>BMC Neurol</w:t>
      </w:r>
      <w:r w:rsidRPr="00B92A51">
        <w:rPr>
          <w:rFonts w:ascii="Calibri" w:cs="Calibri"/>
          <w:lang w:val="en-US"/>
        </w:rPr>
        <w:t>. 2021;21(1):83. doi:10.1186/s12883-021-02109-8</w:t>
      </w:r>
    </w:p>
    <w:p w14:paraId="1616B6B6" w14:textId="77777777" w:rsidR="00E04972" w:rsidRPr="00B92A51" w:rsidRDefault="00E04972" w:rsidP="00E04972">
      <w:pPr>
        <w:pStyle w:val="Literaturverzeichnis1"/>
        <w:rPr>
          <w:rFonts w:ascii="Calibri" w:cs="Calibri"/>
          <w:lang w:val="en-US"/>
        </w:rPr>
      </w:pPr>
      <w:r w:rsidRPr="00B92A51">
        <w:rPr>
          <w:rFonts w:ascii="Calibri" w:cs="Calibri"/>
          <w:lang w:val="en-US"/>
        </w:rPr>
        <w:lastRenderedPageBreak/>
        <w:t xml:space="preserve">75. </w:t>
      </w:r>
      <w:r w:rsidRPr="00B92A51">
        <w:rPr>
          <w:rFonts w:ascii="Calibri" w:cs="Calibri"/>
          <w:lang w:val="en-US"/>
        </w:rPr>
        <w:tab/>
        <w:t xml:space="preserve">Lersy F, Willaume T, Brisset JC, et al. Critical illness-associated cerebral microbleeds for patients with severe COVID-19: etiologic hypotheses. </w:t>
      </w:r>
      <w:r w:rsidRPr="00B92A51">
        <w:rPr>
          <w:rFonts w:ascii="Calibri" w:cs="Calibri"/>
          <w:i/>
          <w:iCs/>
          <w:lang w:val="en-US"/>
        </w:rPr>
        <w:t>J Neurol</w:t>
      </w:r>
      <w:r w:rsidRPr="00B92A51">
        <w:rPr>
          <w:rFonts w:ascii="Calibri" w:cs="Calibri"/>
          <w:lang w:val="en-US"/>
        </w:rPr>
        <w:t>. 2020;(0123456789). doi:10.1007/s00415-020-10313-8</w:t>
      </w:r>
    </w:p>
    <w:p w14:paraId="006C2190" w14:textId="77777777" w:rsidR="00E04972" w:rsidRPr="00E04972" w:rsidRDefault="00E04972" w:rsidP="00E04972">
      <w:pPr>
        <w:pStyle w:val="Literaturverzeichnis1"/>
        <w:rPr>
          <w:rFonts w:ascii="Calibri" w:cs="Calibri"/>
          <w:lang w:val="de-DE"/>
        </w:rPr>
      </w:pPr>
      <w:r w:rsidRPr="00B92A51">
        <w:rPr>
          <w:rFonts w:ascii="Calibri" w:cs="Calibri"/>
          <w:lang w:val="en-US"/>
        </w:rPr>
        <w:t xml:space="preserve">76. </w:t>
      </w:r>
      <w:r w:rsidRPr="00B92A51">
        <w:rPr>
          <w:rFonts w:ascii="Calibri" w:cs="Calibri"/>
          <w:lang w:val="en-US"/>
        </w:rPr>
        <w:tab/>
        <w:t xml:space="preserve">Shahjouei S, Naderi S, Li J, et al. Risk of stroke in hospitalized SARS-CoV-2 infected patients: A multinational study. </w:t>
      </w:r>
      <w:r w:rsidRPr="00E04972">
        <w:rPr>
          <w:rFonts w:ascii="Calibri" w:cs="Calibri"/>
          <w:i/>
          <w:iCs/>
          <w:lang w:val="de-DE"/>
        </w:rPr>
        <w:t>EBioMedicine</w:t>
      </w:r>
      <w:r w:rsidRPr="00E04972">
        <w:rPr>
          <w:rFonts w:ascii="Calibri" w:cs="Calibri"/>
          <w:lang w:val="de-DE"/>
        </w:rPr>
        <w:t>. 2020;59. doi:10.1016/j.ebiom.2020.102939</w:t>
      </w:r>
    </w:p>
    <w:p w14:paraId="7373CD10" w14:textId="55E899A8" w:rsidR="001F1AC5" w:rsidRDefault="00E04972">
      <w:r>
        <w:fldChar w:fldCharType="end"/>
      </w:r>
    </w:p>
    <w:sectPr w:rsidR="001F1AC5" w:rsidSect="001F1AC5">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1AC5"/>
    <w:rsid w:val="000529E7"/>
    <w:rsid w:val="0007420A"/>
    <w:rsid w:val="000E090B"/>
    <w:rsid w:val="001404FA"/>
    <w:rsid w:val="001F1AC5"/>
    <w:rsid w:val="002153F8"/>
    <w:rsid w:val="00353BF6"/>
    <w:rsid w:val="003C407A"/>
    <w:rsid w:val="005206E9"/>
    <w:rsid w:val="007A62EC"/>
    <w:rsid w:val="007B37AC"/>
    <w:rsid w:val="00990A38"/>
    <w:rsid w:val="00B92A51"/>
    <w:rsid w:val="00C04B9C"/>
    <w:rsid w:val="00C15E0E"/>
    <w:rsid w:val="00C336CB"/>
    <w:rsid w:val="00CC3499"/>
    <w:rsid w:val="00CE05CD"/>
    <w:rsid w:val="00D251B3"/>
    <w:rsid w:val="00E04972"/>
    <w:rsid w:val="00F61F03"/>
    <w:rsid w:val="00FC0BF0"/>
  </w:rsids>
  <m:mathPr>
    <m:mathFont m:val="Cambria Math"/>
    <m:brkBin m:val="before"/>
    <m:brkBinSub m:val="--"/>
    <m:smallFrac m:val="0"/>
    <m:dispDef/>
    <m:lMargin m:val="0"/>
    <m:rMargin m:val="0"/>
    <m:defJc m:val="centerGroup"/>
    <m:wrapIndent m:val="1440"/>
    <m:intLim m:val="subSup"/>
    <m:naryLim m:val="undOvr"/>
  </m:mathPr>
  <w:themeFontLang w:val="de-US"/>
  <w:clrSchemeMapping w:bg1="light1" w:t1="dark1" w:bg2="light2" w:t2="dark2" w:accent1="accent1" w:accent2="accent2" w:accent3="accent3" w:accent4="accent4" w:accent5="accent5" w:accent6="accent6" w:hyperlink="hyperlink" w:followedHyperlink="followedHyperlink"/>
  <w:decimalSymbol w:val="."/>
  <w:listSeparator w:val=";"/>
  <w14:docId w14:val="045395BC"/>
  <w15:chartTrackingRefBased/>
  <w15:docId w15:val="{60DB6264-A8D0-894F-A3D1-E3FAADF83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Kommentarzeichen">
    <w:name w:val="annotation reference"/>
    <w:basedOn w:val="Absatz-Standardschriftart"/>
    <w:uiPriority w:val="99"/>
    <w:semiHidden/>
    <w:unhideWhenUsed/>
    <w:rsid w:val="007B37AC"/>
    <w:rPr>
      <w:sz w:val="16"/>
      <w:szCs w:val="16"/>
    </w:rPr>
  </w:style>
  <w:style w:type="paragraph" w:styleId="Kommentartext">
    <w:name w:val="annotation text"/>
    <w:basedOn w:val="Standard"/>
    <w:link w:val="KommentartextZchn"/>
    <w:uiPriority w:val="99"/>
    <w:semiHidden/>
    <w:unhideWhenUsed/>
    <w:rsid w:val="007B37AC"/>
    <w:rPr>
      <w:sz w:val="20"/>
      <w:szCs w:val="20"/>
    </w:rPr>
  </w:style>
  <w:style w:type="character" w:customStyle="1" w:styleId="KommentartextZchn">
    <w:name w:val="Kommentartext Zchn"/>
    <w:basedOn w:val="Absatz-Standardschriftart"/>
    <w:link w:val="Kommentartext"/>
    <w:uiPriority w:val="99"/>
    <w:semiHidden/>
    <w:rsid w:val="007B37AC"/>
    <w:rPr>
      <w:sz w:val="20"/>
      <w:szCs w:val="20"/>
    </w:rPr>
  </w:style>
  <w:style w:type="paragraph" w:styleId="Kommentarthema">
    <w:name w:val="annotation subject"/>
    <w:basedOn w:val="Kommentartext"/>
    <w:next w:val="Kommentartext"/>
    <w:link w:val="KommentarthemaZchn"/>
    <w:uiPriority w:val="99"/>
    <w:semiHidden/>
    <w:unhideWhenUsed/>
    <w:rsid w:val="007B37AC"/>
    <w:rPr>
      <w:b/>
      <w:bCs/>
    </w:rPr>
  </w:style>
  <w:style w:type="character" w:customStyle="1" w:styleId="KommentarthemaZchn">
    <w:name w:val="Kommentarthema Zchn"/>
    <w:basedOn w:val="KommentartextZchn"/>
    <w:link w:val="Kommentarthema"/>
    <w:uiPriority w:val="99"/>
    <w:semiHidden/>
    <w:rsid w:val="007B37AC"/>
    <w:rPr>
      <w:b/>
      <w:bCs/>
      <w:sz w:val="20"/>
      <w:szCs w:val="20"/>
    </w:rPr>
  </w:style>
  <w:style w:type="paragraph" w:customStyle="1" w:styleId="Literaturverzeichnis1">
    <w:name w:val="Literaturverzeichnis1"/>
    <w:basedOn w:val="Standard"/>
    <w:link w:val="BibliographyZchn"/>
    <w:rsid w:val="00E04972"/>
    <w:pPr>
      <w:tabs>
        <w:tab w:val="left" w:pos="500"/>
      </w:tabs>
      <w:spacing w:after="240"/>
      <w:ind w:left="504" w:hanging="504"/>
    </w:pPr>
  </w:style>
  <w:style w:type="character" w:customStyle="1" w:styleId="BibliographyZchn">
    <w:name w:val="Bibliography Zchn"/>
    <w:basedOn w:val="Absatz-Standardschriftart"/>
    <w:link w:val="Literaturverzeichnis1"/>
    <w:rsid w:val="00E049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3844425">
      <w:bodyDiv w:val="1"/>
      <w:marLeft w:val="0"/>
      <w:marRight w:val="0"/>
      <w:marTop w:val="0"/>
      <w:marBottom w:val="0"/>
      <w:divBdr>
        <w:top w:val="none" w:sz="0" w:space="0" w:color="auto"/>
        <w:left w:val="none" w:sz="0" w:space="0" w:color="auto"/>
        <w:bottom w:val="none" w:sz="0" w:space="0" w:color="auto"/>
        <w:right w:val="none" w:sz="0" w:space="0" w:color="auto"/>
      </w:divBdr>
    </w:div>
    <w:div w:id="572277163">
      <w:bodyDiv w:val="1"/>
      <w:marLeft w:val="0"/>
      <w:marRight w:val="0"/>
      <w:marTop w:val="0"/>
      <w:marBottom w:val="0"/>
      <w:divBdr>
        <w:top w:val="none" w:sz="0" w:space="0" w:color="auto"/>
        <w:left w:val="none" w:sz="0" w:space="0" w:color="auto"/>
        <w:bottom w:val="none" w:sz="0" w:space="0" w:color="auto"/>
        <w:right w:val="none" w:sz="0" w:space="0" w:color="auto"/>
      </w:divBdr>
    </w:div>
    <w:div w:id="880897861">
      <w:bodyDiv w:val="1"/>
      <w:marLeft w:val="0"/>
      <w:marRight w:val="0"/>
      <w:marTop w:val="0"/>
      <w:marBottom w:val="0"/>
      <w:divBdr>
        <w:top w:val="none" w:sz="0" w:space="0" w:color="auto"/>
        <w:left w:val="none" w:sz="0" w:space="0" w:color="auto"/>
        <w:bottom w:val="none" w:sz="0" w:space="0" w:color="auto"/>
        <w:right w:val="none" w:sz="0" w:space="0" w:color="auto"/>
      </w:divBdr>
    </w:div>
    <w:div w:id="1439176069">
      <w:bodyDiv w:val="1"/>
      <w:marLeft w:val="0"/>
      <w:marRight w:val="0"/>
      <w:marTop w:val="0"/>
      <w:marBottom w:val="0"/>
      <w:divBdr>
        <w:top w:val="none" w:sz="0" w:space="0" w:color="auto"/>
        <w:left w:val="none" w:sz="0" w:space="0" w:color="auto"/>
        <w:bottom w:val="none" w:sz="0" w:space="0" w:color="auto"/>
        <w:right w:val="none" w:sz="0" w:space="0" w:color="auto"/>
      </w:divBdr>
    </w:div>
    <w:div w:id="1546716632">
      <w:bodyDiv w:val="1"/>
      <w:marLeft w:val="0"/>
      <w:marRight w:val="0"/>
      <w:marTop w:val="0"/>
      <w:marBottom w:val="0"/>
      <w:divBdr>
        <w:top w:val="none" w:sz="0" w:space="0" w:color="auto"/>
        <w:left w:val="none" w:sz="0" w:space="0" w:color="auto"/>
        <w:bottom w:val="none" w:sz="0" w:space="0" w:color="auto"/>
        <w:right w:val="none" w:sz="0" w:space="0" w:color="auto"/>
      </w:divBdr>
    </w:div>
    <w:div w:id="1747415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87909</Words>
  <Characters>553829</Characters>
  <Application>Microsoft Office Word</Application>
  <DocSecurity>0</DocSecurity>
  <Lines>4615</Lines>
  <Paragraphs>1280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640458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Moritz Schmidbauer</dc:creator>
  <cp:keywords/>
  <dc:description/>
  <cp:lastModifiedBy>Moritz Schmidbauer</cp:lastModifiedBy>
  <cp:revision>3</cp:revision>
  <dcterms:created xsi:type="dcterms:W3CDTF">2021-05-17T21:22:00Z</dcterms:created>
  <dcterms:modified xsi:type="dcterms:W3CDTF">2021-05-31T09:58:00Z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zotero-version="5.0.97-beta.18+1eb888d02"&gt;&lt;session id="BRwWtPrw"/&gt;&lt;style id="http://www.zotero.org/styles/american-medical-association" hasBibliography="1" bibliographyStyleHasBeenSet="1"/&gt;&lt;prefs&gt;&lt;pref name="fieldType" value="Field"</vt:lpwstr>
  </property>
  <property fmtid="{D5CDD505-2E9C-101B-9397-08002B2CF9AE}" pid="3" name="ZOTERO_PREF_2">
    <vt:lpwstr>/&gt;&lt;pref name="automaticJournalAbbreviations" value="true"/&gt;&lt;pref name="delayCitationUpdates" value="true"/&gt;&lt;pref name="dontAskDelayCitationUpdates" value="true"/&gt;&lt;/prefs&gt;&lt;/data&gt;</vt:lpwstr>
  </property>
</Properties>
</file>