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1B8C2C" w14:textId="321A99EF" w:rsidR="0017789D" w:rsidRDefault="0017789D" w:rsidP="0017789D">
      <w:pPr>
        <w:pStyle w:val="Caption"/>
        <w:keepNext/>
      </w:pPr>
      <w:r>
        <w:t xml:space="preserve">Appendix </w:t>
      </w:r>
      <w:r w:rsidR="00880CEA">
        <w:t>3</w:t>
      </w:r>
      <w:bookmarkStart w:id="0" w:name="_GoBack"/>
      <w:bookmarkEnd w:id="0"/>
      <w:r>
        <w:t xml:space="preserve">: </w:t>
      </w:r>
      <w:r w:rsidRPr="009F0491">
        <w:t xml:space="preserve">Safer Opioid Prescribing </w:t>
      </w:r>
      <w:r w:rsidR="00880CEA">
        <w:t>P</w:t>
      </w:r>
      <w:r w:rsidRPr="009F0491">
        <w:t xml:space="preserve">rogram </w:t>
      </w:r>
      <w:r w:rsidR="00880CEA">
        <w:t>Components and D</w:t>
      </w:r>
      <w:r w:rsidRPr="009F0491">
        <w:t>escription</w:t>
      </w:r>
    </w:p>
    <w:tbl>
      <w:tblPr>
        <w:tblW w:w="936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975"/>
        <w:gridCol w:w="1769"/>
        <w:gridCol w:w="1872"/>
        <w:gridCol w:w="1872"/>
        <w:gridCol w:w="1872"/>
      </w:tblGrid>
      <w:tr w:rsidR="0017789D" w14:paraId="2F0DEDDA" w14:textId="77777777" w:rsidTr="002710BC">
        <w:trPr>
          <w:trHeight w:val="1385"/>
        </w:trPr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DD3B18" w14:textId="77777777" w:rsidR="0017789D" w:rsidRPr="00A36387" w:rsidRDefault="0017789D" w:rsidP="002710BC">
            <w:pPr>
              <w:rPr>
                <w:sz w:val="20"/>
                <w:szCs w:val="20"/>
              </w:rPr>
            </w:pPr>
            <w:r w:rsidRPr="00A3638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76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30C9A9" w14:textId="77777777" w:rsidR="0017789D" w:rsidRPr="00A36387" w:rsidRDefault="0017789D" w:rsidP="002710BC">
            <w:pPr>
              <w:rPr>
                <w:sz w:val="20"/>
                <w:szCs w:val="20"/>
              </w:rPr>
            </w:pPr>
            <w:r w:rsidRPr="00A3638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Webinar 1:</w:t>
            </w:r>
          </w:p>
          <w:p w14:paraId="5EB505E0" w14:textId="77777777" w:rsidR="0017789D" w:rsidRPr="00A36387" w:rsidRDefault="0017789D" w:rsidP="002710BC">
            <w:pPr>
              <w:rPr>
                <w:sz w:val="20"/>
                <w:szCs w:val="20"/>
              </w:rPr>
            </w:pPr>
            <w:r w:rsidRPr="00A3638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Assessing Complex Chronic Pain</w:t>
            </w:r>
          </w:p>
        </w:tc>
        <w:tc>
          <w:tcPr>
            <w:tcW w:w="187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AF4607" w14:textId="77777777" w:rsidR="0017789D" w:rsidRPr="00A36387" w:rsidRDefault="0017789D" w:rsidP="002710BC">
            <w:pPr>
              <w:rPr>
                <w:sz w:val="20"/>
                <w:szCs w:val="20"/>
              </w:rPr>
            </w:pPr>
            <w:r w:rsidRPr="00A3638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Webinar 2:</w:t>
            </w:r>
          </w:p>
          <w:p w14:paraId="1C1E6AB7" w14:textId="77777777" w:rsidR="0017789D" w:rsidRPr="00A36387" w:rsidRDefault="0017789D" w:rsidP="002710BC">
            <w:pPr>
              <w:rPr>
                <w:sz w:val="20"/>
                <w:szCs w:val="20"/>
              </w:rPr>
            </w:pPr>
            <w:r w:rsidRPr="00A3638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Prescribing Opioids for Chronic Pain</w:t>
            </w:r>
          </w:p>
        </w:tc>
        <w:tc>
          <w:tcPr>
            <w:tcW w:w="187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F09EBC" w14:textId="77777777" w:rsidR="0017789D" w:rsidRPr="00A36387" w:rsidRDefault="0017789D" w:rsidP="002710BC">
            <w:pPr>
              <w:rPr>
                <w:sz w:val="20"/>
                <w:szCs w:val="20"/>
              </w:rPr>
            </w:pPr>
            <w:r w:rsidRPr="00A3638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Webinar 3:</w:t>
            </w:r>
          </w:p>
          <w:p w14:paraId="0B066B3E" w14:textId="77777777" w:rsidR="0017789D" w:rsidRPr="00A36387" w:rsidRDefault="0017789D" w:rsidP="002710BC">
            <w:pPr>
              <w:rPr>
                <w:sz w:val="20"/>
                <w:szCs w:val="20"/>
              </w:rPr>
            </w:pPr>
            <w:r w:rsidRPr="00A3638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Addressing Opioid Challenges and Addiction</w:t>
            </w:r>
          </w:p>
        </w:tc>
        <w:tc>
          <w:tcPr>
            <w:tcW w:w="187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4CCDF1" w14:textId="77777777" w:rsidR="0017789D" w:rsidRPr="00A36387" w:rsidRDefault="0017789D" w:rsidP="002710BC">
            <w:pPr>
              <w:rPr>
                <w:sz w:val="20"/>
                <w:szCs w:val="20"/>
              </w:rPr>
            </w:pPr>
            <w:r w:rsidRPr="00A3638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Workshop:</w:t>
            </w:r>
          </w:p>
          <w:p w14:paraId="6D8554AA" w14:textId="77777777" w:rsidR="0017789D" w:rsidRPr="00A36387" w:rsidRDefault="0017789D" w:rsidP="002710BC">
            <w:pPr>
              <w:rPr>
                <w:sz w:val="20"/>
                <w:szCs w:val="20"/>
              </w:rPr>
            </w:pPr>
            <w:r w:rsidRPr="00A3638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Challenging Cases in Opioid Use and Misuse</w:t>
            </w:r>
          </w:p>
        </w:tc>
      </w:tr>
      <w:tr w:rsidR="0017789D" w14:paraId="51B412D5" w14:textId="77777777" w:rsidTr="002710BC">
        <w:trPr>
          <w:trHeight w:val="3365"/>
        </w:trPr>
        <w:tc>
          <w:tcPr>
            <w:tcW w:w="197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6A93D8" w14:textId="77777777" w:rsidR="0017789D" w:rsidRPr="00A36387" w:rsidRDefault="0017789D" w:rsidP="002710BC">
            <w:pPr>
              <w:rPr>
                <w:sz w:val="20"/>
                <w:szCs w:val="20"/>
              </w:rPr>
            </w:pPr>
            <w:r w:rsidRPr="00A36387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 xml:space="preserve">PREPARATORY </w:t>
            </w:r>
            <w:r w:rsidRPr="00A3638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Work</w:t>
            </w:r>
          </w:p>
        </w:tc>
        <w:tc>
          <w:tcPr>
            <w:tcW w:w="1769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B6A288" w14:textId="77777777" w:rsidR="0017789D" w:rsidRPr="00A36387" w:rsidRDefault="0017789D" w:rsidP="002710BC">
            <w:pPr>
              <w:rPr>
                <w:sz w:val="20"/>
                <w:szCs w:val="20"/>
              </w:rPr>
            </w:pPr>
            <w:r w:rsidRPr="00A36387">
              <w:rPr>
                <w:rFonts w:ascii="Times New Roman" w:eastAsia="Times New Roman" w:hAnsi="Times New Roman" w:cs="Times New Roman"/>
                <w:sz w:val="20"/>
                <w:szCs w:val="20"/>
              </w:rPr>
              <w:t>1) Review “Is the WHO Analgesic ladder still valid?” and “Neuropathic pain: a practical guide for the clinician”</w:t>
            </w:r>
          </w:p>
          <w:p w14:paraId="448605CF" w14:textId="77777777" w:rsidR="0017789D" w:rsidRPr="00A36387" w:rsidRDefault="0017789D" w:rsidP="002710BC">
            <w:pPr>
              <w:rPr>
                <w:sz w:val="20"/>
                <w:szCs w:val="20"/>
              </w:rPr>
            </w:pPr>
            <w:r w:rsidRPr="00A3638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14:paraId="6499BE33" w14:textId="77777777" w:rsidR="0017789D" w:rsidRPr="00A36387" w:rsidRDefault="0017789D" w:rsidP="002710BC">
            <w:pPr>
              <w:rPr>
                <w:sz w:val="20"/>
                <w:szCs w:val="20"/>
              </w:rPr>
            </w:pPr>
            <w:r w:rsidRPr="00A36387">
              <w:rPr>
                <w:rFonts w:ascii="Times New Roman" w:eastAsia="Times New Roman" w:hAnsi="Times New Roman" w:cs="Times New Roman"/>
                <w:sz w:val="20"/>
                <w:szCs w:val="20"/>
              </w:rPr>
              <w:t>2) Complete brief practice audit of chronic pain management and opioid prescribing</w:t>
            </w:r>
          </w:p>
        </w:tc>
        <w:tc>
          <w:tcPr>
            <w:tcW w:w="1872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2288DC" w14:textId="77777777" w:rsidR="0017789D" w:rsidRPr="00A36387" w:rsidRDefault="0017789D" w:rsidP="002710BC">
            <w:pPr>
              <w:rPr>
                <w:sz w:val="20"/>
                <w:szCs w:val="20"/>
              </w:rPr>
            </w:pPr>
            <w:r w:rsidRPr="00A36387">
              <w:rPr>
                <w:rFonts w:ascii="Times New Roman" w:eastAsia="Times New Roman" w:hAnsi="Times New Roman" w:cs="Times New Roman"/>
                <w:sz w:val="20"/>
                <w:szCs w:val="20"/>
              </w:rPr>
              <w:t>1) Review Canadian Guideline for Safe and Effective Use of Opioids for Chronic Non-cancer Pain</w:t>
            </w:r>
          </w:p>
          <w:p w14:paraId="3CE95410" w14:textId="77777777" w:rsidR="0017789D" w:rsidRPr="00A36387" w:rsidRDefault="0017789D" w:rsidP="002710BC">
            <w:pPr>
              <w:rPr>
                <w:sz w:val="20"/>
                <w:szCs w:val="20"/>
              </w:rPr>
            </w:pPr>
            <w:r w:rsidRPr="00A3638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14:paraId="5E4AB244" w14:textId="77777777" w:rsidR="0017789D" w:rsidRPr="00A36387" w:rsidRDefault="0017789D" w:rsidP="002710B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2A5CD57" w14:textId="77777777" w:rsidR="0017789D" w:rsidRPr="00A36387" w:rsidRDefault="0017789D" w:rsidP="002710BC">
            <w:pPr>
              <w:rPr>
                <w:sz w:val="20"/>
                <w:szCs w:val="20"/>
              </w:rPr>
            </w:pPr>
            <w:r w:rsidRPr="00A36387">
              <w:rPr>
                <w:rFonts w:ascii="Times New Roman" w:eastAsia="Times New Roman" w:hAnsi="Times New Roman" w:cs="Times New Roman"/>
                <w:sz w:val="20"/>
                <w:szCs w:val="20"/>
              </w:rPr>
              <w:t>2) Complete practice assessment based on first 14 recommendations</w:t>
            </w:r>
          </w:p>
        </w:tc>
        <w:tc>
          <w:tcPr>
            <w:tcW w:w="1872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C37F5C" w14:textId="77777777" w:rsidR="0017789D" w:rsidRPr="00A36387" w:rsidRDefault="0017789D" w:rsidP="002710BC">
            <w:pPr>
              <w:rPr>
                <w:sz w:val="20"/>
                <w:szCs w:val="20"/>
              </w:rPr>
            </w:pPr>
            <w:r w:rsidRPr="00A36387">
              <w:rPr>
                <w:rFonts w:ascii="Times New Roman" w:eastAsia="Times New Roman" w:hAnsi="Times New Roman" w:cs="Times New Roman"/>
                <w:sz w:val="20"/>
                <w:szCs w:val="20"/>
              </w:rPr>
              <w:t>1) Review Canadian Guideline for Safe and Effective Use of Opioids for Chronic Non-cancer Pain</w:t>
            </w:r>
          </w:p>
          <w:p w14:paraId="2FF9D6E5" w14:textId="77777777" w:rsidR="0017789D" w:rsidRPr="00A36387" w:rsidRDefault="0017789D" w:rsidP="002710BC">
            <w:pPr>
              <w:rPr>
                <w:sz w:val="20"/>
                <w:szCs w:val="20"/>
              </w:rPr>
            </w:pPr>
            <w:r w:rsidRPr="00A3638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14:paraId="1EB5ED4E" w14:textId="77777777" w:rsidR="0017789D" w:rsidRPr="00A36387" w:rsidRDefault="0017789D" w:rsidP="002710B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45D8235" w14:textId="77777777" w:rsidR="0017789D" w:rsidRPr="00A36387" w:rsidRDefault="0017789D" w:rsidP="002710BC">
            <w:pPr>
              <w:rPr>
                <w:sz w:val="20"/>
                <w:szCs w:val="20"/>
              </w:rPr>
            </w:pPr>
            <w:r w:rsidRPr="00A36387">
              <w:rPr>
                <w:rFonts w:ascii="Times New Roman" w:eastAsia="Times New Roman" w:hAnsi="Times New Roman" w:cs="Times New Roman"/>
                <w:sz w:val="20"/>
                <w:szCs w:val="20"/>
              </w:rPr>
              <w:t>2) Complete practice assessment based on final 10 recommendations</w:t>
            </w:r>
          </w:p>
        </w:tc>
        <w:tc>
          <w:tcPr>
            <w:tcW w:w="1872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58FFEC" w14:textId="77777777" w:rsidR="0017789D" w:rsidRPr="00A36387" w:rsidRDefault="0017789D" w:rsidP="002710BC">
            <w:pPr>
              <w:rPr>
                <w:sz w:val="20"/>
                <w:szCs w:val="20"/>
              </w:rPr>
            </w:pPr>
            <w:r w:rsidRPr="00A3638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1) Review “Definitions related to aberrant drug-related </w:t>
            </w:r>
            <w:proofErr w:type="spellStart"/>
            <w:r w:rsidRPr="00A36387">
              <w:rPr>
                <w:rFonts w:ascii="Times New Roman" w:eastAsia="Times New Roman" w:hAnsi="Times New Roman" w:cs="Times New Roman"/>
                <w:sz w:val="20"/>
                <w:szCs w:val="20"/>
              </w:rPr>
              <w:t>behaviour</w:t>
            </w:r>
            <w:proofErr w:type="spellEnd"/>
            <w:r w:rsidRPr="00A36387">
              <w:rPr>
                <w:rFonts w:ascii="Times New Roman" w:eastAsia="Times New Roman" w:hAnsi="Times New Roman" w:cs="Times New Roman"/>
                <w:sz w:val="20"/>
                <w:szCs w:val="20"/>
              </w:rPr>
              <w:t>: Is there correct terminology?”</w:t>
            </w:r>
          </w:p>
          <w:p w14:paraId="3B5EE451" w14:textId="77777777" w:rsidR="0017789D" w:rsidRPr="00A36387" w:rsidRDefault="0017789D" w:rsidP="002710BC">
            <w:pPr>
              <w:rPr>
                <w:sz w:val="20"/>
                <w:szCs w:val="20"/>
              </w:rPr>
            </w:pPr>
            <w:r w:rsidRPr="00A3638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14:paraId="4269BA43" w14:textId="77777777" w:rsidR="0017789D" w:rsidRPr="00A36387" w:rsidRDefault="0017789D" w:rsidP="002710B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D1B7713" w14:textId="77777777" w:rsidR="0017789D" w:rsidRPr="00A36387" w:rsidRDefault="0017789D" w:rsidP="002710BC">
            <w:pPr>
              <w:rPr>
                <w:sz w:val="20"/>
                <w:szCs w:val="20"/>
              </w:rPr>
            </w:pPr>
            <w:r w:rsidRPr="00A36387">
              <w:rPr>
                <w:rFonts w:ascii="Times New Roman" w:eastAsia="Times New Roman" w:hAnsi="Times New Roman" w:cs="Times New Roman"/>
                <w:sz w:val="20"/>
                <w:szCs w:val="20"/>
              </w:rPr>
              <w:t>2) Submit summary of a Challenging Case from practice</w:t>
            </w:r>
          </w:p>
        </w:tc>
      </w:tr>
      <w:tr w:rsidR="0017789D" w14:paraId="69DFB294" w14:textId="77777777" w:rsidTr="002710BC">
        <w:trPr>
          <w:trHeight w:val="2615"/>
        </w:trPr>
        <w:tc>
          <w:tcPr>
            <w:tcW w:w="197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4343D5" w14:textId="77777777" w:rsidR="0017789D" w:rsidRPr="00A36387" w:rsidRDefault="0017789D" w:rsidP="002710BC">
            <w:pPr>
              <w:rPr>
                <w:sz w:val="20"/>
                <w:szCs w:val="20"/>
              </w:rPr>
            </w:pPr>
            <w:r w:rsidRPr="00A3638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Examples of active learning and outcomes measures </w:t>
            </w:r>
            <w:r w:rsidRPr="00A36387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 xml:space="preserve">DURING </w:t>
            </w:r>
            <w:r w:rsidRPr="00A3638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program</w:t>
            </w:r>
          </w:p>
        </w:tc>
        <w:tc>
          <w:tcPr>
            <w:tcW w:w="1769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8DFCAD" w14:textId="77777777" w:rsidR="0017789D" w:rsidRPr="00A36387" w:rsidRDefault="0017789D" w:rsidP="002710BC">
            <w:pPr>
              <w:rPr>
                <w:sz w:val="20"/>
                <w:szCs w:val="20"/>
              </w:rPr>
            </w:pPr>
            <w:r w:rsidRPr="00A3638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Share practice experience and make a clinical decision: </w:t>
            </w:r>
            <w:proofErr w:type="spellStart"/>
            <w:proofErr w:type="gramStart"/>
            <w:r w:rsidRPr="00A36387">
              <w:rPr>
                <w:rFonts w:ascii="Times New Roman" w:eastAsia="Times New Roman" w:hAnsi="Times New Roman" w:cs="Times New Roman"/>
                <w:sz w:val="20"/>
                <w:szCs w:val="20"/>
              </w:rPr>
              <w:t>e,g</w:t>
            </w:r>
            <w:proofErr w:type="spellEnd"/>
            <w:r w:rsidRPr="00A36387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A3638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classify chronic pain versus chronic  pain disorder</w:t>
            </w:r>
          </w:p>
        </w:tc>
        <w:tc>
          <w:tcPr>
            <w:tcW w:w="1872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233877" w14:textId="77777777" w:rsidR="0017789D" w:rsidRPr="00A36387" w:rsidRDefault="0017789D" w:rsidP="002710BC">
            <w:pPr>
              <w:rPr>
                <w:sz w:val="20"/>
                <w:szCs w:val="20"/>
              </w:rPr>
            </w:pPr>
            <w:r w:rsidRPr="00A36387">
              <w:rPr>
                <w:rFonts w:ascii="Times New Roman" w:eastAsia="Times New Roman" w:hAnsi="Times New Roman" w:cs="Times New Roman"/>
                <w:sz w:val="20"/>
                <w:szCs w:val="20"/>
              </w:rPr>
              <w:t>Calculate patients’ opioid risk score,</w:t>
            </w:r>
          </w:p>
          <w:p w14:paraId="7739E8DF" w14:textId="77777777" w:rsidR="0017789D" w:rsidRPr="00A36387" w:rsidRDefault="0017789D" w:rsidP="002710BC">
            <w:pPr>
              <w:rPr>
                <w:sz w:val="20"/>
                <w:szCs w:val="20"/>
              </w:rPr>
            </w:pPr>
            <w:r w:rsidRPr="00A36387">
              <w:rPr>
                <w:rFonts w:ascii="Times New Roman" w:eastAsia="Times New Roman" w:hAnsi="Times New Roman" w:cs="Times New Roman"/>
                <w:sz w:val="20"/>
                <w:szCs w:val="20"/>
              </w:rPr>
              <w:t>calculate total daily dose in morphine equivalence</w:t>
            </w:r>
          </w:p>
        </w:tc>
        <w:tc>
          <w:tcPr>
            <w:tcW w:w="1872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A7A355" w14:textId="77777777" w:rsidR="0017789D" w:rsidRPr="00A36387" w:rsidRDefault="0017789D" w:rsidP="002710BC">
            <w:pPr>
              <w:rPr>
                <w:sz w:val="20"/>
                <w:szCs w:val="20"/>
              </w:rPr>
            </w:pPr>
            <w:r w:rsidRPr="00A36387">
              <w:rPr>
                <w:rFonts w:ascii="Times New Roman" w:eastAsia="Times New Roman" w:hAnsi="Times New Roman" w:cs="Times New Roman"/>
                <w:sz w:val="20"/>
                <w:szCs w:val="20"/>
              </w:rPr>
              <w:t>Share practice experience and make a clinical decision: differentiate addiction, tolerance, and withdrawal</w:t>
            </w:r>
          </w:p>
        </w:tc>
        <w:tc>
          <w:tcPr>
            <w:tcW w:w="1872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31B225" w14:textId="77777777" w:rsidR="0017789D" w:rsidRPr="00A36387" w:rsidRDefault="0017789D" w:rsidP="002710BC">
            <w:pPr>
              <w:rPr>
                <w:sz w:val="20"/>
                <w:szCs w:val="20"/>
              </w:rPr>
            </w:pPr>
            <w:r w:rsidRPr="00A36387">
              <w:rPr>
                <w:rFonts w:ascii="Times New Roman" w:eastAsia="Times New Roman" w:hAnsi="Times New Roman" w:cs="Times New Roman"/>
                <w:sz w:val="20"/>
                <w:szCs w:val="20"/>
              </w:rPr>
              <w:t>Case study: calculate MEQ</w:t>
            </w:r>
          </w:p>
          <w:p w14:paraId="7A8C0D1B" w14:textId="77777777" w:rsidR="0017789D" w:rsidRPr="00A36387" w:rsidRDefault="0017789D" w:rsidP="002710BC">
            <w:pPr>
              <w:rPr>
                <w:sz w:val="20"/>
                <w:szCs w:val="20"/>
              </w:rPr>
            </w:pPr>
            <w:r w:rsidRPr="00A36387">
              <w:rPr>
                <w:rFonts w:ascii="Times New Roman" w:eastAsia="Times New Roman" w:hAnsi="Times New Roman" w:cs="Times New Roman"/>
                <w:sz w:val="20"/>
                <w:szCs w:val="20"/>
              </w:rPr>
              <w:t>Role play: complete observer checklist</w:t>
            </w:r>
          </w:p>
        </w:tc>
      </w:tr>
      <w:tr w:rsidR="0017789D" w14:paraId="13C46974" w14:textId="77777777" w:rsidTr="002710BC">
        <w:trPr>
          <w:trHeight w:val="1850"/>
        </w:trPr>
        <w:tc>
          <w:tcPr>
            <w:tcW w:w="197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D2B5A7" w14:textId="77777777" w:rsidR="0017789D" w:rsidRPr="00A36387" w:rsidRDefault="0017789D" w:rsidP="002710BC">
            <w:pPr>
              <w:rPr>
                <w:sz w:val="20"/>
                <w:szCs w:val="20"/>
              </w:rPr>
            </w:pPr>
            <w:r w:rsidRPr="00A36387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POST PROGRAM</w:t>
            </w:r>
            <w:r w:rsidRPr="00A3638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practice application exercises</w:t>
            </w:r>
          </w:p>
        </w:tc>
        <w:tc>
          <w:tcPr>
            <w:tcW w:w="1769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8F91FF" w14:textId="77777777" w:rsidR="0017789D" w:rsidRPr="00A36387" w:rsidRDefault="0017789D" w:rsidP="002710BC">
            <w:pPr>
              <w:rPr>
                <w:sz w:val="20"/>
                <w:szCs w:val="20"/>
              </w:rPr>
            </w:pPr>
            <w:r w:rsidRPr="00A36387">
              <w:rPr>
                <w:rFonts w:ascii="Times New Roman" w:eastAsia="Times New Roman" w:hAnsi="Times New Roman" w:cs="Times New Roman"/>
                <w:sz w:val="20"/>
                <w:szCs w:val="20"/>
              </w:rPr>
              <w:t>Report on use of Brief Pain Inventory with 5 patients: assess pain score and functional impairment</w:t>
            </w:r>
          </w:p>
        </w:tc>
        <w:tc>
          <w:tcPr>
            <w:tcW w:w="1872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E0C4AC" w14:textId="77777777" w:rsidR="0017789D" w:rsidRPr="00A36387" w:rsidRDefault="0017789D" w:rsidP="002710BC">
            <w:pPr>
              <w:rPr>
                <w:sz w:val="20"/>
                <w:szCs w:val="20"/>
              </w:rPr>
            </w:pPr>
            <w:r w:rsidRPr="00A36387">
              <w:rPr>
                <w:rFonts w:ascii="Times New Roman" w:eastAsia="Times New Roman" w:hAnsi="Times New Roman" w:cs="Times New Roman"/>
                <w:sz w:val="20"/>
                <w:szCs w:val="20"/>
              </w:rPr>
              <w:t>Report on use of Opioid Manager with 5 patients: calculate opioid risk and morphine equivalent doses</w:t>
            </w:r>
          </w:p>
        </w:tc>
        <w:tc>
          <w:tcPr>
            <w:tcW w:w="1872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E5B694" w14:textId="77777777" w:rsidR="0017789D" w:rsidRPr="00A36387" w:rsidRDefault="0017789D" w:rsidP="002710BC">
            <w:pPr>
              <w:rPr>
                <w:sz w:val="20"/>
                <w:szCs w:val="20"/>
              </w:rPr>
            </w:pPr>
            <w:r w:rsidRPr="00A36387">
              <w:rPr>
                <w:rFonts w:ascii="Times New Roman" w:eastAsia="Times New Roman" w:hAnsi="Times New Roman" w:cs="Times New Roman"/>
                <w:sz w:val="20"/>
                <w:szCs w:val="20"/>
              </w:rPr>
              <w:t>Submit draft treatment agreement, fax prescription to pharmacy, and consultation request</w:t>
            </w:r>
          </w:p>
        </w:tc>
        <w:tc>
          <w:tcPr>
            <w:tcW w:w="1872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9A192B" w14:textId="77777777" w:rsidR="0017789D" w:rsidRPr="00A36387" w:rsidRDefault="0017789D" w:rsidP="002710BC">
            <w:pPr>
              <w:rPr>
                <w:sz w:val="20"/>
                <w:szCs w:val="20"/>
              </w:rPr>
            </w:pPr>
            <w:r w:rsidRPr="00A36387">
              <w:rPr>
                <w:rFonts w:ascii="Times New Roman" w:eastAsia="Times New Roman" w:hAnsi="Times New Roman" w:cs="Times New Roman"/>
                <w:sz w:val="20"/>
                <w:szCs w:val="20"/>
              </w:rPr>
              <w:t>Practice assessment of skills using the 24 recommendations from clinical practice guidelines</w:t>
            </w:r>
          </w:p>
        </w:tc>
      </w:tr>
      <w:tr w:rsidR="0017789D" w14:paraId="4569B0E9" w14:textId="77777777" w:rsidTr="002710BC">
        <w:trPr>
          <w:trHeight w:val="725"/>
        </w:trPr>
        <w:tc>
          <w:tcPr>
            <w:tcW w:w="1975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0E5104" w14:textId="77777777" w:rsidR="0017789D" w:rsidRPr="00A36387" w:rsidRDefault="0017789D" w:rsidP="002710BC">
            <w:pPr>
              <w:rPr>
                <w:sz w:val="20"/>
                <w:szCs w:val="20"/>
              </w:rPr>
            </w:pPr>
            <w:r w:rsidRPr="00A3638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Program spanning methods</w:t>
            </w:r>
          </w:p>
        </w:tc>
        <w:tc>
          <w:tcPr>
            <w:tcW w:w="5513" w:type="dxa"/>
            <w:gridSpan w:val="3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470A67" w14:textId="77777777" w:rsidR="0017789D" w:rsidRPr="00A36387" w:rsidRDefault="0017789D" w:rsidP="002710BC">
            <w:pPr>
              <w:jc w:val="center"/>
              <w:rPr>
                <w:sz w:val="20"/>
                <w:szCs w:val="20"/>
              </w:rPr>
            </w:pPr>
            <w:r w:rsidRPr="00A36387">
              <w:rPr>
                <w:rFonts w:ascii="Times New Roman" w:eastAsia="Times New Roman" w:hAnsi="Times New Roman" w:cs="Times New Roman"/>
                <w:sz w:val="20"/>
                <w:szCs w:val="20"/>
              </w:rPr>
              <w:t>Web-based synchronous webinar distance learning</w:t>
            </w:r>
          </w:p>
          <w:p w14:paraId="3966E650" w14:textId="77777777" w:rsidR="0017789D" w:rsidRPr="00A36387" w:rsidRDefault="0017789D" w:rsidP="002710BC">
            <w:pPr>
              <w:jc w:val="center"/>
              <w:rPr>
                <w:sz w:val="20"/>
                <w:szCs w:val="20"/>
              </w:rPr>
            </w:pPr>
            <w:r w:rsidRPr="00A36387">
              <w:rPr>
                <w:rFonts w:ascii="Times New Roman" w:eastAsia="Times New Roman" w:hAnsi="Times New Roman" w:cs="Times New Roman"/>
                <w:sz w:val="20"/>
                <w:szCs w:val="20"/>
              </w:rPr>
              <w:t>Virtual learning community</w:t>
            </w:r>
          </w:p>
        </w:tc>
        <w:tc>
          <w:tcPr>
            <w:tcW w:w="187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9E5D2F" w14:textId="77777777" w:rsidR="0017789D" w:rsidRPr="00A36387" w:rsidRDefault="0017789D" w:rsidP="002710BC">
            <w:pPr>
              <w:jc w:val="center"/>
              <w:rPr>
                <w:sz w:val="20"/>
                <w:szCs w:val="20"/>
              </w:rPr>
            </w:pPr>
            <w:r w:rsidRPr="00A36387">
              <w:rPr>
                <w:rFonts w:ascii="Times New Roman" w:eastAsia="Times New Roman" w:hAnsi="Times New Roman" w:cs="Times New Roman"/>
                <w:sz w:val="20"/>
                <w:szCs w:val="20"/>
              </w:rPr>
              <w:t>Case-based small group interactive workshop</w:t>
            </w:r>
          </w:p>
        </w:tc>
      </w:tr>
      <w:tr w:rsidR="0017789D" w14:paraId="7BF62E7F" w14:textId="77777777" w:rsidTr="002710BC">
        <w:trPr>
          <w:trHeight w:val="470"/>
        </w:trPr>
        <w:tc>
          <w:tcPr>
            <w:tcW w:w="197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B4B683" w14:textId="77777777" w:rsidR="0017789D" w:rsidRPr="00A36387" w:rsidRDefault="0017789D" w:rsidP="002710B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13" w:type="dxa"/>
            <w:gridSpan w:val="3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CA673A" w14:textId="77777777" w:rsidR="0017789D" w:rsidRPr="00A36387" w:rsidRDefault="0017789D" w:rsidP="002710BC">
            <w:pPr>
              <w:jc w:val="center"/>
              <w:rPr>
                <w:sz w:val="20"/>
                <w:szCs w:val="20"/>
              </w:rPr>
            </w:pPr>
            <w:r w:rsidRPr="00A36387">
              <w:rPr>
                <w:rFonts w:ascii="Times New Roman" w:eastAsia="Times New Roman" w:hAnsi="Times New Roman" w:cs="Times New Roman"/>
                <w:sz w:val="20"/>
                <w:szCs w:val="20"/>
              </w:rPr>
              <w:t>Blended learning</w:t>
            </w:r>
          </w:p>
        </w:tc>
        <w:tc>
          <w:tcPr>
            <w:tcW w:w="187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E6F949" w14:textId="77777777" w:rsidR="0017789D" w:rsidRPr="00A36387" w:rsidRDefault="0017789D" w:rsidP="002710BC">
            <w:pPr>
              <w:keepNext/>
              <w:jc w:val="center"/>
              <w:rPr>
                <w:sz w:val="20"/>
                <w:szCs w:val="20"/>
              </w:rPr>
            </w:pPr>
            <w:r w:rsidRPr="00A36387">
              <w:rPr>
                <w:rFonts w:ascii="Times New Roman" w:eastAsia="Times New Roman" w:hAnsi="Times New Roman" w:cs="Times New Roman"/>
                <w:sz w:val="20"/>
                <w:szCs w:val="20"/>
              </w:rPr>
              <w:t>Flipped classroom</w:t>
            </w:r>
          </w:p>
        </w:tc>
      </w:tr>
    </w:tbl>
    <w:p w14:paraId="71927451" w14:textId="77777777" w:rsidR="001D4ACF" w:rsidRDefault="00880CEA"/>
    <w:sectPr w:rsidR="001D4ACF" w:rsidSect="00F9438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789D"/>
    <w:rsid w:val="00000271"/>
    <w:rsid w:val="000069A8"/>
    <w:rsid w:val="00021291"/>
    <w:rsid w:val="00025044"/>
    <w:rsid w:val="000319AB"/>
    <w:rsid w:val="00043DFC"/>
    <w:rsid w:val="00067C58"/>
    <w:rsid w:val="000C0914"/>
    <w:rsid w:val="000D3956"/>
    <w:rsid w:val="000E11F5"/>
    <w:rsid w:val="000F22E5"/>
    <w:rsid w:val="0011577E"/>
    <w:rsid w:val="001316A6"/>
    <w:rsid w:val="00134C8B"/>
    <w:rsid w:val="00140E93"/>
    <w:rsid w:val="00152242"/>
    <w:rsid w:val="00152CE7"/>
    <w:rsid w:val="0016619E"/>
    <w:rsid w:val="0017789D"/>
    <w:rsid w:val="00192DE9"/>
    <w:rsid w:val="001C4EC4"/>
    <w:rsid w:val="001E679A"/>
    <w:rsid w:val="00212D74"/>
    <w:rsid w:val="00213535"/>
    <w:rsid w:val="00216D6B"/>
    <w:rsid w:val="00230FAB"/>
    <w:rsid w:val="002458A0"/>
    <w:rsid w:val="00263AB0"/>
    <w:rsid w:val="0028074E"/>
    <w:rsid w:val="002935D8"/>
    <w:rsid w:val="00296F49"/>
    <w:rsid w:val="002C2E5F"/>
    <w:rsid w:val="002C6F8E"/>
    <w:rsid w:val="003033F0"/>
    <w:rsid w:val="00303844"/>
    <w:rsid w:val="00331509"/>
    <w:rsid w:val="00396499"/>
    <w:rsid w:val="003A0009"/>
    <w:rsid w:val="003A7BFD"/>
    <w:rsid w:val="003B6BE4"/>
    <w:rsid w:val="003E4239"/>
    <w:rsid w:val="003F44B9"/>
    <w:rsid w:val="00404951"/>
    <w:rsid w:val="004056A8"/>
    <w:rsid w:val="004712D7"/>
    <w:rsid w:val="004777B7"/>
    <w:rsid w:val="00486ECB"/>
    <w:rsid w:val="004B29CE"/>
    <w:rsid w:val="004C1BB2"/>
    <w:rsid w:val="004C2E7A"/>
    <w:rsid w:val="004C2F9A"/>
    <w:rsid w:val="004D13B2"/>
    <w:rsid w:val="004E195C"/>
    <w:rsid w:val="004E32CB"/>
    <w:rsid w:val="004E6445"/>
    <w:rsid w:val="004F32E7"/>
    <w:rsid w:val="00503106"/>
    <w:rsid w:val="0050341D"/>
    <w:rsid w:val="00513912"/>
    <w:rsid w:val="00513973"/>
    <w:rsid w:val="005219B6"/>
    <w:rsid w:val="00525553"/>
    <w:rsid w:val="00542B93"/>
    <w:rsid w:val="00543FE3"/>
    <w:rsid w:val="00554E9B"/>
    <w:rsid w:val="00555E5C"/>
    <w:rsid w:val="00572D71"/>
    <w:rsid w:val="005A631E"/>
    <w:rsid w:val="005A6C24"/>
    <w:rsid w:val="005E2837"/>
    <w:rsid w:val="005E3F58"/>
    <w:rsid w:val="005E528A"/>
    <w:rsid w:val="0060658F"/>
    <w:rsid w:val="00643B1B"/>
    <w:rsid w:val="006A563E"/>
    <w:rsid w:val="006C2410"/>
    <w:rsid w:val="006C5407"/>
    <w:rsid w:val="00706784"/>
    <w:rsid w:val="00722BD4"/>
    <w:rsid w:val="00731073"/>
    <w:rsid w:val="00741778"/>
    <w:rsid w:val="00741DED"/>
    <w:rsid w:val="00795FFD"/>
    <w:rsid w:val="007A2CAF"/>
    <w:rsid w:val="00801E00"/>
    <w:rsid w:val="00804627"/>
    <w:rsid w:val="00837366"/>
    <w:rsid w:val="00841C53"/>
    <w:rsid w:val="00845326"/>
    <w:rsid w:val="00866484"/>
    <w:rsid w:val="00880CEA"/>
    <w:rsid w:val="00881847"/>
    <w:rsid w:val="00885FC8"/>
    <w:rsid w:val="008C3905"/>
    <w:rsid w:val="008C3FF8"/>
    <w:rsid w:val="008C5601"/>
    <w:rsid w:val="008D7F45"/>
    <w:rsid w:val="0090426B"/>
    <w:rsid w:val="00907132"/>
    <w:rsid w:val="0091198D"/>
    <w:rsid w:val="009221B1"/>
    <w:rsid w:val="00936220"/>
    <w:rsid w:val="00970625"/>
    <w:rsid w:val="0098597A"/>
    <w:rsid w:val="009932DE"/>
    <w:rsid w:val="00993C52"/>
    <w:rsid w:val="009B0484"/>
    <w:rsid w:val="009C0CAE"/>
    <w:rsid w:val="009D25C2"/>
    <w:rsid w:val="009F2A85"/>
    <w:rsid w:val="00A11894"/>
    <w:rsid w:val="00A2267B"/>
    <w:rsid w:val="00A3137F"/>
    <w:rsid w:val="00A36387"/>
    <w:rsid w:val="00A57387"/>
    <w:rsid w:val="00A81D1E"/>
    <w:rsid w:val="00A92B46"/>
    <w:rsid w:val="00AB42A7"/>
    <w:rsid w:val="00AF735E"/>
    <w:rsid w:val="00B34DF7"/>
    <w:rsid w:val="00BD7438"/>
    <w:rsid w:val="00BF2312"/>
    <w:rsid w:val="00C03BFA"/>
    <w:rsid w:val="00C15B43"/>
    <w:rsid w:val="00C22742"/>
    <w:rsid w:val="00C23556"/>
    <w:rsid w:val="00C272B7"/>
    <w:rsid w:val="00C9756A"/>
    <w:rsid w:val="00CC579D"/>
    <w:rsid w:val="00CD42AB"/>
    <w:rsid w:val="00CD5D60"/>
    <w:rsid w:val="00CF16EE"/>
    <w:rsid w:val="00D2303E"/>
    <w:rsid w:val="00D357B5"/>
    <w:rsid w:val="00D43B35"/>
    <w:rsid w:val="00D43EA0"/>
    <w:rsid w:val="00D461FB"/>
    <w:rsid w:val="00D6586F"/>
    <w:rsid w:val="00D85C61"/>
    <w:rsid w:val="00D92722"/>
    <w:rsid w:val="00DA6C19"/>
    <w:rsid w:val="00DA73A8"/>
    <w:rsid w:val="00DF2C27"/>
    <w:rsid w:val="00E05C8C"/>
    <w:rsid w:val="00E128CF"/>
    <w:rsid w:val="00E50C8C"/>
    <w:rsid w:val="00E706DA"/>
    <w:rsid w:val="00E70C31"/>
    <w:rsid w:val="00E74CB9"/>
    <w:rsid w:val="00E93CDF"/>
    <w:rsid w:val="00EA65AA"/>
    <w:rsid w:val="00EC4268"/>
    <w:rsid w:val="00F00705"/>
    <w:rsid w:val="00F0510F"/>
    <w:rsid w:val="00F21438"/>
    <w:rsid w:val="00F32134"/>
    <w:rsid w:val="00F35B5B"/>
    <w:rsid w:val="00F36B4B"/>
    <w:rsid w:val="00F36E21"/>
    <w:rsid w:val="00F81C18"/>
    <w:rsid w:val="00F9438A"/>
    <w:rsid w:val="00FB474E"/>
    <w:rsid w:val="00FE48A4"/>
    <w:rsid w:val="00FF6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1BE6F6B"/>
  <w14:defaultImageDpi w14:val="32767"/>
  <w15:chartTrackingRefBased/>
  <w15:docId w15:val="{8E01E379-7506-4B41-8728-EF4378E782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7789D"/>
    <w:pPr>
      <w:spacing w:line="276" w:lineRule="auto"/>
    </w:pPr>
    <w:rPr>
      <w:rFonts w:ascii="Arial" w:eastAsia="Arial" w:hAnsi="Arial" w:cs="Arial"/>
      <w:sz w:val="22"/>
      <w:szCs w:val="22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17789D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301</Words>
  <Characters>1721</Characters>
  <Application>Microsoft Office Word</Application>
  <DocSecurity>0</DocSecurity>
  <Lines>14</Lines>
  <Paragraphs>4</Paragraphs>
  <ScaleCrop>false</ScaleCrop>
  <Company/>
  <LinksUpToDate>false</LinksUpToDate>
  <CharactersWithSpaces>2018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Abhimanyu Sud</dc:creator>
  <cp:keywords/>
  <dc:description/>
  <cp:lastModifiedBy>Abhimanyu Sud</cp:lastModifiedBy>
  <cp:revision>3</cp:revision>
  <dcterms:created xsi:type="dcterms:W3CDTF">2020-11-10T16:42:00Z</dcterms:created>
  <dcterms:modified xsi:type="dcterms:W3CDTF">2020-11-26T13:49:00Z</dcterms:modified>
</cp:coreProperties>
</file>