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B5980">
      <w:r>
        <w:rPr>
          <w:rFonts w:hint="default" w:ascii="Palatino Linotype" w:hAnsi="Palatino Linotype" w:cs="Palatino Linotype"/>
          <w:b/>
          <w:bCs/>
          <w:sz w:val="22"/>
          <w:szCs w:val="28"/>
        </w:rPr>
        <w:t>Common Method Bias Test Results</w:t>
      </w:r>
      <w:r>
        <w:rPr>
          <w:rFonts w:hint="default" w:ascii="Palatino Linotype" w:hAnsi="Palatino Linotype" w:cs="Palatino Linotype"/>
        </w:rPr>
        <w:br w:type="textWrapping"/>
      </w:r>
      <w:r>
        <w:rPr>
          <w:rFonts w:hint="default" w:ascii="Palatino Linotype" w:hAnsi="Palatino Linotype" w:cs="Palatino Linotype"/>
        </w:rPr>
        <w:t>Since the student data were all collected through self-reports from participants, there is an unavoidable issue of common method bias (Williams et al., 2016). Harman’s single-factor test was employed to conduct an exploratory factor analysis on all items from the five questionnaires, u</w:t>
      </w:r>
      <w:bookmarkStart w:id="0" w:name="_GoBack"/>
      <w:bookmarkEnd w:id="0"/>
      <w:r>
        <w:rPr>
          <w:rFonts w:hint="default" w:ascii="Palatino Linotype" w:hAnsi="Palatino Linotype" w:cs="Palatino Linotype"/>
        </w:rPr>
        <w:t xml:space="preserve">sing unrotated principal component analysis. The results revealed 16 factors with eigenvalues greater than 1, and the first factor explained 33.96% of the variance (which is below the critical threshold of 40%). By packaging the top three factor loadings of each scale into corresponding latent variable indicators, we applied the latent error variable control method. Before accounting for common method bias, the model fit indices were: </w:t>
      </w:r>
      <w:r>
        <w:rPr>
          <w:rFonts w:hint="default" w:ascii="Palatino Linotype" w:hAnsi="Palatino Linotype" w:cs="Palatino Linotype"/>
          <w:i/>
          <w:iCs/>
        </w:rPr>
        <w:t>χ²</w:t>
      </w:r>
      <w:r>
        <w:rPr>
          <w:rFonts w:hint="default" w:ascii="Palatino Linotype" w:hAnsi="Palatino Linotype" w:cs="Palatino Linotype"/>
        </w:rPr>
        <w:t xml:space="preserve"> = 321.04, </w:t>
      </w:r>
      <w:r>
        <w:rPr>
          <w:rFonts w:hint="default" w:ascii="Palatino Linotype" w:hAnsi="Palatino Linotype" w:cs="Palatino Linotype"/>
          <w:i/>
          <w:iCs/>
        </w:rPr>
        <w:t>CFI</w:t>
      </w:r>
      <w:r>
        <w:rPr>
          <w:rFonts w:hint="default" w:ascii="Palatino Linotype" w:hAnsi="Palatino Linotype" w:cs="Palatino Linotype"/>
        </w:rPr>
        <w:t xml:space="preserve"> = 0.95, </w:t>
      </w:r>
      <w:r>
        <w:rPr>
          <w:rFonts w:hint="default" w:ascii="Palatino Linotype" w:hAnsi="Palatino Linotype" w:cs="Palatino Linotype"/>
          <w:i/>
          <w:iCs/>
        </w:rPr>
        <w:t>TLI</w:t>
      </w:r>
      <w:r>
        <w:rPr>
          <w:rFonts w:hint="default" w:ascii="Palatino Linotype" w:hAnsi="Palatino Linotype" w:cs="Palatino Linotype"/>
        </w:rPr>
        <w:t xml:space="preserve"> = 0.95, </w:t>
      </w:r>
      <w:r>
        <w:rPr>
          <w:rFonts w:hint="default" w:ascii="Palatino Linotype" w:hAnsi="Palatino Linotype" w:cs="Palatino Linotype"/>
          <w:i/>
          <w:iCs/>
        </w:rPr>
        <w:t>RMSEA</w:t>
      </w:r>
      <w:r>
        <w:rPr>
          <w:rFonts w:hint="default" w:ascii="Palatino Linotype" w:hAnsi="Palatino Linotype" w:cs="Palatino Linotype"/>
        </w:rPr>
        <w:t xml:space="preserve"> = 0.04, </w:t>
      </w:r>
      <w:r>
        <w:rPr>
          <w:rFonts w:hint="default" w:ascii="Palatino Linotype" w:hAnsi="Palatino Linotype" w:cs="Palatino Linotype"/>
          <w:i/>
          <w:iCs/>
        </w:rPr>
        <w:t>SRMR</w:t>
      </w:r>
      <w:r>
        <w:rPr>
          <w:rFonts w:hint="default" w:ascii="Palatino Linotype" w:hAnsi="Palatino Linotype" w:cs="Palatino Linotype"/>
        </w:rPr>
        <w:t xml:space="preserve"> = 0.04. After introducing the common method bias factor, the fit indices were: </w:t>
      </w:r>
      <w:r>
        <w:rPr>
          <w:rFonts w:hint="default" w:ascii="Palatino Linotype" w:hAnsi="Palatino Linotype" w:cs="Palatino Linotype"/>
          <w:i/>
          <w:iCs/>
        </w:rPr>
        <w:t xml:space="preserve">χ² </w:t>
      </w:r>
      <w:r>
        <w:rPr>
          <w:rFonts w:hint="default" w:ascii="Palatino Linotype" w:hAnsi="Palatino Linotype" w:cs="Palatino Linotype"/>
        </w:rPr>
        <w:t xml:space="preserve">= 267.58, </w:t>
      </w:r>
      <w:r>
        <w:rPr>
          <w:rFonts w:hint="default" w:ascii="Palatino Linotype" w:hAnsi="Palatino Linotype" w:cs="Palatino Linotype"/>
          <w:i/>
          <w:iCs/>
        </w:rPr>
        <w:t>CFI</w:t>
      </w:r>
      <w:r>
        <w:rPr>
          <w:rFonts w:hint="default" w:ascii="Palatino Linotype" w:hAnsi="Palatino Linotype" w:cs="Palatino Linotype"/>
        </w:rPr>
        <w:t xml:space="preserve"> = 0.94, </w:t>
      </w:r>
      <w:r>
        <w:rPr>
          <w:rFonts w:hint="default" w:ascii="Palatino Linotype" w:hAnsi="Palatino Linotype" w:cs="Palatino Linotype"/>
          <w:i/>
          <w:iCs/>
        </w:rPr>
        <w:t>TLI</w:t>
      </w:r>
      <w:r>
        <w:rPr>
          <w:rFonts w:hint="default" w:ascii="Palatino Linotype" w:hAnsi="Palatino Linotype" w:cs="Palatino Linotype"/>
        </w:rPr>
        <w:t xml:space="preserve"> = 0.98, </w:t>
      </w:r>
      <w:r>
        <w:rPr>
          <w:rFonts w:hint="default" w:ascii="Palatino Linotype" w:hAnsi="Palatino Linotype" w:cs="Palatino Linotype"/>
          <w:i/>
          <w:iCs/>
        </w:rPr>
        <w:t>RMSEA</w:t>
      </w:r>
      <w:r>
        <w:rPr>
          <w:rFonts w:hint="default" w:ascii="Palatino Linotype" w:hAnsi="Palatino Linotype" w:cs="Palatino Linotype"/>
        </w:rPr>
        <w:t xml:space="preserve"> = 0.03, </w:t>
      </w:r>
      <w:r>
        <w:rPr>
          <w:rFonts w:hint="default" w:ascii="Palatino Linotype" w:hAnsi="Palatino Linotype" w:cs="Palatino Linotype"/>
          <w:i/>
          <w:iCs/>
        </w:rPr>
        <w:t>SRMR</w:t>
      </w:r>
      <w:r>
        <w:rPr>
          <w:rFonts w:hint="default" w:ascii="Palatino Linotype" w:hAnsi="Palatino Linotype" w:cs="Palatino Linotype"/>
        </w:rPr>
        <w:t xml:space="preserve"> = 0.05. The minimal difference between these results suggests that there is no significant common method bias.</w:t>
      </w:r>
    </w:p>
    <w:p w14:paraId="151F1C1F"/>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377"/>
        <w:gridCol w:w="1377"/>
        <w:gridCol w:w="1377"/>
        <w:gridCol w:w="1408"/>
        <w:gridCol w:w="1378"/>
      </w:tblGrid>
      <w:tr w14:paraId="4BAC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tcPr>
          <w:p w14:paraId="06E59C8E">
            <w:pPr>
              <w:jc w:val="center"/>
              <w:rPr>
                <w:rFonts w:hint="default" w:ascii="Palatino Linotype" w:hAnsi="Palatino Linotype" w:cs="Palatino Linotype"/>
                <w:sz w:val="21"/>
                <w:szCs w:val="21"/>
                <w:vertAlign w:val="baseline"/>
                <w:lang w:val="en-US" w:eastAsia="zh-CN"/>
              </w:rPr>
            </w:pPr>
          </w:p>
        </w:tc>
        <w:tc>
          <w:tcPr>
            <w:tcW w:w="1377" w:type="dxa"/>
          </w:tcPr>
          <w:p w14:paraId="3A16EB90">
            <w:pPr>
              <w:jc w:val="center"/>
              <w:rPr>
                <w:rFonts w:hint="default" w:ascii="Palatino Linotype" w:hAnsi="Palatino Linotype" w:cs="Palatino Linotype"/>
                <w:b/>
                <w:bCs/>
                <w:sz w:val="20"/>
                <w:szCs w:val="20"/>
                <w:vertAlign w:val="baseline"/>
                <w:lang w:val="en-US" w:eastAsia="zh-CN"/>
              </w:rPr>
            </w:pPr>
            <w:r>
              <w:rPr>
                <w:rFonts w:hint="default" w:ascii="Palatino Linotype" w:hAnsi="Palatino Linotype" w:cs="Palatino Linotype"/>
                <w:b/>
                <w:bCs/>
                <w:sz w:val="20"/>
                <w:szCs w:val="20"/>
                <w:vertAlign w:val="baseline"/>
                <w:lang w:val="en-US" w:eastAsia="zh-CN"/>
              </w:rPr>
              <w:t>PS</w:t>
            </w:r>
          </w:p>
        </w:tc>
        <w:tc>
          <w:tcPr>
            <w:tcW w:w="1377" w:type="dxa"/>
          </w:tcPr>
          <w:p w14:paraId="1C1DC8CD">
            <w:pPr>
              <w:jc w:val="center"/>
              <w:rPr>
                <w:rFonts w:hint="default" w:ascii="Palatino Linotype" w:hAnsi="Palatino Linotype" w:cs="Palatino Linotype"/>
                <w:b/>
                <w:bCs/>
                <w:sz w:val="20"/>
                <w:szCs w:val="20"/>
                <w:vertAlign w:val="baseline"/>
                <w:lang w:val="en-US" w:eastAsia="zh-CN"/>
              </w:rPr>
            </w:pPr>
            <w:r>
              <w:rPr>
                <w:rFonts w:hint="default" w:ascii="Palatino Linotype" w:hAnsi="Palatino Linotype" w:cs="Palatino Linotype"/>
                <w:b/>
                <w:bCs/>
                <w:sz w:val="20"/>
                <w:szCs w:val="20"/>
                <w:vertAlign w:val="baseline"/>
                <w:lang w:val="en-US" w:eastAsia="zh-CN"/>
              </w:rPr>
              <w:t>POS</w:t>
            </w:r>
          </w:p>
        </w:tc>
        <w:tc>
          <w:tcPr>
            <w:tcW w:w="1377" w:type="dxa"/>
          </w:tcPr>
          <w:p w14:paraId="23C58949">
            <w:pPr>
              <w:jc w:val="center"/>
              <w:rPr>
                <w:rFonts w:hint="default" w:ascii="Palatino Linotype" w:hAnsi="Palatino Linotype" w:cs="Palatino Linotype"/>
                <w:b/>
                <w:bCs/>
                <w:sz w:val="20"/>
                <w:szCs w:val="20"/>
                <w:vertAlign w:val="baseline"/>
                <w:lang w:val="en-US" w:eastAsia="zh-CN"/>
              </w:rPr>
            </w:pPr>
            <w:r>
              <w:rPr>
                <w:rFonts w:hint="default" w:ascii="Palatino Linotype" w:hAnsi="Palatino Linotype" w:cs="Palatino Linotype"/>
                <w:b/>
                <w:bCs/>
                <w:sz w:val="20"/>
                <w:szCs w:val="20"/>
                <w:vertAlign w:val="baseline"/>
                <w:lang w:val="en-US" w:eastAsia="zh-CN"/>
              </w:rPr>
              <w:t>DA</w:t>
            </w:r>
          </w:p>
        </w:tc>
        <w:tc>
          <w:tcPr>
            <w:tcW w:w="1408" w:type="dxa"/>
          </w:tcPr>
          <w:p w14:paraId="11FC13AD">
            <w:pPr>
              <w:jc w:val="center"/>
              <w:rPr>
                <w:rFonts w:hint="default" w:ascii="Palatino Linotype" w:hAnsi="Palatino Linotype" w:cs="Palatino Linotype"/>
                <w:b/>
                <w:bCs/>
                <w:sz w:val="20"/>
                <w:szCs w:val="20"/>
                <w:vertAlign w:val="baseline"/>
                <w:lang w:val="en-US" w:eastAsia="zh-CN"/>
              </w:rPr>
            </w:pPr>
            <w:r>
              <w:rPr>
                <w:rFonts w:hint="default" w:ascii="Palatino Linotype" w:hAnsi="Palatino Linotype" w:cs="Palatino Linotype"/>
                <w:b/>
                <w:bCs/>
                <w:sz w:val="20"/>
                <w:szCs w:val="20"/>
                <w:vertAlign w:val="baseline"/>
                <w:lang w:val="en-US" w:eastAsia="zh-CN"/>
              </w:rPr>
              <w:t>Mindfulness</w:t>
            </w:r>
          </w:p>
        </w:tc>
        <w:tc>
          <w:tcPr>
            <w:tcW w:w="1378" w:type="dxa"/>
          </w:tcPr>
          <w:p w14:paraId="30B0764E">
            <w:pPr>
              <w:jc w:val="center"/>
              <w:rPr>
                <w:rFonts w:hint="default" w:ascii="Palatino Linotype" w:hAnsi="Palatino Linotype" w:cs="Palatino Linotype"/>
                <w:b/>
                <w:bCs/>
                <w:sz w:val="20"/>
                <w:szCs w:val="20"/>
                <w:vertAlign w:val="baseline"/>
                <w:lang w:val="en-US" w:eastAsia="zh-CN"/>
              </w:rPr>
            </w:pPr>
            <w:r>
              <w:rPr>
                <w:rFonts w:hint="default" w:ascii="Palatino Linotype" w:hAnsi="Palatino Linotype" w:cs="Palatino Linotype"/>
                <w:b/>
                <w:bCs/>
                <w:sz w:val="20"/>
                <w:szCs w:val="20"/>
                <w:vertAlign w:val="baseline"/>
                <w:lang w:val="en-US" w:eastAsia="zh-CN"/>
              </w:rPr>
              <w:t>Burnout</w:t>
            </w:r>
          </w:p>
        </w:tc>
      </w:tr>
      <w:tr w14:paraId="7F91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tcPr>
          <w:p w14:paraId="46FDA1B0">
            <w:pPr>
              <w:jc w:val="center"/>
              <w:rPr>
                <w:rFonts w:hint="default" w:ascii="Palatino Linotype" w:hAnsi="Palatino Linotype" w:cs="Palatino Linotype"/>
                <w:sz w:val="20"/>
                <w:szCs w:val="20"/>
                <w:vertAlign w:val="baseline"/>
                <w:lang w:val="en-US" w:eastAsia="zh-CN"/>
              </w:rPr>
            </w:pPr>
            <w:r>
              <w:rPr>
                <w:rFonts w:hint="default" w:ascii="Palatino Linotype" w:hAnsi="Palatino Linotype" w:cs="Palatino Linotype"/>
                <w:sz w:val="20"/>
                <w:szCs w:val="20"/>
                <w:vertAlign w:val="baseline"/>
                <w:lang w:val="en-US" w:eastAsia="zh-CN"/>
              </w:rPr>
              <w:t>PS</w:t>
            </w:r>
          </w:p>
        </w:tc>
        <w:tc>
          <w:tcPr>
            <w:tcW w:w="1377" w:type="dxa"/>
          </w:tcPr>
          <w:p w14:paraId="5C488FAA">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1</w:t>
            </w:r>
          </w:p>
        </w:tc>
        <w:tc>
          <w:tcPr>
            <w:tcW w:w="1377" w:type="dxa"/>
          </w:tcPr>
          <w:p w14:paraId="37EE79EB">
            <w:pPr>
              <w:jc w:val="center"/>
              <w:rPr>
                <w:rFonts w:hint="default" w:ascii="Palatino Linotype" w:hAnsi="Palatino Linotype" w:cs="Palatino Linotype"/>
                <w:sz w:val="18"/>
                <w:szCs w:val="18"/>
                <w:vertAlign w:val="baseline"/>
                <w:lang w:val="en-US" w:eastAsia="zh-CN"/>
              </w:rPr>
            </w:pPr>
          </w:p>
        </w:tc>
        <w:tc>
          <w:tcPr>
            <w:tcW w:w="1377" w:type="dxa"/>
          </w:tcPr>
          <w:p w14:paraId="25243D05">
            <w:pPr>
              <w:jc w:val="center"/>
              <w:rPr>
                <w:rFonts w:hint="default" w:ascii="Palatino Linotype" w:hAnsi="Palatino Linotype" w:cs="Palatino Linotype"/>
                <w:sz w:val="18"/>
                <w:szCs w:val="18"/>
                <w:vertAlign w:val="baseline"/>
                <w:lang w:val="en-US" w:eastAsia="zh-CN"/>
              </w:rPr>
            </w:pPr>
          </w:p>
        </w:tc>
        <w:tc>
          <w:tcPr>
            <w:tcW w:w="1408" w:type="dxa"/>
          </w:tcPr>
          <w:p w14:paraId="337F73E1">
            <w:pPr>
              <w:jc w:val="center"/>
              <w:rPr>
                <w:rFonts w:hint="default" w:ascii="Palatino Linotype" w:hAnsi="Palatino Linotype" w:cs="Palatino Linotype"/>
                <w:sz w:val="18"/>
                <w:szCs w:val="18"/>
                <w:vertAlign w:val="baseline"/>
                <w:lang w:val="en-US" w:eastAsia="zh-CN"/>
              </w:rPr>
            </w:pPr>
          </w:p>
        </w:tc>
        <w:tc>
          <w:tcPr>
            <w:tcW w:w="1378" w:type="dxa"/>
          </w:tcPr>
          <w:p w14:paraId="51BA9954">
            <w:pPr>
              <w:jc w:val="center"/>
              <w:rPr>
                <w:rFonts w:hint="default" w:ascii="Palatino Linotype" w:hAnsi="Palatino Linotype" w:cs="Palatino Linotype"/>
                <w:sz w:val="18"/>
                <w:szCs w:val="18"/>
                <w:vertAlign w:val="baseline"/>
                <w:lang w:val="en-US" w:eastAsia="zh-CN"/>
              </w:rPr>
            </w:pPr>
          </w:p>
        </w:tc>
      </w:tr>
      <w:tr w14:paraId="1AE9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tcPr>
          <w:p w14:paraId="0B42FCDB">
            <w:pPr>
              <w:jc w:val="center"/>
              <w:rPr>
                <w:rFonts w:hint="default" w:ascii="Palatino Linotype" w:hAnsi="Palatino Linotype" w:cs="Palatino Linotype"/>
                <w:sz w:val="20"/>
                <w:szCs w:val="20"/>
                <w:vertAlign w:val="baseline"/>
                <w:lang w:val="en-US" w:eastAsia="zh-CN"/>
              </w:rPr>
            </w:pPr>
            <w:r>
              <w:rPr>
                <w:rFonts w:hint="default" w:ascii="Palatino Linotype" w:hAnsi="Palatino Linotype" w:cs="Palatino Linotype"/>
                <w:sz w:val="20"/>
                <w:szCs w:val="20"/>
                <w:vertAlign w:val="baseline"/>
                <w:lang w:val="en-US" w:eastAsia="zh-CN"/>
              </w:rPr>
              <w:t>POS</w:t>
            </w:r>
          </w:p>
        </w:tc>
        <w:tc>
          <w:tcPr>
            <w:tcW w:w="1377" w:type="dxa"/>
          </w:tcPr>
          <w:p w14:paraId="1BB44E14">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.507</w:t>
            </w:r>
            <w:r>
              <w:rPr>
                <w:rFonts w:hint="default" w:ascii="Palatino Linotype" w:hAnsi="Palatino Linotype" w:cs="Palatino Linotype"/>
                <w:sz w:val="18"/>
                <w:szCs w:val="18"/>
                <w:vertAlign w:val="superscript"/>
              </w:rPr>
              <w:t>**</w:t>
            </w:r>
          </w:p>
        </w:tc>
        <w:tc>
          <w:tcPr>
            <w:tcW w:w="1377" w:type="dxa"/>
          </w:tcPr>
          <w:p w14:paraId="1BB34CD1">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1</w:t>
            </w:r>
          </w:p>
        </w:tc>
        <w:tc>
          <w:tcPr>
            <w:tcW w:w="1377" w:type="dxa"/>
          </w:tcPr>
          <w:p w14:paraId="1DEE46ED">
            <w:pPr>
              <w:jc w:val="center"/>
              <w:rPr>
                <w:rFonts w:hint="default" w:ascii="Palatino Linotype" w:hAnsi="Palatino Linotype" w:cs="Palatino Linotype"/>
                <w:sz w:val="18"/>
                <w:szCs w:val="18"/>
                <w:vertAlign w:val="baseline"/>
                <w:lang w:val="en-US" w:eastAsia="zh-CN"/>
              </w:rPr>
            </w:pPr>
          </w:p>
        </w:tc>
        <w:tc>
          <w:tcPr>
            <w:tcW w:w="1408" w:type="dxa"/>
          </w:tcPr>
          <w:p w14:paraId="51F91306">
            <w:pPr>
              <w:jc w:val="center"/>
              <w:rPr>
                <w:rFonts w:hint="default" w:ascii="Palatino Linotype" w:hAnsi="Palatino Linotype" w:cs="Palatino Linotype"/>
                <w:sz w:val="18"/>
                <w:szCs w:val="18"/>
                <w:vertAlign w:val="baseline"/>
                <w:lang w:val="en-US" w:eastAsia="zh-CN"/>
              </w:rPr>
            </w:pPr>
          </w:p>
        </w:tc>
        <w:tc>
          <w:tcPr>
            <w:tcW w:w="1378" w:type="dxa"/>
          </w:tcPr>
          <w:p w14:paraId="5677E6AA">
            <w:pPr>
              <w:jc w:val="center"/>
              <w:rPr>
                <w:rFonts w:hint="default" w:ascii="Palatino Linotype" w:hAnsi="Palatino Linotype" w:cs="Palatino Linotype"/>
                <w:sz w:val="18"/>
                <w:szCs w:val="18"/>
                <w:vertAlign w:val="baseline"/>
                <w:lang w:val="en-US" w:eastAsia="zh-CN"/>
              </w:rPr>
            </w:pPr>
          </w:p>
        </w:tc>
      </w:tr>
      <w:tr w14:paraId="31C7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tcPr>
          <w:p w14:paraId="363C7293">
            <w:pPr>
              <w:jc w:val="center"/>
              <w:rPr>
                <w:rFonts w:hint="default" w:ascii="Palatino Linotype" w:hAnsi="Palatino Linotype" w:cs="Palatino Linotype"/>
                <w:sz w:val="20"/>
                <w:szCs w:val="20"/>
                <w:vertAlign w:val="baseline"/>
                <w:lang w:val="en-US" w:eastAsia="zh-CN"/>
              </w:rPr>
            </w:pPr>
            <w:r>
              <w:rPr>
                <w:rFonts w:hint="default" w:ascii="Palatino Linotype" w:hAnsi="Palatino Linotype" w:cs="Palatino Linotype"/>
                <w:sz w:val="20"/>
                <w:szCs w:val="20"/>
                <w:vertAlign w:val="baseline"/>
                <w:lang w:val="en-US" w:eastAsia="zh-CN"/>
              </w:rPr>
              <w:t>DA</w:t>
            </w:r>
          </w:p>
        </w:tc>
        <w:tc>
          <w:tcPr>
            <w:tcW w:w="1377" w:type="dxa"/>
          </w:tcPr>
          <w:p w14:paraId="7DAB3625">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.324</w:t>
            </w:r>
            <w:r>
              <w:rPr>
                <w:rFonts w:hint="default" w:ascii="Palatino Linotype" w:hAnsi="Palatino Linotype" w:cs="Palatino Linotype"/>
                <w:sz w:val="18"/>
                <w:szCs w:val="18"/>
                <w:vertAlign w:val="superscript"/>
              </w:rPr>
              <w:t>**</w:t>
            </w:r>
          </w:p>
        </w:tc>
        <w:tc>
          <w:tcPr>
            <w:tcW w:w="1377" w:type="dxa"/>
          </w:tcPr>
          <w:p w14:paraId="3EA8F42C">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.407</w:t>
            </w:r>
            <w:r>
              <w:rPr>
                <w:rFonts w:hint="default" w:ascii="Palatino Linotype" w:hAnsi="Palatino Linotype" w:cs="Palatino Linotype"/>
                <w:sz w:val="18"/>
                <w:szCs w:val="18"/>
                <w:vertAlign w:val="superscript"/>
              </w:rPr>
              <w:t>**</w:t>
            </w:r>
          </w:p>
        </w:tc>
        <w:tc>
          <w:tcPr>
            <w:tcW w:w="1377" w:type="dxa"/>
          </w:tcPr>
          <w:p w14:paraId="71BA9572">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1</w:t>
            </w:r>
          </w:p>
        </w:tc>
        <w:tc>
          <w:tcPr>
            <w:tcW w:w="1408" w:type="dxa"/>
          </w:tcPr>
          <w:p w14:paraId="4AF27C00">
            <w:pPr>
              <w:jc w:val="center"/>
              <w:rPr>
                <w:rFonts w:hint="default" w:ascii="Palatino Linotype" w:hAnsi="Palatino Linotype" w:cs="Palatino Linotype"/>
                <w:sz w:val="18"/>
                <w:szCs w:val="18"/>
                <w:vertAlign w:val="baseline"/>
                <w:lang w:val="en-US" w:eastAsia="zh-CN"/>
              </w:rPr>
            </w:pPr>
          </w:p>
        </w:tc>
        <w:tc>
          <w:tcPr>
            <w:tcW w:w="1378" w:type="dxa"/>
          </w:tcPr>
          <w:p w14:paraId="2CFF6A45">
            <w:pPr>
              <w:jc w:val="center"/>
              <w:rPr>
                <w:rFonts w:hint="default" w:ascii="Palatino Linotype" w:hAnsi="Palatino Linotype" w:cs="Palatino Linotype"/>
                <w:sz w:val="18"/>
                <w:szCs w:val="18"/>
                <w:vertAlign w:val="baseline"/>
                <w:lang w:val="en-US" w:eastAsia="zh-CN"/>
              </w:rPr>
            </w:pPr>
          </w:p>
        </w:tc>
      </w:tr>
      <w:tr w14:paraId="5195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tcPr>
          <w:p w14:paraId="45E27671">
            <w:pPr>
              <w:jc w:val="center"/>
              <w:rPr>
                <w:rFonts w:hint="default" w:ascii="Palatino Linotype" w:hAnsi="Palatino Linotype" w:cs="Palatino Linotype"/>
                <w:sz w:val="20"/>
                <w:szCs w:val="20"/>
                <w:vertAlign w:val="baseline"/>
                <w:lang w:val="en-US" w:eastAsia="zh-CN"/>
              </w:rPr>
            </w:pPr>
            <w:r>
              <w:rPr>
                <w:rFonts w:hint="default" w:ascii="Palatino Linotype" w:hAnsi="Palatino Linotype" w:cs="Palatino Linotype"/>
                <w:sz w:val="20"/>
                <w:szCs w:val="20"/>
                <w:vertAlign w:val="baseline"/>
                <w:lang w:val="en-US" w:eastAsia="zh-CN"/>
              </w:rPr>
              <w:t>Mindfulness</w:t>
            </w:r>
          </w:p>
        </w:tc>
        <w:tc>
          <w:tcPr>
            <w:tcW w:w="1377" w:type="dxa"/>
          </w:tcPr>
          <w:p w14:paraId="70B628CB">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.244</w:t>
            </w:r>
            <w:r>
              <w:rPr>
                <w:rFonts w:hint="default" w:ascii="Palatino Linotype" w:hAnsi="Palatino Linotype" w:cs="Palatino Linotype"/>
                <w:sz w:val="18"/>
                <w:szCs w:val="18"/>
                <w:vertAlign w:val="superscript"/>
              </w:rPr>
              <w:t>**</w:t>
            </w:r>
          </w:p>
        </w:tc>
        <w:tc>
          <w:tcPr>
            <w:tcW w:w="1377" w:type="dxa"/>
          </w:tcPr>
          <w:p w14:paraId="4D30AA57">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.319</w:t>
            </w:r>
            <w:r>
              <w:rPr>
                <w:rFonts w:hint="default" w:ascii="Palatino Linotype" w:hAnsi="Palatino Linotype" w:cs="Palatino Linotype"/>
                <w:sz w:val="18"/>
                <w:szCs w:val="18"/>
                <w:vertAlign w:val="superscript"/>
              </w:rPr>
              <w:t>**</w:t>
            </w:r>
          </w:p>
        </w:tc>
        <w:tc>
          <w:tcPr>
            <w:tcW w:w="1377" w:type="dxa"/>
          </w:tcPr>
          <w:p w14:paraId="73AB6E86">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.736</w:t>
            </w:r>
            <w:r>
              <w:rPr>
                <w:rFonts w:hint="default" w:ascii="Palatino Linotype" w:hAnsi="Palatino Linotype" w:cs="Palatino Linotype"/>
                <w:sz w:val="18"/>
                <w:szCs w:val="18"/>
                <w:vertAlign w:val="superscript"/>
              </w:rPr>
              <w:t>**</w:t>
            </w:r>
          </w:p>
        </w:tc>
        <w:tc>
          <w:tcPr>
            <w:tcW w:w="1408" w:type="dxa"/>
          </w:tcPr>
          <w:p w14:paraId="54914A16">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1</w:t>
            </w:r>
          </w:p>
        </w:tc>
        <w:tc>
          <w:tcPr>
            <w:tcW w:w="1378" w:type="dxa"/>
          </w:tcPr>
          <w:p w14:paraId="7B7BA5AE">
            <w:pPr>
              <w:jc w:val="center"/>
              <w:rPr>
                <w:rFonts w:hint="default" w:ascii="Palatino Linotype" w:hAnsi="Palatino Linotype" w:cs="Palatino Linotype"/>
                <w:sz w:val="18"/>
                <w:szCs w:val="18"/>
                <w:vertAlign w:val="baseline"/>
                <w:lang w:val="en-US" w:eastAsia="zh-CN"/>
              </w:rPr>
            </w:pPr>
          </w:p>
        </w:tc>
      </w:tr>
      <w:tr w14:paraId="655A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tcPr>
          <w:p w14:paraId="7624A840">
            <w:pPr>
              <w:jc w:val="center"/>
              <w:rPr>
                <w:rFonts w:hint="default" w:ascii="Palatino Linotype" w:hAnsi="Palatino Linotype" w:cs="Palatino Linotype"/>
                <w:sz w:val="20"/>
                <w:szCs w:val="20"/>
                <w:vertAlign w:val="baseline"/>
                <w:lang w:val="en-US" w:eastAsia="zh-CN"/>
              </w:rPr>
            </w:pPr>
            <w:r>
              <w:rPr>
                <w:rFonts w:hint="default" w:ascii="Palatino Linotype" w:hAnsi="Palatino Linotype" w:cs="Palatino Linotype"/>
                <w:sz w:val="20"/>
                <w:szCs w:val="20"/>
                <w:vertAlign w:val="baseline"/>
                <w:lang w:val="en-US" w:eastAsia="zh-CN"/>
              </w:rPr>
              <w:t>Burnout</w:t>
            </w:r>
          </w:p>
        </w:tc>
        <w:tc>
          <w:tcPr>
            <w:tcW w:w="1377" w:type="dxa"/>
          </w:tcPr>
          <w:p w14:paraId="684EE933">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-.566</w:t>
            </w:r>
            <w:r>
              <w:rPr>
                <w:rFonts w:hint="default" w:ascii="Palatino Linotype" w:hAnsi="Palatino Linotype" w:cs="Palatino Linotype"/>
                <w:sz w:val="18"/>
                <w:szCs w:val="18"/>
                <w:vertAlign w:val="superscript"/>
              </w:rPr>
              <w:t>**</w:t>
            </w:r>
          </w:p>
        </w:tc>
        <w:tc>
          <w:tcPr>
            <w:tcW w:w="1377" w:type="dxa"/>
          </w:tcPr>
          <w:p w14:paraId="44DC1A2C">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-.635</w:t>
            </w:r>
            <w:r>
              <w:rPr>
                <w:rFonts w:hint="default" w:ascii="Palatino Linotype" w:hAnsi="Palatino Linotype" w:cs="Palatino Linotype"/>
                <w:sz w:val="18"/>
                <w:szCs w:val="18"/>
                <w:vertAlign w:val="superscript"/>
              </w:rPr>
              <w:t>**</w:t>
            </w:r>
          </w:p>
        </w:tc>
        <w:tc>
          <w:tcPr>
            <w:tcW w:w="1377" w:type="dxa"/>
          </w:tcPr>
          <w:p w14:paraId="39F7D5D4">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-.506</w:t>
            </w:r>
            <w:r>
              <w:rPr>
                <w:rFonts w:hint="default" w:ascii="Palatino Linotype" w:hAnsi="Palatino Linotype" w:cs="Palatino Linotype"/>
                <w:sz w:val="18"/>
                <w:szCs w:val="18"/>
                <w:vertAlign w:val="superscript"/>
              </w:rPr>
              <w:t>**</w:t>
            </w:r>
          </w:p>
        </w:tc>
        <w:tc>
          <w:tcPr>
            <w:tcW w:w="1408" w:type="dxa"/>
          </w:tcPr>
          <w:p w14:paraId="4C7E1DCC">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rPr>
              <w:t>-.496</w:t>
            </w:r>
            <w:r>
              <w:rPr>
                <w:rFonts w:hint="default" w:ascii="Palatino Linotype" w:hAnsi="Palatino Linotype" w:cs="Palatino Linotype"/>
                <w:sz w:val="18"/>
                <w:szCs w:val="18"/>
                <w:vertAlign w:val="superscript"/>
              </w:rPr>
              <w:t>**</w:t>
            </w:r>
          </w:p>
        </w:tc>
        <w:tc>
          <w:tcPr>
            <w:tcW w:w="1378" w:type="dxa"/>
          </w:tcPr>
          <w:p w14:paraId="272B4F9B">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1</w:t>
            </w:r>
          </w:p>
        </w:tc>
      </w:tr>
      <w:tr w14:paraId="35F3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tcPr>
          <w:p w14:paraId="4C4695B2">
            <w:pPr>
              <w:jc w:val="center"/>
              <w:rPr>
                <w:rFonts w:hint="default" w:ascii="Palatino Linotype" w:hAnsi="Palatino Linotype" w:cs="Palatino Linotype"/>
                <w:sz w:val="20"/>
                <w:szCs w:val="20"/>
                <w:vertAlign w:val="baseline"/>
                <w:lang w:val="en-US" w:eastAsia="zh-CN"/>
              </w:rPr>
            </w:pPr>
            <w:r>
              <w:rPr>
                <w:rFonts w:hint="default" w:ascii="Palatino Linotype" w:hAnsi="Palatino Linotype" w:cs="Palatino Linotype"/>
                <w:i/>
                <w:iCs/>
                <w:sz w:val="20"/>
                <w:szCs w:val="20"/>
                <w:vertAlign w:val="baseline"/>
                <w:lang w:val="en-US" w:eastAsia="zh-CN"/>
              </w:rPr>
              <w:t>M ± SD</w:t>
            </w:r>
          </w:p>
        </w:tc>
        <w:tc>
          <w:tcPr>
            <w:tcW w:w="1377" w:type="dxa"/>
          </w:tcPr>
          <w:p w14:paraId="366CA247">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4.847±1.150</w:t>
            </w:r>
          </w:p>
        </w:tc>
        <w:tc>
          <w:tcPr>
            <w:tcW w:w="1377" w:type="dxa"/>
          </w:tcPr>
          <w:p w14:paraId="49CA3202">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3.556±0.689</w:t>
            </w:r>
          </w:p>
        </w:tc>
        <w:tc>
          <w:tcPr>
            <w:tcW w:w="1377" w:type="dxa"/>
          </w:tcPr>
          <w:p w14:paraId="7F02CEF6">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2.811±0.460</w:t>
            </w:r>
          </w:p>
        </w:tc>
        <w:tc>
          <w:tcPr>
            <w:tcW w:w="1408" w:type="dxa"/>
          </w:tcPr>
          <w:p w14:paraId="3BEB8BA0">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4.432±0.888</w:t>
            </w:r>
          </w:p>
        </w:tc>
        <w:tc>
          <w:tcPr>
            <w:tcW w:w="1378" w:type="dxa"/>
          </w:tcPr>
          <w:p w14:paraId="215FB07E">
            <w:pPr>
              <w:jc w:val="center"/>
              <w:rPr>
                <w:rFonts w:hint="default" w:ascii="Palatino Linotype" w:hAnsi="Palatino Linotype" w:cs="Palatino Linotype"/>
                <w:sz w:val="18"/>
                <w:szCs w:val="18"/>
                <w:vertAlign w:val="baseline"/>
                <w:lang w:val="en-US" w:eastAsia="zh-CN"/>
              </w:rPr>
            </w:pPr>
            <w:r>
              <w:rPr>
                <w:rFonts w:hint="default" w:ascii="Palatino Linotype" w:hAnsi="Palatino Linotype" w:cs="Palatino Linotype"/>
                <w:sz w:val="18"/>
                <w:szCs w:val="18"/>
                <w:vertAlign w:val="baseline"/>
                <w:lang w:val="en-US" w:eastAsia="zh-CN"/>
              </w:rPr>
              <w:t>2.509±0.561</w:t>
            </w:r>
          </w:p>
        </w:tc>
      </w:tr>
    </w:tbl>
    <w:p w14:paraId="10302A45">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eastAsia" w:ascii="Palatino Linotype" w:hAnsi="Palatino Linotype" w:cs="Palatino Linotype"/>
          <w:b w:val="0"/>
          <w:bCs/>
          <w:i w:val="0"/>
          <w:iCs w:val="0"/>
          <w:color w:val="0D0D0D" w:themeColor="text1" w:themeTint="F2"/>
          <w:sz w:val="18"/>
          <w:szCs w:val="18"/>
          <w:lang w:val="en-US" w:eastAsia="zh-CN"/>
          <w14:textFill>
            <w14:solidFill>
              <w14:schemeClr w14:val="tx1">
                <w14:lumMod w14:val="95000"/>
                <w14:lumOff w14:val="5000"/>
              </w14:schemeClr>
            </w14:solidFill>
          </w14:textFill>
        </w:rPr>
      </w:pPr>
      <w:r>
        <w:rPr>
          <w:rFonts w:hint="default" w:ascii="Times New Roman" w:hAnsi="Times New Roman" w:eastAsia="宋体" w:cs="Times New Roman"/>
          <w:b/>
          <w:bCs/>
          <w:sz w:val="21"/>
          <w:szCs w:val="21"/>
          <w:lang w:val="en-US" w:eastAsia="zh-CN"/>
        </w:rPr>
        <w:t xml:space="preserve">Table </w:t>
      </w:r>
      <w:r>
        <w:rPr>
          <w:rFonts w:hint="default" w:ascii="Times New Roman" w:hAnsi="Times New Roman" w:eastAsia="宋体" w:cs="Times New Roman"/>
          <w:b w:val="0"/>
          <w:bCs w:val="0"/>
          <w:sz w:val="21"/>
          <w:szCs w:val="21"/>
          <w:lang w:val="en-US" w:eastAsia="zh-CN"/>
        </w:rPr>
        <w:t>S1</w:t>
      </w:r>
      <w:r>
        <w:rPr>
          <w:rFonts w:hint="default" w:ascii="Times New Roman" w:hAnsi="Times New Roman" w:eastAsia="宋体" w:cs="Times New Roman"/>
          <w:b w:val="0"/>
          <w:bCs w:val="0"/>
          <w:sz w:val="21"/>
          <w:szCs w:val="21"/>
        </w:rPr>
        <w:t>Descriptive and Correlational Results</w:t>
      </w:r>
      <w:r>
        <w:rPr>
          <w:rFonts w:hint="eastAsia" w:ascii="Times New Roman" w:hAnsi="Times New Roman" w:eastAsia="宋体" w:cs="Times New Roman"/>
          <w:b w:val="0"/>
          <w:bCs w:val="0"/>
          <w:sz w:val="21"/>
          <w:szCs w:val="21"/>
          <w:lang w:val="en-US" w:eastAsia="zh-CN"/>
        </w:rPr>
        <w:t xml:space="preserve">. </w:t>
      </w:r>
      <w:r>
        <w:rPr>
          <w:rFonts w:hint="eastAsia" w:ascii="Palatino Linotype" w:hAnsi="Palatino Linotype" w:cs="Palatino Linotype"/>
          <w:b w:val="0"/>
          <w:bCs/>
          <w:i w:val="0"/>
          <w:iCs w:val="0"/>
          <w:color w:val="0D0D0D" w:themeColor="text1" w:themeTint="F2"/>
          <w:sz w:val="18"/>
          <w:szCs w:val="18"/>
          <w:lang w:val="en-US" w:eastAsia="zh-CN"/>
          <w14:textFill>
            <w14:solidFill>
              <w14:schemeClr w14:val="tx1">
                <w14:lumMod w14:val="95000"/>
                <w14:lumOff w14:val="5000"/>
              </w14:schemeClr>
            </w14:solidFill>
          </w14:textFill>
        </w:rPr>
        <w:t>***</w:t>
      </w:r>
      <w:r>
        <w:rPr>
          <w:rFonts w:hint="eastAsia" w:ascii="Palatino Linotype" w:hAnsi="Palatino Linotype" w:cs="Palatino Linotype"/>
          <w:b w:val="0"/>
          <w:bCs/>
          <w:i/>
          <w:iCs/>
          <w:color w:val="0D0D0D" w:themeColor="text1" w:themeTint="F2"/>
          <w:sz w:val="18"/>
          <w:szCs w:val="18"/>
          <w:lang w:val="en-US" w:eastAsia="zh-CN"/>
          <w14:textFill>
            <w14:solidFill>
              <w14:schemeClr w14:val="tx1">
                <w14:lumMod w14:val="95000"/>
                <w14:lumOff w14:val="5000"/>
              </w14:schemeClr>
            </w14:solidFill>
          </w14:textFill>
        </w:rPr>
        <w:t>p</w:t>
      </w:r>
      <w:r>
        <w:rPr>
          <w:rFonts w:hint="eastAsia" w:ascii="Palatino Linotype" w:hAnsi="Palatino Linotype" w:cs="Palatino Linotype"/>
          <w:b w:val="0"/>
          <w:bCs/>
          <w:i w:val="0"/>
          <w:iCs w:val="0"/>
          <w:color w:val="0D0D0D" w:themeColor="text1" w:themeTint="F2"/>
          <w:sz w:val="18"/>
          <w:szCs w:val="18"/>
          <w:lang w:val="en-US" w:eastAsia="zh-CN"/>
          <w14:textFill>
            <w14:solidFill>
              <w14:schemeClr w14:val="tx1">
                <w14:lumMod w14:val="95000"/>
                <w14:lumOff w14:val="5000"/>
              </w14:schemeClr>
            </w14:solidFill>
          </w14:textFill>
        </w:rPr>
        <w:t xml:space="preserve"> &lt; 0.001, **</w:t>
      </w:r>
      <w:r>
        <w:rPr>
          <w:rFonts w:hint="eastAsia" w:ascii="Palatino Linotype" w:hAnsi="Palatino Linotype" w:cs="Palatino Linotype"/>
          <w:b w:val="0"/>
          <w:bCs/>
          <w:i/>
          <w:iCs/>
          <w:color w:val="0D0D0D" w:themeColor="text1" w:themeTint="F2"/>
          <w:sz w:val="18"/>
          <w:szCs w:val="18"/>
          <w:lang w:val="en-US" w:eastAsia="zh-CN"/>
          <w14:textFill>
            <w14:solidFill>
              <w14:schemeClr w14:val="tx1">
                <w14:lumMod w14:val="95000"/>
                <w14:lumOff w14:val="5000"/>
              </w14:schemeClr>
            </w14:solidFill>
          </w14:textFill>
        </w:rPr>
        <w:t xml:space="preserve">p </w:t>
      </w:r>
      <w:r>
        <w:rPr>
          <w:rFonts w:hint="eastAsia" w:ascii="Palatino Linotype" w:hAnsi="Palatino Linotype" w:cs="Palatino Linotype"/>
          <w:b w:val="0"/>
          <w:bCs/>
          <w:i w:val="0"/>
          <w:iCs w:val="0"/>
          <w:color w:val="0D0D0D" w:themeColor="text1" w:themeTint="F2"/>
          <w:sz w:val="18"/>
          <w:szCs w:val="18"/>
          <w:lang w:val="en-US" w:eastAsia="zh-CN"/>
          <w14:textFill>
            <w14:solidFill>
              <w14:schemeClr w14:val="tx1">
                <w14:lumMod w14:val="95000"/>
                <w14:lumOff w14:val="5000"/>
              </w14:schemeClr>
            </w14:solidFill>
          </w14:textFill>
        </w:rPr>
        <w:t>&lt; 0.01,*</w:t>
      </w:r>
      <w:r>
        <w:rPr>
          <w:rFonts w:hint="eastAsia" w:ascii="Palatino Linotype" w:hAnsi="Palatino Linotype" w:cs="Palatino Linotype"/>
          <w:b w:val="0"/>
          <w:bCs/>
          <w:i/>
          <w:iCs/>
          <w:color w:val="0D0D0D" w:themeColor="text1" w:themeTint="F2"/>
          <w:sz w:val="18"/>
          <w:szCs w:val="18"/>
          <w:lang w:val="en-US" w:eastAsia="zh-CN"/>
          <w14:textFill>
            <w14:solidFill>
              <w14:schemeClr w14:val="tx1">
                <w14:lumMod w14:val="95000"/>
                <w14:lumOff w14:val="5000"/>
              </w14:schemeClr>
            </w14:solidFill>
          </w14:textFill>
        </w:rPr>
        <w:t>p</w:t>
      </w:r>
      <w:r>
        <w:rPr>
          <w:rFonts w:hint="eastAsia" w:ascii="Palatino Linotype" w:hAnsi="Palatino Linotype" w:cs="Palatino Linotype"/>
          <w:b w:val="0"/>
          <w:bCs/>
          <w:i w:val="0"/>
          <w:iCs w:val="0"/>
          <w:color w:val="0D0D0D" w:themeColor="text1" w:themeTint="F2"/>
          <w:sz w:val="18"/>
          <w:szCs w:val="18"/>
          <w:lang w:val="en-US" w:eastAsia="zh-CN"/>
          <w14:textFill>
            <w14:solidFill>
              <w14:schemeClr w14:val="tx1">
                <w14:lumMod w14:val="95000"/>
                <w14:lumOff w14:val="5000"/>
              </w14:schemeClr>
            </w14:solidFill>
          </w14:textFill>
        </w:rPr>
        <w:t xml:space="preserve"> &lt; 0.05. PS-psychological safety; POS-perceived organizational support; DA-deep acting.</w:t>
      </w:r>
    </w:p>
    <w:p w14:paraId="1E875B43">
      <w:pPr>
        <w:rPr>
          <w:rFonts w:hint="eastAsia" w:ascii="Palatino Linotype" w:hAnsi="Palatino Linotype" w:cs="Palatino Linotype"/>
          <w:b w:val="0"/>
          <w:bCs/>
          <w:i/>
          <w:iCs/>
          <w:color w:val="FF0000"/>
          <w:sz w:val="18"/>
          <w:szCs w:val="18"/>
          <w:lang w:val="en-US" w:eastAsia="zh-CN"/>
        </w:rPr>
      </w:pPr>
    </w:p>
    <w:p w14:paraId="62A107DC">
      <w:pPr>
        <w:jc w:val="left"/>
        <w:rPr>
          <w:rFonts w:hint="default" w:ascii="Palatino Linotype" w:hAnsi="Palatino Linotype" w:cs="Palatino Linotype"/>
          <w:b/>
          <w:bCs/>
          <w:color w:val="auto"/>
          <w:sz w:val="22"/>
          <w:szCs w:val="28"/>
        </w:rPr>
      </w:pPr>
      <w:r>
        <w:rPr>
          <w:rFonts w:hint="eastAsia" w:ascii="Palatino Linotype" w:hAnsi="Palatino Linotype" w:cs="Palatino Linotype"/>
          <w:b/>
          <w:bCs/>
          <w:color w:val="auto"/>
          <w:sz w:val="22"/>
          <w:szCs w:val="28"/>
          <w:lang w:val="en-US" w:eastAsia="zh-CN"/>
        </w:rPr>
        <w:t>R</w:t>
      </w:r>
      <w:r>
        <w:rPr>
          <w:rFonts w:hint="default" w:ascii="Palatino Linotype" w:hAnsi="Palatino Linotype" w:cs="Palatino Linotype"/>
          <w:b/>
          <w:bCs/>
          <w:color w:val="auto"/>
          <w:sz w:val="22"/>
          <w:szCs w:val="28"/>
        </w:rPr>
        <w:t>eferences</w:t>
      </w:r>
    </w:p>
    <w:p w14:paraId="74D1AD44">
      <w:pPr>
        <w:rPr>
          <w:rFonts w:hint="default" w:ascii="Times New Roman" w:hAnsi="Times New Roman" w:cs="Times New Roman"/>
          <w:b w:val="0"/>
          <w:bCs/>
          <w:i/>
          <w:iCs/>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hAnsi="Times New Roman" w:eastAsia="宋体" w:cs="Times New Roman"/>
          <w:sz w:val="21"/>
          <w:szCs w:val="21"/>
        </w:rPr>
        <w:t xml:space="preserve">Williams, L. J. &amp; McGonagle, A. K. Four research designs and a comprehensive analysis strategy for investigating common method variance with self-report measures using latent variables. </w:t>
      </w:r>
      <w:r>
        <w:rPr>
          <w:rStyle w:val="6"/>
          <w:rFonts w:hint="default" w:ascii="Times New Roman" w:hAnsi="Times New Roman" w:eastAsia="宋体" w:cs="Times New Roman"/>
          <w:sz w:val="21"/>
          <w:szCs w:val="21"/>
        </w:rPr>
        <w:t>J. Bus. Psychol.</w:t>
      </w:r>
      <w:r>
        <w:rPr>
          <w:rFonts w:hint="default" w:ascii="Times New Roman" w:hAnsi="Times New Roman" w:eastAsia="宋体" w:cs="Times New Roman"/>
          <w:sz w:val="21"/>
          <w:szCs w:val="21"/>
        </w:rPr>
        <w:t xml:space="preserve"> </w:t>
      </w:r>
      <w:r>
        <w:rPr>
          <w:rStyle w:val="5"/>
          <w:rFonts w:hint="default" w:ascii="Times New Roman" w:hAnsi="Times New Roman" w:eastAsia="宋体" w:cs="Times New Roman"/>
          <w:sz w:val="21"/>
          <w:szCs w:val="21"/>
        </w:rPr>
        <w:t>31</w:t>
      </w:r>
      <w:r>
        <w:rPr>
          <w:rFonts w:hint="default" w:ascii="Times New Roman" w:hAnsi="Times New Roman" w:eastAsia="宋体" w:cs="Times New Roman"/>
          <w:sz w:val="21"/>
          <w:szCs w:val="21"/>
        </w:rPr>
        <w:t xml:space="preserve">, 339–359 (2016). </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"https://doi.org/10.1007/s10869-015-9422-9" \t "_new" </w:instrText>
      </w:r>
      <w:r>
        <w:rPr>
          <w:rFonts w:hint="default" w:ascii="Times New Roman" w:hAnsi="Times New Roman" w:eastAsia="宋体" w:cs="Times New Roman"/>
          <w:sz w:val="21"/>
          <w:szCs w:val="21"/>
        </w:rPr>
        <w:fldChar w:fldCharType="separate"/>
      </w:r>
      <w:r>
        <w:rPr>
          <w:rStyle w:val="7"/>
          <w:rFonts w:hint="default" w:ascii="Times New Roman" w:hAnsi="Times New Roman" w:eastAsia="宋体" w:cs="Times New Roman"/>
          <w:sz w:val="21"/>
          <w:szCs w:val="21"/>
        </w:rPr>
        <w:t>https://doi.org/10.1007/s10869-015-9422-9</w:t>
      </w:r>
      <w:r>
        <w:rPr>
          <w:rFonts w:hint="default" w:ascii="Times New Roman" w:hAnsi="Times New Roman" w:eastAsia="宋体" w:cs="Times New Roman"/>
          <w:sz w:val="21"/>
          <w:szCs w:val="21"/>
        </w:rPr>
        <w:fldChar w:fldCharType="end"/>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TFjZTU2ZWU4MGY1MzRkODIxYzc4Y2QwZTQ0MDQifQ=="/>
  </w:docVars>
  <w:rsids>
    <w:rsidRoot w:val="00172A27"/>
    <w:rsid w:val="0B5D7BAD"/>
    <w:rsid w:val="0E8B11D7"/>
    <w:rsid w:val="0F175673"/>
    <w:rsid w:val="2CBC3D22"/>
    <w:rsid w:val="34747A05"/>
    <w:rsid w:val="60293084"/>
    <w:rsid w:val="60BA32DE"/>
    <w:rsid w:val="69B71871"/>
    <w:rsid w:val="7DE8281F"/>
    <w:rsid w:val="7EB1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1478</Characters>
  <Lines>0</Lines>
  <Paragraphs>0</Paragraphs>
  <TotalTime>5</TotalTime>
  <ScaleCrop>false</ScaleCrop>
  <LinksUpToDate>false</LinksUpToDate>
  <CharactersWithSpaces>1699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2024-09-28T23:44:00Z</dcterms:created>
  <dc:creator>WPS_1683180453</dc:creator>
  <cp:lastModifiedBy>秋日私语</cp:lastModifiedBy>
  <dcterms:modified xsi:type="dcterms:W3CDTF">2024-11-16T10:39:17Z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0143D87AF787429DBB998F4C750A7E8E_13</vt:lpwstr>
  </property>
</Properties>
</file>