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B18453" w14:textId="17A91FFC" w:rsidR="003D11D4" w:rsidRDefault="00C0713D">
      <w:pPr>
        <w:rPr>
          <w:rFonts w:ascii="Avenir Next" w:hAnsi="Avenir Next"/>
          <w:b/>
          <w:bCs/>
        </w:rPr>
      </w:pPr>
      <w:r w:rsidRPr="00C0713D">
        <w:rPr>
          <w:rFonts w:ascii="Avenir Next" w:hAnsi="Avenir Next"/>
          <w:b/>
          <w:bCs/>
        </w:rPr>
        <w:t>Supplementary Information</w:t>
      </w:r>
    </w:p>
    <w:p w14:paraId="55CC4B7D" w14:textId="77777777" w:rsidR="00C0713D" w:rsidRDefault="00C0713D">
      <w:pPr>
        <w:rPr>
          <w:rFonts w:ascii="Avenir Next" w:hAnsi="Avenir Next"/>
          <w:b/>
          <w:bCs/>
        </w:rPr>
      </w:pPr>
    </w:p>
    <w:p w14:paraId="0C169E1F" w14:textId="77777777" w:rsidR="00C0713D" w:rsidRPr="003F0CB9" w:rsidRDefault="00C0713D" w:rsidP="00C0713D">
      <w:pPr>
        <w:rPr>
          <w:rFonts w:ascii="Avenir Next" w:hAnsi="Avenir Next"/>
          <w:color w:val="000000" w:themeColor="text1"/>
        </w:rPr>
      </w:pPr>
      <w:r w:rsidRPr="003F0CB9">
        <w:rPr>
          <w:rFonts w:ascii="Avenir Next" w:hAnsi="Avenir Next"/>
          <w:color w:val="000000" w:themeColor="text1"/>
        </w:rPr>
        <w:t>Table 1.</w:t>
      </w:r>
      <w:r w:rsidRPr="003F0CB9">
        <w:rPr>
          <w:rFonts w:ascii="Avenir Next" w:hAnsi="Avenir Next"/>
          <w:color w:val="000000" w:themeColor="text1"/>
        </w:rPr>
        <w:tab/>
        <w:t>Studies included in PopPK analysis</w:t>
      </w:r>
      <w:r>
        <w:rPr>
          <w:rFonts w:ascii="Avenir Next" w:hAnsi="Avenir Next"/>
          <w:color w:val="000000" w:themeColor="text1"/>
        </w:rPr>
        <w:t>.</w:t>
      </w:r>
    </w:p>
    <w:p w14:paraId="5ABCC2EF" w14:textId="77777777" w:rsidR="00C0713D" w:rsidRPr="003F0CB9" w:rsidRDefault="00C0713D" w:rsidP="00C0713D">
      <w:pPr>
        <w:rPr>
          <w:rFonts w:ascii="Avenir Next" w:hAnsi="Avenir Next"/>
          <w:b/>
          <w:bCs/>
          <w:color w:val="000000" w:themeColor="text1"/>
        </w:rPr>
      </w:pPr>
    </w:p>
    <w:tbl>
      <w:tblPr>
        <w:tblStyle w:val="TableGrid"/>
        <w:tblW w:w="9568" w:type="dxa"/>
        <w:tblInd w:w="-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60"/>
        <w:gridCol w:w="2340"/>
        <w:gridCol w:w="1440"/>
        <w:gridCol w:w="3240"/>
        <w:gridCol w:w="1288"/>
      </w:tblGrid>
      <w:tr w:rsidR="00C0713D" w:rsidRPr="00CA26B1" w14:paraId="1935F9AE" w14:textId="77777777" w:rsidTr="003C12EE">
        <w:trPr>
          <w:tblHeader/>
        </w:trPr>
        <w:tc>
          <w:tcPr>
            <w:tcW w:w="1260" w:type="dxa"/>
            <w:vAlign w:val="bottom"/>
          </w:tcPr>
          <w:p w14:paraId="168F2318" w14:textId="77777777" w:rsidR="00C0713D" w:rsidRPr="00940C4B" w:rsidRDefault="00C0713D" w:rsidP="003C12EE">
            <w:pPr>
              <w:pStyle w:val="GlobalSubmitTableHeading"/>
              <w:jc w:val="center"/>
              <w:rPr>
                <w:rFonts w:ascii="Avenir Next" w:hAnsi="Avenir Next"/>
                <w:b w:val="0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Study Number</w:t>
            </w:r>
          </w:p>
        </w:tc>
        <w:tc>
          <w:tcPr>
            <w:tcW w:w="2340" w:type="dxa"/>
            <w:vAlign w:val="bottom"/>
          </w:tcPr>
          <w:p w14:paraId="0C420226" w14:textId="77777777" w:rsidR="00C0713D" w:rsidRPr="00940C4B" w:rsidRDefault="00C0713D" w:rsidP="003C12EE">
            <w:pPr>
              <w:pStyle w:val="GlobalSubmitTableHeading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Study Design, Objective, Population</w:t>
            </w:r>
          </w:p>
        </w:tc>
        <w:tc>
          <w:tcPr>
            <w:tcW w:w="1440" w:type="dxa"/>
            <w:vAlign w:val="bottom"/>
          </w:tcPr>
          <w:p w14:paraId="5B5928A5" w14:textId="77777777" w:rsidR="00C0713D" w:rsidRPr="00940C4B" w:rsidRDefault="00C0713D" w:rsidP="003C12EE">
            <w:pPr>
              <w:pStyle w:val="GlobalSubmitTableHeading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Number enrolled/</w:t>
            </w:r>
          </w:p>
          <w:p w14:paraId="06792EAB" w14:textId="77777777" w:rsidR="00C0713D" w:rsidRPr="00940C4B" w:rsidRDefault="00C0713D" w:rsidP="003C12EE">
            <w:pPr>
              <w:pStyle w:val="GlobalSubmitTableHeading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Number Completed</w:t>
            </w:r>
          </w:p>
        </w:tc>
        <w:tc>
          <w:tcPr>
            <w:tcW w:w="3240" w:type="dxa"/>
            <w:vAlign w:val="bottom"/>
          </w:tcPr>
          <w:p w14:paraId="71FFF8BC" w14:textId="77777777" w:rsidR="00C0713D" w:rsidRPr="00940C4B" w:rsidRDefault="00C0713D" w:rsidP="003C12EE">
            <w:pPr>
              <w:pStyle w:val="GlobalSubmitTableHeading"/>
              <w:jc w:val="center"/>
              <w:rPr>
                <w:rFonts w:ascii="Avenir Next" w:hAnsi="Avenir Next"/>
                <w:b w:val="0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Dose and Regimen</w:t>
            </w:r>
          </w:p>
        </w:tc>
        <w:tc>
          <w:tcPr>
            <w:tcW w:w="1288" w:type="dxa"/>
            <w:vAlign w:val="bottom"/>
          </w:tcPr>
          <w:p w14:paraId="03F6415B" w14:textId="77777777" w:rsidR="00C0713D" w:rsidRPr="00940C4B" w:rsidRDefault="00C0713D" w:rsidP="003C12EE">
            <w:pPr>
              <w:pStyle w:val="GlobalSubmitTableHeading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Prandial State</w:t>
            </w:r>
          </w:p>
        </w:tc>
      </w:tr>
      <w:tr w:rsidR="00C0713D" w:rsidRPr="00CA26B1" w14:paraId="28C1D37A" w14:textId="77777777" w:rsidTr="003C12EE">
        <w:trPr>
          <w:trHeight w:val="300"/>
        </w:trPr>
        <w:tc>
          <w:tcPr>
            <w:tcW w:w="9568" w:type="dxa"/>
            <w:gridSpan w:val="5"/>
            <w:vAlign w:val="center"/>
          </w:tcPr>
          <w:p w14:paraId="46B855D6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b/>
                <w:bCs/>
                <w:color w:val="000000" w:themeColor="text1"/>
              </w:rPr>
            </w:pPr>
            <w:r w:rsidRPr="00940C4B">
              <w:rPr>
                <w:rFonts w:ascii="Avenir Next" w:hAnsi="Avenir Next"/>
                <w:b/>
                <w:bCs/>
                <w:color w:val="000000" w:themeColor="text1"/>
              </w:rPr>
              <w:t>Primary analysis</w:t>
            </w:r>
          </w:p>
        </w:tc>
      </w:tr>
      <w:tr w:rsidR="00C0713D" w:rsidRPr="00CA26B1" w14:paraId="5DD72101" w14:textId="77777777" w:rsidTr="003C12EE">
        <w:trPr>
          <w:trHeight w:val="300"/>
        </w:trPr>
        <w:tc>
          <w:tcPr>
            <w:tcW w:w="1260" w:type="dxa"/>
            <w:vAlign w:val="center"/>
          </w:tcPr>
          <w:p w14:paraId="2EDAB5E7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033-18</w:t>
            </w:r>
          </w:p>
        </w:tc>
        <w:tc>
          <w:tcPr>
            <w:tcW w:w="2340" w:type="dxa"/>
            <w:vAlign w:val="center"/>
          </w:tcPr>
          <w:p w14:paraId="17813CCE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Three-way cross-over; Relative BA; Healthy male subjects</w:t>
            </w:r>
          </w:p>
        </w:tc>
        <w:tc>
          <w:tcPr>
            <w:tcW w:w="1440" w:type="dxa"/>
            <w:vAlign w:val="center"/>
          </w:tcPr>
          <w:p w14:paraId="5406752A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18</w:t>
            </w:r>
            <w:r>
              <w:rPr>
                <w:rFonts w:ascii="Avenir Next" w:hAnsi="Avenir Next"/>
                <w:color w:val="000000" w:themeColor="text1"/>
              </w:rPr>
              <w:t>/16</w:t>
            </w:r>
          </w:p>
        </w:tc>
        <w:tc>
          <w:tcPr>
            <w:tcW w:w="3240" w:type="dxa"/>
            <w:vAlign w:val="center"/>
          </w:tcPr>
          <w:p w14:paraId="16C9AD4B" w14:textId="01B0DED1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50 mg nilotinib tablets vs. 50 mg capsule</w:t>
            </w:r>
            <w:r>
              <w:rPr>
                <w:rFonts w:ascii="Avenir Next" w:hAnsi="Avenir Next"/>
                <w:color w:val="000000" w:themeColor="text1"/>
              </w:rPr>
              <w:t>s</w:t>
            </w:r>
            <w:r w:rsidRPr="00940C4B">
              <w:rPr>
                <w:rFonts w:ascii="Avenir Next" w:hAnsi="Avenir Next"/>
                <w:color w:val="000000" w:themeColor="text1"/>
              </w:rPr>
              <w:t>, single dose</w:t>
            </w:r>
          </w:p>
        </w:tc>
        <w:tc>
          <w:tcPr>
            <w:tcW w:w="1288" w:type="dxa"/>
            <w:vAlign w:val="center"/>
          </w:tcPr>
          <w:p w14:paraId="5209D256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Fasted/ Fed</w:t>
            </w:r>
          </w:p>
        </w:tc>
      </w:tr>
      <w:tr w:rsidR="00C0713D" w:rsidRPr="00CA26B1" w14:paraId="51404AF3" w14:textId="77777777" w:rsidTr="003C12EE">
        <w:trPr>
          <w:trHeight w:val="300"/>
        </w:trPr>
        <w:tc>
          <w:tcPr>
            <w:tcW w:w="1260" w:type="dxa"/>
            <w:vAlign w:val="center"/>
          </w:tcPr>
          <w:p w14:paraId="211A158E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075-20</w:t>
            </w:r>
          </w:p>
        </w:tc>
        <w:tc>
          <w:tcPr>
            <w:tcW w:w="2340" w:type="dxa"/>
            <w:vAlign w:val="center"/>
          </w:tcPr>
          <w:p w14:paraId="00B9BB89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Three-way cross-over; Relative BA; Healthy male subjects</w:t>
            </w:r>
          </w:p>
        </w:tc>
        <w:tc>
          <w:tcPr>
            <w:tcW w:w="1440" w:type="dxa"/>
            <w:vAlign w:val="center"/>
          </w:tcPr>
          <w:p w14:paraId="705C2D2A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30</w:t>
            </w:r>
            <w:r>
              <w:rPr>
                <w:rFonts w:ascii="Avenir Next" w:hAnsi="Avenir Next"/>
                <w:color w:val="000000" w:themeColor="text1"/>
              </w:rPr>
              <w:t>/26</w:t>
            </w:r>
          </w:p>
        </w:tc>
        <w:tc>
          <w:tcPr>
            <w:tcW w:w="3240" w:type="dxa"/>
            <w:vAlign w:val="center"/>
          </w:tcPr>
          <w:p w14:paraId="1B3D9F85" w14:textId="7960A029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300 mg (2 x 150 mg) nilotinib tablets vs. 400 mg (2 x 200 mg)</w:t>
            </w:r>
            <w:r>
              <w:rPr>
                <w:rFonts w:ascii="Avenir Next" w:hAnsi="Avenir Next"/>
                <w:color w:val="000000" w:themeColor="text1"/>
              </w:rPr>
              <w:t xml:space="preserve"> </w:t>
            </w:r>
            <w:r w:rsidRPr="00940C4B">
              <w:rPr>
                <w:rFonts w:ascii="Avenir Next" w:hAnsi="Avenir Next"/>
                <w:color w:val="000000" w:themeColor="text1"/>
              </w:rPr>
              <w:t>capsules, single dose</w:t>
            </w:r>
          </w:p>
        </w:tc>
        <w:tc>
          <w:tcPr>
            <w:tcW w:w="1288" w:type="dxa"/>
          </w:tcPr>
          <w:p w14:paraId="261D688A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Fasted/ Fed</w:t>
            </w:r>
          </w:p>
        </w:tc>
      </w:tr>
      <w:tr w:rsidR="00C0713D" w:rsidRPr="00CA26B1" w14:paraId="1E03DD4A" w14:textId="77777777" w:rsidTr="003C12EE">
        <w:trPr>
          <w:trHeight w:val="300"/>
        </w:trPr>
        <w:tc>
          <w:tcPr>
            <w:tcW w:w="1260" w:type="dxa"/>
            <w:vAlign w:val="center"/>
          </w:tcPr>
          <w:p w14:paraId="2A883DCC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032-21</w:t>
            </w:r>
          </w:p>
        </w:tc>
        <w:tc>
          <w:tcPr>
            <w:tcW w:w="2340" w:type="dxa"/>
            <w:vAlign w:val="center"/>
          </w:tcPr>
          <w:p w14:paraId="47B775B4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Three-way cross-over; Relative BA; Healthy male subjects</w:t>
            </w:r>
          </w:p>
        </w:tc>
        <w:tc>
          <w:tcPr>
            <w:tcW w:w="1440" w:type="dxa"/>
            <w:vAlign w:val="center"/>
          </w:tcPr>
          <w:p w14:paraId="642B55E0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30</w:t>
            </w:r>
            <w:r>
              <w:rPr>
                <w:rFonts w:ascii="Avenir Next" w:hAnsi="Avenir Next"/>
                <w:color w:val="000000" w:themeColor="text1"/>
              </w:rPr>
              <w:t>/27</w:t>
            </w:r>
          </w:p>
        </w:tc>
        <w:tc>
          <w:tcPr>
            <w:tcW w:w="3240" w:type="dxa"/>
            <w:vAlign w:val="center"/>
          </w:tcPr>
          <w:p w14:paraId="6D8A6A42" w14:textId="0AED337F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 xml:space="preserve">240 mg (2 x 120 mg) </w:t>
            </w:r>
            <w:proofErr w:type="gramStart"/>
            <w:r w:rsidRPr="00940C4B">
              <w:rPr>
                <w:rFonts w:ascii="Avenir Next" w:hAnsi="Avenir Next"/>
                <w:color w:val="000000" w:themeColor="text1"/>
              </w:rPr>
              <w:t>nilotinib</w:t>
            </w:r>
            <w:proofErr w:type="gramEnd"/>
            <w:r w:rsidRPr="00940C4B">
              <w:rPr>
                <w:rFonts w:ascii="Avenir Next" w:hAnsi="Avenir Next"/>
                <w:color w:val="000000" w:themeColor="text1"/>
              </w:rPr>
              <w:t xml:space="preserve"> tablets vs. 400 mg (2 x 200 mg) capsules, single dose</w:t>
            </w:r>
          </w:p>
        </w:tc>
        <w:tc>
          <w:tcPr>
            <w:tcW w:w="1288" w:type="dxa"/>
          </w:tcPr>
          <w:p w14:paraId="721B57CA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Fasted/ Fed</w:t>
            </w:r>
          </w:p>
        </w:tc>
      </w:tr>
      <w:tr w:rsidR="00C0713D" w:rsidRPr="00CA26B1" w14:paraId="17711315" w14:textId="77777777" w:rsidTr="003C12EE">
        <w:trPr>
          <w:trHeight w:val="300"/>
        </w:trPr>
        <w:tc>
          <w:tcPr>
            <w:tcW w:w="1260" w:type="dxa"/>
            <w:vAlign w:val="center"/>
          </w:tcPr>
          <w:p w14:paraId="154D31EF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108-21</w:t>
            </w:r>
          </w:p>
        </w:tc>
        <w:tc>
          <w:tcPr>
            <w:tcW w:w="2340" w:type="dxa"/>
            <w:vAlign w:val="center"/>
          </w:tcPr>
          <w:p w14:paraId="4D814D54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Two-way cross-over; Relative BA; Healthy male subjects</w:t>
            </w:r>
          </w:p>
        </w:tc>
        <w:tc>
          <w:tcPr>
            <w:tcW w:w="1440" w:type="dxa"/>
            <w:vAlign w:val="center"/>
          </w:tcPr>
          <w:p w14:paraId="74806F7F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16</w:t>
            </w:r>
            <w:r>
              <w:rPr>
                <w:rFonts w:ascii="Avenir Next" w:hAnsi="Avenir Next"/>
                <w:color w:val="000000" w:themeColor="text1"/>
              </w:rPr>
              <w:t>/16</w:t>
            </w:r>
          </w:p>
        </w:tc>
        <w:tc>
          <w:tcPr>
            <w:tcW w:w="3240" w:type="dxa"/>
            <w:vAlign w:val="center"/>
          </w:tcPr>
          <w:p w14:paraId="7E424F1F" w14:textId="48DD3713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 xml:space="preserve">240 mg (2 x 120 mg) </w:t>
            </w:r>
            <w:proofErr w:type="gramStart"/>
            <w:r w:rsidRPr="00940C4B">
              <w:rPr>
                <w:rFonts w:ascii="Avenir Next" w:hAnsi="Avenir Next"/>
                <w:color w:val="000000" w:themeColor="text1"/>
              </w:rPr>
              <w:t>nilotinib</w:t>
            </w:r>
            <w:proofErr w:type="gramEnd"/>
            <w:r w:rsidRPr="00940C4B">
              <w:rPr>
                <w:rFonts w:ascii="Avenir Next" w:hAnsi="Avenir Next"/>
                <w:color w:val="000000" w:themeColor="text1"/>
              </w:rPr>
              <w:t xml:space="preserve"> tablets vs. 400 mg (2 x 200 mg) capsules, single dose</w:t>
            </w:r>
          </w:p>
        </w:tc>
        <w:tc>
          <w:tcPr>
            <w:tcW w:w="1288" w:type="dxa"/>
            <w:vAlign w:val="center"/>
          </w:tcPr>
          <w:p w14:paraId="50E25F5B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</w:t>
            </w:r>
          </w:p>
        </w:tc>
      </w:tr>
      <w:tr w:rsidR="00C0713D" w:rsidRPr="00CA26B1" w14:paraId="15050D40" w14:textId="77777777" w:rsidTr="003C12EE">
        <w:trPr>
          <w:trHeight w:val="300"/>
        </w:trPr>
        <w:tc>
          <w:tcPr>
            <w:tcW w:w="1260" w:type="dxa"/>
            <w:vAlign w:val="center"/>
          </w:tcPr>
          <w:p w14:paraId="67F5CB1E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109-21</w:t>
            </w:r>
          </w:p>
        </w:tc>
        <w:tc>
          <w:tcPr>
            <w:tcW w:w="2340" w:type="dxa"/>
            <w:vAlign w:val="center"/>
          </w:tcPr>
          <w:p w14:paraId="5B7E2A78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Two-way cross-over; Relative BA; Healthy male subjects</w:t>
            </w:r>
          </w:p>
        </w:tc>
        <w:tc>
          <w:tcPr>
            <w:tcW w:w="1440" w:type="dxa"/>
            <w:vAlign w:val="center"/>
          </w:tcPr>
          <w:p w14:paraId="12301F01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16</w:t>
            </w:r>
            <w:r>
              <w:rPr>
                <w:rFonts w:ascii="Avenir Next" w:hAnsi="Avenir Next"/>
                <w:color w:val="000000" w:themeColor="text1"/>
              </w:rPr>
              <w:t>/12</w:t>
            </w:r>
          </w:p>
        </w:tc>
        <w:tc>
          <w:tcPr>
            <w:tcW w:w="3240" w:type="dxa"/>
            <w:vAlign w:val="center"/>
          </w:tcPr>
          <w:p w14:paraId="5B2221EF" w14:textId="6996A69F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120 mg nilotinib tablets vs. 200 mg capsule</w:t>
            </w:r>
            <w:r>
              <w:rPr>
                <w:rFonts w:ascii="Avenir Next" w:hAnsi="Avenir Next"/>
                <w:color w:val="000000" w:themeColor="text1"/>
              </w:rPr>
              <w:t>s</w:t>
            </w:r>
            <w:r w:rsidRPr="00940C4B">
              <w:rPr>
                <w:rFonts w:ascii="Avenir Next" w:hAnsi="Avenir Next"/>
                <w:color w:val="000000" w:themeColor="text1"/>
              </w:rPr>
              <w:t>, single dose</w:t>
            </w:r>
          </w:p>
        </w:tc>
        <w:tc>
          <w:tcPr>
            <w:tcW w:w="1288" w:type="dxa"/>
            <w:vAlign w:val="center"/>
          </w:tcPr>
          <w:p w14:paraId="477CACFC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</w:t>
            </w:r>
          </w:p>
        </w:tc>
      </w:tr>
      <w:tr w:rsidR="00C0713D" w:rsidRPr="00CA26B1" w14:paraId="128CAA19" w14:textId="77777777" w:rsidTr="003C12EE">
        <w:tc>
          <w:tcPr>
            <w:tcW w:w="1260" w:type="dxa"/>
            <w:vAlign w:val="center"/>
          </w:tcPr>
          <w:p w14:paraId="7DDA1196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135-21</w:t>
            </w:r>
          </w:p>
        </w:tc>
        <w:tc>
          <w:tcPr>
            <w:tcW w:w="2340" w:type="dxa"/>
            <w:vAlign w:val="center"/>
          </w:tcPr>
          <w:p w14:paraId="31E19051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Two-way cross-over; Relative BA; Healthy male subjects</w:t>
            </w:r>
          </w:p>
        </w:tc>
        <w:tc>
          <w:tcPr>
            <w:tcW w:w="1440" w:type="dxa"/>
            <w:vAlign w:val="center"/>
          </w:tcPr>
          <w:p w14:paraId="356A51C3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16</w:t>
            </w:r>
            <w:r>
              <w:rPr>
                <w:rFonts w:ascii="Avenir Next" w:hAnsi="Avenir Next"/>
                <w:color w:val="000000" w:themeColor="text1"/>
              </w:rPr>
              <w:t>/16</w:t>
            </w:r>
          </w:p>
        </w:tc>
        <w:tc>
          <w:tcPr>
            <w:tcW w:w="3240" w:type="dxa"/>
            <w:vAlign w:val="center"/>
          </w:tcPr>
          <w:p w14:paraId="4ACF739D" w14:textId="53830FFB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180 mg (2 x 90 mg) nilotinib tablets vs. 300 mg (2 x 150 mg) capsules, single dose</w:t>
            </w:r>
          </w:p>
        </w:tc>
        <w:tc>
          <w:tcPr>
            <w:tcW w:w="1288" w:type="dxa"/>
            <w:vAlign w:val="center"/>
          </w:tcPr>
          <w:p w14:paraId="13933CB5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</w:t>
            </w:r>
          </w:p>
        </w:tc>
      </w:tr>
      <w:tr w:rsidR="00C0713D" w:rsidRPr="00CA26B1" w14:paraId="31565B68" w14:textId="77777777" w:rsidTr="003C12EE">
        <w:tc>
          <w:tcPr>
            <w:tcW w:w="1260" w:type="dxa"/>
            <w:vAlign w:val="center"/>
          </w:tcPr>
          <w:p w14:paraId="3966395B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136-21</w:t>
            </w:r>
          </w:p>
        </w:tc>
        <w:tc>
          <w:tcPr>
            <w:tcW w:w="2340" w:type="dxa"/>
            <w:vAlign w:val="center"/>
          </w:tcPr>
          <w:p w14:paraId="21B31B59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Two-way cross-over; Relative BA; Healthy male subjects</w:t>
            </w:r>
          </w:p>
        </w:tc>
        <w:tc>
          <w:tcPr>
            <w:tcW w:w="1440" w:type="dxa"/>
            <w:vAlign w:val="center"/>
          </w:tcPr>
          <w:p w14:paraId="6F2CDD27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16</w:t>
            </w:r>
            <w:r>
              <w:rPr>
                <w:rFonts w:ascii="Avenir Next" w:hAnsi="Avenir Next"/>
                <w:color w:val="000000" w:themeColor="text1"/>
              </w:rPr>
              <w:t>/14</w:t>
            </w:r>
          </w:p>
        </w:tc>
        <w:tc>
          <w:tcPr>
            <w:tcW w:w="3240" w:type="dxa"/>
            <w:vAlign w:val="center"/>
          </w:tcPr>
          <w:p w14:paraId="272D075F" w14:textId="6608F170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210 mg (2 x 105 mg) nilotinib tablets vs. 400 mg (2 x 200 mg) capsules, single dose</w:t>
            </w:r>
          </w:p>
        </w:tc>
        <w:tc>
          <w:tcPr>
            <w:tcW w:w="1288" w:type="dxa"/>
            <w:vAlign w:val="center"/>
          </w:tcPr>
          <w:p w14:paraId="05809810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</w:t>
            </w:r>
          </w:p>
        </w:tc>
      </w:tr>
      <w:tr w:rsidR="00C0713D" w:rsidRPr="00CA26B1" w14:paraId="3AB06D53" w14:textId="77777777" w:rsidTr="003C12EE">
        <w:tc>
          <w:tcPr>
            <w:tcW w:w="1260" w:type="dxa"/>
            <w:vAlign w:val="center"/>
          </w:tcPr>
          <w:p w14:paraId="58FD6418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148-21</w:t>
            </w:r>
          </w:p>
        </w:tc>
        <w:tc>
          <w:tcPr>
            <w:tcW w:w="2340" w:type="dxa"/>
            <w:vAlign w:val="center"/>
          </w:tcPr>
          <w:p w14:paraId="0BF5D938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Two-way cross-over; Relative BA; Healthy male subjects</w:t>
            </w:r>
          </w:p>
        </w:tc>
        <w:tc>
          <w:tcPr>
            <w:tcW w:w="1440" w:type="dxa"/>
            <w:vAlign w:val="center"/>
          </w:tcPr>
          <w:p w14:paraId="719AED6B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16</w:t>
            </w:r>
            <w:r>
              <w:rPr>
                <w:rFonts w:ascii="Avenir Next" w:hAnsi="Avenir Next"/>
                <w:color w:val="000000" w:themeColor="text1"/>
              </w:rPr>
              <w:t>/16</w:t>
            </w:r>
          </w:p>
        </w:tc>
        <w:tc>
          <w:tcPr>
            <w:tcW w:w="3240" w:type="dxa"/>
            <w:vAlign w:val="center"/>
          </w:tcPr>
          <w:p w14:paraId="5F9304ED" w14:textId="00234D0D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 xml:space="preserve">200 mg (2 x 100 mg) </w:t>
            </w:r>
            <w:proofErr w:type="gramStart"/>
            <w:r w:rsidRPr="00940C4B">
              <w:rPr>
                <w:rFonts w:ascii="Avenir Next" w:hAnsi="Avenir Next"/>
                <w:color w:val="000000" w:themeColor="text1"/>
              </w:rPr>
              <w:t>nilotinib</w:t>
            </w:r>
            <w:proofErr w:type="gramEnd"/>
            <w:r w:rsidRPr="00940C4B">
              <w:rPr>
                <w:rFonts w:ascii="Avenir Next" w:hAnsi="Avenir Next"/>
                <w:color w:val="000000" w:themeColor="text1"/>
              </w:rPr>
              <w:t xml:space="preserve"> tablets vs. 400 mg (2 x 200 mg) capsules, single dose</w:t>
            </w:r>
          </w:p>
        </w:tc>
        <w:tc>
          <w:tcPr>
            <w:tcW w:w="1288" w:type="dxa"/>
            <w:vAlign w:val="center"/>
          </w:tcPr>
          <w:p w14:paraId="2630D6E2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</w:t>
            </w:r>
          </w:p>
        </w:tc>
      </w:tr>
      <w:tr w:rsidR="00C0713D" w:rsidRPr="00CA26B1" w14:paraId="4EC50B04" w14:textId="77777777" w:rsidTr="003C12EE">
        <w:tc>
          <w:tcPr>
            <w:tcW w:w="1260" w:type="dxa"/>
            <w:vAlign w:val="center"/>
          </w:tcPr>
          <w:p w14:paraId="1D5EDF19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010-22</w:t>
            </w:r>
          </w:p>
        </w:tc>
        <w:tc>
          <w:tcPr>
            <w:tcW w:w="2340" w:type="dxa"/>
            <w:vAlign w:val="center"/>
          </w:tcPr>
          <w:p w14:paraId="5BA182AB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Open-label, balanced, randomized, single-dose, two-treatment, two-period, two-sequence, crossover, relative BA; healthy male subjects</w:t>
            </w:r>
          </w:p>
        </w:tc>
        <w:tc>
          <w:tcPr>
            <w:tcW w:w="1440" w:type="dxa"/>
            <w:vAlign w:val="center"/>
          </w:tcPr>
          <w:p w14:paraId="5E1EC9FD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96/92</w:t>
            </w:r>
          </w:p>
        </w:tc>
        <w:tc>
          <w:tcPr>
            <w:tcW w:w="3240" w:type="dxa"/>
            <w:vAlign w:val="center"/>
          </w:tcPr>
          <w:p w14:paraId="5E37D004" w14:textId="654FACC2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190 mg (2 x 95 mg) nilotinib tablets vs. 400 mg (2 x 200 mg) capsules</w:t>
            </w:r>
            <w:r>
              <w:rPr>
                <w:rFonts w:ascii="Avenir Next" w:hAnsi="Avenir Next"/>
                <w:color w:val="000000" w:themeColor="text1"/>
              </w:rPr>
              <w:t>, single dose</w:t>
            </w:r>
            <w:r w:rsidRPr="00940C4B">
              <w:rPr>
                <w:rFonts w:ascii="Avenir Next" w:hAnsi="Avenir Next"/>
                <w:color w:val="000000" w:themeColor="text1"/>
              </w:rPr>
              <w:t xml:space="preserve"> </w:t>
            </w:r>
          </w:p>
        </w:tc>
        <w:tc>
          <w:tcPr>
            <w:tcW w:w="1288" w:type="dxa"/>
            <w:vAlign w:val="center"/>
          </w:tcPr>
          <w:p w14:paraId="1E3412E1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</w:t>
            </w:r>
          </w:p>
        </w:tc>
      </w:tr>
      <w:tr w:rsidR="00C0713D" w:rsidRPr="00CA26B1" w14:paraId="586224BE" w14:textId="77777777" w:rsidTr="003C12EE">
        <w:tc>
          <w:tcPr>
            <w:tcW w:w="1260" w:type="dxa"/>
            <w:vAlign w:val="center"/>
          </w:tcPr>
          <w:p w14:paraId="78448B04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011-22</w:t>
            </w:r>
          </w:p>
        </w:tc>
        <w:tc>
          <w:tcPr>
            <w:tcW w:w="2340" w:type="dxa"/>
            <w:vAlign w:val="center"/>
          </w:tcPr>
          <w:p w14:paraId="78960E3D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eastAsia="Times New Roman" w:hAnsi="Avenir Next"/>
                <w:color w:val="000000" w:themeColor="text1"/>
              </w:rPr>
              <w:t>Open-label, balanced, randomized, three-treatment, three-period, three-sequence, three-way crossover relative BA and FE; healthy male subjects</w:t>
            </w:r>
          </w:p>
        </w:tc>
        <w:tc>
          <w:tcPr>
            <w:tcW w:w="1440" w:type="dxa"/>
            <w:vAlign w:val="center"/>
          </w:tcPr>
          <w:p w14:paraId="2FAD28AE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36/32</w:t>
            </w:r>
          </w:p>
        </w:tc>
        <w:tc>
          <w:tcPr>
            <w:tcW w:w="3240" w:type="dxa"/>
            <w:vAlign w:val="center"/>
          </w:tcPr>
          <w:p w14:paraId="20FE720E" w14:textId="3CA381CB" w:rsidR="00C0713D" w:rsidRPr="005773AF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5773AF">
              <w:rPr>
                <w:rFonts w:ascii="Avenir Next" w:eastAsia="Times New Roman" w:hAnsi="Avenir Next"/>
                <w:color w:val="000000" w:themeColor="text1"/>
              </w:rPr>
              <w:t xml:space="preserve">190 mg (2 x 95 mg) </w:t>
            </w:r>
            <w:proofErr w:type="gramStart"/>
            <w:r w:rsidRPr="005773AF">
              <w:rPr>
                <w:rFonts w:ascii="Avenir Next" w:eastAsia="Times New Roman" w:hAnsi="Avenir Next"/>
                <w:color w:val="000000" w:themeColor="text1"/>
              </w:rPr>
              <w:t>nilotinib</w:t>
            </w:r>
            <w:proofErr w:type="gramEnd"/>
            <w:r w:rsidRPr="005773AF">
              <w:rPr>
                <w:rFonts w:ascii="Avenir Next" w:eastAsia="Times New Roman" w:hAnsi="Avenir Next"/>
                <w:color w:val="000000" w:themeColor="text1"/>
              </w:rPr>
              <w:t xml:space="preserve"> tablets vs. 400 mg (2 x 200 mg) capsules, sin</w:t>
            </w:r>
            <w:r>
              <w:rPr>
                <w:rFonts w:ascii="Avenir Next" w:eastAsia="Times New Roman" w:hAnsi="Avenir Next"/>
                <w:color w:val="000000" w:themeColor="text1"/>
              </w:rPr>
              <w:t>gle dose</w:t>
            </w:r>
          </w:p>
        </w:tc>
        <w:tc>
          <w:tcPr>
            <w:tcW w:w="1288" w:type="dxa"/>
            <w:vAlign w:val="center"/>
          </w:tcPr>
          <w:p w14:paraId="5C6A4A91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Modified Fasted/</w:t>
            </w:r>
          </w:p>
          <w:p w14:paraId="74BB8174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Fed</w:t>
            </w:r>
          </w:p>
        </w:tc>
      </w:tr>
      <w:tr w:rsidR="00C0713D" w:rsidRPr="00CA26B1" w14:paraId="7BD44114" w14:textId="77777777" w:rsidTr="003C12EE">
        <w:tc>
          <w:tcPr>
            <w:tcW w:w="1260" w:type="dxa"/>
            <w:vAlign w:val="center"/>
          </w:tcPr>
          <w:p w14:paraId="4828728D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lastRenderedPageBreak/>
              <w:t>128-22</w:t>
            </w:r>
          </w:p>
        </w:tc>
        <w:tc>
          <w:tcPr>
            <w:tcW w:w="2340" w:type="dxa"/>
            <w:vAlign w:val="center"/>
          </w:tcPr>
          <w:p w14:paraId="52BF69C8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Open-label, balanced, randomized, two-treatment, two-period, two-sequence, crossover, oral relative BA; healthy male and female subjects</w:t>
            </w:r>
          </w:p>
        </w:tc>
        <w:tc>
          <w:tcPr>
            <w:tcW w:w="1440" w:type="dxa"/>
            <w:vAlign w:val="center"/>
          </w:tcPr>
          <w:p w14:paraId="144A0057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90/87</w:t>
            </w:r>
          </w:p>
        </w:tc>
        <w:tc>
          <w:tcPr>
            <w:tcW w:w="3240" w:type="dxa"/>
            <w:vAlign w:val="center"/>
          </w:tcPr>
          <w:p w14:paraId="75FBC58C" w14:textId="67B71F83" w:rsidR="00C0713D" w:rsidRPr="00CA1CF3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CA1CF3">
              <w:rPr>
                <w:rFonts w:ascii="Avenir Next" w:hAnsi="Avenir Next"/>
                <w:color w:val="000000" w:themeColor="text1"/>
              </w:rPr>
              <w:t>142 mg (2 x 71 mg) nilotinib tablets vs. 300 mg (2 x 150 mg) capsules; sin</w:t>
            </w:r>
            <w:r>
              <w:rPr>
                <w:rFonts w:ascii="Avenir Next" w:hAnsi="Avenir Next"/>
                <w:color w:val="000000" w:themeColor="text1"/>
              </w:rPr>
              <w:t>gle dose</w:t>
            </w:r>
          </w:p>
        </w:tc>
        <w:tc>
          <w:tcPr>
            <w:tcW w:w="1288" w:type="dxa"/>
            <w:vAlign w:val="center"/>
          </w:tcPr>
          <w:p w14:paraId="56D671B0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</w:t>
            </w:r>
          </w:p>
        </w:tc>
      </w:tr>
      <w:tr w:rsidR="00C0713D" w:rsidRPr="00CA26B1" w14:paraId="62DDF6F1" w14:textId="77777777" w:rsidTr="003C12EE">
        <w:tc>
          <w:tcPr>
            <w:tcW w:w="1260" w:type="dxa"/>
            <w:vAlign w:val="center"/>
          </w:tcPr>
          <w:p w14:paraId="18D19BCC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006-23</w:t>
            </w:r>
          </w:p>
        </w:tc>
        <w:tc>
          <w:tcPr>
            <w:tcW w:w="2340" w:type="dxa"/>
            <w:vAlign w:val="center"/>
          </w:tcPr>
          <w:p w14:paraId="3C529A6E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Open-label, balanced, randomized, single-treatment, three-period, three-sequence, three-way crossover relative BA and FE; healthy male and female subjects</w:t>
            </w:r>
          </w:p>
        </w:tc>
        <w:tc>
          <w:tcPr>
            <w:tcW w:w="1440" w:type="dxa"/>
            <w:vAlign w:val="center"/>
          </w:tcPr>
          <w:p w14:paraId="47FB4614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36/30</w:t>
            </w:r>
          </w:p>
        </w:tc>
        <w:tc>
          <w:tcPr>
            <w:tcW w:w="3240" w:type="dxa"/>
            <w:vAlign w:val="center"/>
          </w:tcPr>
          <w:p w14:paraId="0DBC381F" w14:textId="77777777" w:rsidR="00C0713D" w:rsidRPr="00CA1CF3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CA1CF3">
              <w:rPr>
                <w:rFonts w:ascii="Avenir Next" w:hAnsi="Avenir Next"/>
                <w:color w:val="000000" w:themeColor="text1"/>
              </w:rPr>
              <w:t>190 mg (2 x 95 mg) nilotinib tablets; sing</w:t>
            </w:r>
            <w:r>
              <w:rPr>
                <w:rFonts w:ascii="Avenir Next" w:hAnsi="Avenir Next"/>
                <w:color w:val="000000" w:themeColor="text1"/>
              </w:rPr>
              <w:t>le dose</w:t>
            </w:r>
          </w:p>
        </w:tc>
        <w:tc>
          <w:tcPr>
            <w:tcW w:w="1288" w:type="dxa"/>
            <w:vAlign w:val="center"/>
          </w:tcPr>
          <w:p w14:paraId="08C1C259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Fasted/</w:t>
            </w:r>
          </w:p>
          <w:p w14:paraId="0C4995F2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Modified Fasted/</w:t>
            </w:r>
          </w:p>
          <w:p w14:paraId="7E0A0E92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Fed</w:t>
            </w:r>
          </w:p>
        </w:tc>
      </w:tr>
      <w:tr w:rsidR="00C0713D" w:rsidRPr="00CA26B1" w14:paraId="5147A3F4" w14:textId="77777777" w:rsidTr="003C12EE">
        <w:tc>
          <w:tcPr>
            <w:tcW w:w="1260" w:type="dxa"/>
            <w:vAlign w:val="center"/>
          </w:tcPr>
          <w:p w14:paraId="785757C9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007-23</w:t>
            </w:r>
          </w:p>
        </w:tc>
        <w:tc>
          <w:tcPr>
            <w:tcW w:w="2340" w:type="dxa"/>
          </w:tcPr>
          <w:p w14:paraId="49CFAADC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Open-label, balanced, randomized, single-treatment, three-period, three-sequence, three-way crossover relative BA and FE; healthy adult male and female subjects</w:t>
            </w:r>
          </w:p>
        </w:tc>
        <w:tc>
          <w:tcPr>
            <w:tcW w:w="1440" w:type="dxa"/>
            <w:vAlign w:val="center"/>
          </w:tcPr>
          <w:p w14:paraId="3EDAA8E4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36/32</w:t>
            </w:r>
          </w:p>
        </w:tc>
        <w:tc>
          <w:tcPr>
            <w:tcW w:w="3240" w:type="dxa"/>
            <w:vAlign w:val="center"/>
          </w:tcPr>
          <w:p w14:paraId="658E0D0A" w14:textId="77777777" w:rsidR="00C0713D" w:rsidRPr="00CA1CF3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CA1CF3">
              <w:rPr>
                <w:rFonts w:ascii="Avenir Next" w:hAnsi="Avenir Next"/>
                <w:color w:val="000000" w:themeColor="text1"/>
              </w:rPr>
              <w:t>142 mg (2 x 71 mg) nilotinib tablets; sing</w:t>
            </w:r>
            <w:r>
              <w:rPr>
                <w:rFonts w:ascii="Avenir Next" w:hAnsi="Avenir Next"/>
                <w:color w:val="000000" w:themeColor="text1"/>
              </w:rPr>
              <w:t>le dose</w:t>
            </w:r>
          </w:p>
        </w:tc>
        <w:tc>
          <w:tcPr>
            <w:tcW w:w="1288" w:type="dxa"/>
            <w:vAlign w:val="center"/>
          </w:tcPr>
          <w:p w14:paraId="15972D26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Fasted/ Modified Fasted/</w:t>
            </w:r>
          </w:p>
          <w:p w14:paraId="63ABCF96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Fed</w:t>
            </w:r>
          </w:p>
        </w:tc>
      </w:tr>
      <w:tr w:rsidR="00C0713D" w:rsidRPr="00CA26B1" w14:paraId="6DE40A8C" w14:textId="77777777" w:rsidTr="003C12EE">
        <w:tc>
          <w:tcPr>
            <w:tcW w:w="1260" w:type="dxa"/>
            <w:vAlign w:val="center"/>
          </w:tcPr>
          <w:p w14:paraId="4469A826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052-23</w:t>
            </w:r>
          </w:p>
        </w:tc>
        <w:tc>
          <w:tcPr>
            <w:tcW w:w="2340" w:type="dxa"/>
            <w:vAlign w:val="center"/>
          </w:tcPr>
          <w:p w14:paraId="246491D9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Open-label, balanced, randomized, two-treatment, two-period, two-sequence, crossover relative BA</w:t>
            </w:r>
          </w:p>
        </w:tc>
        <w:tc>
          <w:tcPr>
            <w:tcW w:w="1440" w:type="dxa"/>
            <w:vAlign w:val="center"/>
          </w:tcPr>
          <w:p w14:paraId="413BF5B8" w14:textId="77777777" w:rsidR="00C0713D" w:rsidRPr="00940C4B" w:rsidRDefault="00C0713D" w:rsidP="003C12EE">
            <w:pPr>
              <w:pStyle w:val="GlobalSubmitTableCellLeft"/>
              <w:jc w:val="center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90/86</w:t>
            </w:r>
          </w:p>
        </w:tc>
        <w:tc>
          <w:tcPr>
            <w:tcW w:w="3240" w:type="dxa"/>
            <w:vAlign w:val="center"/>
          </w:tcPr>
          <w:p w14:paraId="344E5D0D" w14:textId="7740CB77" w:rsidR="00C0713D" w:rsidRPr="00F14301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F14301">
              <w:rPr>
                <w:rFonts w:ascii="Avenir Next" w:hAnsi="Avenir Next"/>
                <w:color w:val="000000" w:themeColor="text1"/>
              </w:rPr>
              <w:t>190 mg (2 x 95 mg) nilotinib tablets vs. 400 mg (2 x 200 mg) capsules; sin</w:t>
            </w:r>
            <w:r>
              <w:rPr>
                <w:rFonts w:ascii="Avenir Next" w:hAnsi="Avenir Next"/>
                <w:color w:val="000000" w:themeColor="text1"/>
              </w:rPr>
              <w:t>gle dose</w:t>
            </w:r>
          </w:p>
        </w:tc>
        <w:tc>
          <w:tcPr>
            <w:tcW w:w="1288" w:type="dxa"/>
            <w:vAlign w:val="center"/>
          </w:tcPr>
          <w:p w14:paraId="3D5480F5" w14:textId="77777777" w:rsidR="00C0713D" w:rsidRPr="00940C4B" w:rsidRDefault="00C0713D" w:rsidP="003C12EE">
            <w:pPr>
              <w:pStyle w:val="GlobalSubmitTableCellLeft"/>
              <w:rPr>
                <w:rFonts w:ascii="Avenir Next" w:hAnsi="Avenir Next"/>
                <w:color w:val="000000" w:themeColor="text1"/>
              </w:rPr>
            </w:pPr>
            <w:r w:rsidRPr="00940C4B">
              <w:rPr>
                <w:rFonts w:ascii="Avenir Next" w:hAnsi="Avenir Next"/>
                <w:color w:val="000000" w:themeColor="text1"/>
              </w:rPr>
              <w:t>Modified fasted</w:t>
            </w:r>
          </w:p>
        </w:tc>
      </w:tr>
    </w:tbl>
    <w:p w14:paraId="60758B01" w14:textId="77777777" w:rsidR="00C0713D" w:rsidRPr="003F0CB9" w:rsidRDefault="00C0713D" w:rsidP="00C0713D">
      <w:pPr>
        <w:rPr>
          <w:rFonts w:ascii="Avenir Next" w:hAnsi="Avenir Next"/>
          <w:color w:val="000000" w:themeColor="text1"/>
        </w:rPr>
      </w:pPr>
    </w:p>
    <w:p w14:paraId="4E396CFA" w14:textId="45E06F56" w:rsidR="00C0713D" w:rsidRPr="00C0713D" w:rsidRDefault="00C0713D" w:rsidP="00C0713D">
      <w:pPr>
        <w:rPr>
          <w:rFonts w:ascii="Avenir Next" w:hAnsi="Avenir Next"/>
        </w:rPr>
      </w:pPr>
      <w:r w:rsidRPr="003F0CB9">
        <w:rPr>
          <w:rFonts w:ascii="Avenir Next" w:hAnsi="Avenir Next"/>
          <w:color w:val="000000" w:themeColor="text1"/>
        </w:rPr>
        <w:t>BA, bioavailability; FE, food effect</w:t>
      </w:r>
      <w:r w:rsidR="00763A3F">
        <w:rPr>
          <w:rFonts w:ascii="Avenir Next" w:hAnsi="Avenir Next"/>
          <w:color w:val="000000" w:themeColor="text1"/>
        </w:rPr>
        <w:t>.</w:t>
      </w:r>
    </w:p>
    <w:sectPr w:rsidR="00C0713D" w:rsidRPr="00C0713D" w:rsidSect="001462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venir Next">
    <w:altName w:val="Calibri"/>
    <w:charset w:val="00"/>
    <w:family w:val="swiss"/>
    <w:pitch w:val="variable"/>
    <w:sig w:usb0="8000002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13D"/>
    <w:rsid w:val="001462FD"/>
    <w:rsid w:val="0016515D"/>
    <w:rsid w:val="001E48A2"/>
    <w:rsid w:val="003D11D4"/>
    <w:rsid w:val="005C7747"/>
    <w:rsid w:val="00763A3F"/>
    <w:rsid w:val="008C5F6F"/>
    <w:rsid w:val="00981997"/>
    <w:rsid w:val="00B90D4F"/>
    <w:rsid w:val="00C0713D"/>
    <w:rsid w:val="00D20918"/>
    <w:rsid w:val="00D8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F5908"/>
  <w15:chartTrackingRefBased/>
  <w15:docId w15:val="{4A43F84E-3676-9042-B578-09F2C38A3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71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1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1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1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1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1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1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1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1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1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1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1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1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1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1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1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1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1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1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71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13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71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1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71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1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71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1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1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13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aliases w:val="Table centered"/>
    <w:basedOn w:val="TableNormal"/>
    <w:rsid w:val="00C0713D"/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lobalSubmitTableCellLeft">
    <w:name w:val="GlobalSubmit Table Cell Left"/>
    <w:basedOn w:val="Normal"/>
    <w:qFormat/>
    <w:rsid w:val="00C0713D"/>
    <w:pPr>
      <w:spacing w:before="40" w:after="40"/>
    </w:pPr>
    <w:rPr>
      <w:rFonts w:ascii="Times New Roman" w:eastAsia="Arial Unicode MS" w:hAnsi="Times New Roman" w:cs="Times New Roman"/>
      <w:kern w:val="0"/>
      <w:sz w:val="20"/>
      <w14:ligatures w14:val="none"/>
    </w:rPr>
  </w:style>
  <w:style w:type="paragraph" w:customStyle="1" w:styleId="GlobalSubmitTableHeading">
    <w:name w:val="GlobalSubmit Table Heading"/>
    <w:basedOn w:val="GlobalSubmitTableCellLeft"/>
    <w:qFormat/>
    <w:rsid w:val="00C0713D"/>
    <w:pPr>
      <w:keepNext/>
    </w:pPr>
    <w:rPr>
      <w:b/>
    </w:rPr>
  </w:style>
  <w:style w:type="character" w:styleId="CommentReference">
    <w:name w:val="annotation reference"/>
    <w:basedOn w:val="DefaultParagraphFont"/>
    <w:uiPriority w:val="99"/>
    <w:semiHidden/>
    <w:unhideWhenUsed/>
    <w:rsid w:val="00C071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713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71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71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713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435</Words>
  <Characters>2510</Characters>
  <Application>Microsoft Office Word</Application>
  <DocSecurity>0</DocSecurity>
  <Lines>48</Lines>
  <Paragraphs>21</Paragraphs>
  <ScaleCrop>false</ScaleCrop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Bobo</dc:creator>
  <cp:keywords/>
  <dc:description/>
  <cp:lastModifiedBy>Cassandra Matthews</cp:lastModifiedBy>
  <cp:revision>3</cp:revision>
  <dcterms:created xsi:type="dcterms:W3CDTF">2024-11-09T18:31:00Z</dcterms:created>
  <dcterms:modified xsi:type="dcterms:W3CDTF">2024-11-15T17:36:00Z</dcterms:modified>
</cp:coreProperties>
</file>