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987" w:rsidRPr="005528EF" w:rsidRDefault="00627987">
      <w:pPr>
        <w:pStyle w:val="Heading2"/>
        <w:rPr>
          <w:rFonts w:asciiTheme="majorBidi" w:hAnsi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  <w:r w:rsidRPr="005528EF">
        <w:rPr>
          <w:rFonts w:asciiTheme="majorBidi" w:hAnsiTheme="majorBidi" w:cstheme="majorBidi"/>
          <w:noProof/>
        </w:rPr>
        <w:drawing>
          <wp:inline distT="0" distB="0" distL="0" distR="0" wp14:anchorId="35578B00" wp14:editId="7A7C5B29">
            <wp:extent cx="3519805" cy="5198933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97" cy="52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7A" w:rsidRPr="005528EF" w:rsidRDefault="00B61A07" w:rsidP="00B61A07">
      <w:pPr>
        <w:spacing w:after="0" w:line="240" w:lineRule="auto"/>
        <w:ind w:left="3600" w:hanging="3600"/>
        <w:jc w:val="both"/>
        <w:rPr>
          <w:rFonts w:asciiTheme="majorBidi" w:eastAsia="Times New Roman" w:hAnsiTheme="majorBidi" w:cstheme="majorBidi"/>
          <w:sz w:val="24"/>
          <w:szCs w:val="24"/>
          <w:lang w:val="en-GB"/>
        </w:rPr>
      </w:pPr>
      <w:r w:rsidRPr="005528EF">
        <w:rPr>
          <w:rFonts w:asciiTheme="majorBidi" w:eastAsia="Times New Roman" w:hAnsiTheme="majorBidi" w:cstheme="majorBidi"/>
          <w:b/>
          <w:sz w:val="24"/>
          <w:szCs w:val="24"/>
          <w:lang w:val="en-GB"/>
        </w:rPr>
        <w:t>Supplementary Figure S1</w:t>
      </w:r>
      <w:r w:rsidRPr="005528EF">
        <w:rPr>
          <w:rFonts w:asciiTheme="majorBidi" w:eastAsia="Times New Roman" w:hAnsiTheme="majorBidi" w:cstheme="majorBidi"/>
          <w:sz w:val="24"/>
          <w:szCs w:val="24"/>
          <w:lang w:val="en-GB"/>
        </w:rPr>
        <w:t>: Blinding process</w:t>
      </w:r>
    </w:p>
    <w:p w:rsidR="00B61A07" w:rsidRPr="005528EF" w:rsidRDefault="00700B7A" w:rsidP="00B61A07">
      <w:pPr>
        <w:spacing w:after="0" w:line="240" w:lineRule="auto"/>
        <w:ind w:left="3600" w:hanging="3600"/>
        <w:jc w:val="both"/>
        <w:rPr>
          <w:rFonts w:asciiTheme="majorBidi" w:eastAsia="Times New Roman" w:hAnsiTheme="majorBidi" w:cstheme="majorBidi"/>
          <w:sz w:val="24"/>
          <w:szCs w:val="24"/>
          <w:lang w:val="en-GB"/>
        </w:rPr>
      </w:pPr>
      <w:r w:rsidRPr="005528EF">
        <w:rPr>
          <w:rFonts w:asciiTheme="majorBidi" w:eastAsia="Times New Roman" w:hAnsiTheme="majorBidi" w:cstheme="majorBidi"/>
          <w:b/>
          <w:sz w:val="24"/>
          <w:szCs w:val="24"/>
          <w:lang w:val="en-GB"/>
        </w:rPr>
        <w:t>PI</w:t>
      </w:r>
      <w:r w:rsidRPr="005528EF">
        <w:rPr>
          <w:rFonts w:asciiTheme="majorBidi" w:eastAsia="Times New Roman" w:hAnsiTheme="majorBidi" w:cstheme="majorBidi"/>
          <w:sz w:val="24"/>
          <w:szCs w:val="24"/>
          <w:lang w:val="en-GB"/>
        </w:rPr>
        <w:t>: principal investigator; CXR: chest x-ray; LUS: lung ultrasound</w:t>
      </w:r>
      <w:r w:rsidR="00B61A07" w:rsidRPr="005528EF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</w:t>
      </w: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p w:rsidR="00B61A07" w:rsidRPr="005528EF" w:rsidRDefault="00B61A07" w:rsidP="00B61A07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627987" w:rsidRPr="005528EF"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Marker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Bacterial Infection</w:t>
            </w:r>
            <w:r w:rsidRPr="005528EF">
              <w:rPr>
                <w:rFonts w:asciiTheme="majorBidi" w:hAnsiTheme="majorBidi" w:cstheme="majorBidi"/>
                <w:sz w:val="24"/>
                <w:szCs w:val="24"/>
              </w:rPr>
              <w:br/>
              <w:t>Median (IQR)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Viral Infection</w:t>
            </w:r>
            <w:r w:rsidRPr="005528EF">
              <w:rPr>
                <w:rFonts w:asciiTheme="majorBidi" w:hAnsiTheme="majorBidi" w:cstheme="majorBidi"/>
                <w:sz w:val="24"/>
                <w:szCs w:val="24"/>
              </w:rPr>
              <w:br/>
              <w:t>Median (IQR)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Asthma</w:t>
            </w:r>
            <w:r w:rsidRPr="005528EF">
              <w:rPr>
                <w:rFonts w:asciiTheme="majorBidi" w:hAnsiTheme="majorBidi" w:cstheme="majorBidi"/>
                <w:sz w:val="24"/>
                <w:szCs w:val="24"/>
              </w:rPr>
              <w:br/>
              <w:t>Median (IQR)</w:t>
            </w:r>
          </w:p>
        </w:tc>
      </w:tr>
      <w:tr w:rsidR="00627987" w:rsidRPr="005528EF"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CRP (mg/L)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84.9 (23.5 – 153.1)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17.1 (3.6 – 75.6)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13.0 (3.1 – 16.4)</w:t>
            </w:r>
          </w:p>
        </w:tc>
      </w:tr>
      <w:tr w:rsidR="00627987" w:rsidRPr="005528EF"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WBC (×10⁹/L)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13.8 (6.2 – 20.7)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11.6 (8.6 – 18.0)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13.4 (10.0 – 14.1)</w:t>
            </w:r>
          </w:p>
        </w:tc>
      </w:tr>
      <w:tr w:rsidR="00627987" w:rsidRPr="005528EF"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ANC (×10⁹/L)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10.3 (3.8 – 17.2)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5.5 (2.9 – 9.6)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10.3 (8.1 – 12.6)</w:t>
            </w:r>
          </w:p>
        </w:tc>
      </w:tr>
      <w:tr w:rsidR="00627987" w:rsidRPr="005528EF"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NLR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3.0 (1.6 – 8.8)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1.1 (0.5 – 2.3)</w:t>
            </w:r>
          </w:p>
        </w:tc>
        <w:tc>
          <w:tcPr>
            <w:tcW w:w="2160" w:type="dxa"/>
          </w:tcPr>
          <w:p w:rsidR="00627987" w:rsidRPr="005528EF" w:rsidRDefault="00ED52BE" w:rsidP="00EB7C21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9.4 (3.5 – 25.1)</w:t>
            </w:r>
          </w:p>
        </w:tc>
      </w:tr>
    </w:tbl>
    <w:p w:rsidR="00ED52BE" w:rsidRPr="005528EF" w:rsidRDefault="00ED52BE" w:rsidP="00542532">
      <w:pPr>
        <w:rPr>
          <w:rFonts w:asciiTheme="majorBidi" w:hAnsiTheme="majorBidi" w:cstheme="majorBidi"/>
        </w:rPr>
      </w:pPr>
      <w:r w:rsidRPr="005528EF">
        <w:rPr>
          <w:rFonts w:asciiTheme="majorBidi" w:hAnsiTheme="majorBidi" w:cstheme="majorBidi"/>
        </w:rPr>
        <w:br/>
        <w:t>Abbreviations:</w:t>
      </w:r>
      <w:r w:rsidRPr="005528EF">
        <w:rPr>
          <w:rFonts w:asciiTheme="majorBidi" w:hAnsiTheme="majorBidi" w:cstheme="majorBidi"/>
        </w:rPr>
        <w:br/>
        <w:t>CRP = C-reactive protein; WBC = White blood cell count; ANC = Absolute neutrophil count; NLR = Neutrophil-to-lymphocyte ratio; IQR = Interquartile range.</w:t>
      </w:r>
    </w:p>
    <w:p w:rsidR="00542532" w:rsidRPr="005528EF" w:rsidRDefault="007238D4">
      <w:pPr>
        <w:rPr>
          <w:rFonts w:asciiTheme="majorBidi" w:eastAsia="Times New Roman" w:hAnsiTheme="majorBidi" w:cstheme="majorBidi"/>
          <w:bCs/>
          <w:sz w:val="24"/>
          <w:szCs w:val="24"/>
        </w:rPr>
      </w:pPr>
      <w:r w:rsidRPr="005528EF">
        <w:rPr>
          <w:rFonts w:asciiTheme="majorBidi" w:eastAsia="Times New Roman" w:hAnsiTheme="majorBidi" w:cstheme="majorBidi"/>
          <w:b/>
          <w:sz w:val="24"/>
          <w:szCs w:val="24"/>
        </w:rPr>
        <w:t xml:space="preserve">Supplementary Table </w:t>
      </w:r>
      <w:r w:rsidR="007352D6" w:rsidRPr="005528EF">
        <w:rPr>
          <w:rFonts w:asciiTheme="majorBidi" w:eastAsia="Times New Roman" w:hAnsiTheme="majorBidi" w:cstheme="majorBidi"/>
          <w:b/>
          <w:sz w:val="24"/>
          <w:szCs w:val="24"/>
        </w:rPr>
        <w:t>S</w:t>
      </w:r>
      <w:r w:rsidR="00B61A07" w:rsidRPr="005528EF">
        <w:rPr>
          <w:rFonts w:asciiTheme="majorBidi" w:eastAsia="Times New Roman" w:hAnsiTheme="majorBidi" w:cstheme="majorBidi"/>
          <w:b/>
          <w:sz w:val="24"/>
          <w:szCs w:val="24"/>
        </w:rPr>
        <w:t>2</w:t>
      </w:r>
      <w:r w:rsidRPr="005528EF">
        <w:rPr>
          <w:rFonts w:asciiTheme="majorBidi" w:eastAsia="Times New Roman" w:hAnsiTheme="majorBidi" w:cstheme="majorBidi"/>
          <w:b/>
          <w:sz w:val="24"/>
          <w:szCs w:val="24"/>
        </w:rPr>
        <w:t xml:space="preserve">: </w:t>
      </w:r>
      <w:r w:rsidRPr="005528EF">
        <w:rPr>
          <w:rFonts w:asciiTheme="majorBidi" w:eastAsia="Times New Roman" w:hAnsiTheme="majorBidi" w:cstheme="majorBidi"/>
          <w:bCs/>
          <w:sz w:val="24"/>
          <w:szCs w:val="24"/>
        </w:rPr>
        <w:t>Laboratory Findings by Final Diagnosis</w:t>
      </w:r>
    </w:p>
    <w:p w:rsidR="007238D4" w:rsidRPr="005528EF" w:rsidRDefault="007238D4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  <w:bookmarkStart w:id="0" w:name="_GoBack"/>
      <w:bookmarkEnd w:id="0"/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p w:rsidR="008039FA" w:rsidRPr="005528EF" w:rsidRDefault="008039FA">
      <w:pPr>
        <w:rPr>
          <w:rFonts w:asciiTheme="majorBidi" w:hAnsiTheme="majorBidi" w:cstheme="majorBidi"/>
        </w:rPr>
      </w:pPr>
    </w:p>
    <w:tbl>
      <w:tblPr>
        <w:tblpPr w:leftFromText="180" w:rightFromText="180" w:vertAnchor="text" w:horzAnchor="margin" w:tblpY="615"/>
        <w:tblW w:w="9108" w:type="dxa"/>
        <w:tblLook w:val="04A0" w:firstRow="1" w:lastRow="0" w:firstColumn="1" w:lastColumn="0" w:noHBand="0" w:noVBand="1"/>
      </w:tblPr>
      <w:tblGrid>
        <w:gridCol w:w="1296"/>
        <w:gridCol w:w="3065"/>
        <w:gridCol w:w="2329"/>
        <w:gridCol w:w="2418"/>
      </w:tblGrid>
      <w:tr w:rsidR="008039FA" w:rsidRPr="005528EF" w:rsidTr="008039FA">
        <w:trPr>
          <w:trHeight w:val="239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6F91" w:rsidRPr="005528EF" w:rsidRDefault="00EB7C21" w:rsidP="00EB7C2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</w:rPr>
              <w:lastRenderedPageBreak/>
              <w:t>A</w:t>
            </w:r>
          </w:p>
        </w:tc>
        <w:tc>
          <w:tcPr>
            <w:tcW w:w="7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9FA" w:rsidRPr="005528EF" w:rsidRDefault="00966F91" w:rsidP="008039FA">
            <w:pPr>
              <w:spacing w:before="24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LUS Di</w:t>
            </w:r>
            <w:r w:rsidR="008039FA"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agnosis vs Final Diagnosis age</w:t>
            </w: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 xml:space="preserve"> &lt; 2 years (n=32)</w:t>
            </w:r>
          </w:p>
          <w:p w:rsidR="008039FA" w:rsidRPr="005528EF" w:rsidRDefault="008039FA" w:rsidP="008039F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</w:p>
        </w:tc>
      </w:tr>
      <w:tr w:rsidR="00EB7C21" w:rsidRPr="005528EF" w:rsidTr="00D65ABD">
        <w:trPr>
          <w:trHeight w:val="230"/>
        </w:trPr>
        <w:tc>
          <w:tcPr>
            <w:tcW w:w="125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EF7AFB">
            <w:pPr>
              <w:spacing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EF7AFB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Total Accuracy (95% CI)</w:t>
            </w:r>
          </w:p>
          <w:p w:rsidR="00EF7AFB" w:rsidRPr="005528EF" w:rsidRDefault="00EF7AFB" w:rsidP="00EF7AF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32</w:t>
            </w:r>
          </w:p>
          <w:p w:rsidR="00EF7AFB" w:rsidRPr="005528EF" w:rsidRDefault="00EF7AFB" w:rsidP="00EF7AFB">
            <w:pPr>
              <w:spacing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EF7AFB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Bacterial (95% CI)</w:t>
            </w:r>
          </w:p>
          <w:p w:rsidR="00EF7AFB" w:rsidRPr="005528EF" w:rsidRDefault="00EF7AFB" w:rsidP="00EF7AF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3</w:t>
            </w:r>
          </w:p>
          <w:p w:rsidR="00EF7AFB" w:rsidRPr="005528EF" w:rsidRDefault="00EF7AFB" w:rsidP="00EF7AFB">
            <w:pPr>
              <w:spacing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29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EF7AFB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Viral (95% CI)</w:t>
            </w:r>
          </w:p>
          <w:p w:rsidR="00EF7AFB" w:rsidRPr="005528EF" w:rsidRDefault="00EF7AFB" w:rsidP="00EF7AF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28</w:t>
            </w:r>
          </w:p>
          <w:p w:rsidR="00EF7AFB" w:rsidRPr="005528EF" w:rsidRDefault="00EF7AFB" w:rsidP="00EF7AFB">
            <w:pPr>
              <w:spacing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4</w:t>
            </w:r>
          </w:p>
        </w:tc>
      </w:tr>
      <w:tr w:rsidR="008039FA" w:rsidRPr="005528EF" w:rsidTr="00D65ABD">
        <w:trPr>
          <w:trHeight w:val="221"/>
        </w:trPr>
        <w:tc>
          <w:tcPr>
            <w:tcW w:w="125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Sensitivity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  <w:r w:rsidR="00EF7AFB"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90.6% (80.5, 100.0)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66.7% (13.0-100.0)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92.9% (83.0, 100.0)</w:t>
            </w:r>
          </w:p>
        </w:tc>
      </w:tr>
      <w:tr w:rsidR="008039FA" w:rsidRPr="005528EF" w:rsidTr="00D65ABD">
        <w:trPr>
          <w:trHeight w:val="221"/>
        </w:trPr>
        <w:tc>
          <w:tcPr>
            <w:tcW w:w="125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Specificity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  <w:r w:rsidR="00733C94"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NA*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93.1% (83.9, 100.0)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75% (33,0, 99.9)</w:t>
            </w:r>
          </w:p>
        </w:tc>
      </w:tr>
      <w:tr w:rsidR="008039FA" w:rsidRPr="005528EF" w:rsidTr="00D65ABD">
        <w:trPr>
          <w:trHeight w:val="221"/>
        </w:trPr>
        <w:tc>
          <w:tcPr>
            <w:tcW w:w="125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Overall agreement</w:t>
            </w:r>
          </w:p>
        </w:tc>
        <w:tc>
          <w:tcPr>
            <w:tcW w:w="308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90.6% (80.5, 100.0)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90.6% (80.5, 100.0)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vAlign w:val="center"/>
            <w:hideMark/>
          </w:tcPr>
          <w:p w:rsidR="00966F91" w:rsidRPr="005528EF" w:rsidRDefault="00966F91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90.6% (80.5, 100.0)</w:t>
            </w:r>
          </w:p>
        </w:tc>
      </w:tr>
    </w:tbl>
    <w:p w:rsidR="00966F91" w:rsidRPr="005528EF" w:rsidRDefault="00966F91">
      <w:pPr>
        <w:rPr>
          <w:rFonts w:asciiTheme="majorBidi" w:hAnsiTheme="majorBidi" w:cstheme="majorBidi"/>
        </w:rPr>
      </w:pPr>
    </w:p>
    <w:p w:rsidR="00966F91" w:rsidRPr="005528EF" w:rsidRDefault="00733C94" w:rsidP="00F457E0">
      <w:pPr>
        <w:pStyle w:val="ListParagraph"/>
        <w:tabs>
          <w:tab w:val="left" w:pos="7908"/>
        </w:tabs>
        <w:ind w:left="1080"/>
        <w:rPr>
          <w:rFonts w:asciiTheme="majorBidi" w:hAnsiTheme="majorBidi" w:cstheme="majorBidi"/>
        </w:rPr>
      </w:pPr>
      <w:r w:rsidRPr="005528EF">
        <w:rPr>
          <w:rFonts w:asciiTheme="majorBidi" w:hAnsiTheme="majorBidi" w:cstheme="majorBidi"/>
        </w:rPr>
        <w:t>* There were no negative cases to measure specificity</w:t>
      </w:r>
      <w:r w:rsidR="00966F91" w:rsidRPr="005528EF">
        <w:rPr>
          <w:rFonts w:asciiTheme="majorBidi" w:hAnsiTheme="majorBidi" w:cstheme="majorBidi"/>
        </w:rPr>
        <w:tab/>
      </w:r>
    </w:p>
    <w:tbl>
      <w:tblPr>
        <w:tblpPr w:leftFromText="180" w:rightFromText="180" w:vertAnchor="text" w:horzAnchor="margin" w:tblpY="615"/>
        <w:tblW w:w="9108" w:type="dxa"/>
        <w:tblLook w:val="04A0" w:firstRow="1" w:lastRow="0" w:firstColumn="1" w:lastColumn="0" w:noHBand="0" w:noVBand="1"/>
      </w:tblPr>
      <w:tblGrid>
        <w:gridCol w:w="1296"/>
        <w:gridCol w:w="2862"/>
        <w:gridCol w:w="2340"/>
        <w:gridCol w:w="2610"/>
      </w:tblGrid>
      <w:tr w:rsidR="008039FA" w:rsidRPr="005528EF" w:rsidTr="008039FA">
        <w:trPr>
          <w:trHeight w:val="23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039FA" w:rsidRPr="005528EF" w:rsidRDefault="00EB7C21" w:rsidP="00EB7C21">
            <w:pPr>
              <w:spacing w:before="24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FFFFFF"/>
                <w:sz w:val="40"/>
                <w:szCs w:val="40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7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528E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LUS Diagnosis vs Final Diagnosis Age ≥ 2 years (n=33)</w:t>
            </w:r>
          </w:p>
        </w:tc>
      </w:tr>
      <w:tr w:rsidR="008039FA" w:rsidRPr="005528EF" w:rsidTr="008039FA">
        <w:trPr>
          <w:trHeight w:val="230"/>
        </w:trPr>
        <w:tc>
          <w:tcPr>
            <w:tcW w:w="129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8039FA" w:rsidRPr="005528EF" w:rsidRDefault="008039FA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Accuracy (95% CI)</w:t>
            </w:r>
          </w:p>
          <w:p w:rsidR="00724E61" w:rsidRPr="005528EF" w:rsidRDefault="00724E61" w:rsidP="00724E61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30</w:t>
            </w:r>
          </w:p>
          <w:p w:rsidR="00724E61" w:rsidRPr="005528EF" w:rsidRDefault="00724E61" w:rsidP="00724E61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3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Bacterial (95% CI)</w:t>
            </w:r>
          </w:p>
          <w:p w:rsidR="00EF7AFB" w:rsidRPr="005528EF" w:rsidRDefault="00EF7AFB" w:rsidP="00EF7AF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9</w:t>
            </w:r>
          </w:p>
          <w:p w:rsidR="00EF7AFB" w:rsidRPr="005528EF" w:rsidRDefault="00EF7AFB" w:rsidP="00EF7A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24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Viral (95% CI)</w:t>
            </w:r>
          </w:p>
          <w:p w:rsidR="00EF7AFB" w:rsidRPr="005528EF" w:rsidRDefault="00EF7AFB" w:rsidP="00EF7AFB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positive =</w:t>
            </w:r>
            <w:r w:rsidR="00D65ABD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15</w:t>
            </w:r>
          </w:p>
          <w:p w:rsidR="00EF7AFB" w:rsidRPr="005528EF" w:rsidRDefault="00EF7AFB" w:rsidP="00EF7AF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n negative =</w:t>
            </w:r>
            <w:r w:rsidR="00733C94" w:rsidRPr="005528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65ABD" w:rsidRPr="005528EF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</w:tr>
      <w:tr w:rsidR="008039FA" w:rsidRPr="005528EF" w:rsidTr="00EF7AFB">
        <w:trPr>
          <w:trHeight w:val="221"/>
        </w:trPr>
        <w:tc>
          <w:tcPr>
            <w:tcW w:w="129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8039FA" w:rsidRPr="005528EF" w:rsidRDefault="008039FA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Sensitivity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hideMark/>
          </w:tcPr>
          <w:p w:rsidR="008039FA" w:rsidRPr="005528EF" w:rsidRDefault="00D65ABD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93.3 (</w:t>
            </w:r>
            <w:r w:rsidR="00E87C62" w:rsidRPr="005528EF">
              <w:rPr>
                <w:rFonts w:asciiTheme="majorBidi" w:hAnsiTheme="majorBidi" w:cstheme="majorBidi"/>
                <w:sz w:val="24"/>
                <w:szCs w:val="24"/>
              </w:rPr>
              <w:t>78.7, 100,0)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D65ABD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100%(71.7</w:t>
            </w:r>
            <w:r w:rsidR="008039FA" w:rsidRPr="005528EF">
              <w:rPr>
                <w:rFonts w:asciiTheme="majorBidi" w:hAnsiTheme="majorBidi" w:cstheme="majorBidi"/>
                <w:sz w:val="24"/>
                <w:szCs w:val="24"/>
              </w:rPr>
              <w:t>, 100.0)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86.7% (69.0, 100.0)</w:t>
            </w:r>
          </w:p>
        </w:tc>
      </w:tr>
      <w:tr w:rsidR="008039FA" w:rsidRPr="005528EF" w:rsidTr="00EF7AFB">
        <w:trPr>
          <w:trHeight w:val="221"/>
        </w:trPr>
        <w:tc>
          <w:tcPr>
            <w:tcW w:w="129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8039FA" w:rsidRPr="005528EF" w:rsidRDefault="008039FA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Specificity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hideMark/>
          </w:tcPr>
          <w:p w:rsidR="008039FA" w:rsidRPr="005528EF" w:rsidRDefault="00D65ABD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100 (</w:t>
            </w:r>
            <w:r w:rsidR="00E87C62" w:rsidRPr="005528EF">
              <w:rPr>
                <w:rFonts w:asciiTheme="majorBidi" w:hAnsiTheme="majorBidi" w:cstheme="majorBidi"/>
                <w:sz w:val="24"/>
                <w:szCs w:val="24"/>
              </w:rPr>
              <w:t>36.8, 100)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91.7% (80.6, 100.0)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100% (84.7, 100.0)</w:t>
            </w:r>
          </w:p>
        </w:tc>
      </w:tr>
      <w:tr w:rsidR="008039FA" w:rsidRPr="005528EF" w:rsidTr="008039FA">
        <w:trPr>
          <w:trHeight w:val="221"/>
        </w:trPr>
        <w:tc>
          <w:tcPr>
            <w:tcW w:w="1296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  <w:hideMark/>
          </w:tcPr>
          <w:p w:rsidR="008039FA" w:rsidRPr="005528EF" w:rsidRDefault="008039FA" w:rsidP="008039FA">
            <w:pPr>
              <w:spacing w:before="24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5528EF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Overall agreement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93.9% (85.0, 100.0)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93.9% (85.0, 100.0)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hideMark/>
          </w:tcPr>
          <w:p w:rsidR="008039FA" w:rsidRPr="005528EF" w:rsidRDefault="008039FA" w:rsidP="008039FA">
            <w:pPr>
              <w:spacing w:before="240"/>
              <w:rPr>
                <w:rFonts w:asciiTheme="majorBidi" w:hAnsiTheme="majorBidi" w:cstheme="majorBidi"/>
                <w:sz w:val="24"/>
                <w:szCs w:val="24"/>
              </w:rPr>
            </w:pPr>
            <w:r w:rsidRPr="005528EF">
              <w:rPr>
                <w:rFonts w:asciiTheme="majorBidi" w:hAnsiTheme="majorBidi" w:cstheme="majorBidi"/>
                <w:sz w:val="24"/>
                <w:szCs w:val="24"/>
              </w:rPr>
              <w:t>93.9% (85.0, 100.0)</w:t>
            </w:r>
          </w:p>
        </w:tc>
      </w:tr>
    </w:tbl>
    <w:p w:rsidR="00966F91" w:rsidRPr="005528EF" w:rsidRDefault="00966F91" w:rsidP="00966F91">
      <w:pPr>
        <w:tabs>
          <w:tab w:val="left" w:pos="7908"/>
        </w:tabs>
        <w:rPr>
          <w:rFonts w:asciiTheme="majorBidi" w:hAnsiTheme="majorBidi" w:cstheme="majorBidi"/>
          <w:lang w:val="fr-FR"/>
        </w:rPr>
      </w:pPr>
    </w:p>
    <w:p w:rsidR="008039FA" w:rsidRPr="005528EF" w:rsidRDefault="008039FA" w:rsidP="00966F91">
      <w:pPr>
        <w:tabs>
          <w:tab w:val="left" w:pos="7908"/>
        </w:tabs>
        <w:rPr>
          <w:rFonts w:asciiTheme="majorBidi" w:hAnsiTheme="majorBidi" w:cstheme="majorBidi"/>
          <w:lang w:val="fr-FR"/>
        </w:rPr>
      </w:pPr>
    </w:p>
    <w:p w:rsidR="008039FA" w:rsidRPr="005528EF" w:rsidRDefault="008039FA" w:rsidP="008039FA">
      <w:pPr>
        <w:rPr>
          <w:rFonts w:asciiTheme="majorBidi" w:eastAsia="Times New Roman" w:hAnsiTheme="majorBidi" w:cstheme="majorBidi"/>
          <w:bCs/>
          <w:sz w:val="24"/>
          <w:szCs w:val="24"/>
        </w:rPr>
      </w:pPr>
      <w:r w:rsidRPr="005528EF">
        <w:rPr>
          <w:rFonts w:asciiTheme="majorBidi" w:eastAsia="Times New Roman" w:hAnsiTheme="majorBidi" w:cstheme="majorBidi"/>
          <w:b/>
          <w:sz w:val="24"/>
          <w:szCs w:val="24"/>
        </w:rPr>
        <w:t xml:space="preserve">Supplementary Table </w:t>
      </w:r>
      <w:r w:rsidR="007352D6" w:rsidRPr="005528EF">
        <w:rPr>
          <w:rFonts w:asciiTheme="majorBidi" w:eastAsia="Times New Roman" w:hAnsiTheme="majorBidi" w:cstheme="majorBidi"/>
          <w:b/>
          <w:sz w:val="24"/>
          <w:szCs w:val="24"/>
        </w:rPr>
        <w:t>S</w:t>
      </w:r>
      <w:r w:rsidR="00B61A07" w:rsidRPr="005528EF">
        <w:rPr>
          <w:rFonts w:asciiTheme="majorBidi" w:eastAsia="Times New Roman" w:hAnsiTheme="majorBidi" w:cstheme="majorBidi"/>
          <w:b/>
          <w:sz w:val="24"/>
          <w:szCs w:val="24"/>
        </w:rPr>
        <w:t>3</w:t>
      </w:r>
      <w:r w:rsidRPr="005528EF">
        <w:rPr>
          <w:rFonts w:asciiTheme="majorBidi" w:eastAsia="Times New Roman" w:hAnsiTheme="majorBidi" w:cstheme="majorBidi"/>
          <w:b/>
          <w:sz w:val="24"/>
          <w:szCs w:val="24"/>
        </w:rPr>
        <w:t xml:space="preserve">: </w:t>
      </w:r>
      <w:r w:rsidRPr="005528EF">
        <w:rPr>
          <w:rFonts w:asciiTheme="majorBidi" w:eastAsia="Times New Roman" w:hAnsiTheme="majorBidi" w:cstheme="majorBidi"/>
          <w:bCs/>
          <w:sz w:val="24"/>
          <w:szCs w:val="24"/>
        </w:rPr>
        <w:t xml:space="preserve">Subgroup analysis. </w:t>
      </w:r>
      <w:r w:rsidR="00EB7C21" w:rsidRPr="005528EF">
        <w:rPr>
          <w:rFonts w:asciiTheme="majorBidi" w:eastAsia="Times New Roman" w:hAnsiTheme="majorBidi" w:cstheme="majorBidi"/>
          <w:bCs/>
          <w:sz w:val="24"/>
          <w:szCs w:val="24"/>
        </w:rPr>
        <w:t>(A) age &lt; 2 years. (B) age ≥2 years</w:t>
      </w:r>
    </w:p>
    <w:p w:rsidR="007238D4" w:rsidRPr="005528EF" w:rsidRDefault="00F457E0" w:rsidP="00F457E0">
      <w:pPr>
        <w:spacing w:after="0"/>
        <w:rPr>
          <w:rFonts w:asciiTheme="majorBidi" w:eastAsia="Times New Roman" w:hAnsiTheme="majorBidi" w:cstheme="majorBidi"/>
          <w:bCs/>
          <w:sz w:val="24"/>
          <w:szCs w:val="24"/>
        </w:rPr>
      </w:pPr>
      <w:r w:rsidRPr="005528EF">
        <w:rPr>
          <w:rFonts w:asciiTheme="majorBidi" w:hAnsiTheme="majorBidi" w:cstheme="majorBidi"/>
        </w:rPr>
        <w:t>LUS: lung ultrasound; CI: confidence interval</w:t>
      </w:r>
    </w:p>
    <w:sectPr w:rsidR="007238D4" w:rsidRPr="005528E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C027623"/>
    <w:multiLevelType w:val="hybridMultilevel"/>
    <w:tmpl w:val="FEA21E3E"/>
    <w:lvl w:ilvl="0" w:tplc="A9D857A6">
      <w:start w:val="9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40606"/>
    <w:multiLevelType w:val="hybridMultilevel"/>
    <w:tmpl w:val="F1E684E2"/>
    <w:lvl w:ilvl="0" w:tplc="4EF8DAEA">
      <w:start w:val="90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82D7E"/>
    <w:rsid w:val="00542532"/>
    <w:rsid w:val="005528EF"/>
    <w:rsid w:val="00627987"/>
    <w:rsid w:val="00700B7A"/>
    <w:rsid w:val="007238D4"/>
    <w:rsid w:val="00724E61"/>
    <w:rsid w:val="00733C94"/>
    <w:rsid w:val="007352D6"/>
    <w:rsid w:val="008039FA"/>
    <w:rsid w:val="00881100"/>
    <w:rsid w:val="00966F91"/>
    <w:rsid w:val="00AA1D8D"/>
    <w:rsid w:val="00B47730"/>
    <w:rsid w:val="00B61A07"/>
    <w:rsid w:val="00CB0664"/>
    <w:rsid w:val="00D65ABD"/>
    <w:rsid w:val="00E87C62"/>
    <w:rsid w:val="00EB7C21"/>
    <w:rsid w:val="00ED52BE"/>
    <w:rsid w:val="00EF7AFB"/>
    <w:rsid w:val="00F457E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F90D8"/>
  <w14:defaultImageDpi w14:val="300"/>
  <w15:docId w15:val="{CD2CDAFB-4B11-404A-94AA-7D24C9439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AFB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4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03E3F2-8247-48B7-873F-A8D518FD7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Ali</cp:lastModifiedBy>
  <cp:revision>9</cp:revision>
  <dcterms:created xsi:type="dcterms:W3CDTF">2013-12-23T23:15:00Z</dcterms:created>
  <dcterms:modified xsi:type="dcterms:W3CDTF">2025-04-14T16:35:00Z</dcterms:modified>
  <cp:category/>
</cp:coreProperties>
</file>