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08CFD" w14:textId="2BFA0DC3" w:rsidR="00D779F8" w:rsidRDefault="00D779F8" w:rsidP="00D779F8">
      <w:pPr>
        <w:jc w:val="both"/>
        <w:rPr>
          <w:rFonts w:ascii="Helvetica" w:hAnsi="Helvetica"/>
          <w:b/>
          <w:bCs/>
          <w:sz w:val="22"/>
          <w:szCs w:val="22"/>
        </w:rPr>
      </w:pPr>
      <w:r w:rsidRPr="003D0AB2">
        <w:rPr>
          <w:rFonts w:ascii="Helvetica" w:hAnsi="Helvetica"/>
          <w:b/>
          <w:bCs/>
          <w:sz w:val="22"/>
          <w:szCs w:val="22"/>
        </w:rPr>
        <w:t>S</w:t>
      </w:r>
      <w:r>
        <w:rPr>
          <w:rFonts w:ascii="Helvetica" w:hAnsi="Helvetica"/>
          <w:b/>
          <w:bCs/>
          <w:sz w:val="22"/>
          <w:szCs w:val="22"/>
        </w:rPr>
        <w:t xml:space="preserve">upplementary information: </w:t>
      </w:r>
      <w:r w:rsidRPr="0028670B">
        <w:rPr>
          <w:rFonts w:ascii="Helvetica" w:hAnsi="Helvetica"/>
          <w:b/>
          <w:bCs/>
          <w:sz w:val="22"/>
          <w:szCs w:val="22"/>
        </w:rPr>
        <w:t>Stranded assets in EU+UK agriculture during food system transformations</w:t>
      </w:r>
    </w:p>
    <w:p w14:paraId="64353908" w14:textId="77777777" w:rsidR="00D779F8" w:rsidRPr="000F7735" w:rsidRDefault="00D779F8" w:rsidP="00D779F8">
      <w:pPr>
        <w:jc w:val="both"/>
        <w:rPr>
          <w:rFonts w:ascii="Helvetica" w:hAnsi="Helvetica"/>
          <w:b/>
          <w:bCs/>
          <w:sz w:val="22"/>
          <w:szCs w:val="22"/>
        </w:rPr>
      </w:pPr>
    </w:p>
    <w:p w14:paraId="7F0DB1A7" w14:textId="77777777" w:rsidR="00D779F8" w:rsidRDefault="00D779F8" w:rsidP="00D779F8">
      <w:pPr>
        <w:jc w:val="both"/>
        <w:rPr>
          <w:rFonts w:ascii="Helvetica" w:hAnsi="Helvetica"/>
          <w:b/>
          <w:bCs/>
          <w:sz w:val="18"/>
          <w:szCs w:val="18"/>
          <w:lang w:val="en-US"/>
        </w:rPr>
      </w:pPr>
      <w:r>
        <w:rPr>
          <w:rFonts w:ascii="Helvetica" w:hAnsi="Helvetica"/>
          <w:b/>
          <w:bCs/>
          <w:noProof/>
          <w:sz w:val="18"/>
          <w:szCs w:val="18"/>
          <w:lang w:val="en-US"/>
        </w:rPr>
        <w:drawing>
          <wp:inline distT="0" distB="0" distL="0" distR="0" wp14:anchorId="789E9910" wp14:editId="7762F744">
            <wp:extent cx="5731510" cy="1943735"/>
            <wp:effectExtent l="0" t="0" r="0" b="0"/>
            <wp:docPr id="1348185196" name="Picture 9"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85196" name="Picture 9" descr="A graph of different colored bar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1943735"/>
                    </a:xfrm>
                    <a:prstGeom prst="rect">
                      <a:avLst/>
                    </a:prstGeom>
                  </pic:spPr>
                </pic:pic>
              </a:graphicData>
            </a:graphic>
          </wp:inline>
        </w:drawing>
      </w:r>
    </w:p>
    <w:p w14:paraId="4B655B83" w14:textId="77777777" w:rsidR="00D779F8" w:rsidRDefault="00D779F8" w:rsidP="00D779F8">
      <w:pPr>
        <w:jc w:val="both"/>
        <w:rPr>
          <w:rFonts w:ascii="Helvetica" w:hAnsi="Helvetica"/>
          <w:sz w:val="18"/>
          <w:szCs w:val="18"/>
          <w:lang w:val="en-US"/>
        </w:rPr>
      </w:pPr>
      <w:r w:rsidRPr="00551E02">
        <w:rPr>
          <w:rFonts w:ascii="Helvetica" w:hAnsi="Helvetica"/>
          <w:b/>
          <w:bCs/>
          <w:sz w:val="18"/>
          <w:szCs w:val="18"/>
          <w:lang w:val="en-US"/>
        </w:rPr>
        <w:t>Fig. 1.</w:t>
      </w:r>
      <w:r w:rsidRPr="00551E02">
        <w:rPr>
          <w:rFonts w:ascii="Helvetica" w:hAnsi="Helvetica"/>
          <w:sz w:val="18"/>
          <w:szCs w:val="18"/>
          <w:lang w:val="en-US"/>
        </w:rPr>
        <w:t xml:space="preserve"> EU</w:t>
      </w:r>
      <w:r>
        <w:rPr>
          <w:rFonts w:ascii="Helvetica" w:hAnsi="Helvetica"/>
          <w:sz w:val="18"/>
          <w:szCs w:val="18"/>
          <w:lang w:val="en-US"/>
        </w:rPr>
        <w:t xml:space="preserve">27+UK food intake </w:t>
      </w:r>
      <w:r w:rsidRPr="00551E02">
        <w:rPr>
          <w:rFonts w:ascii="Helvetica" w:hAnsi="Helvetica"/>
          <w:sz w:val="18"/>
          <w:szCs w:val="18"/>
          <w:lang w:val="en-US"/>
        </w:rPr>
        <w:t>and dietary changes</w:t>
      </w:r>
      <w:r>
        <w:rPr>
          <w:rFonts w:ascii="Helvetica" w:hAnsi="Helvetica"/>
          <w:sz w:val="18"/>
          <w:szCs w:val="18"/>
          <w:lang w:val="en-US"/>
        </w:rPr>
        <w:t>, excluding food waste</w:t>
      </w:r>
      <w:r w:rsidRPr="00551E02">
        <w:rPr>
          <w:rFonts w:ascii="Helvetica" w:hAnsi="Helvetica"/>
          <w:sz w:val="18"/>
          <w:szCs w:val="18"/>
          <w:lang w:val="en-US"/>
        </w:rPr>
        <w:t xml:space="preserve"> (</w:t>
      </w:r>
      <w:proofErr w:type="gramStart"/>
      <w:r w:rsidRPr="00551E02">
        <w:rPr>
          <w:rFonts w:ascii="Helvetica" w:hAnsi="Helvetica"/>
          <w:sz w:val="18"/>
          <w:szCs w:val="18"/>
          <w:lang w:val="en-US"/>
        </w:rPr>
        <w:t>left:</w:t>
      </w:r>
      <w:proofErr w:type="gramEnd"/>
      <w:r w:rsidRPr="00551E02">
        <w:rPr>
          <w:rFonts w:ascii="Helvetica" w:hAnsi="Helvetica"/>
          <w:sz w:val="18"/>
          <w:szCs w:val="18"/>
          <w:lang w:val="en-US"/>
        </w:rPr>
        <w:t xml:space="preserve"> mass, right: energy)</w:t>
      </w:r>
      <w:r>
        <w:rPr>
          <w:rFonts w:ascii="Helvetica" w:hAnsi="Helvetica"/>
          <w:sz w:val="18"/>
          <w:szCs w:val="18"/>
          <w:lang w:val="en-US"/>
        </w:rPr>
        <w:t>.</w:t>
      </w:r>
    </w:p>
    <w:p w14:paraId="0A749692" w14:textId="77777777" w:rsidR="00D779F8" w:rsidRPr="00551E02" w:rsidRDefault="00D779F8" w:rsidP="00D779F8">
      <w:pPr>
        <w:jc w:val="both"/>
        <w:rPr>
          <w:rFonts w:ascii="Helvetica" w:hAnsi="Helvetica"/>
          <w:sz w:val="18"/>
          <w:szCs w:val="18"/>
          <w:lang w:val="en-US"/>
        </w:rPr>
      </w:pPr>
    </w:p>
    <w:p w14:paraId="35C11AAF" w14:textId="77777777" w:rsidR="00D779F8" w:rsidRDefault="00D779F8" w:rsidP="00D779F8">
      <w:pPr>
        <w:jc w:val="both"/>
        <w:rPr>
          <w:rFonts w:ascii="Helvetica" w:hAnsi="Helvetica"/>
          <w:b/>
          <w:bCs/>
          <w:sz w:val="18"/>
          <w:szCs w:val="18"/>
        </w:rPr>
      </w:pPr>
      <w:r>
        <w:rPr>
          <w:rFonts w:ascii="Helvetica" w:hAnsi="Helvetica"/>
          <w:b/>
          <w:bCs/>
          <w:noProof/>
          <w:sz w:val="18"/>
          <w:szCs w:val="18"/>
        </w:rPr>
        <w:drawing>
          <wp:inline distT="0" distB="0" distL="0" distR="0" wp14:anchorId="2AB4E0AB" wp14:editId="781BC86C">
            <wp:extent cx="5731510" cy="3966210"/>
            <wp:effectExtent l="0" t="0" r="0" b="0"/>
            <wp:docPr id="197018998" name="Picture 8"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8998" name="Picture 8" descr="A graph of different colored ba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966210"/>
                    </a:xfrm>
                    <a:prstGeom prst="rect">
                      <a:avLst/>
                    </a:prstGeom>
                  </pic:spPr>
                </pic:pic>
              </a:graphicData>
            </a:graphic>
          </wp:inline>
        </w:drawing>
      </w:r>
    </w:p>
    <w:p w14:paraId="4C297587" w14:textId="77777777" w:rsidR="00D779F8" w:rsidRDefault="00D779F8" w:rsidP="00D779F8">
      <w:pPr>
        <w:jc w:val="both"/>
        <w:rPr>
          <w:rFonts w:ascii="Helvetica" w:hAnsi="Helvetica"/>
          <w:sz w:val="18"/>
          <w:szCs w:val="18"/>
        </w:rPr>
      </w:pPr>
      <w:r w:rsidRPr="00E125CA">
        <w:rPr>
          <w:rFonts w:ascii="Helvetica" w:hAnsi="Helvetica"/>
          <w:b/>
          <w:bCs/>
          <w:sz w:val="18"/>
          <w:szCs w:val="18"/>
        </w:rPr>
        <w:t xml:space="preserve">Fig. </w:t>
      </w:r>
      <w:r>
        <w:rPr>
          <w:rFonts w:ascii="Helvetica" w:hAnsi="Helvetica"/>
          <w:b/>
          <w:bCs/>
          <w:sz w:val="18"/>
          <w:szCs w:val="18"/>
        </w:rPr>
        <w:t>2</w:t>
      </w:r>
      <w:r w:rsidRPr="00E125CA">
        <w:rPr>
          <w:rFonts w:ascii="Helvetica" w:hAnsi="Helvetica"/>
          <w:b/>
          <w:bCs/>
          <w:sz w:val="18"/>
          <w:szCs w:val="18"/>
        </w:rPr>
        <w:t>.</w:t>
      </w:r>
      <w:r w:rsidRPr="00E125CA">
        <w:rPr>
          <w:rFonts w:ascii="Helvetica" w:hAnsi="Helvetica"/>
          <w:sz w:val="18"/>
          <w:szCs w:val="18"/>
        </w:rPr>
        <w:t xml:space="preserve"> Overview of asset types </w:t>
      </w:r>
      <w:r>
        <w:rPr>
          <w:rFonts w:ascii="Helvetica" w:hAnsi="Helvetica"/>
          <w:sz w:val="18"/>
          <w:szCs w:val="18"/>
        </w:rPr>
        <w:t xml:space="preserve">embodied </w:t>
      </w:r>
      <w:r w:rsidRPr="00E125CA">
        <w:rPr>
          <w:rFonts w:ascii="Helvetica" w:hAnsi="Helvetica"/>
          <w:sz w:val="18"/>
          <w:szCs w:val="18"/>
        </w:rPr>
        <w:t xml:space="preserve">in the </w:t>
      </w:r>
      <w:r>
        <w:rPr>
          <w:rFonts w:ascii="Helvetica" w:hAnsi="Helvetica"/>
          <w:sz w:val="18"/>
          <w:szCs w:val="18"/>
        </w:rPr>
        <w:t>agricultural</w:t>
      </w:r>
      <w:r w:rsidRPr="00E125CA">
        <w:rPr>
          <w:rFonts w:ascii="Helvetica" w:hAnsi="Helvetica"/>
          <w:sz w:val="18"/>
          <w:szCs w:val="18"/>
        </w:rPr>
        <w:t xml:space="preserve"> system. The land asset includes the value of land, permanent crops and quotas. Fixed assets are divided into </w:t>
      </w:r>
      <w:r>
        <w:rPr>
          <w:rFonts w:ascii="Helvetica" w:hAnsi="Helvetica"/>
          <w:sz w:val="18"/>
          <w:szCs w:val="18"/>
        </w:rPr>
        <w:t xml:space="preserve">buildings, machinery &amp; equipment, and breeding-livestock. </w:t>
      </w:r>
      <w:r w:rsidRPr="00E125CA">
        <w:rPr>
          <w:rFonts w:ascii="Helvetica" w:hAnsi="Helvetica"/>
          <w:sz w:val="18"/>
          <w:szCs w:val="18"/>
        </w:rPr>
        <w:t>Besides fixed-assets, there are current assets, which are faster circulating assets and include breeding livestock, inventories (stocks of products owned by the farm, either used as inputs or available for sale, whether produced or purchased), and other current assets (cash, receivables from business activities, and assets easily sold or payable within a year). Total liabilities are the debt of farm and include short-term and long- and medium-term loans. Intangible assets are either tradable (quotas, rights) or non-tradable (software, licences). CAP subsidies include the entire CAP budget for the EU</w:t>
      </w:r>
      <w:r>
        <w:rPr>
          <w:rFonts w:ascii="Helvetica" w:hAnsi="Helvetica"/>
          <w:sz w:val="18"/>
          <w:szCs w:val="18"/>
        </w:rPr>
        <w:t>27</w:t>
      </w:r>
      <w:r w:rsidRPr="00E125CA">
        <w:rPr>
          <w:rFonts w:ascii="Helvetica" w:hAnsi="Helvetica"/>
          <w:sz w:val="18"/>
          <w:szCs w:val="18"/>
        </w:rPr>
        <w:t>+UK</w:t>
      </w:r>
      <w:r>
        <w:rPr>
          <w:rFonts w:ascii="Helvetica" w:hAnsi="Helvetica"/>
          <w:sz w:val="18"/>
          <w:szCs w:val="18"/>
        </w:rPr>
        <w:t xml:space="preserve">. </w:t>
      </w:r>
    </w:p>
    <w:p w14:paraId="6D8EA098" w14:textId="77777777" w:rsidR="00D779F8" w:rsidRPr="00E125CA" w:rsidRDefault="00D779F8" w:rsidP="00D779F8">
      <w:pPr>
        <w:jc w:val="both"/>
        <w:rPr>
          <w:rFonts w:ascii="Helvetica" w:hAnsi="Helvetica"/>
          <w:sz w:val="18"/>
          <w:szCs w:val="18"/>
        </w:rPr>
      </w:pPr>
    </w:p>
    <w:p w14:paraId="13B3DE48" w14:textId="77777777" w:rsidR="00D779F8" w:rsidRDefault="00D779F8" w:rsidP="00D779F8">
      <w:pPr>
        <w:jc w:val="both"/>
        <w:rPr>
          <w:rFonts w:ascii="Helvetica" w:hAnsi="Helvetica"/>
          <w:color w:val="000000" w:themeColor="text1"/>
          <w:sz w:val="22"/>
          <w:szCs w:val="22"/>
        </w:rPr>
      </w:pPr>
      <w:r>
        <w:rPr>
          <w:rFonts w:ascii="Helvetica" w:hAnsi="Helvetica"/>
          <w:noProof/>
          <w:color w:val="000000" w:themeColor="text1"/>
          <w:sz w:val="22"/>
          <w:szCs w:val="22"/>
        </w:rPr>
        <w:drawing>
          <wp:inline distT="0" distB="0" distL="0" distR="0" wp14:anchorId="5CE4E24D" wp14:editId="53CA829B">
            <wp:extent cx="5168900" cy="3314700"/>
            <wp:effectExtent l="0" t="0" r="0" b="0"/>
            <wp:docPr id="869673328" name="Picture 13" descr="A graph of a number of asse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73328" name="Picture 13" descr="A graph of a number of asset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68900" cy="3314700"/>
                    </a:xfrm>
                    <a:prstGeom prst="rect">
                      <a:avLst/>
                    </a:prstGeom>
                  </pic:spPr>
                </pic:pic>
              </a:graphicData>
            </a:graphic>
          </wp:inline>
        </w:drawing>
      </w:r>
    </w:p>
    <w:p w14:paraId="76633BC2" w14:textId="77777777" w:rsidR="00D779F8" w:rsidRDefault="00D779F8" w:rsidP="00D779F8">
      <w:pPr>
        <w:jc w:val="both"/>
        <w:rPr>
          <w:rFonts w:ascii="Helvetica" w:hAnsi="Helvetica"/>
          <w:color w:val="000000" w:themeColor="text1"/>
          <w:sz w:val="18"/>
          <w:szCs w:val="18"/>
        </w:rPr>
      </w:pPr>
      <w:r w:rsidRPr="008B4FE1">
        <w:rPr>
          <w:rFonts w:ascii="Helvetica" w:hAnsi="Helvetica"/>
          <w:b/>
          <w:bCs/>
          <w:color w:val="000000" w:themeColor="text1"/>
          <w:sz w:val="18"/>
          <w:szCs w:val="18"/>
        </w:rPr>
        <w:t xml:space="preserve">Fig. </w:t>
      </w:r>
      <w:r>
        <w:rPr>
          <w:rFonts w:ascii="Helvetica" w:hAnsi="Helvetica"/>
          <w:b/>
          <w:bCs/>
          <w:color w:val="000000" w:themeColor="text1"/>
          <w:sz w:val="18"/>
          <w:szCs w:val="18"/>
        </w:rPr>
        <w:t>3</w:t>
      </w:r>
      <w:r w:rsidRPr="008B4FE1">
        <w:rPr>
          <w:rFonts w:ascii="Helvetica" w:hAnsi="Helvetica"/>
          <w:b/>
          <w:bCs/>
          <w:color w:val="000000" w:themeColor="text1"/>
          <w:sz w:val="18"/>
          <w:szCs w:val="18"/>
        </w:rPr>
        <w:t>.</w:t>
      </w:r>
      <w:r w:rsidRPr="008B4FE1">
        <w:rPr>
          <w:rFonts w:ascii="Helvetica" w:hAnsi="Helvetica"/>
          <w:color w:val="000000" w:themeColor="text1"/>
          <w:sz w:val="18"/>
          <w:szCs w:val="18"/>
        </w:rPr>
        <w:t xml:space="preserve"> </w:t>
      </w:r>
      <w:r>
        <w:rPr>
          <w:rFonts w:ascii="Helvetica" w:hAnsi="Helvetica"/>
          <w:color w:val="000000" w:themeColor="text1"/>
          <w:sz w:val="18"/>
          <w:szCs w:val="18"/>
        </w:rPr>
        <w:t>Linear transition to ASF reductions and depreciation of fixed assets over a timespan of 10 years (upper plot) and 30 years (lower plot).</w:t>
      </w:r>
      <w:r w:rsidRPr="008B4FE1">
        <w:rPr>
          <w:rFonts w:ascii="Helvetica" w:hAnsi="Helvetica"/>
          <w:color w:val="000000" w:themeColor="text1"/>
          <w:sz w:val="18"/>
          <w:szCs w:val="18"/>
        </w:rPr>
        <w:t xml:space="preserve"> </w:t>
      </w:r>
    </w:p>
    <w:p w14:paraId="387453C1" w14:textId="77777777" w:rsidR="00F648B2" w:rsidRDefault="00F648B2" w:rsidP="00D779F8">
      <w:pPr>
        <w:jc w:val="both"/>
        <w:rPr>
          <w:rFonts w:ascii="Helvetica" w:hAnsi="Helvetica"/>
          <w:color w:val="000000" w:themeColor="text1"/>
          <w:sz w:val="18"/>
          <w:szCs w:val="18"/>
        </w:rPr>
      </w:pPr>
    </w:p>
    <w:p w14:paraId="4F1E13F7" w14:textId="77777777" w:rsidR="00F648B2" w:rsidRDefault="00F648B2" w:rsidP="00D779F8">
      <w:pPr>
        <w:jc w:val="both"/>
        <w:rPr>
          <w:rFonts w:ascii="Helvetica" w:hAnsi="Helvetica"/>
          <w:color w:val="000000" w:themeColor="text1"/>
          <w:sz w:val="18"/>
          <w:szCs w:val="18"/>
        </w:rPr>
      </w:pPr>
    </w:p>
    <w:p w14:paraId="64F68C96" w14:textId="77777777" w:rsidR="00F648B2" w:rsidRDefault="00F648B2" w:rsidP="00D779F8">
      <w:pPr>
        <w:jc w:val="both"/>
        <w:rPr>
          <w:rFonts w:ascii="Helvetica" w:hAnsi="Helvetica"/>
          <w:color w:val="000000" w:themeColor="text1"/>
          <w:sz w:val="18"/>
          <w:szCs w:val="18"/>
        </w:rPr>
      </w:pPr>
    </w:p>
    <w:p w14:paraId="76006B68" w14:textId="77777777" w:rsidR="00F648B2" w:rsidRDefault="00F648B2" w:rsidP="00D779F8">
      <w:pPr>
        <w:jc w:val="both"/>
        <w:rPr>
          <w:rFonts w:ascii="Helvetica" w:hAnsi="Helvetica"/>
          <w:color w:val="000000" w:themeColor="text1"/>
          <w:sz w:val="18"/>
          <w:szCs w:val="18"/>
        </w:rPr>
      </w:pPr>
    </w:p>
    <w:p w14:paraId="7D89F357" w14:textId="77777777" w:rsidR="00F648B2" w:rsidRDefault="00F648B2" w:rsidP="00D779F8">
      <w:pPr>
        <w:jc w:val="both"/>
        <w:rPr>
          <w:rFonts w:ascii="Helvetica" w:hAnsi="Helvetica"/>
          <w:color w:val="000000" w:themeColor="text1"/>
          <w:sz w:val="18"/>
          <w:szCs w:val="18"/>
        </w:rPr>
      </w:pPr>
    </w:p>
    <w:p w14:paraId="57F865E1" w14:textId="403E72AA" w:rsidR="00D779F8" w:rsidRDefault="00F648B2" w:rsidP="00D779F8">
      <w:pPr>
        <w:jc w:val="both"/>
        <w:rPr>
          <w:rFonts w:ascii="Helvetica" w:hAnsi="Helvetica"/>
          <w:color w:val="000000" w:themeColor="text1"/>
          <w:sz w:val="18"/>
          <w:szCs w:val="18"/>
        </w:rPr>
      </w:pPr>
      <w:r>
        <w:rPr>
          <w:rFonts w:ascii="Helvetica" w:hAnsi="Helvetica"/>
          <w:noProof/>
          <w:color w:val="000000" w:themeColor="text1"/>
          <w:sz w:val="18"/>
          <w:szCs w:val="18"/>
        </w:rPr>
        <w:lastRenderedPageBreak/>
        <w:drawing>
          <wp:inline distT="0" distB="0" distL="0" distR="0" wp14:anchorId="7C9FE48F" wp14:editId="661947E2">
            <wp:extent cx="5731510" cy="3565525"/>
            <wp:effectExtent l="0" t="0" r="0" b="3175"/>
            <wp:docPr id="147262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22705" name="Picture 1472622705"/>
                    <pic:cNvPicPr/>
                  </pic:nvPicPr>
                  <pic:blipFill>
                    <a:blip r:embed="rId7"/>
                    <a:stretch>
                      <a:fillRect/>
                    </a:stretch>
                  </pic:blipFill>
                  <pic:spPr>
                    <a:xfrm>
                      <a:off x="0" y="0"/>
                      <a:ext cx="5731510" cy="3565525"/>
                    </a:xfrm>
                    <a:prstGeom prst="rect">
                      <a:avLst/>
                    </a:prstGeom>
                  </pic:spPr>
                </pic:pic>
              </a:graphicData>
            </a:graphic>
          </wp:inline>
        </w:drawing>
      </w:r>
    </w:p>
    <w:p w14:paraId="6F6951DC" w14:textId="072C6B87" w:rsidR="00D779F8" w:rsidRDefault="00D779F8" w:rsidP="00D779F8">
      <w:pPr>
        <w:jc w:val="both"/>
        <w:rPr>
          <w:rFonts w:ascii="Helvetica" w:hAnsi="Helvetica"/>
          <w:color w:val="000000" w:themeColor="text1"/>
          <w:sz w:val="18"/>
          <w:szCs w:val="18"/>
        </w:rPr>
      </w:pPr>
      <w:r w:rsidRPr="00B2747F">
        <w:rPr>
          <w:rFonts w:ascii="Helvetica" w:hAnsi="Helvetica"/>
          <w:b/>
          <w:bCs/>
          <w:color w:val="000000" w:themeColor="text1"/>
          <w:sz w:val="18"/>
          <w:szCs w:val="18"/>
        </w:rPr>
        <w:t xml:space="preserve">Fig 4. </w:t>
      </w:r>
      <w:r>
        <w:rPr>
          <w:rFonts w:ascii="Helvetica" w:hAnsi="Helvetica"/>
          <w:color w:val="000000" w:themeColor="text1"/>
          <w:sz w:val="18"/>
          <w:szCs w:val="18"/>
        </w:rPr>
        <w:t xml:space="preserve">Methods schematics of the dietary scenario construction, the FADN data reorganization and its integration with FABIO to </w:t>
      </w:r>
      <w:r w:rsidR="00F648B2">
        <w:rPr>
          <w:rFonts w:ascii="Helvetica" w:hAnsi="Helvetica"/>
          <w:color w:val="000000" w:themeColor="text1"/>
          <w:sz w:val="18"/>
          <w:szCs w:val="18"/>
        </w:rPr>
        <w:t>analyse</w:t>
      </w:r>
      <w:r>
        <w:rPr>
          <w:rFonts w:ascii="Helvetica" w:hAnsi="Helvetica"/>
          <w:color w:val="000000" w:themeColor="text1"/>
          <w:sz w:val="18"/>
          <w:szCs w:val="18"/>
        </w:rPr>
        <w:t xml:space="preserve"> the socio-economic impact of food consumption.</w:t>
      </w:r>
    </w:p>
    <w:p w14:paraId="36765F0E" w14:textId="77777777" w:rsidR="00D779F8" w:rsidRPr="003A7C94" w:rsidRDefault="00D779F8" w:rsidP="00D779F8">
      <w:pPr>
        <w:jc w:val="both"/>
        <w:rPr>
          <w:rFonts w:ascii="Helvetica" w:hAnsi="Helvetica"/>
          <w:sz w:val="18"/>
          <w:szCs w:val="18"/>
        </w:rPr>
      </w:pPr>
      <w:r w:rsidRPr="003A7C94">
        <w:rPr>
          <w:rFonts w:ascii="Helvetica" w:hAnsi="Helvetica"/>
          <w:sz w:val="18"/>
          <w:szCs w:val="18"/>
        </w:rPr>
        <w:t>Table 1. Overview of FADN data</w:t>
      </w:r>
    </w:p>
    <w:tbl>
      <w:tblPr>
        <w:tblStyle w:val="TableGrid"/>
        <w:tblW w:w="9100" w:type="dxa"/>
        <w:tblLook w:val="04A0" w:firstRow="1" w:lastRow="0" w:firstColumn="1" w:lastColumn="0" w:noHBand="0" w:noVBand="1"/>
      </w:tblPr>
      <w:tblGrid>
        <w:gridCol w:w="1916"/>
        <w:gridCol w:w="2240"/>
        <w:gridCol w:w="2247"/>
        <w:gridCol w:w="2697"/>
      </w:tblGrid>
      <w:tr w:rsidR="00D779F8" w:rsidRPr="003D0AB2" w14:paraId="2E9FE836" w14:textId="77777777" w:rsidTr="00572140">
        <w:trPr>
          <w:trHeight w:val="331"/>
        </w:trPr>
        <w:tc>
          <w:tcPr>
            <w:tcW w:w="1916" w:type="dxa"/>
          </w:tcPr>
          <w:p w14:paraId="762978C5" w14:textId="77777777" w:rsidR="00D779F8" w:rsidRPr="005368EF" w:rsidRDefault="00D779F8" w:rsidP="00572140">
            <w:pPr>
              <w:rPr>
                <w:rFonts w:ascii="Helvetica" w:hAnsi="Helvetica"/>
                <w:sz w:val="18"/>
                <w:szCs w:val="18"/>
              </w:rPr>
            </w:pPr>
            <w:r w:rsidRPr="005368EF">
              <w:rPr>
                <w:rFonts w:ascii="Helvetica" w:hAnsi="Helvetica"/>
                <w:sz w:val="18"/>
                <w:szCs w:val="18"/>
              </w:rPr>
              <w:t>Category</w:t>
            </w:r>
            <w:r>
              <w:rPr>
                <w:rFonts w:ascii="Helvetica" w:hAnsi="Helvetica"/>
                <w:sz w:val="18"/>
                <w:szCs w:val="18"/>
              </w:rPr>
              <w:t>:</w:t>
            </w:r>
          </w:p>
        </w:tc>
        <w:tc>
          <w:tcPr>
            <w:tcW w:w="2240" w:type="dxa"/>
          </w:tcPr>
          <w:p w14:paraId="300B11DB" w14:textId="77777777" w:rsidR="00D779F8" w:rsidRPr="005368EF" w:rsidRDefault="00D779F8" w:rsidP="00572140">
            <w:pPr>
              <w:rPr>
                <w:rFonts w:ascii="Helvetica" w:hAnsi="Helvetica"/>
                <w:sz w:val="18"/>
                <w:szCs w:val="18"/>
              </w:rPr>
            </w:pPr>
            <w:r w:rsidRPr="005368EF">
              <w:rPr>
                <w:rFonts w:ascii="Helvetica" w:hAnsi="Helvetica"/>
                <w:sz w:val="18"/>
                <w:szCs w:val="18"/>
              </w:rPr>
              <w:t>Subcategory</w:t>
            </w:r>
            <w:r>
              <w:rPr>
                <w:rFonts w:ascii="Helvetica" w:hAnsi="Helvetica"/>
                <w:sz w:val="18"/>
                <w:szCs w:val="18"/>
              </w:rPr>
              <w:t>:</w:t>
            </w:r>
          </w:p>
        </w:tc>
        <w:tc>
          <w:tcPr>
            <w:tcW w:w="2247" w:type="dxa"/>
          </w:tcPr>
          <w:p w14:paraId="33B8D4CD" w14:textId="77777777" w:rsidR="00D779F8" w:rsidRPr="005368EF" w:rsidRDefault="00D779F8" w:rsidP="00572140">
            <w:pPr>
              <w:rPr>
                <w:rFonts w:ascii="Helvetica" w:hAnsi="Helvetica"/>
                <w:sz w:val="18"/>
                <w:szCs w:val="18"/>
              </w:rPr>
            </w:pPr>
            <w:r w:rsidRPr="005368EF">
              <w:rPr>
                <w:rFonts w:ascii="Helvetica" w:hAnsi="Helvetica"/>
                <w:sz w:val="18"/>
                <w:szCs w:val="18"/>
              </w:rPr>
              <w:t>Description</w:t>
            </w:r>
            <w:r>
              <w:rPr>
                <w:rFonts w:ascii="Helvetica" w:hAnsi="Helvetica"/>
                <w:sz w:val="18"/>
                <w:szCs w:val="18"/>
              </w:rPr>
              <w:t>:</w:t>
            </w:r>
          </w:p>
        </w:tc>
        <w:tc>
          <w:tcPr>
            <w:tcW w:w="2697" w:type="dxa"/>
          </w:tcPr>
          <w:p w14:paraId="54C898EF" w14:textId="77777777" w:rsidR="00D779F8" w:rsidRPr="005368EF" w:rsidRDefault="00D779F8" w:rsidP="00572140">
            <w:pPr>
              <w:rPr>
                <w:rFonts w:ascii="Helvetica" w:hAnsi="Helvetica"/>
                <w:sz w:val="18"/>
                <w:szCs w:val="18"/>
              </w:rPr>
            </w:pPr>
            <w:r w:rsidRPr="005368EF">
              <w:rPr>
                <w:rFonts w:ascii="Helvetica" w:hAnsi="Helvetica"/>
                <w:sz w:val="18"/>
                <w:szCs w:val="18"/>
              </w:rPr>
              <w:t>Collected as</w:t>
            </w:r>
            <w:r>
              <w:rPr>
                <w:rFonts w:ascii="Helvetica" w:hAnsi="Helvetica"/>
                <w:sz w:val="18"/>
                <w:szCs w:val="18"/>
              </w:rPr>
              <w:t>:</w:t>
            </w:r>
          </w:p>
        </w:tc>
      </w:tr>
      <w:tr w:rsidR="00D779F8" w:rsidRPr="003D0AB2" w14:paraId="30265B05" w14:textId="77777777" w:rsidTr="00572140">
        <w:trPr>
          <w:trHeight w:val="702"/>
        </w:trPr>
        <w:tc>
          <w:tcPr>
            <w:tcW w:w="1916" w:type="dxa"/>
          </w:tcPr>
          <w:p w14:paraId="479C1BDC" w14:textId="77777777" w:rsidR="00D779F8" w:rsidRPr="005368EF" w:rsidRDefault="00D779F8" w:rsidP="00572140">
            <w:pPr>
              <w:rPr>
                <w:rFonts w:ascii="Helvetica" w:hAnsi="Helvetica"/>
                <w:sz w:val="18"/>
                <w:szCs w:val="18"/>
              </w:rPr>
            </w:pPr>
            <w:r>
              <w:rPr>
                <w:rFonts w:ascii="Helvetica" w:hAnsi="Helvetica"/>
                <w:sz w:val="18"/>
                <w:szCs w:val="18"/>
              </w:rPr>
              <w:t>Land asset</w:t>
            </w:r>
          </w:p>
        </w:tc>
        <w:tc>
          <w:tcPr>
            <w:tcW w:w="2240" w:type="dxa"/>
          </w:tcPr>
          <w:p w14:paraId="4AE5A242" w14:textId="77777777" w:rsidR="00D779F8" w:rsidRPr="005368EF" w:rsidRDefault="00D779F8" w:rsidP="00572140">
            <w:pPr>
              <w:rPr>
                <w:rFonts w:ascii="Helvetica" w:hAnsi="Helvetica"/>
                <w:sz w:val="18"/>
                <w:szCs w:val="18"/>
              </w:rPr>
            </w:pPr>
            <w:r w:rsidRPr="005368EF">
              <w:rPr>
                <w:rFonts w:ascii="Helvetica" w:hAnsi="Helvetica"/>
                <w:sz w:val="18"/>
                <w:szCs w:val="18"/>
              </w:rPr>
              <w:t>Land</w:t>
            </w:r>
          </w:p>
        </w:tc>
        <w:tc>
          <w:tcPr>
            <w:tcW w:w="2247" w:type="dxa"/>
          </w:tcPr>
          <w:p w14:paraId="668EA7EC" w14:textId="77777777" w:rsidR="00D779F8" w:rsidRPr="005368EF" w:rsidRDefault="00D779F8" w:rsidP="00572140">
            <w:pPr>
              <w:rPr>
                <w:rFonts w:ascii="Helvetica" w:hAnsi="Helvetica" w:cs="Helvetica"/>
                <w:color w:val="000000"/>
                <w:kern w:val="0"/>
                <w:sz w:val="18"/>
                <w:szCs w:val="18"/>
              </w:rPr>
            </w:pPr>
            <w:r w:rsidRPr="005368EF">
              <w:rPr>
                <w:rFonts w:ascii="Helvetica" w:hAnsi="Helvetica" w:cs="Helvetica"/>
                <w:color w:val="000000"/>
                <w:kern w:val="0"/>
                <w:sz w:val="18"/>
                <w:szCs w:val="18"/>
              </w:rPr>
              <w:t>Agricultural land, permanent crops, improvements to land, quotas and other prescribed rights (including acquisition costs) and forest land</w:t>
            </w:r>
          </w:p>
          <w:p w14:paraId="09CD02CC" w14:textId="77777777" w:rsidR="00D779F8" w:rsidRPr="005368EF" w:rsidRDefault="00D779F8" w:rsidP="00572140">
            <w:pPr>
              <w:rPr>
                <w:rFonts w:ascii="Helvetica" w:hAnsi="Helvetica" w:cs="Helvetica"/>
                <w:color w:val="000000"/>
                <w:kern w:val="0"/>
                <w:sz w:val="18"/>
                <w:szCs w:val="18"/>
              </w:rPr>
            </w:pPr>
          </w:p>
          <w:p w14:paraId="18F0FB77"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8"/>
                <w:szCs w:val="18"/>
              </w:rPr>
            </w:pPr>
            <w:r w:rsidRPr="005368EF">
              <w:rPr>
                <w:rFonts w:ascii="Helvetica" w:hAnsi="Helvetica" w:cs="Helvetica"/>
                <w:color w:val="000000"/>
                <w:kern w:val="0"/>
                <w:sz w:val="18"/>
                <w:szCs w:val="18"/>
              </w:rPr>
              <w:t>Agricultural land owned by the holding including land improvements (e.g., fencing, drainage, fixed irrigation equipment) belonging to the holder.</w:t>
            </w:r>
          </w:p>
          <w:p w14:paraId="6FEBD646"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8"/>
                <w:szCs w:val="18"/>
              </w:rPr>
            </w:pPr>
          </w:p>
          <w:p w14:paraId="458837A9"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8"/>
                <w:szCs w:val="18"/>
              </w:rPr>
            </w:pPr>
            <w:r w:rsidRPr="005368EF">
              <w:rPr>
                <w:rFonts w:ascii="Helvetica" w:hAnsi="Helvetica" w:cs="Helvetica"/>
                <w:color w:val="000000"/>
                <w:kern w:val="0"/>
                <w:sz w:val="18"/>
                <w:szCs w:val="18"/>
              </w:rPr>
              <w:t>Forest land included stranding timber in owner occupation included in the agricultural holding</w:t>
            </w:r>
          </w:p>
        </w:tc>
        <w:tc>
          <w:tcPr>
            <w:tcW w:w="2697" w:type="dxa"/>
          </w:tcPr>
          <w:p w14:paraId="15CC2E61"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8"/>
                <w:szCs w:val="18"/>
              </w:rPr>
            </w:pPr>
            <w:r w:rsidRPr="005368EF">
              <w:rPr>
                <w:rFonts w:ascii="Helvetica" w:hAnsi="Helvetica" w:cs="Helvetica"/>
                <w:color w:val="000000"/>
                <w:kern w:val="0"/>
                <w:sz w:val="18"/>
                <w:szCs w:val="18"/>
              </w:rPr>
              <w:t>“biological assets – plants” + “agricultural land” + “ land improvements” + “forest land including stranded timber” + “intangible assets, tradable”</w:t>
            </w:r>
          </w:p>
          <w:p w14:paraId="551C0CDD" w14:textId="77777777" w:rsidR="00D779F8" w:rsidRPr="005368EF" w:rsidRDefault="00D779F8" w:rsidP="00572140">
            <w:pPr>
              <w:rPr>
                <w:rFonts w:ascii="Helvetica" w:hAnsi="Helvetica" w:cs="Helvetica"/>
                <w:color w:val="000000"/>
                <w:kern w:val="0"/>
                <w:sz w:val="18"/>
                <w:szCs w:val="18"/>
              </w:rPr>
            </w:pPr>
          </w:p>
        </w:tc>
      </w:tr>
      <w:tr w:rsidR="00D779F8" w:rsidRPr="003D0AB2" w14:paraId="691F6205" w14:textId="77777777" w:rsidTr="00572140">
        <w:trPr>
          <w:trHeight w:val="331"/>
        </w:trPr>
        <w:tc>
          <w:tcPr>
            <w:tcW w:w="1916" w:type="dxa"/>
            <w:vMerge w:val="restart"/>
          </w:tcPr>
          <w:p w14:paraId="4A7E9566" w14:textId="77777777" w:rsidR="00D779F8" w:rsidRPr="005368EF" w:rsidRDefault="00D779F8" w:rsidP="00572140">
            <w:pPr>
              <w:rPr>
                <w:rFonts w:ascii="Helvetica" w:hAnsi="Helvetica"/>
                <w:sz w:val="18"/>
                <w:szCs w:val="18"/>
              </w:rPr>
            </w:pPr>
            <w:r>
              <w:rPr>
                <w:rFonts w:ascii="Helvetica" w:hAnsi="Helvetica"/>
                <w:sz w:val="18"/>
                <w:szCs w:val="18"/>
              </w:rPr>
              <w:t>F</w:t>
            </w:r>
            <w:r w:rsidRPr="005368EF">
              <w:rPr>
                <w:rFonts w:ascii="Helvetica" w:hAnsi="Helvetica"/>
                <w:sz w:val="18"/>
                <w:szCs w:val="18"/>
              </w:rPr>
              <w:t>ixed assets</w:t>
            </w:r>
          </w:p>
        </w:tc>
        <w:tc>
          <w:tcPr>
            <w:tcW w:w="2240" w:type="dxa"/>
          </w:tcPr>
          <w:p w14:paraId="753647F0" w14:textId="77777777" w:rsidR="00D779F8" w:rsidRPr="005368EF" w:rsidRDefault="00D779F8" w:rsidP="00572140">
            <w:pPr>
              <w:rPr>
                <w:rFonts w:ascii="Helvetica" w:hAnsi="Helvetica"/>
                <w:sz w:val="18"/>
                <w:szCs w:val="18"/>
              </w:rPr>
            </w:pPr>
            <w:r w:rsidRPr="005368EF">
              <w:rPr>
                <w:rFonts w:ascii="Helvetica" w:hAnsi="Helvetica"/>
                <w:sz w:val="18"/>
                <w:szCs w:val="18"/>
              </w:rPr>
              <w:t>Buildings</w:t>
            </w:r>
          </w:p>
        </w:tc>
        <w:tc>
          <w:tcPr>
            <w:tcW w:w="2247" w:type="dxa"/>
          </w:tcPr>
          <w:p w14:paraId="3E72B2E1"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8"/>
                <w:szCs w:val="18"/>
              </w:rPr>
            </w:pPr>
            <w:r w:rsidRPr="005368EF">
              <w:rPr>
                <w:rFonts w:ascii="Helvetica" w:hAnsi="Helvetica" w:cs="Helvetica"/>
                <w:color w:val="000000"/>
                <w:kern w:val="0"/>
                <w:sz w:val="18"/>
                <w:szCs w:val="18"/>
              </w:rPr>
              <w:t>Farm buildings belonging to the holder whatever the type of occupancy of the land</w:t>
            </w:r>
          </w:p>
        </w:tc>
        <w:tc>
          <w:tcPr>
            <w:tcW w:w="2697" w:type="dxa"/>
          </w:tcPr>
          <w:p w14:paraId="514542C5" w14:textId="77777777" w:rsidR="00D779F8" w:rsidRPr="005368EF" w:rsidRDefault="00D779F8" w:rsidP="00572140">
            <w:pPr>
              <w:rPr>
                <w:rFonts w:ascii="Helvetica" w:hAnsi="Helvetica"/>
                <w:sz w:val="18"/>
                <w:szCs w:val="18"/>
              </w:rPr>
            </w:pPr>
          </w:p>
        </w:tc>
      </w:tr>
      <w:tr w:rsidR="00D779F8" w:rsidRPr="003D0AB2" w14:paraId="67AA2886" w14:textId="77777777" w:rsidTr="00572140">
        <w:trPr>
          <w:trHeight w:val="1054"/>
        </w:trPr>
        <w:tc>
          <w:tcPr>
            <w:tcW w:w="1916" w:type="dxa"/>
            <w:vMerge/>
          </w:tcPr>
          <w:p w14:paraId="74004D94" w14:textId="77777777" w:rsidR="00D779F8" w:rsidRPr="005368EF" w:rsidRDefault="00D779F8" w:rsidP="00572140">
            <w:pPr>
              <w:rPr>
                <w:rFonts w:ascii="Helvetica" w:hAnsi="Helvetica"/>
                <w:sz w:val="18"/>
                <w:szCs w:val="18"/>
              </w:rPr>
            </w:pPr>
          </w:p>
        </w:tc>
        <w:tc>
          <w:tcPr>
            <w:tcW w:w="2240" w:type="dxa"/>
          </w:tcPr>
          <w:p w14:paraId="4AAD18F5" w14:textId="77777777" w:rsidR="00D779F8" w:rsidRPr="005368EF" w:rsidRDefault="00D779F8" w:rsidP="00572140">
            <w:pPr>
              <w:rPr>
                <w:rFonts w:ascii="Helvetica" w:hAnsi="Helvetica"/>
                <w:sz w:val="18"/>
                <w:szCs w:val="18"/>
              </w:rPr>
            </w:pPr>
            <w:r w:rsidRPr="005368EF">
              <w:rPr>
                <w:rFonts w:ascii="Helvetica" w:hAnsi="Helvetica"/>
                <w:sz w:val="18"/>
                <w:szCs w:val="18"/>
              </w:rPr>
              <w:t>Machinery and equipment</w:t>
            </w:r>
          </w:p>
        </w:tc>
        <w:tc>
          <w:tcPr>
            <w:tcW w:w="2247" w:type="dxa"/>
          </w:tcPr>
          <w:p w14:paraId="6DA341F2"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8"/>
                <w:szCs w:val="18"/>
              </w:rPr>
            </w:pPr>
            <w:r w:rsidRPr="005368EF">
              <w:rPr>
                <w:rFonts w:ascii="Helvetica" w:hAnsi="Helvetica" w:cs="Helvetica"/>
                <w:color w:val="000000"/>
                <w:kern w:val="0"/>
                <w:sz w:val="18"/>
                <w:szCs w:val="18"/>
              </w:rPr>
              <w:t xml:space="preserve">Machinery and equipment including tractors, motor cultivators, lorries, vans, cars, major and minor farming equipment. </w:t>
            </w:r>
          </w:p>
        </w:tc>
        <w:tc>
          <w:tcPr>
            <w:tcW w:w="2697" w:type="dxa"/>
          </w:tcPr>
          <w:p w14:paraId="2B25E40A" w14:textId="77777777" w:rsidR="00D779F8" w:rsidRPr="005368EF" w:rsidRDefault="00D779F8" w:rsidP="00572140">
            <w:pPr>
              <w:rPr>
                <w:rFonts w:ascii="Helvetica" w:hAnsi="Helvetica"/>
                <w:sz w:val="18"/>
                <w:szCs w:val="18"/>
              </w:rPr>
            </w:pPr>
          </w:p>
        </w:tc>
      </w:tr>
      <w:tr w:rsidR="00D779F8" w:rsidRPr="003D0AB2" w14:paraId="462DAA33" w14:textId="77777777" w:rsidTr="00572140">
        <w:trPr>
          <w:trHeight w:val="682"/>
        </w:trPr>
        <w:tc>
          <w:tcPr>
            <w:tcW w:w="1916" w:type="dxa"/>
            <w:vMerge/>
          </w:tcPr>
          <w:p w14:paraId="05E1952B" w14:textId="77777777" w:rsidR="00D779F8" w:rsidRPr="005368EF" w:rsidRDefault="00D779F8" w:rsidP="00572140">
            <w:pPr>
              <w:rPr>
                <w:rFonts w:ascii="Helvetica" w:hAnsi="Helvetica"/>
                <w:sz w:val="18"/>
                <w:szCs w:val="18"/>
              </w:rPr>
            </w:pPr>
          </w:p>
        </w:tc>
        <w:tc>
          <w:tcPr>
            <w:tcW w:w="2240" w:type="dxa"/>
          </w:tcPr>
          <w:p w14:paraId="3A244918" w14:textId="77777777" w:rsidR="00D779F8" w:rsidRPr="005368EF" w:rsidRDefault="00D779F8" w:rsidP="00572140">
            <w:pPr>
              <w:rPr>
                <w:rFonts w:ascii="Helvetica" w:hAnsi="Helvetica"/>
                <w:sz w:val="18"/>
                <w:szCs w:val="18"/>
              </w:rPr>
            </w:pPr>
            <w:r w:rsidRPr="005368EF">
              <w:rPr>
                <w:rFonts w:ascii="Helvetica" w:hAnsi="Helvetica"/>
                <w:sz w:val="18"/>
                <w:szCs w:val="18"/>
              </w:rPr>
              <w:t>Breeding livestock</w:t>
            </w:r>
          </w:p>
        </w:tc>
        <w:tc>
          <w:tcPr>
            <w:tcW w:w="2247" w:type="dxa"/>
          </w:tcPr>
          <w:p w14:paraId="1D14F995"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8"/>
                <w:szCs w:val="18"/>
              </w:rPr>
            </w:pPr>
            <w:r w:rsidRPr="005368EF">
              <w:rPr>
                <w:rFonts w:ascii="Helvetica" w:hAnsi="Helvetica" w:cs="Helvetica"/>
                <w:color w:val="000000"/>
                <w:kern w:val="0"/>
                <w:sz w:val="18"/>
                <w:szCs w:val="18"/>
              </w:rPr>
              <w:t xml:space="preserve">Breeding livestock including breeding heifers, dairy cows, buffalo dairy cows, non-dairy cows, breeding female sheep, breeding female goats, breeding sows </w:t>
            </w:r>
          </w:p>
        </w:tc>
        <w:tc>
          <w:tcPr>
            <w:tcW w:w="2697" w:type="dxa"/>
          </w:tcPr>
          <w:p w14:paraId="48B79721" w14:textId="77777777" w:rsidR="00D779F8" w:rsidRPr="005368EF" w:rsidRDefault="00D779F8" w:rsidP="00572140">
            <w:pPr>
              <w:rPr>
                <w:rFonts w:ascii="Helvetica" w:hAnsi="Helvetica"/>
                <w:sz w:val="18"/>
                <w:szCs w:val="18"/>
              </w:rPr>
            </w:pPr>
          </w:p>
        </w:tc>
      </w:tr>
      <w:tr w:rsidR="00D779F8" w:rsidRPr="003D0AB2" w14:paraId="098BF4A9" w14:textId="77777777" w:rsidTr="00572140">
        <w:trPr>
          <w:trHeight w:val="331"/>
        </w:trPr>
        <w:tc>
          <w:tcPr>
            <w:tcW w:w="1916" w:type="dxa"/>
          </w:tcPr>
          <w:p w14:paraId="60E73EDE" w14:textId="77777777" w:rsidR="00D779F8" w:rsidRPr="005368EF" w:rsidRDefault="00D779F8" w:rsidP="00572140">
            <w:pPr>
              <w:rPr>
                <w:rFonts w:ascii="Helvetica" w:hAnsi="Helvetica"/>
                <w:sz w:val="18"/>
                <w:szCs w:val="18"/>
              </w:rPr>
            </w:pPr>
            <w:r w:rsidRPr="005368EF">
              <w:rPr>
                <w:rFonts w:ascii="Helvetica" w:hAnsi="Helvetica"/>
                <w:sz w:val="18"/>
                <w:szCs w:val="18"/>
              </w:rPr>
              <w:t>Depreciation</w:t>
            </w:r>
          </w:p>
        </w:tc>
        <w:tc>
          <w:tcPr>
            <w:tcW w:w="2240" w:type="dxa"/>
          </w:tcPr>
          <w:p w14:paraId="2263AA69" w14:textId="77777777" w:rsidR="00D779F8" w:rsidRPr="005368EF" w:rsidRDefault="00D779F8" w:rsidP="00572140">
            <w:pPr>
              <w:rPr>
                <w:rFonts w:ascii="Helvetica" w:hAnsi="Helvetica"/>
                <w:sz w:val="18"/>
                <w:szCs w:val="18"/>
              </w:rPr>
            </w:pPr>
          </w:p>
        </w:tc>
        <w:tc>
          <w:tcPr>
            <w:tcW w:w="2247" w:type="dxa"/>
          </w:tcPr>
          <w:p w14:paraId="648D36DD"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8"/>
                <w:szCs w:val="18"/>
              </w:rPr>
            </w:pPr>
            <w:r w:rsidRPr="005368EF">
              <w:rPr>
                <w:rFonts w:ascii="Helvetica" w:hAnsi="Helvetica" w:cs="Helvetica"/>
                <w:color w:val="000000"/>
                <w:kern w:val="0"/>
                <w:sz w:val="18"/>
                <w:szCs w:val="18"/>
              </w:rPr>
              <w:t>Depreciation of capital assets. Concerns plantations of permanent crops (biological assets, estimated), farm buildings and fixed equipment, land improvements, machinery and equipment and forest plantations. There is no depreciation of land and circulating capital (= short-term assets that can be easily converted to cash within the accounting year). There is depreciation of non-tradable intangible assets.</w:t>
            </w:r>
          </w:p>
        </w:tc>
        <w:tc>
          <w:tcPr>
            <w:tcW w:w="2697" w:type="dxa"/>
          </w:tcPr>
          <w:p w14:paraId="187EA962"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New Roman"/>
                <w:color w:val="000000"/>
                <w:kern w:val="0"/>
                <w:sz w:val="18"/>
                <w:szCs w:val="18"/>
              </w:rPr>
            </w:pPr>
            <w:r w:rsidRPr="005368EF">
              <w:rPr>
                <w:rFonts w:ascii="Helvetica" w:hAnsi="Helvetica" w:cs="Helvetica"/>
                <w:color w:val="000000"/>
                <w:kern w:val="0"/>
                <w:sz w:val="18"/>
                <w:szCs w:val="18"/>
              </w:rPr>
              <w:t>Recorded in the table as “depreciation of the current year”</w:t>
            </w:r>
          </w:p>
          <w:p w14:paraId="4E34DA0F"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New Roman"/>
                <w:color w:val="000000"/>
                <w:kern w:val="0"/>
                <w:sz w:val="18"/>
                <w:szCs w:val="18"/>
              </w:rPr>
            </w:pPr>
          </w:p>
          <w:p w14:paraId="5C9E59E6" w14:textId="77777777" w:rsidR="00D779F8" w:rsidRPr="005368EF" w:rsidRDefault="00D779F8" w:rsidP="00572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8"/>
                <w:szCs w:val="18"/>
              </w:rPr>
            </w:pPr>
            <w:r w:rsidRPr="005368EF">
              <w:rPr>
                <w:rFonts w:ascii="Helvetica" w:hAnsi="Helvetica" w:cs="Helvetica"/>
                <w:color w:val="000000"/>
                <w:kern w:val="0"/>
                <w:sz w:val="18"/>
                <w:szCs w:val="18"/>
              </w:rPr>
              <w:t xml:space="preserve">Accumulated depreciation is used to valuate assets at closing valuation </w:t>
            </w:r>
          </w:p>
          <w:p w14:paraId="41EBAE56" w14:textId="77777777" w:rsidR="00D779F8" w:rsidRPr="005368EF" w:rsidRDefault="00D779F8" w:rsidP="00572140">
            <w:pPr>
              <w:rPr>
                <w:rFonts w:ascii="Helvetica" w:hAnsi="Helvetica"/>
                <w:sz w:val="18"/>
                <w:szCs w:val="18"/>
              </w:rPr>
            </w:pPr>
          </w:p>
        </w:tc>
      </w:tr>
    </w:tbl>
    <w:p w14:paraId="59359B95" w14:textId="77777777" w:rsidR="00D779F8" w:rsidRPr="009158EE" w:rsidRDefault="00D779F8" w:rsidP="00D779F8">
      <w:pPr>
        <w:jc w:val="both"/>
        <w:rPr>
          <w:rFonts w:ascii="Helvetica" w:hAnsi="Helvetica"/>
          <w:color w:val="000000" w:themeColor="text1"/>
          <w:sz w:val="18"/>
          <w:szCs w:val="18"/>
        </w:rPr>
      </w:pPr>
    </w:p>
    <w:p w14:paraId="3D3797DA" w14:textId="77777777" w:rsidR="00D779F8" w:rsidRDefault="00D779F8"/>
    <w:sectPr w:rsidR="00D77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F8"/>
    <w:rsid w:val="003A7C94"/>
    <w:rsid w:val="00D779F8"/>
    <w:rsid w:val="00E3697A"/>
    <w:rsid w:val="00F648B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1CDEA68"/>
  <w15:chartTrackingRefBased/>
  <w15:docId w15:val="{E0495F00-B09E-AD4B-B4BB-9B0AC81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F8"/>
    <w:rPr>
      <w:lang w:val="en-GB"/>
    </w:rPr>
  </w:style>
  <w:style w:type="paragraph" w:styleId="Heading1">
    <w:name w:val="heading 1"/>
    <w:basedOn w:val="Normal"/>
    <w:next w:val="Normal"/>
    <w:link w:val="Heading1Char"/>
    <w:uiPriority w:val="9"/>
    <w:qFormat/>
    <w:rsid w:val="00D779F8"/>
    <w:pPr>
      <w:keepNext/>
      <w:keepLines/>
      <w:spacing w:before="360" w:after="80"/>
      <w:outlineLvl w:val="0"/>
    </w:pPr>
    <w:rPr>
      <w:rFonts w:asciiTheme="majorHAnsi" w:eastAsiaTheme="majorEastAsia" w:hAnsiTheme="majorHAnsi" w:cstheme="majorBidi"/>
      <w:color w:val="0F4761" w:themeColor="accent1" w:themeShade="BF"/>
      <w:sz w:val="40"/>
      <w:szCs w:val="40"/>
      <w:lang w:val="en-NL"/>
    </w:rPr>
  </w:style>
  <w:style w:type="paragraph" w:styleId="Heading2">
    <w:name w:val="heading 2"/>
    <w:basedOn w:val="Normal"/>
    <w:next w:val="Normal"/>
    <w:link w:val="Heading2Char"/>
    <w:uiPriority w:val="9"/>
    <w:semiHidden/>
    <w:unhideWhenUsed/>
    <w:qFormat/>
    <w:rsid w:val="00D779F8"/>
    <w:pPr>
      <w:keepNext/>
      <w:keepLines/>
      <w:spacing w:before="160" w:after="80"/>
      <w:outlineLvl w:val="1"/>
    </w:pPr>
    <w:rPr>
      <w:rFonts w:asciiTheme="majorHAnsi" w:eastAsiaTheme="majorEastAsia" w:hAnsiTheme="majorHAnsi" w:cstheme="majorBidi"/>
      <w:color w:val="0F4761" w:themeColor="accent1" w:themeShade="BF"/>
      <w:sz w:val="32"/>
      <w:szCs w:val="32"/>
      <w:lang w:val="en-NL"/>
    </w:rPr>
  </w:style>
  <w:style w:type="paragraph" w:styleId="Heading3">
    <w:name w:val="heading 3"/>
    <w:basedOn w:val="Normal"/>
    <w:next w:val="Normal"/>
    <w:link w:val="Heading3Char"/>
    <w:uiPriority w:val="9"/>
    <w:semiHidden/>
    <w:unhideWhenUsed/>
    <w:qFormat/>
    <w:rsid w:val="00D779F8"/>
    <w:pPr>
      <w:keepNext/>
      <w:keepLines/>
      <w:spacing w:before="160" w:after="80"/>
      <w:outlineLvl w:val="2"/>
    </w:pPr>
    <w:rPr>
      <w:rFonts w:eastAsiaTheme="majorEastAsia" w:cstheme="majorBidi"/>
      <w:color w:val="0F4761" w:themeColor="accent1" w:themeShade="BF"/>
      <w:sz w:val="28"/>
      <w:szCs w:val="28"/>
      <w:lang w:val="en-NL"/>
    </w:rPr>
  </w:style>
  <w:style w:type="paragraph" w:styleId="Heading4">
    <w:name w:val="heading 4"/>
    <w:basedOn w:val="Normal"/>
    <w:next w:val="Normal"/>
    <w:link w:val="Heading4Char"/>
    <w:uiPriority w:val="9"/>
    <w:semiHidden/>
    <w:unhideWhenUsed/>
    <w:qFormat/>
    <w:rsid w:val="00D779F8"/>
    <w:pPr>
      <w:keepNext/>
      <w:keepLines/>
      <w:spacing w:before="80" w:after="40"/>
      <w:outlineLvl w:val="3"/>
    </w:pPr>
    <w:rPr>
      <w:rFonts w:eastAsiaTheme="majorEastAsia" w:cstheme="majorBidi"/>
      <w:i/>
      <w:iCs/>
      <w:color w:val="0F4761" w:themeColor="accent1" w:themeShade="BF"/>
      <w:lang w:val="en-NL"/>
    </w:rPr>
  </w:style>
  <w:style w:type="paragraph" w:styleId="Heading5">
    <w:name w:val="heading 5"/>
    <w:basedOn w:val="Normal"/>
    <w:next w:val="Normal"/>
    <w:link w:val="Heading5Char"/>
    <w:uiPriority w:val="9"/>
    <w:semiHidden/>
    <w:unhideWhenUsed/>
    <w:qFormat/>
    <w:rsid w:val="00D779F8"/>
    <w:pPr>
      <w:keepNext/>
      <w:keepLines/>
      <w:spacing w:before="80" w:after="40"/>
      <w:outlineLvl w:val="4"/>
    </w:pPr>
    <w:rPr>
      <w:rFonts w:eastAsiaTheme="majorEastAsia" w:cstheme="majorBidi"/>
      <w:color w:val="0F4761" w:themeColor="accent1" w:themeShade="BF"/>
      <w:lang w:val="en-NL"/>
    </w:rPr>
  </w:style>
  <w:style w:type="paragraph" w:styleId="Heading6">
    <w:name w:val="heading 6"/>
    <w:basedOn w:val="Normal"/>
    <w:next w:val="Normal"/>
    <w:link w:val="Heading6Char"/>
    <w:uiPriority w:val="9"/>
    <w:semiHidden/>
    <w:unhideWhenUsed/>
    <w:qFormat/>
    <w:rsid w:val="00D779F8"/>
    <w:pPr>
      <w:keepNext/>
      <w:keepLines/>
      <w:spacing w:before="40" w:after="0"/>
      <w:outlineLvl w:val="5"/>
    </w:pPr>
    <w:rPr>
      <w:rFonts w:eastAsiaTheme="majorEastAsia" w:cstheme="majorBidi"/>
      <w:i/>
      <w:iCs/>
      <w:color w:val="595959" w:themeColor="text1" w:themeTint="A6"/>
      <w:lang w:val="en-NL"/>
    </w:rPr>
  </w:style>
  <w:style w:type="paragraph" w:styleId="Heading7">
    <w:name w:val="heading 7"/>
    <w:basedOn w:val="Normal"/>
    <w:next w:val="Normal"/>
    <w:link w:val="Heading7Char"/>
    <w:uiPriority w:val="9"/>
    <w:semiHidden/>
    <w:unhideWhenUsed/>
    <w:qFormat/>
    <w:rsid w:val="00D779F8"/>
    <w:pPr>
      <w:keepNext/>
      <w:keepLines/>
      <w:spacing w:before="40" w:after="0"/>
      <w:outlineLvl w:val="6"/>
    </w:pPr>
    <w:rPr>
      <w:rFonts w:eastAsiaTheme="majorEastAsia" w:cstheme="majorBidi"/>
      <w:color w:val="595959" w:themeColor="text1" w:themeTint="A6"/>
      <w:lang w:val="en-NL"/>
    </w:rPr>
  </w:style>
  <w:style w:type="paragraph" w:styleId="Heading8">
    <w:name w:val="heading 8"/>
    <w:basedOn w:val="Normal"/>
    <w:next w:val="Normal"/>
    <w:link w:val="Heading8Char"/>
    <w:uiPriority w:val="9"/>
    <w:semiHidden/>
    <w:unhideWhenUsed/>
    <w:qFormat/>
    <w:rsid w:val="00D779F8"/>
    <w:pPr>
      <w:keepNext/>
      <w:keepLines/>
      <w:spacing w:after="0"/>
      <w:outlineLvl w:val="7"/>
    </w:pPr>
    <w:rPr>
      <w:rFonts w:eastAsiaTheme="majorEastAsia" w:cstheme="majorBidi"/>
      <w:i/>
      <w:iCs/>
      <w:color w:val="272727" w:themeColor="text1" w:themeTint="D8"/>
      <w:lang w:val="en-NL"/>
    </w:rPr>
  </w:style>
  <w:style w:type="paragraph" w:styleId="Heading9">
    <w:name w:val="heading 9"/>
    <w:basedOn w:val="Normal"/>
    <w:next w:val="Normal"/>
    <w:link w:val="Heading9Char"/>
    <w:uiPriority w:val="9"/>
    <w:semiHidden/>
    <w:unhideWhenUsed/>
    <w:qFormat/>
    <w:rsid w:val="00D779F8"/>
    <w:pPr>
      <w:keepNext/>
      <w:keepLines/>
      <w:spacing w:after="0"/>
      <w:outlineLvl w:val="8"/>
    </w:pPr>
    <w:rPr>
      <w:rFonts w:eastAsiaTheme="majorEastAsia" w:cstheme="majorBidi"/>
      <w:color w:val="272727" w:themeColor="text1" w:themeTint="D8"/>
      <w:lang w:val="en-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9F8"/>
    <w:rPr>
      <w:rFonts w:eastAsiaTheme="majorEastAsia" w:cstheme="majorBidi"/>
      <w:color w:val="272727" w:themeColor="text1" w:themeTint="D8"/>
    </w:rPr>
  </w:style>
  <w:style w:type="paragraph" w:styleId="Title">
    <w:name w:val="Title"/>
    <w:basedOn w:val="Normal"/>
    <w:next w:val="Normal"/>
    <w:link w:val="TitleChar"/>
    <w:uiPriority w:val="10"/>
    <w:qFormat/>
    <w:rsid w:val="00D779F8"/>
    <w:pPr>
      <w:spacing w:after="80" w:line="240" w:lineRule="auto"/>
      <w:contextualSpacing/>
    </w:pPr>
    <w:rPr>
      <w:rFonts w:asciiTheme="majorHAnsi" w:eastAsiaTheme="majorEastAsia" w:hAnsiTheme="majorHAnsi" w:cstheme="majorBidi"/>
      <w:spacing w:val="-10"/>
      <w:kern w:val="28"/>
      <w:sz w:val="56"/>
      <w:szCs w:val="56"/>
      <w:lang w:val="en-NL"/>
    </w:rPr>
  </w:style>
  <w:style w:type="character" w:customStyle="1" w:styleId="TitleChar">
    <w:name w:val="Title Char"/>
    <w:basedOn w:val="DefaultParagraphFont"/>
    <w:link w:val="Title"/>
    <w:uiPriority w:val="10"/>
    <w:rsid w:val="00D77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9F8"/>
    <w:pPr>
      <w:numPr>
        <w:ilvl w:val="1"/>
      </w:numPr>
    </w:pPr>
    <w:rPr>
      <w:rFonts w:eastAsiaTheme="majorEastAsia" w:cstheme="majorBidi"/>
      <w:color w:val="595959" w:themeColor="text1" w:themeTint="A6"/>
      <w:spacing w:val="15"/>
      <w:sz w:val="28"/>
      <w:szCs w:val="28"/>
      <w:lang w:val="en-NL"/>
    </w:rPr>
  </w:style>
  <w:style w:type="character" w:customStyle="1" w:styleId="SubtitleChar">
    <w:name w:val="Subtitle Char"/>
    <w:basedOn w:val="DefaultParagraphFont"/>
    <w:link w:val="Subtitle"/>
    <w:uiPriority w:val="11"/>
    <w:rsid w:val="00D77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9F8"/>
    <w:pPr>
      <w:spacing w:before="160"/>
      <w:jc w:val="center"/>
    </w:pPr>
    <w:rPr>
      <w:i/>
      <w:iCs/>
      <w:color w:val="404040" w:themeColor="text1" w:themeTint="BF"/>
      <w:lang w:val="en-NL"/>
    </w:rPr>
  </w:style>
  <w:style w:type="character" w:customStyle="1" w:styleId="QuoteChar">
    <w:name w:val="Quote Char"/>
    <w:basedOn w:val="DefaultParagraphFont"/>
    <w:link w:val="Quote"/>
    <w:uiPriority w:val="29"/>
    <w:rsid w:val="00D779F8"/>
    <w:rPr>
      <w:i/>
      <w:iCs/>
      <w:color w:val="404040" w:themeColor="text1" w:themeTint="BF"/>
    </w:rPr>
  </w:style>
  <w:style w:type="paragraph" w:styleId="ListParagraph">
    <w:name w:val="List Paragraph"/>
    <w:basedOn w:val="Normal"/>
    <w:uiPriority w:val="34"/>
    <w:qFormat/>
    <w:rsid w:val="00D779F8"/>
    <w:pPr>
      <w:ind w:left="720"/>
      <w:contextualSpacing/>
    </w:pPr>
    <w:rPr>
      <w:lang w:val="en-NL"/>
    </w:rPr>
  </w:style>
  <w:style w:type="character" w:styleId="IntenseEmphasis">
    <w:name w:val="Intense Emphasis"/>
    <w:basedOn w:val="DefaultParagraphFont"/>
    <w:uiPriority w:val="21"/>
    <w:qFormat/>
    <w:rsid w:val="00D779F8"/>
    <w:rPr>
      <w:i/>
      <w:iCs/>
      <w:color w:val="0F4761" w:themeColor="accent1" w:themeShade="BF"/>
    </w:rPr>
  </w:style>
  <w:style w:type="paragraph" w:styleId="IntenseQuote">
    <w:name w:val="Intense Quote"/>
    <w:basedOn w:val="Normal"/>
    <w:next w:val="Normal"/>
    <w:link w:val="IntenseQuoteChar"/>
    <w:uiPriority w:val="30"/>
    <w:qFormat/>
    <w:rsid w:val="00D77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NL"/>
    </w:rPr>
  </w:style>
  <w:style w:type="character" w:customStyle="1" w:styleId="IntenseQuoteChar">
    <w:name w:val="Intense Quote Char"/>
    <w:basedOn w:val="DefaultParagraphFont"/>
    <w:link w:val="IntenseQuote"/>
    <w:uiPriority w:val="30"/>
    <w:rsid w:val="00D779F8"/>
    <w:rPr>
      <w:i/>
      <w:iCs/>
      <w:color w:val="0F4761" w:themeColor="accent1" w:themeShade="BF"/>
    </w:rPr>
  </w:style>
  <w:style w:type="character" w:styleId="IntenseReference">
    <w:name w:val="Intense Reference"/>
    <w:basedOn w:val="DefaultParagraphFont"/>
    <w:uiPriority w:val="32"/>
    <w:qFormat/>
    <w:rsid w:val="00D779F8"/>
    <w:rPr>
      <w:b/>
      <w:bCs/>
      <w:smallCaps/>
      <w:color w:val="0F4761" w:themeColor="accent1" w:themeShade="BF"/>
      <w:spacing w:val="5"/>
    </w:rPr>
  </w:style>
  <w:style w:type="character" w:styleId="CommentReference">
    <w:name w:val="annotation reference"/>
    <w:basedOn w:val="DefaultParagraphFont"/>
    <w:uiPriority w:val="99"/>
    <w:semiHidden/>
    <w:unhideWhenUsed/>
    <w:rsid w:val="00D779F8"/>
    <w:rPr>
      <w:sz w:val="16"/>
      <w:szCs w:val="16"/>
    </w:rPr>
  </w:style>
  <w:style w:type="table" w:styleId="TableGrid">
    <w:name w:val="Table Grid"/>
    <w:basedOn w:val="TableNormal"/>
    <w:uiPriority w:val="39"/>
    <w:rsid w:val="00D779F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779F8"/>
    <w:pPr>
      <w:spacing w:line="240" w:lineRule="auto"/>
    </w:pPr>
    <w:rPr>
      <w:sz w:val="20"/>
      <w:szCs w:val="20"/>
    </w:rPr>
  </w:style>
  <w:style w:type="character" w:customStyle="1" w:styleId="CommentTextChar">
    <w:name w:val="Comment Text Char"/>
    <w:basedOn w:val="DefaultParagraphFont"/>
    <w:link w:val="CommentText"/>
    <w:uiPriority w:val="99"/>
    <w:rsid w:val="00D779F8"/>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Kortleve, A.J. (Anniek)</dc:creator>
  <cp:keywords/>
  <dc:description/>
  <cp:lastModifiedBy>Kortleve, A.J. (Anniek)</cp:lastModifiedBy>
  <cp:revision>3</cp:revision>
  <dcterms:created xsi:type="dcterms:W3CDTF">2024-11-12T14:06:00Z</dcterms:created>
  <dcterms:modified xsi:type="dcterms:W3CDTF">2024-11-15T12:03:00Z</dcterms:modified>
</cp:coreProperties>
</file>