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03A70A" w14:textId="77777777" w:rsidR="0086201D" w:rsidRDefault="0086201D">
      <w:pPr>
        <w:spacing w:beforeLines="50" w:before="163" w:afterLines="50" w:after="163" w:line="480" w:lineRule="auto"/>
        <w:jc w:val="both"/>
        <w:outlineLvl w:val="0"/>
        <w:rPr>
          <w:rFonts w:ascii="Times New Roman" w:hAnsi="Times New Roman" w:cs="Times New Roman"/>
          <w:b/>
          <w:bCs/>
          <w:sz w:val="32"/>
          <w:szCs w:val="32"/>
        </w:rPr>
      </w:pPr>
      <w:bookmarkStart w:id="0" w:name="_Hlk101892417"/>
      <w:r w:rsidRPr="0086201D">
        <w:rPr>
          <w:rFonts w:ascii="Times New Roman" w:hAnsi="Times New Roman" w:cs="Times New Roman" w:hint="eastAsia"/>
          <w:b/>
          <w:bCs/>
          <w:sz w:val="32"/>
          <w:szCs w:val="32"/>
        </w:rPr>
        <w:t>Spatiotemporal effects of landscape structure on the trade-offs and synergies among ecosystem service functions in Yangtze River Economic Belt, China</w:t>
      </w:r>
    </w:p>
    <w:p w14:paraId="314EA395" w14:textId="005AB5F8" w:rsidR="00ED32D3" w:rsidRDefault="00F13C42">
      <w:pPr>
        <w:spacing w:beforeLines="50" w:before="163" w:afterLines="50" w:after="163" w:line="480" w:lineRule="auto"/>
        <w:jc w:val="both"/>
        <w:outlineLvl w:val="0"/>
        <w:rPr>
          <w:rFonts w:ascii="Times New Roman" w:hAnsi="Times New Roman" w:cs="Times New Roman"/>
          <w:b/>
          <w:bCs/>
          <w:sz w:val="28"/>
          <w:szCs w:val="32"/>
        </w:rPr>
      </w:pPr>
      <w:r>
        <w:rPr>
          <w:rFonts w:ascii="Times New Roman" w:hAnsi="Times New Roman" w:cs="Times New Roman"/>
          <w:b/>
          <w:bCs/>
          <w:sz w:val="28"/>
          <w:szCs w:val="32"/>
        </w:rPr>
        <w:t xml:space="preserve">Appendix </w:t>
      </w:r>
      <w:r>
        <w:rPr>
          <w:rFonts w:ascii="Times New Roman" w:hAnsi="Times New Roman" w:cs="Times New Roman" w:hint="eastAsia"/>
          <w:b/>
          <w:bCs/>
          <w:sz w:val="28"/>
          <w:szCs w:val="32"/>
        </w:rPr>
        <w:t>A</w:t>
      </w:r>
      <w:r>
        <w:rPr>
          <w:rFonts w:ascii="Times New Roman" w:hAnsi="Times New Roman" w:cs="Times New Roman"/>
          <w:b/>
          <w:bCs/>
          <w:sz w:val="28"/>
          <w:szCs w:val="32"/>
        </w:rPr>
        <w:t>. Estimation of ecosystem services</w:t>
      </w:r>
    </w:p>
    <w:p w14:paraId="30E65622" w14:textId="77777777" w:rsidR="00ED32D3" w:rsidRDefault="00F13C42">
      <w:pPr>
        <w:spacing w:beforeLines="50" w:before="163" w:afterLines="50" w:after="163" w:line="480" w:lineRule="auto"/>
        <w:jc w:val="both"/>
        <w:outlineLvl w:val="1"/>
        <w:rPr>
          <w:rFonts w:ascii="Times New Roman" w:hAnsi="Times New Roman" w:cs="Times New Roman"/>
          <w:b/>
        </w:rPr>
      </w:pPr>
      <w:r>
        <w:rPr>
          <w:rFonts w:ascii="Times New Roman" w:hAnsi="Times New Roman" w:cs="Times New Roman" w:hint="eastAsia"/>
          <w:b/>
        </w:rPr>
        <w:t>1</w:t>
      </w:r>
      <w:r>
        <w:rPr>
          <w:rFonts w:ascii="Times New Roman" w:hAnsi="Times New Roman" w:cs="Times New Roman"/>
          <w:b/>
        </w:rPr>
        <w:t xml:space="preserve"> Carbon sequestration</w:t>
      </w:r>
      <w:r>
        <w:rPr>
          <w:rFonts w:ascii="Times New Roman" w:hAnsi="Times New Roman" w:cs="Times New Roman" w:hint="eastAsia"/>
          <w:b/>
        </w:rPr>
        <w:t>(CS)</w:t>
      </w:r>
    </w:p>
    <w:p w14:paraId="0F832960" w14:textId="4CA63154" w:rsidR="00ED32D3" w:rsidRDefault="00F13C42">
      <w:pPr>
        <w:spacing w:line="360" w:lineRule="auto"/>
        <w:ind w:firstLine="482"/>
        <w:jc w:val="both"/>
        <w:rPr>
          <w:rFonts w:ascii="Times New Roman" w:eastAsia="楷体" w:hAnsi="Times New Roman" w:cs="Times New Roman"/>
          <w:color w:val="FF0000"/>
        </w:rPr>
      </w:pPr>
      <w:r>
        <w:rPr>
          <w:rFonts w:ascii="Times New Roman" w:eastAsia="楷体" w:hAnsi="Times New Roman" w:cs="Times New Roman"/>
        </w:rPr>
        <w:t>The carbon sequestration level of a region is usually measured by the total carbon storage.It depends on four carbon pools: aboveground biomass carbon storage, belowground biomass carbon storage, soil carbon storage, and litter carbon storage.</w:t>
      </w:r>
      <w:r w:rsidR="00F1012F" w:rsidRPr="00154A3B">
        <w:rPr>
          <w:rFonts w:ascii="Times New Roman" w:eastAsia="楷体" w:hAnsi="Times New Roman" w:cs="Times New Roman"/>
          <w:color w:val="0000FF"/>
        </w:rPr>
        <w:fldChar w:fldCharType="begin"/>
      </w:r>
      <w:r w:rsidR="00373A5C" w:rsidRPr="00154A3B">
        <w:rPr>
          <w:rFonts w:ascii="Times New Roman" w:eastAsia="楷体" w:hAnsi="Times New Roman" w:cs="Times New Roman"/>
          <w:color w:val="0000FF"/>
        </w:rPr>
        <w:instrText xml:space="preserve"> ADDIN ZOTERO_ITEM CSL_CITATION {"citationID":"NR33Vrni","properties":{"formattedCitation":"\\super 1\\uc0\\u8211{}4\\nosupersub{}","plainCitation":"1–4","noteIndex":0},"citationItems":[{"id":283,"uris":["http://zotero.org/users/14180859/items/RWTK3R7T"],"itemData":{"id":283,"type":"article-journal","abstract":"Land management to increase food production while conserving the environment and associated ecosystem services (ESs) is one of the major development and research challenges of the 21st Century. Any land-use practice or change to obtain a particular ecosystem service affects the other ES positively or negatively. The dynamics of these changes is more marked in biodiversity hotspot areas like UNESCO registered Yayo coffee forest biosphere reserve in southwestern Ethiopia. We used a time series InVEST modeling framework to estimate six ESs and analyze their spatial and temporal dynamics due to land-use/cover change over the last 31 years. Pearson correlation coefficients and k-mean clustering were employed to analyze tradeoffs/synergies and to cluster ESs supply spatially. The analysis also considers land-use change impact in the three management zones (core, transition and buffer) of the Yayo biosphere area. The production efficient frontier is used to identify the optimal combination of ESs and to suggest where an increase of one ES is possible without decreasing the others. Mostly, the highest change is observed in the transition zone followed by buffer zones. Positive correlation (synergies) are observed between regulating ecosystem services. Negative correlations (tradeoffs) are observed between provision ecosystem services. The clustering analysis shows that the spatial ESs can be divided in two clusters (bundle): cluster 1 with “High regulating ESs” that can be characterized by core zone and some forest patches in the central part of the biosphere reserve, and cluster 2 with “High provisioning ESs areas'' that can be characterized by cultivated lands at transition and buffer zones. The result shows that the existing ES pairs are far from the Pareto efficient combination(s), confirming that landscape optimization for ES bundles are rarely possible on the ground due to many reasons and indicating the need for well thought land restoration strategies and land management practices that are forest type and context specific.","call-number":"2","container-title":"Ecosystem Services","DOI":"10.1016/j.ecoser.2021.101338","ISSN":"2212-0416","journalAbbreviation":"Ecosystem Services","page":"101338","source":"6.91","title":"Impacts of land use and land cover dynamics on ecosystem services in the Yayo coffee forest biosphere reserve, southwestern Ethiopia","volume":"50","author":[{"family":"Abera","given":"Wuletawu"},{"family":"Tamene","given":"Lulseged"},{"family":"Kassawmar","given":"Tibebu"},{"family":"Mulatu","given":"Kalkidan"},{"family":"Kassa","given":"Habtemariam"},{"family":"Verchot","given":"Louis"},{"family":"Quintero","given":"Marcela"}],"issued":{"date-parts":[["2021",8,1]]}},"label":"page"},{"id":279,"uris":["http://zotero.org/users/14180859/items/FIZ6KUS5"],"itemData":{"id":279,"type":"article-journal","abstract":"As an important carbon sink indicator, the vegetation net primary productivity (NPP) is key and helpful for understanding regional carbon sequestration and  storage of mining areas. Systematic analysis of NPP of the ecological  reconstruction process in mining areas can effectively contribute to local  governments and related departments for making ecological decisions under the  \"double carbon goals\" (\"peak of carbon release\" and \"carbon neutrality\") and help  to promote regional sustainable development. In this study, we used the CASA  model to systematically assess the temporal and spatial evolution characteristics  of NPP of Huangshi City from 1990 to 2018. Meanwhile, various scenarios were set  up to study the effects of climate factors, landscape pattern evolution, and  ecological restoration on regional carbon storage. Our results documented that  (1) NPP of the study area an increasing trend from 1990-2018 shows and exhibits  significant spatial heterogeneity; (2) the significant increase of NPP was mainly  in the restored mining areas, indicating that the ecological restoration of  mining areas can effectively improve the regional carbon sequestration capacity;  (3) from 1990 to 2018, climate change released 0.136 TgC, while landscape pattern  change contributed to carbon storage with 0.266 TgC; and (4) the restoration and  reconstruction of vegetation in the mining areas is an important way to achieve  carbon neutrality of Huangshi City in the future, and the changes of NPP varied  among different ecological restoration modes.","call-number":"3","container-title":"International journal of environmental research and public health","DOI":"10.3390/ijerph19074175","ISSN":"1660-4601 1661-7827","issue":"7","journalAbbreviation":"Int J Environ Res Public Health","language":"eng","note":"publisher-place: Switzerland\nPMID: 35409858 \nPMCID: PMC8998505","source":"4.614","title":"Ecological Restoration and Carbon Sequestration Regulation of Mining Areas-A Case Study of Huangshi City.","volume":"19","author":[{"family":"Liao","given":"Qipeng"},{"family":"Liu","given":"Xinran"},{"family":"Xiao","given":"Mingzhu"}],"issued":{"date-parts":[["2022",3,31]]}}},{"id":281,"uris":["http://zotero.org/users/14180859/items/QKK8SKI7"],"itemData":{"id":281,"type":"article-journal","abstract":"Interest in the use of biochar in agriculture has increased exponentially during the past decade. Biochar, when applied to soils is reported to enhance soil  carbon sequestration and provide other soil productivity benefits such as  reduction of bulk density, enhancement of water-holding capacity and nutrient  retention, stabilization of soil organic matter, improvement of microbial  activities, and heavy-metal sequestration. Furthermore, biochar application could  enhance phosphorus availability in highly weathered tropical soils. Converting  the locally available feedstocks and farm wastes to biochar could be important  under smallholder farming systems as well, and biochar use may have applications  in tree nursery production and specialty-crop management. Thus, biochar can  contribute substantially to sustainable agriculture. While these benefits and  opportunities look attractive, several problems, and bottlenecks remain to be  addressed before widespread production and use of biochar becomes popular. The  current state of knowledge is based largely on limited small-scale studies under  laboratory and greenhouse conditions. Properties of biochar vary with both the  feedstock from which it is produced and the method of production. The  availability of feedstock as well as the economic merits, energy needs, and  environmental risks-if any-of its large-scale production and use remain to be  investigated. Nevertheless, available indications suggest that biochar could play  a significant role in facing the challenges posed by climate change and threats  to agroecosystem sustainability.","call-number":"2","container-title":"Frontiers in plant science","DOI":"10.3389/fpls.2017.02051","ISSN":"1664-462X","journalAbbreviation":"Front Plant Sci","language":"eng","note":"publisher-place: Switzerland\nPMID: 29312364 \nPMCID: PMC5732357","page":"2051","source":"6.627","title":"Biochar in the Agroecosystem-Climate-Change-Sustainability Nexus.","volume":"8","author":[{"family":"Nair","given":"Vimala D."},{"family":"Nair","given":"P. K. Ramachandran"},{"family":"Dari","given":"Biswanath"},{"family":"Freitas","given":"Andressa M."},{"family":"Chatterjee","given":"Nilovna"},{"family":"Pinheiro","given":"Felipe M."}],"issued":{"date-parts":[["2017"]]}}},{"id":280,"uris":["http://zotero.org/users/14180859/items/G2WWU9G5"],"itemData":{"id":280,"type":"article-journal","abstract":"Conservational management practices in grasslands have been considered one of the efficient options to enhance the soil organic carbon (SOC) accumulation. However,  the SOC changes after the conservational management practices vary significantly  under different grassland vegetation types and the environmental conditions. At  present, it is not clear how the SOC accumulation changes along the soil profile  if conservational management practice was adopted. In this study, we collected  663 paired observational data of SOC changes with and without conservational  management practices in grasslands of China from 176 published literatures that  has both the surface (0‒20 cm) and subsurface (to 40 cm depth) SOC measurements.  The differences of SOC density (SOCD) between pre‒management and post‒management  in the vertical soil layers were analyzed in order to establish a quantitative  relationship of the SOC changes between the subsurface and the surface. The  results revealed that in all grasslands, conservational management practices  benefits the SOC accumulation by enhancing 0.43‒1.14 Mg C ha-1 yr-1. But the SOC  increment weakened downwards along the soil profile. While the surface SOC was  enhanced by 17% after conservational management, the subsurface SOC was enhanced  by only 7%. The SOC accumulation was closely correlated with restoration  duration, pre-management SOCD and the environmental factors and differed greatly  among different grasslands and the practices adopted. The alpine and mountain  grassland showed a higher annual SOC increment than the temperate grassland with  the annual rate of 1.62 and 0.72 Mg C ha-1 yr-1, respectively. The SOC increment  caused by the artificial plantation and the grazing exclusion conservational  management was more than 2-fold that of the cropland abandonment and the  extensive utilization. With the quantitative relationship of the SOC changes  between soil layers, we provide a methodological option to estimate SOC changes  to layers deeper than the recommendation of IPCC when only the surface layer SOC  increment is available.","call-number":"3","container-title":"PloS one","DOI":"10.1371/journal.pone.0137280","ISSN":"1932-6203","issue":"9","journalAbbreviation":"PLoS One","language":"eng","note":"publisher-place: United States\nPMID: 26356845 \nPMCID: PMC4565714","page":"e0137280","source":"3.752","title":"Differential Effects of Conservational Management on SOC Accumulation in the Grasslands of China.","volume":"10","author":[{"family":"Zhang","given":"Ping"},{"family":"Tang","given":"Jie"},{"family":"Sun","given":"Wenjuan"},{"family":"Yu","given":"Yongqiang"},{"family":"Zhang","given":"Wen"}],"issued":{"date-parts":[["2015"]]}}}],"schema":"https://github.com/citation-style-language/schema/raw/master/csl-citation.json"} </w:instrText>
      </w:r>
      <w:r w:rsidR="00F1012F" w:rsidRPr="00154A3B">
        <w:rPr>
          <w:rFonts w:ascii="Times New Roman" w:eastAsia="楷体" w:hAnsi="Times New Roman" w:cs="Times New Roman"/>
          <w:color w:val="0000FF"/>
        </w:rPr>
        <w:fldChar w:fldCharType="separate"/>
      </w:r>
      <w:r w:rsidR="00373A5C" w:rsidRPr="00154A3B">
        <w:rPr>
          <w:rFonts w:ascii="Times New Roman" w:hAnsi="Times New Roman" w:cs="Times New Roman"/>
          <w:color w:val="0000FF"/>
          <w:vertAlign w:val="superscript"/>
        </w:rPr>
        <w:t>1–4</w:t>
      </w:r>
      <w:r w:rsidR="00F1012F" w:rsidRPr="00154A3B">
        <w:rPr>
          <w:rFonts w:ascii="Times New Roman" w:eastAsia="楷体" w:hAnsi="Times New Roman" w:cs="Times New Roman"/>
          <w:color w:val="0000FF"/>
        </w:rPr>
        <w:fldChar w:fldCharType="end"/>
      </w:r>
      <w:r>
        <w:rPr>
          <w:rFonts w:ascii="Times New Roman" w:eastAsia="楷体" w:hAnsi="Times New Roman" w:cs="Times New Roman"/>
        </w:rPr>
        <w:t>. The formula can be expressed as:</w:t>
      </w:r>
    </w:p>
    <w:p w14:paraId="35D7053E" w14:textId="77777777" w:rsidR="00ED32D3" w:rsidRDefault="00F13C42">
      <w:pPr>
        <w:tabs>
          <w:tab w:val="left" w:pos="1843"/>
          <w:tab w:val="left" w:pos="9498"/>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3320" w:dyaOrig="460" w14:anchorId="109143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6pt;height:22.2pt" o:ole="">
            <v:imagedata r:id="rId8" o:title=""/>
          </v:shape>
          <o:OLEObject Type="Embed" ProgID="Equation.DSMT4" ShapeID="_x0000_i1025" DrawAspect="Content" ObjectID="_1804494608" r:id="rId9"/>
        </w:object>
      </w:r>
      <w:r>
        <w:rPr>
          <w:rFonts w:ascii="Times New Roman" w:hAnsi="Times New Roman" w:cs="Times New Roman"/>
          <w:position w:val="-28"/>
        </w:rPr>
        <w:tab/>
      </w:r>
      <w:r>
        <w:rPr>
          <w:rFonts w:ascii="Times New Roman" w:hAnsi="Times New Roman" w:cs="Times New Roman" w:hint="eastAsia"/>
          <w:position w:val="-28"/>
        </w:rPr>
        <w:t>(</w:t>
      </w:r>
      <w:r>
        <w:rPr>
          <w:rFonts w:ascii="Times New Roman" w:hAnsi="Times New Roman" w:cs="Times New Roman"/>
          <w:position w:val="-28"/>
        </w:rPr>
        <w:t>1)</w:t>
      </w:r>
    </w:p>
    <w:p w14:paraId="14F0EC4D" w14:textId="77777777" w:rsidR="00ED32D3" w:rsidRDefault="00F13C42">
      <w:pPr>
        <w:spacing w:line="360" w:lineRule="auto"/>
        <w:ind w:firstLineChars="200" w:firstLine="480"/>
        <w:jc w:val="both"/>
        <w:rPr>
          <w:rFonts w:ascii="Times New Roman" w:hAnsi="Times New Roman" w:cs="Times New Roman"/>
          <w:position w:val="-12"/>
        </w:rPr>
      </w:pPr>
      <w:r>
        <w:rPr>
          <w:rFonts w:ascii="Times New Roman" w:hAnsi="Times New Roman" w:cs="Times New Roman"/>
          <w:position w:val="-12"/>
        </w:rPr>
        <w:t xml:space="preserve">where </w:t>
      </w:r>
      <w:r>
        <w:rPr>
          <w:rFonts w:ascii="Times New Roman" w:hAnsi="Times New Roman" w:cs="Times New Roman"/>
          <w:i/>
          <w:iCs/>
          <w:position w:val="-12"/>
        </w:rPr>
        <w:t>C</w:t>
      </w:r>
      <w:r>
        <w:rPr>
          <w:rFonts w:ascii="Times New Roman" w:hAnsi="Times New Roman" w:cs="Times New Roman"/>
          <w:i/>
          <w:iCs/>
          <w:position w:val="-12"/>
          <w:vertAlign w:val="subscript"/>
        </w:rPr>
        <w:t>stord</w:t>
      </w:r>
      <w:r>
        <w:rPr>
          <w:rFonts w:ascii="Times New Roman" w:hAnsi="Times New Roman" w:cs="Times New Roman"/>
          <w:i/>
          <w:iCs/>
          <w:position w:val="-12"/>
        </w:rPr>
        <w:t xml:space="preserve"> </w:t>
      </w:r>
      <w:r>
        <w:rPr>
          <w:rFonts w:ascii="Times New Roman" w:hAnsi="Times New Roman" w:cs="Times New Roman"/>
          <w:position w:val="-12"/>
        </w:rPr>
        <w:t xml:space="preserve">refers to the total carbon stored, </w:t>
      </w:r>
      <w:r>
        <w:rPr>
          <w:rFonts w:ascii="Times New Roman" w:hAnsi="Times New Roman" w:cs="Times New Roman"/>
          <w:i/>
          <w:iCs/>
          <w:position w:val="-12"/>
        </w:rPr>
        <w:t>C</w:t>
      </w:r>
      <w:r>
        <w:rPr>
          <w:rFonts w:ascii="Times New Roman" w:hAnsi="Times New Roman" w:cs="Times New Roman"/>
          <w:i/>
          <w:iCs/>
          <w:position w:val="-12"/>
          <w:vertAlign w:val="subscript"/>
        </w:rPr>
        <w:t>above</w:t>
      </w:r>
      <w:r>
        <w:rPr>
          <w:rFonts w:ascii="Times New Roman" w:hAnsi="Times New Roman" w:cs="Times New Roman"/>
          <w:i/>
          <w:iCs/>
          <w:position w:val="-12"/>
        </w:rPr>
        <w:t xml:space="preserve"> </w:t>
      </w:r>
      <w:r>
        <w:rPr>
          <w:rFonts w:ascii="Times New Roman" w:hAnsi="Times New Roman" w:cs="Times New Roman"/>
          <w:position w:val="-12"/>
        </w:rPr>
        <w:t xml:space="preserve">refers to the carbon stored in the aboveground biomass carbon pool, </w:t>
      </w:r>
      <w:r>
        <w:rPr>
          <w:rFonts w:ascii="Times New Roman" w:hAnsi="Times New Roman" w:cs="Times New Roman"/>
          <w:i/>
          <w:iCs/>
          <w:position w:val="-12"/>
        </w:rPr>
        <w:t>C</w:t>
      </w:r>
      <w:r>
        <w:rPr>
          <w:rFonts w:ascii="Times New Roman" w:hAnsi="Times New Roman" w:cs="Times New Roman"/>
          <w:i/>
          <w:iCs/>
          <w:position w:val="-12"/>
          <w:vertAlign w:val="subscript"/>
        </w:rPr>
        <w:t xml:space="preserve">below </w:t>
      </w:r>
      <w:r>
        <w:rPr>
          <w:rFonts w:ascii="Times New Roman" w:hAnsi="Times New Roman" w:cs="Times New Roman"/>
          <w:position w:val="-12"/>
        </w:rPr>
        <w:t xml:space="preserve">refers to the carbon stored in the belowground biomass carbon pool, </w:t>
      </w:r>
      <w:r>
        <w:rPr>
          <w:rFonts w:ascii="Times New Roman" w:hAnsi="Times New Roman" w:cs="Times New Roman"/>
          <w:i/>
          <w:iCs/>
          <w:position w:val="-12"/>
        </w:rPr>
        <w:t>C</w:t>
      </w:r>
      <w:r>
        <w:rPr>
          <w:rFonts w:ascii="Times New Roman" w:hAnsi="Times New Roman" w:cs="Times New Roman"/>
          <w:i/>
          <w:iCs/>
          <w:position w:val="-12"/>
          <w:vertAlign w:val="subscript"/>
        </w:rPr>
        <w:t xml:space="preserve">soil </w:t>
      </w:r>
      <w:r>
        <w:rPr>
          <w:rFonts w:ascii="Times New Roman" w:hAnsi="Times New Roman" w:cs="Times New Roman"/>
          <w:position w:val="-12"/>
        </w:rPr>
        <w:t xml:space="preserve">refers to the carbon stored in the litter carbon pool, </w:t>
      </w:r>
      <w:r>
        <w:rPr>
          <w:rFonts w:ascii="Times New Roman" w:hAnsi="Times New Roman" w:cs="Times New Roman"/>
          <w:i/>
          <w:iCs/>
          <w:position w:val="-12"/>
        </w:rPr>
        <w:t>C</w:t>
      </w:r>
      <w:r>
        <w:rPr>
          <w:rFonts w:ascii="Times New Roman" w:hAnsi="Times New Roman" w:cs="Times New Roman"/>
          <w:i/>
          <w:iCs/>
          <w:position w:val="-12"/>
          <w:vertAlign w:val="subscript"/>
        </w:rPr>
        <w:t>dead</w:t>
      </w:r>
      <w:r>
        <w:rPr>
          <w:rFonts w:ascii="Times New Roman" w:hAnsi="Times New Roman" w:cs="Times New Roman"/>
          <w:i/>
          <w:iCs/>
          <w:position w:val="-12"/>
        </w:rPr>
        <w:t xml:space="preserve"> </w:t>
      </w:r>
      <w:r>
        <w:rPr>
          <w:rFonts w:ascii="Times New Roman" w:hAnsi="Times New Roman" w:cs="Times New Roman"/>
          <w:position w:val="-12"/>
        </w:rPr>
        <w:t>refers the carbon stored of deadwood and soil carbon pool.</w:t>
      </w:r>
    </w:p>
    <w:p w14:paraId="79A5F21A" w14:textId="4E9865B5" w:rsidR="00ED32D3" w:rsidRPr="00793507" w:rsidRDefault="00F13C42">
      <w:pPr>
        <w:spacing w:line="360" w:lineRule="auto"/>
        <w:ind w:firstLineChars="200" w:firstLine="480"/>
        <w:jc w:val="both"/>
        <w:rPr>
          <w:rFonts w:ascii="Times New Roman" w:hAnsi="Times New Roman" w:cs="Times New Roman"/>
          <w:color w:val="FF0000"/>
          <w:position w:val="-12"/>
        </w:rPr>
      </w:pPr>
      <w:r>
        <w:rPr>
          <w:rFonts w:ascii="Times New Roman" w:eastAsia="楷体" w:hAnsi="Times New Roman" w:cs="Times New Roman"/>
        </w:rPr>
        <w:t xml:space="preserve">The InVEST Carbon model was used to estimate the carbon storage of a given LULC type. Due to the regional variation of carbon density data, this study obtained the carbon density data for </w:t>
      </w:r>
      <w:r>
        <w:rPr>
          <w:rFonts w:ascii="Times New Roman" w:eastAsia="楷体" w:hAnsi="Times New Roman" w:cs="Times New Roman" w:hint="eastAsia"/>
        </w:rPr>
        <w:t>YERB</w:t>
      </w:r>
      <w:r>
        <w:rPr>
          <w:rFonts w:ascii="Times New Roman" w:eastAsia="楷体" w:hAnsi="Times New Roman" w:cs="Times New Roman"/>
        </w:rPr>
        <w:t xml:space="preserve"> from existing literature </w:t>
      </w:r>
      <w:r>
        <w:rPr>
          <w:rFonts w:ascii="Times New Roman" w:eastAsia="楷体" w:hAnsi="Times New Roman" w:cs="Times New Roman"/>
          <w:color w:val="0000FF"/>
        </w:rPr>
        <w:t>(Table S</w:t>
      </w:r>
      <w:r>
        <w:rPr>
          <w:rFonts w:ascii="Times New Roman" w:eastAsia="楷体" w:hAnsi="Times New Roman" w:cs="Times New Roman" w:hint="eastAsia"/>
          <w:color w:val="0000FF"/>
        </w:rPr>
        <w:t>1</w:t>
      </w:r>
      <w:r>
        <w:rPr>
          <w:rFonts w:ascii="Times New Roman" w:eastAsia="楷体" w:hAnsi="Times New Roman" w:cs="Times New Roman"/>
          <w:color w:val="0000FF"/>
        </w:rPr>
        <w:t>)</w:t>
      </w:r>
      <w:r w:rsidR="00F40D9E" w:rsidRPr="00F40D9E">
        <w:rPr>
          <w:rFonts w:ascii="Times New Roman" w:eastAsia="楷体" w:hAnsi="Times New Roman" w:cs="Times New Roman"/>
          <w:color w:val="051BBB"/>
          <w:sz w:val="21"/>
          <w:szCs w:val="21"/>
        </w:rPr>
        <w:t xml:space="preserve"> </w:t>
      </w:r>
      <w:r w:rsidR="00793507" w:rsidRPr="005431C0">
        <w:rPr>
          <w:rFonts w:ascii="Times New Roman" w:eastAsia="楷体" w:hAnsi="Times New Roman" w:cs="Times New Roman" w:hint="eastAsia"/>
        </w:rPr>
        <w:t>Run the Carbon storage and sequestration model in inVEST software, import LULC data during the study period in the column of Current Land Use/Land Cover(Raster) in parameter setting, and import parameters according to Table S1 in the column of Carbon Pools</w:t>
      </w:r>
      <w:r w:rsidR="00F40D9E" w:rsidRPr="00154A3B">
        <w:rPr>
          <w:rFonts w:ascii="Times New Roman" w:eastAsia="楷体" w:hAnsi="Times New Roman" w:cs="Times New Roman"/>
          <w:color w:val="0000FF"/>
          <w:sz w:val="21"/>
          <w:szCs w:val="21"/>
        </w:rPr>
        <w:fldChar w:fldCharType="begin"/>
      </w:r>
      <w:r w:rsidR="00F40D9E" w:rsidRPr="00154A3B">
        <w:rPr>
          <w:rFonts w:ascii="Times New Roman" w:eastAsia="楷体" w:hAnsi="Times New Roman" w:cs="Times New Roman"/>
          <w:color w:val="0000FF"/>
          <w:sz w:val="21"/>
          <w:szCs w:val="21"/>
        </w:rPr>
        <w:instrText xml:space="preserve"> ADDIN ZOTERO_ITEM CSL_CITATION {"citationID":"efEyUmMl","properties":{"formattedCitation":"\\super 5\\uc0\\u8211{}7\\nosupersub{}","plainCitation":"5–7","noteIndex":0},"citationItems":[{"id":293,"uris":["http://zotero.org/users/14180859/items/Q42GKY5Z"],"itemData":{"id":293,"type":"article-journal","abstract":"BACKGROUND: Since the 1990's, afforestation programs in the páramo have been implemented to offset carbon emissions through carbon sequestration, mainly using  pine plantations. However, several studies have indicated that after the  establishment of pine plantations in grasslands, there is an alteration of carbon  pools including a decrease of the soil organic carbon (SOC) pool. The aim of this  study is to investigate the impact of the establishment of pine plantations on  the carbon stocks in different altitudes of the páramo ecosystem of South  Ecuador. RESULTS: At seven locations within an elevational gradient from 2780 to  3760 m a.s.l., we measured and compared carbon stocks of three types of land use:  natural grassland, grazed páramo, and Pinus patula Schlltdl. &amp; Cham. plantation  sites. For a more accurate estimation of pine tree carbon, we developed our own  allometric equations. There were significant (p &lt; 0.05) differences between the  amounts of carbon stored in the carbon pools aboveground and belowground for the  three types of land use. In most of the locations, pine plantations revealed the  highest amounts of aboveground and belowground carbon (55.4 and 6.9 tC/ha)  followed by natural grassland (23.1 and 2.7 tC/ha) and grazed páramo sites (9.1  and 1.5 tC/ha). Concerning the SOC pools, most of the locations revealed  significant lower values of plantations' SOC in comparison to natural grassland  and grazed páramo sites. Higher elevation was associated with lower amounts of  pines' biomass. CONCLUSIONS: Even though plantations store high amounts of  carbon, natural páramo grassland can also store substantial amounts above and  belowground, without negatively affecting the soils and putting other páramo  ecosystem services at risk. Consequently, plans for afforestation in the páramo  should be assessed case by case, considering not only the limiting factor of  elevation, but also the site quality especially affected by the type of previous  land use.","call-number":"3","container-title":"Carbon balance and management","DOI":"10.1186/s13021-021-00168-5","ISSN":"1750-0680","issue":"1","journalAbbreviation":"Carbon Balance Manag","language":"eng","note":"publisher-place: England\nPMID: 33559772 \nPMCID: PMC7871390","page":"5","source":"4.356","title":"Impacts of pine plantations on carbon stocks of páramo sites in southern Ecuador.","volume":"16","author":[{"family":"Quiroz Dahik","given":"Carlos"},{"family":"Crespo","given":"Patricio"},{"family":"Stimm","given":"Bernd"},{"family":"Mosandl","given":"Reinhard"},{"family":"Cueva","given":"Jorge"},{"family":"Hildebrandt","given":"Patrick"},{"family":"Weber","given":"Michael"}],"issued":{"date-parts":[["2021",2,9]]}}},{"id":290,"uris":["http://zotero.org/users/14180859/items/88CHHGXE"],"itemData":{"id":290,"type":"article-journal","abstract":"Remotely sensed biomass carbon density maps are widely used for myriad scientific and policy applications, but all remain limited in scope. They often only represent a single vegetation type and rarely account for carbon stocks in belowground biomass. To date, no global product integrates these disparate estimates into an all-encompassing map at a scale appropriate for many modelling or decision-making applications. We developed an approach for harmonizing vegetation-specific maps of both above and belowground biomass into a single, comprehensive representation of each. We overlaid input maps and allocated their estimates in proportion to the relative spatial extent of each vegetation type using ancillary maps of percent tree cover and landcover, and a rule-based decision schema. The resulting maps consistently and seamlessly report biomass carbon density estimates across a wide range of vegetation types in 2010 with quantified uncertainty. They do so for the globe at an unprecedented 300-meter spatial resolution and can be used to more holistically account for diverse vegetation carbon stocks in global analyses and greenhouse gas inventories.","call-number":"2","container-title":"Scientific Data","DOI":"10.1038/s41597-020-0444-4","ISSN":"2052-4463","issue":"1","journalAbbreviation":"Scientific Data","page":"112","source":"8.501","title":"Harmonized global maps of above and belowground biomass carbon density in the year 2010","volume":"7","author":[{"family":"Spawn","given":"Seth A."},{"family":"Sullivan","given":"Clare C."},{"family":"Lark","given":"Tyler J."},{"family":"Gibbs","given":"Holly K."}],"issued":{"date-parts":[["2020",4,6]]}}},{"id":289,"uris":["http://zotero.org/users/14180859/items/VAKRVTEL"],"itemData":{"id":289,"type":"article-journal","abstract":"Soil stores a large amount of the terrestrial ecosystem carbon (C) and plays an important role in maintaining global C balance. However, very few studies have addressed the regional patterns of soil organic carbon (SOC) storage and the main factors influencing its changes in Chinese terrestrial ecosystems, especially using field measured data. In this study, we collected information on SOC storage in main types of ecosystems (including forest, grassland, cropland, and wetland) across 18 regions in China during the 1980s (from the Second National Soil Survey of China, SNSSC) and the 2010s (from studies published between 2004 and 2014), and evaluated its changing trends during these 30 years. The SOC storage (0–100 cm) in Chinese terrestrial ecosystems was 83.46 ± 11.89 Pg C in the 1980s and 86.50 ± 8.71 Pg C in the 2010s, and the net increase over the 30 years was 3.04 ± 1.65 Pg C, with an overall rate of 0.101 ± 0.055 Pg C yr–1. This increase was mainly observed in the topsoil (0–20 cm). Forests, grasslands, and croplands SOC storage increased 2.52 ± 0.77, 0.40 ± 0.78, and 0.07 ± 0.31 Pg C, respectively, which can be attributed to the several ecological restoration projects and agricultural practices implemented. On the other hand, SOC storage in wetlands declined 0.76 ± 0.29 Pg C, most likely because of the decrease of wetland area and SOC density. Combining these results with those of vegetation C sink (0.100 Pg C yr–1), the net C sink in Chinese terrestrial ecosystems was about 0.201 ± 0.061 Pg C yr–1, which can offset 14.85%–27.79% of the fossil fuel C emissions from the 1980s to the 2010s. These first estimates of soil C sink based on field measured data supported the premise that China’s terrestrial ecosystems have a large C sequestration potential, and further emphasized the importance of forest protection and reforestation to increase SOC storage capacity.","call-number":"2","container-title":"Journal of Geographical Sciences","DOI":"10.1007/s11442-019-1583-4","ISSN":"1861-9568","issue":"1","journalAbbreviation":"Journal of Geographical Sciences","page":"49-66","source":"4.012","title":"Increased soil organic carbon storage in Chinese terrestrial ecosystems from the 1980s to the 2010s","volume":"29","author":[{"family":"Xu","given":"Li"},{"family":"Yu","given":"Guirui"},{"family":"He","given":"Nianpeng"}],"issued":{"date-parts":[["2019",1,1]]}},"label":"page"}],"schema":"https://github.com/citation-style-language/schema/raw/master/csl-citation.json"} </w:instrText>
      </w:r>
      <w:r w:rsidR="00F40D9E" w:rsidRPr="00154A3B">
        <w:rPr>
          <w:rFonts w:ascii="Times New Roman" w:eastAsia="楷体" w:hAnsi="Times New Roman" w:cs="Times New Roman"/>
          <w:color w:val="0000FF"/>
          <w:sz w:val="21"/>
          <w:szCs w:val="21"/>
        </w:rPr>
        <w:fldChar w:fldCharType="separate"/>
      </w:r>
      <w:r w:rsidR="00F40D9E" w:rsidRPr="00154A3B">
        <w:rPr>
          <w:rFonts w:ascii="Times New Roman" w:hAnsi="Times New Roman" w:cs="Times New Roman"/>
          <w:color w:val="0000FF"/>
          <w:sz w:val="21"/>
          <w:vertAlign w:val="superscript"/>
        </w:rPr>
        <w:t>5–7</w:t>
      </w:r>
      <w:r w:rsidR="00F40D9E" w:rsidRPr="00154A3B">
        <w:rPr>
          <w:rFonts w:ascii="Times New Roman" w:eastAsia="楷体" w:hAnsi="Times New Roman" w:cs="Times New Roman"/>
          <w:color w:val="0000FF"/>
          <w:sz w:val="21"/>
          <w:szCs w:val="21"/>
        </w:rPr>
        <w:fldChar w:fldCharType="end"/>
      </w:r>
      <w:r w:rsidR="00793507" w:rsidRPr="005431C0">
        <w:rPr>
          <w:rFonts w:ascii="Times New Roman" w:eastAsia="楷体" w:hAnsi="Times New Roman" w:cs="Times New Roman" w:hint="eastAsia"/>
        </w:rPr>
        <w:t>.</w:t>
      </w:r>
    </w:p>
    <w:p w14:paraId="6E45CF1F" w14:textId="77777777" w:rsidR="00ED32D3" w:rsidRDefault="00F13C42">
      <w:pPr>
        <w:spacing w:beforeLines="100" w:before="326"/>
        <w:jc w:val="both"/>
        <w:outlineLvl w:val="3"/>
        <w:rPr>
          <w:rFonts w:ascii="Times New Roman" w:hAnsi="Times New Roman" w:cs="Times New Roman"/>
          <w:b/>
          <w:bCs/>
          <w:sz w:val="21"/>
          <w:szCs w:val="21"/>
        </w:rPr>
      </w:pPr>
      <w:r>
        <w:rPr>
          <w:rFonts w:ascii="Times New Roman" w:hAnsi="Times New Roman" w:cs="Times New Roman"/>
          <w:b/>
          <w:bCs/>
          <w:sz w:val="21"/>
          <w:szCs w:val="21"/>
        </w:rPr>
        <w:t>Table S</w:t>
      </w:r>
      <w:r>
        <w:rPr>
          <w:rFonts w:ascii="Times New Roman" w:hAnsi="Times New Roman" w:cs="Times New Roman" w:hint="eastAsia"/>
          <w:b/>
          <w:bCs/>
          <w:sz w:val="21"/>
          <w:szCs w:val="21"/>
        </w:rPr>
        <w:t>1</w:t>
      </w:r>
    </w:p>
    <w:p w14:paraId="0727C5E3" w14:textId="77777777" w:rsidR="00ED32D3" w:rsidRDefault="00F13C42">
      <w:pPr>
        <w:jc w:val="both"/>
        <w:rPr>
          <w:rFonts w:ascii="Times New Roman" w:hAnsi="Times New Roman" w:cs="Times New Roman"/>
          <w:sz w:val="21"/>
          <w:szCs w:val="21"/>
        </w:rPr>
      </w:pPr>
      <w:bookmarkStart w:id="1" w:name="OLE_LINK28"/>
      <w:r>
        <w:rPr>
          <w:rFonts w:ascii="Times New Roman" w:eastAsia="楷体" w:hAnsi="Times New Roman" w:cs="Times New Roman"/>
          <w:sz w:val="21"/>
          <w:szCs w:val="21"/>
        </w:rPr>
        <w:t>The carbon stock parameters of different LULC types</w:t>
      </w:r>
      <w:bookmarkEnd w:id="1"/>
      <w:r>
        <w:rPr>
          <w:rFonts w:ascii="Times New Roman" w:hAnsi="Times New Roman" w:cs="Times New Roman" w:hint="eastAsia"/>
          <w:sz w:val="21"/>
          <w:szCs w:val="21"/>
        </w:rPr>
        <w:t>（</w:t>
      </w:r>
      <w:r>
        <w:rPr>
          <w:rFonts w:ascii="Times New Roman" w:hAnsi="Times New Roman" w:cs="Times New Roman"/>
          <w:sz w:val="21"/>
          <w:szCs w:val="21"/>
        </w:rPr>
        <w:t>Unit: t/ha</w:t>
      </w:r>
      <w:r>
        <w:rPr>
          <w:rFonts w:ascii="Times New Roman" w:hAnsi="Times New Roman" w:cs="Times New Roman" w:hint="eastAsia"/>
          <w:sz w:val="21"/>
          <w:szCs w:val="21"/>
        </w:rPr>
        <w:t>）</w:t>
      </w:r>
    </w:p>
    <w:tbl>
      <w:tblPr>
        <w:tblStyle w:val="11"/>
        <w:tblW w:w="5000" w:type="pct"/>
        <w:tblBorders>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690"/>
        <w:gridCol w:w="1761"/>
        <w:gridCol w:w="1763"/>
        <w:gridCol w:w="1760"/>
        <w:gridCol w:w="1762"/>
      </w:tblGrid>
      <w:tr w:rsidR="00ED32D3" w14:paraId="14B6F879" w14:textId="77777777" w:rsidTr="007C6B6C">
        <w:trPr>
          <w:trHeight w:val="261"/>
          <w:tblHeader/>
        </w:trPr>
        <w:tc>
          <w:tcPr>
            <w:tcW w:w="1381" w:type="pct"/>
            <w:tcBorders>
              <w:top w:val="single" w:sz="4" w:space="0" w:color="auto"/>
              <w:bottom w:val="single" w:sz="4" w:space="0" w:color="auto"/>
            </w:tcBorders>
            <w:shd w:val="clear" w:color="auto" w:fill="auto"/>
          </w:tcPr>
          <w:p w14:paraId="1BDF3F0D" w14:textId="77777777" w:rsidR="00ED32D3" w:rsidRDefault="00F13C42">
            <w:pPr>
              <w:jc w:val="both"/>
              <w:rPr>
                <w:rFonts w:ascii="Times New Roman" w:hAnsi="Times New Roman"/>
                <w:sz w:val="21"/>
                <w:szCs w:val="21"/>
              </w:rPr>
            </w:pPr>
            <w:r>
              <w:rPr>
                <w:rFonts w:ascii="Times New Roman" w:hAnsi="Times New Roman"/>
                <w:sz w:val="21"/>
                <w:szCs w:val="21"/>
              </w:rPr>
              <w:t>LULC type</w:t>
            </w:r>
          </w:p>
        </w:tc>
        <w:tc>
          <w:tcPr>
            <w:tcW w:w="904" w:type="pct"/>
            <w:tcBorders>
              <w:top w:val="single" w:sz="4" w:space="0" w:color="auto"/>
              <w:bottom w:val="single" w:sz="4" w:space="0" w:color="auto"/>
            </w:tcBorders>
            <w:shd w:val="clear" w:color="auto" w:fill="auto"/>
          </w:tcPr>
          <w:p w14:paraId="5E82A84B" w14:textId="77777777" w:rsidR="00ED32D3" w:rsidRDefault="00F13C42">
            <w:pPr>
              <w:jc w:val="both"/>
              <w:rPr>
                <w:rFonts w:ascii="Times New Roman" w:hAnsi="Times New Roman"/>
                <w:sz w:val="21"/>
                <w:szCs w:val="21"/>
              </w:rPr>
            </w:pPr>
            <w:r>
              <w:rPr>
                <w:rFonts w:ascii="Times New Roman" w:hAnsi="Times New Roman"/>
                <w:sz w:val="21"/>
                <w:szCs w:val="21"/>
              </w:rPr>
              <w:t>C_above</w:t>
            </w:r>
          </w:p>
        </w:tc>
        <w:tc>
          <w:tcPr>
            <w:tcW w:w="905" w:type="pct"/>
            <w:tcBorders>
              <w:top w:val="single" w:sz="4" w:space="0" w:color="auto"/>
              <w:bottom w:val="single" w:sz="4" w:space="0" w:color="auto"/>
            </w:tcBorders>
            <w:shd w:val="clear" w:color="auto" w:fill="auto"/>
          </w:tcPr>
          <w:p w14:paraId="557F2587" w14:textId="77777777" w:rsidR="00ED32D3" w:rsidRDefault="00F13C42">
            <w:pPr>
              <w:jc w:val="both"/>
              <w:rPr>
                <w:rFonts w:ascii="Times New Roman" w:hAnsi="Times New Roman"/>
                <w:sz w:val="21"/>
                <w:szCs w:val="21"/>
              </w:rPr>
            </w:pPr>
            <w:r>
              <w:rPr>
                <w:rFonts w:ascii="Times New Roman" w:hAnsi="Times New Roman"/>
                <w:sz w:val="21"/>
                <w:szCs w:val="21"/>
              </w:rPr>
              <w:t>C_below</w:t>
            </w:r>
          </w:p>
        </w:tc>
        <w:tc>
          <w:tcPr>
            <w:tcW w:w="904" w:type="pct"/>
            <w:tcBorders>
              <w:top w:val="single" w:sz="4" w:space="0" w:color="auto"/>
              <w:bottom w:val="single" w:sz="4" w:space="0" w:color="auto"/>
            </w:tcBorders>
            <w:shd w:val="clear" w:color="auto" w:fill="auto"/>
          </w:tcPr>
          <w:p w14:paraId="09CF958C" w14:textId="77777777" w:rsidR="00ED32D3" w:rsidRDefault="00F13C42">
            <w:pPr>
              <w:jc w:val="both"/>
              <w:rPr>
                <w:rFonts w:ascii="Times New Roman" w:hAnsi="Times New Roman"/>
                <w:sz w:val="21"/>
                <w:szCs w:val="21"/>
              </w:rPr>
            </w:pPr>
            <w:r>
              <w:rPr>
                <w:rFonts w:ascii="Times New Roman" w:hAnsi="Times New Roman"/>
                <w:sz w:val="21"/>
                <w:szCs w:val="21"/>
              </w:rPr>
              <w:t>C_soil</w:t>
            </w:r>
          </w:p>
        </w:tc>
        <w:tc>
          <w:tcPr>
            <w:tcW w:w="905" w:type="pct"/>
            <w:tcBorders>
              <w:top w:val="single" w:sz="4" w:space="0" w:color="auto"/>
              <w:bottom w:val="single" w:sz="4" w:space="0" w:color="auto"/>
            </w:tcBorders>
            <w:shd w:val="clear" w:color="auto" w:fill="auto"/>
          </w:tcPr>
          <w:p w14:paraId="7BA8C5BE" w14:textId="77777777" w:rsidR="00ED32D3" w:rsidRDefault="00F13C42">
            <w:pPr>
              <w:jc w:val="both"/>
              <w:rPr>
                <w:rFonts w:ascii="Times New Roman" w:hAnsi="Times New Roman"/>
                <w:sz w:val="21"/>
                <w:szCs w:val="21"/>
              </w:rPr>
            </w:pPr>
            <w:r>
              <w:rPr>
                <w:rFonts w:ascii="Times New Roman" w:hAnsi="Times New Roman"/>
                <w:sz w:val="21"/>
                <w:szCs w:val="21"/>
              </w:rPr>
              <w:t>C_dead</w:t>
            </w:r>
          </w:p>
        </w:tc>
      </w:tr>
      <w:tr w:rsidR="00ED32D3" w14:paraId="10BAC91F" w14:textId="77777777">
        <w:trPr>
          <w:trHeight w:val="285"/>
        </w:trPr>
        <w:tc>
          <w:tcPr>
            <w:tcW w:w="1381" w:type="pct"/>
            <w:tcBorders>
              <w:top w:val="single" w:sz="4" w:space="0" w:color="auto"/>
            </w:tcBorders>
            <w:shd w:val="clear" w:color="auto" w:fill="auto"/>
          </w:tcPr>
          <w:p w14:paraId="4A66E38B" w14:textId="77777777" w:rsidR="00ED32D3" w:rsidRDefault="00F13C42">
            <w:pPr>
              <w:jc w:val="both"/>
              <w:rPr>
                <w:rFonts w:ascii="Times New Roman" w:hAnsi="Times New Roman"/>
                <w:sz w:val="21"/>
                <w:szCs w:val="21"/>
              </w:rPr>
            </w:pPr>
            <w:r>
              <w:rPr>
                <w:rFonts w:ascii="Times New Roman" w:hAnsi="Times New Roman"/>
                <w:sz w:val="21"/>
                <w:szCs w:val="21"/>
              </w:rPr>
              <w:t>Farmland</w:t>
            </w:r>
          </w:p>
        </w:tc>
        <w:tc>
          <w:tcPr>
            <w:tcW w:w="904" w:type="pct"/>
            <w:tcBorders>
              <w:top w:val="single" w:sz="4" w:space="0" w:color="auto"/>
            </w:tcBorders>
            <w:shd w:val="clear" w:color="auto" w:fill="auto"/>
            <w:noWrap/>
          </w:tcPr>
          <w:p w14:paraId="68341E11" w14:textId="77777777" w:rsidR="00ED32D3" w:rsidRDefault="00F13C42">
            <w:pPr>
              <w:jc w:val="both"/>
              <w:rPr>
                <w:rFonts w:ascii="Times New Roman" w:hAnsi="Times New Roman"/>
                <w:sz w:val="21"/>
                <w:szCs w:val="21"/>
              </w:rPr>
            </w:pPr>
            <w:r>
              <w:rPr>
                <w:rFonts w:ascii="Times New Roman" w:hAnsi="Times New Roman" w:hint="eastAsia"/>
                <w:sz w:val="21"/>
                <w:szCs w:val="21"/>
              </w:rPr>
              <w:t>16.49</w:t>
            </w:r>
          </w:p>
        </w:tc>
        <w:tc>
          <w:tcPr>
            <w:tcW w:w="905" w:type="pct"/>
            <w:tcBorders>
              <w:top w:val="single" w:sz="4" w:space="0" w:color="auto"/>
            </w:tcBorders>
            <w:shd w:val="clear" w:color="auto" w:fill="auto"/>
          </w:tcPr>
          <w:p w14:paraId="32725276" w14:textId="77777777" w:rsidR="00ED32D3" w:rsidRDefault="00F13C42">
            <w:pPr>
              <w:jc w:val="both"/>
              <w:rPr>
                <w:rFonts w:ascii="Times New Roman" w:hAnsi="Times New Roman"/>
                <w:sz w:val="21"/>
                <w:szCs w:val="21"/>
              </w:rPr>
            </w:pPr>
            <w:r>
              <w:rPr>
                <w:rFonts w:ascii="Times New Roman" w:hAnsi="Times New Roman" w:hint="eastAsia"/>
                <w:sz w:val="21"/>
                <w:szCs w:val="21"/>
              </w:rPr>
              <w:t>10.89</w:t>
            </w:r>
          </w:p>
        </w:tc>
        <w:tc>
          <w:tcPr>
            <w:tcW w:w="904" w:type="pct"/>
            <w:tcBorders>
              <w:top w:val="single" w:sz="4" w:space="0" w:color="auto"/>
            </w:tcBorders>
            <w:shd w:val="clear" w:color="auto" w:fill="auto"/>
          </w:tcPr>
          <w:p w14:paraId="66D23C00" w14:textId="77777777" w:rsidR="00ED32D3" w:rsidRDefault="00F13C42">
            <w:pPr>
              <w:jc w:val="both"/>
              <w:rPr>
                <w:rFonts w:ascii="Times New Roman" w:hAnsi="Times New Roman"/>
                <w:sz w:val="21"/>
                <w:szCs w:val="21"/>
              </w:rPr>
            </w:pPr>
            <w:r>
              <w:rPr>
                <w:rFonts w:ascii="Times New Roman" w:hAnsi="Times New Roman" w:hint="eastAsia"/>
                <w:sz w:val="21"/>
                <w:szCs w:val="21"/>
              </w:rPr>
              <w:t>75.82</w:t>
            </w:r>
          </w:p>
        </w:tc>
        <w:tc>
          <w:tcPr>
            <w:tcW w:w="905" w:type="pct"/>
            <w:tcBorders>
              <w:top w:val="single" w:sz="4" w:space="0" w:color="auto"/>
            </w:tcBorders>
            <w:shd w:val="clear" w:color="auto" w:fill="auto"/>
          </w:tcPr>
          <w:p w14:paraId="2A54C29D" w14:textId="77777777" w:rsidR="00ED32D3" w:rsidRDefault="00F13C42">
            <w:pPr>
              <w:jc w:val="both"/>
              <w:rPr>
                <w:rFonts w:ascii="Times New Roman" w:hAnsi="Times New Roman"/>
                <w:sz w:val="21"/>
                <w:szCs w:val="21"/>
              </w:rPr>
            </w:pPr>
            <w:r>
              <w:rPr>
                <w:rFonts w:ascii="Times New Roman" w:hAnsi="Times New Roman" w:hint="eastAsia"/>
                <w:sz w:val="21"/>
                <w:szCs w:val="21"/>
              </w:rPr>
              <w:t>2.11</w:t>
            </w:r>
          </w:p>
        </w:tc>
      </w:tr>
      <w:tr w:rsidR="00ED32D3" w14:paraId="6787DBAE" w14:textId="77777777">
        <w:trPr>
          <w:trHeight w:val="285"/>
        </w:trPr>
        <w:tc>
          <w:tcPr>
            <w:tcW w:w="1381" w:type="pct"/>
            <w:shd w:val="clear" w:color="auto" w:fill="auto"/>
          </w:tcPr>
          <w:p w14:paraId="68C253B2" w14:textId="77777777" w:rsidR="00ED32D3" w:rsidRDefault="00F13C42">
            <w:pPr>
              <w:jc w:val="both"/>
              <w:rPr>
                <w:rFonts w:ascii="Times New Roman" w:hAnsi="Times New Roman"/>
                <w:sz w:val="21"/>
                <w:szCs w:val="21"/>
              </w:rPr>
            </w:pPr>
            <w:r>
              <w:rPr>
                <w:rFonts w:ascii="Times New Roman" w:hAnsi="Times New Roman"/>
                <w:sz w:val="21"/>
                <w:szCs w:val="21"/>
              </w:rPr>
              <w:t>Woodland</w:t>
            </w:r>
          </w:p>
        </w:tc>
        <w:tc>
          <w:tcPr>
            <w:tcW w:w="904" w:type="pct"/>
            <w:shd w:val="clear" w:color="auto" w:fill="auto"/>
            <w:noWrap/>
          </w:tcPr>
          <w:p w14:paraId="0211BEAA" w14:textId="77777777" w:rsidR="00ED32D3" w:rsidRDefault="00F13C42">
            <w:pPr>
              <w:jc w:val="both"/>
              <w:rPr>
                <w:rFonts w:ascii="Times New Roman" w:hAnsi="Times New Roman"/>
                <w:sz w:val="21"/>
                <w:szCs w:val="21"/>
              </w:rPr>
            </w:pPr>
            <w:r>
              <w:rPr>
                <w:rFonts w:ascii="Times New Roman" w:hAnsi="Times New Roman" w:hint="eastAsia"/>
                <w:sz w:val="21"/>
                <w:szCs w:val="21"/>
              </w:rPr>
              <w:t>30.14</w:t>
            </w:r>
          </w:p>
        </w:tc>
        <w:tc>
          <w:tcPr>
            <w:tcW w:w="905" w:type="pct"/>
            <w:shd w:val="clear" w:color="auto" w:fill="auto"/>
          </w:tcPr>
          <w:p w14:paraId="7DCC41EB" w14:textId="77777777" w:rsidR="00ED32D3" w:rsidRDefault="00F13C42">
            <w:pPr>
              <w:jc w:val="both"/>
              <w:rPr>
                <w:rFonts w:ascii="Times New Roman" w:hAnsi="Times New Roman"/>
                <w:sz w:val="21"/>
                <w:szCs w:val="21"/>
              </w:rPr>
            </w:pPr>
            <w:r>
              <w:rPr>
                <w:rFonts w:ascii="Times New Roman" w:hAnsi="Times New Roman" w:hint="eastAsia"/>
                <w:sz w:val="21"/>
                <w:szCs w:val="21"/>
              </w:rPr>
              <w:t>6.03</w:t>
            </w:r>
          </w:p>
        </w:tc>
        <w:tc>
          <w:tcPr>
            <w:tcW w:w="904" w:type="pct"/>
            <w:shd w:val="clear" w:color="auto" w:fill="auto"/>
          </w:tcPr>
          <w:p w14:paraId="2009BD20" w14:textId="77777777" w:rsidR="00ED32D3" w:rsidRDefault="00F13C42">
            <w:pPr>
              <w:jc w:val="both"/>
              <w:rPr>
                <w:rFonts w:ascii="Times New Roman" w:hAnsi="Times New Roman"/>
                <w:sz w:val="21"/>
                <w:szCs w:val="21"/>
              </w:rPr>
            </w:pPr>
            <w:r>
              <w:rPr>
                <w:rFonts w:ascii="Times New Roman" w:hAnsi="Times New Roman" w:hint="eastAsia"/>
                <w:sz w:val="21"/>
                <w:szCs w:val="21"/>
              </w:rPr>
              <w:t>100.15</w:t>
            </w:r>
          </w:p>
        </w:tc>
        <w:tc>
          <w:tcPr>
            <w:tcW w:w="905" w:type="pct"/>
            <w:shd w:val="clear" w:color="auto" w:fill="auto"/>
          </w:tcPr>
          <w:p w14:paraId="30A93CA2" w14:textId="77777777" w:rsidR="00ED32D3" w:rsidRDefault="00F13C42">
            <w:pPr>
              <w:jc w:val="both"/>
              <w:rPr>
                <w:rFonts w:ascii="Times New Roman" w:hAnsi="Times New Roman"/>
                <w:sz w:val="21"/>
                <w:szCs w:val="21"/>
              </w:rPr>
            </w:pPr>
            <w:r>
              <w:rPr>
                <w:rFonts w:ascii="Times New Roman" w:hAnsi="Times New Roman" w:hint="eastAsia"/>
                <w:sz w:val="21"/>
                <w:szCs w:val="21"/>
              </w:rPr>
              <w:t>2.78</w:t>
            </w:r>
          </w:p>
        </w:tc>
      </w:tr>
      <w:tr w:rsidR="00ED32D3" w14:paraId="18F7A97A" w14:textId="77777777">
        <w:trPr>
          <w:trHeight w:val="285"/>
        </w:trPr>
        <w:tc>
          <w:tcPr>
            <w:tcW w:w="1381" w:type="pct"/>
            <w:shd w:val="clear" w:color="auto" w:fill="auto"/>
          </w:tcPr>
          <w:p w14:paraId="62039154" w14:textId="77777777" w:rsidR="00ED32D3" w:rsidRDefault="00F13C42">
            <w:pPr>
              <w:jc w:val="both"/>
              <w:rPr>
                <w:rFonts w:ascii="Times New Roman" w:hAnsi="Times New Roman"/>
                <w:sz w:val="21"/>
                <w:szCs w:val="21"/>
              </w:rPr>
            </w:pPr>
            <w:r>
              <w:rPr>
                <w:rFonts w:ascii="Times New Roman" w:hAnsi="Times New Roman"/>
                <w:sz w:val="21"/>
                <w:szCs w:val="21"/>
              </w:rPr>
              <w:t>Grassland</w:t>
            </w:r>
          </w:p>
        </w:tc>
        <w:tc>
          <w:tcPr>
            <w:tcW w:w="904" w:type="pct"/>
            <w:shd w:val="clear" w:color="auto" w:fill="auto"/>
            <w:noWrap/>
          </w:tcPr>
          <w:p w14:paraId="3DEB2BAB" w14:textId="77777777" w:rsidR="00ED32D3" w:rsidRDefault="00F13C42">
            <w:pPr>
              <w:jc w:val="both"/>
              <w:rPr>
                <w:rFonts w:ascii="Times New Roman" w:hAnsi="Times New Roman"/>
                <w:sz w:val="21"/>
                <w:szCs w:val="21"/>
              </w:rPr>
            </w:pPr>
            <w:r>
              <w:rPr>
                <w:rFonts w:ascii="Times New Roman" w:hAnsi="Times New Roman" w:hint="eastAsia"/>
                <w:sz w:val="21"/>
                <w:szCs w:val="21"/>
              </w:rPr>
              <w:t>14.29</w:t>
            </w:r>
          </w:p>
        </w:tc>
        <w:tc>
          <w:tcPr>
            <w:tcW w:w="905" w:type="pct"/>
            <w:shd w:val="clear" w:color="auto" w:fill="auto"/>
          </w:tcPr>
          <w:p w14:paraId="01F70509" w14:textId="77777777" w:rsidR="00ED32D3" w:rsidRDefault="00F13C42">
            <w:pPr>
              <w:jc w:val="both"/>
              <w:rPr>
                <w:rFonts w:ascii="Times New Roman" w:hAnsi="Times New Roman"/>
                <w:sz w:val="21"/>
                <w:szCs w:val="21"/>
              </w:rPr>
            </w:pPr>
            <w:r>
              <w:rPr>
                <w:rFonts w:ascii="Times New Roman" w:hAnsi="Times New Roman" w:hint="eastAsia"/>
                <w:sz w:val="21"/>
                <w:szCs w:val="21"/>
              </w:rPr>
              <w:t>17.15</w:t>
            </w:r>
          </w:p>
        </w:tc>
        <w:tc>
          <w:tcPr>
            <w:tcW w:w="904" w:type="pct"/>
            <w:shd w:val="clear" w:color="auto" w:fill="auto"/>
          </w:tcPr>
          <w:p w14:paraId="7C88C970" w14:textId="77777777" w:rsidR="00ED32D3" w:rsidRDefault="00F13C42">
            <w:pPr>
              <w:jc w:val="both"/>
              <w:rPr>
                <w:rFonts w:ascii="Times New Roman" w:hAnsi="Times New Roman"/>
                <w:sz w:val="21"/>
                <w:szCs w:val="21"/>
              </w:rPr>
            </w:pPr>
            <w:r>
              <w:rPr>
                <w:rFonts w:ascii="Times New Roman" w:hAnsi="Times New Roman" w:hint="eastAsia"/>
                <w:sz w:val="21"/>
                <w:szCs w:val="21"/>
              </w:rPr>
              <w:t>87.05</w:t>
            </w:r>
          </w:p>
        </w:tc>
        <w:tc>
          <w:tcPr>
            <w:tcW w:w="905" w:type="pct"/>
            <w:shd w:val="clear" w:color="auto" w:fill="auto"/>
          </w:tcPr>
          <w:p w14:paraId="26A4BD1C" w14:textId="77777777" w:rsidR="00ED32D3" w:rsidRDefault="00F13C42">
            <w:pPr>
              <w:jc w:val="both"/>
              <w:rPr>
                <w:rFonts w:ascii="Times New Roman" w:hAnsi="Times New Roman"/>
                <w:sz w:val="21"/>
                <w:szCs w:val="21"/>
              </w:rPr>
            </w:pPr>
            <w:r>
              <w:rPr>
                <w:rFonts w:ascii="Times New Roman" w:hAnsi="Times New Roman" w:hint="eastAsia"/>
                <w:sz w:val="21"/>
                <w:szCs w:val="21"/>
              </w:rPr>
              <w:t>7.28</w:t>
            </w:r>
          </w:p>
        </w:tc>
      </w:tr>
      <w:tr w:rsidR="00ED32D3" w14:paraId="4675DDF4" w14:textId="77777777">
        <w:trPr>
          <w:trHeight w:val="285"/>
        </w:trPr>
        <w:tc>
          <w:tcPr>
            <w:tcW w:w="1381" w:type="pct"/>
            <w:shd w:val="clear" w:color="auto" w:fill="auto"/>
          </w:tcPr>
          <w:p w14:paraId="702D59AD" w14:textId="77777777" w:rsidR="00ED32D3" w:rsidRDefault="00F13C42">
            <w:pPr>
              <w:jc w:val="both"/>
              <w:rPr>
                <w:rFonts w:ascii="Times New Roman" w:hAnsi="Times New Roman"/>
                <w:sz w:val="21"/>
                <w:szCs w:val="21"/>
              </w:rPr>
            </w:pPr>
            <w:r>
              <w:rPr>
                <w:rFonts w:ascii="Times New Roman" w:hAnsi="Times New Roman"/>
                <w:sz w:val="21"/>
                <w:szCs w:val="21"/>
              </w:rPr>
              <w:t>Water body</w:t>
            </w:r>
          </w:p>
        </w:tc>
        <w:tc>
          <w:tcPr>
            <w:tcW w:w="904" w:type="pct"/>
            <w:shd w:val="clear" w:color="auto" w:fill="auto"/>
            <w:noWrap/>
          </w:tcPr>
          <w:p w14:paraId="16D63012" w14:textId="77777777" w:rsidR="00ED32D3" w:rsidRDefault="00F13C42">
            <w:pPr>
              <w:jc w:val="both"/>
              <w:rPr>
                <w:rFonts w:ascii="Times New Roman" w:hAnsi="Times New Roman"/>
                <w:sz w:val="21"/>
                <w:szCs w:val="21"/>
              </w:rPr>
            </w:pPr>
            <w:r>
              <w:rPr>
                <w:rFonts w:ascii="Times New Roman" w:hAnsi="Times New Roman" w:hint="eastAsia"/>
                <w:sz w:val="21"/>
                <w:szCs w:val="21"/>
              </w:rPr>
              <w:t>1.59</w:t>
            </w:r>
          </w:p>
        </w:tc>
        <w:tc>
          <w:tcPr>
            <w:tcW w:w="905" w:type="pct"/>
            <w:shd w:val="clear" w:color="auto" w:fill="auto"/>
          </w:tcPr>
          <w:p w14:paraId="31FEDD82" w14:textId="77777777" w:rsidR="00ED32D3" w:rsidRDefault="00F13C42">
            <w:pPr>
              <w:jc w:val="both"/>
              <w:rPr>
                <w:rFonts w:ascii="Times New Roman" w:hAnsi="Times New Roman"/>
                <w:sz w:val="21"/>
                <w:szCs w:val="21"/>
              </w:rPr>
            </w:pPr>
            <w:r>
              <w:rPr>
                <w:rFonts w:ascii="Times New Roman" w:hAnsi="Times New Roman" w:hint="eastAsia"/>
                <w:sz w:val="21"/>
                <w:szCs w:val="21"/>
              </w:rPr>
              <w:t>0</w:t>
            </w:r>
          </w:p>
        </w:tc>
        <w:tc>
          <w:tcPr>
            <w:tcW w:w="904" w:type="pct"/>
            <w:shd w:val="clear" w:color="auto" w:fill="auto"/>
          </w:tcPr>
          <w:p w14:paraId="19849C32" w14:textId="77777777" w:rsidR="00ED32D3" w:rsidRDefault="00F13C42">
            <w:pPr>
              <w:jc w:val="both"/>
              <w:rPr>
                <w:rFonts w:ascii="Times New Roman" w:hAnsi="Times New Roman"/>
                <w:sz w:val="21"/>
                <w:szCs w:val="21"/>
              </w:rPr>
            </w:pPr>
            <w:r>
              <w:rPr>
                <w:rFonts w:ascii="Times New Roman" w:hAnsi="Times New Roman" w:hint="eastAsia"/>
                <w:sz w:val="21"/>
                <w:szCs w:val="21"/>
              </w:rPr>
              <w:t>64.03</w:t>
            </w:r>
          </w:p>
        </w:tc>
        <w:tc>
          <w:tcPr>
            <w:tcW w:w="905" w:type="pct"/>
            <w:shd w:val="clear" w:color="auto" w:fill="auto"/>
          </w:tcPr>
          <w:p w14:paraId="0F68E716" w14:textId="77777777" w:rsidR="00ED32D3" w:rsidRDefault="00F13C42">
            <w:pPr>
              <w:jc w:val="both"/>
              <w:rPr>
                <w:rFonts w:ascii="Times New Roman" w:hAnsi="Times New Roman"/>
                <w:sz w:val="21"/>
                <w:szCs w:val="21"/>
              </w:rPr>
            </w:pPr>
            <w:r>
              <w:rPr>
                <w:rFonts w:ascii="Times New Roman" w:hAnsi="Times New Roman" w:hint="eastAsia"/>
                <w:sz w:val="21"/>
                <w:szCs w:val="21"/>
              </w:rPr>
              <w:t>3.98</w:t>
            </w:r>
          </w:p>
        </w:tc>
      </w:tr>
      <w:tr w:rsidR="00ED32D3" w14:paraId="01A7142D" w14:textId="77777777">
        <w:trPr>
          <w:trHeight w:val="285"/>
        </w:trPr>
        <w:tc>
          <w:tcPr>
            <w:tcW w:w="1381" w:type="pct"/>
            <w:shd w:val="clear" w:color="auto" w:fill="auto"/>
          </w:tcPr>
          <w:p w14:paraId="32D0C4DD" w14:textId="77777777" w:rsidR="00ED32D3" w:rsidRDefault="00F13C42">
            <w:pPr>
              <w:jc w:val="both"/>
              <w:rPr>
                <w:rFonts w:ascii="Times New Roman" w:hAnsi="Times New Roman"/>
                <w:sz w:val="21"/>
                <w:szCs w:val="21"/>
              </w:rPr>
            </w:pPr>
            <w:r>
              <w:rPr>
                <w:rFonts w:ascii="Times New Roman" w:hAnsi="Times New Roman"/>
                <w:sz w:val="21"/>
                <w:szCs w:val="21"/>
              </w:rPr>
              <w:lastRenderedPageBreak/>
              <w:t>Built-up land</w:t>
            </w:r>
          </w:p>
        </w:tc>
        <w:tc>
          <w:tcPr>
            <w:tcW w:w="904" w:type="pct"/>
            <w:shd w:val="clear" w:color="auto" w:fill="auto"/>
            <w:noWrap/>
          </w:tcPr>
          <w:p w14:paraId="0E1D295B" w14:textId="77777777" w:rsidR="00ED32D3" w:rsidRDefault="00F13C42">
            <w:pPr>
              <w:jc w:val="both"/>
              <w:rPr>
                <w:rFonts w:ascii="Times New Roman" w:hAnsi="Times New Roman"/>
                <w:sz w:val="21"/>
                <w:szCs w:val="21"/>
              </w:rPr>
            </w:pPr>
            <w:r>
              <w:rPr>
                <w:rFonts w:ascii="Times New Roman" w:hAnsi="Times New Roman" w:hint="eastAsia"/>
                <w:sz w:val="21"/>
                <w:szCs w:val="21"/>
              </w:rPr>
              <w:t>7.61</w:t>
            </w:r>
          </w:p>
        </w:tc>
        <w:tc>
          <w:tcPr>
            <w:tcW w:w="905" w:type="pct"/>
            <w:shd w:val="clear" w:color="auto" w:fill="auto"/>
          </w:tcPr>
          <w:p w14:paraId="0FC83E16" w14:textId="77777777" w:rsidR="00ED32D3" w:rsidRDefault="00F13C42">
            <w:pPr>
              <w:jc w:val="both"/>
              <w:rPr>
                <w:rFonts w:ascii="Times New Roman" w:hAnsi="Times New Roman"/>
                <w:sz w:val="21"/>
                <w:szCs w:val="21"/>
              </w:rPr>
            </w:pPr>
            <w:r>
              <w:rPr>
                <w:rFonts w:ascii="Times New Roman" w:hAnsi="Times New Roman" w:hint="eastAsia"/>
                <w:sz w:val="21"/>
                <w:szCs w:val="21"/>
              </w:rPr>
              <w:t>1.52</w:t>
            </w:r>
          </w:p>
        </w:tc>
        <w:tc>
          <w:tcPr>
            <w:tcW w:w="904" w:type="pct"/>
            <w:shd w:val="clear" w:color="auto" w:fill="auto"/>
          </w:tcPr>
          <w:p w14:paraId="1002840C" w14:textId="77777777" w:rsidR="00ED32D3" w:rsidRDefault="00F13C42">
            <w:pPr>
              <w:jc w:val="both"/>
              <w:rPr>
                <w:rFonts w:ascii="Times New Roman" w:hAnsi="Times New Roman"/>
                <w:sz w:val="21"/>
                <w:szCs w:val="21"/>
              </w:rPr>
            </w:pPr>
            <w:r>
              <w:rPr>
                <w:rFonts w:ascii="Times New Roman" w:hAnsi="Times New Roman" w:hint="eastAsia"/>
                <w:sz w:val="21"/>
                <w:szCs w:val="21"/>
              </w:rPr>
              <w:t>34.33</w:t>
            </w:r>
          </w:p>
        </w:tc>
        <w:tc>
          <w:tcPr>
            <w:tcW w:w="905" w:type="pct"/>
            <w:shd w:val="clear" w:color="auto" w:fill="auto"/>
          </w:tcPr>
          <w:p w14:paraId="4B9080B9" w14:textId="77777777" w:rsidR="00ED32D3" w:rsidRDefault="00F13C42">
            <w:pPr>
              <w:jc w:val="both"/>
              <w:rPr>
                <w:rFonts w:ascii="Times New Roman" w:hAnsi="Times New Roman"/>
                <w:sz w:val="21"/>
                <w:szCs w:val="21"/>
              </w:rPr>
            </w:pPr>
            <w:r>
              <w:rPr>
                <w:rFonts w:ascii="Times New Roman" w:hAnsi="Times New Roman" w:hint="eastAsia"/>
                <w:sz w:val="21"/>
                <w:szCs w:val="21"/>
              </w:rPr>
              <w:t>0</w:t>
            </w:r>
          </w:p>
        </w:tc>
      </w:tr>
      <w:tr w:rsidR="00ED32D3" w14:paraId="7305365E" w14:textId="77777777">
        <w:trPr>
          <w:trHeight w:val="285"/>
        </w:trPr>
        <w:tc>
          <w:tcPr>
            <w:tcW w:w="1381" w:type="pct"/>
            <w:shd w:val="clear" w:color="auto" w:fill="auto"/>
          </w:tcPr>
          <w:p w14:paraId="01BDA318" w14:textId="77777777" w:rsidR="00ED32D3" w:rsidRDefault="00F13C42">
            <w:pPr>
              <w:jc w:val="both"/>
              <w:rPr>
                <w:rFonts w:ascii="Times New Roman" w:hAnsi="Times New Roman"/>
                <w:sz w:val="21"/>
                <w:szCs w:val="21"/>
              </w:rPr>
            </w:pPr>
            <w:r>
              <w:rPr>
                <w:rFonts w:ascii="Times New Roman" w:hAnsi="Times New Roman"/>
                <w:sz w:val="21"/>
                <w:szCs w:val="21"/>
              </w:rPr>
              <w:t>Unused land</w:t>
            </w:r>
          </w:p>
        </w:tc>
        <w:tc>
          <w:tcPr>
            <w:tcW w:w="904" w:type="pct"/>
            <w:shd w:val="clear" w:color="auto" w:fill="auto"/>
            <w:noWrap/>
          </w:tcPr>
          <w:p w14:paraId="632691A8" w14:textId="77777777" w:rsidR="00ED32D3" w:rsidRDefault="00F13C42">
            <w:pPr>
              <w:jc w:val="both"/>
              <w:rPr>
                <w:rFonts w:ascii="Times New Roman" w:hAnsi="Times New Roman"/>
                <w:sz w:val="21"/>
                <w:szCs w:val="21"/>
              </w:rPr>
            </w:pPr>
            <w:r>
              <w:rPr>
                <w:rFonts w:ascii="Times New Roman" w:hAnsi="Times New Roman" w:hint="eastAsia"/>
                <w:sz w:val="21"/>
                <w:szCs w:val="21"/>
              </w:rPr>
              <w:t>10.36</w:t>
            </w:r>
          </w:p>
        </w:tc>
        <w:tc>
          <w:tcPr>
            <w:tcW w:w="905" w:type="pct"/>
            <w:shd w:val="clear" w:color="auto" w:fill="auto"/>
          </w:tcPr>
          <w:p w14:paraId="59AEB960" w14:textId="77777777" w:rsidR="00ED32D3" w:rsidRDefault="00F13C42">
            <w:pPr>
              <w:jc w:val="both"/>
              <w:rPr>
                <w:rFonts w:ascii="Times New Roman" w:hAnsi="Times New Roman"/>
                <w:sz w:val="21"/>
                <w:szCs w:val="21"/>
              </w:rPr>
            </w:pPr>
            <w:r>
              <w:rPr>
                <w:rFonts w:ascii="Times New Roman" w:hAnsi="Times New Roman" w:hint="eastAsia"/>
                <w:sz w:val="21"/>
                <w:szCs w:val="21"/>
              </w:rPr>
              <w:t>2.07</w:t>
            </w:r>
          </w:p>
        </w:tc>
        <w:tc>
          <w:tcPr>
            <w:tcW w:w="904" w:type="pct"/>
            <w:shd w:val="clear" w:color="auto" w:fill="auto"/>
          </w:tcPr>
          <w:p w14:paraId="1F0A7337" w14:textId="77777777" w:rsidR="00ED32D3" w:rsidRDefault="00F13C42">
            <w:pPr>
              <w:jc w:val="both"/>
              <w:rPr>
                <w:rFonts w:ascii="Times New Roman" w:hAnsi="Times New Roman"/>
                <w:sz w:val="21"/>
                <w:szCs w:val="21"/>
              </w:rPr>
            </w:pPr>
            <w:r>
              <w:rPr>
                <w:rFonts w:ascii="Times New Roman" w:hAnsi="Times New Roman" w:hint="eastAsia"/>
                <w:sz w:val="21"/>
                <w:szCs w:val="21"/>
              </w:rPr>
              <w:t>34.32</w:t>
            </w:r>
          </w:p>
        </w:tc>
        <w:tc>
          <w:tcPr>
            <w:tcW w:w="905" w:type="pct"/>
            <w:shd w:val="clear" w:color="auto" w:fill="auto"/>
          </w:tcPr>
          <w:p w14:paraId="6EF2C890" w14:textId="77777777" w:rsidR="00ED32D3" w:rsidRDefault="00F13C42">
            <w:pPr>
              <w:jc w:val="both"/>
              <w:rPr>
                <w:rFonts w:ascii="Times New Roman" w:hAnsi="Times New Roman"/>
                <w:sz w:val="21"/>
                <w:szCs w:val="21"/>
              </w:rPr>
            </w:pPr>
            <w:r>
              <w:rPr>
                <w:rFonts w:ascii="Times New Roman" w:hAnsi="Times New Roman" w:hint="eastAsia"/>
                <w:sz w:val="21"/>
                <w:szCs w:val="21"/>
              </w:rPr>
              <w:t>0.96</w:t>
            </w:r>
          </w:p>
        </w:tc>
      </w:tr>
    </w:tbl>
    <w:p w14:paraId="6A8F796C" w14:textId="77777777" w:rsidR="00ED32D3" w:rsidRDefault="00F13C42">
      <w:pPr>
        <w:spacing w:line="360" w:lineRule="auto"/>
        <w:ind w:firstLine="482"/>
        <w:jc w:val="both"/>
        <w:rPr>
          <w:rFonts w:ascii="Times New Roman" w:eastAsia="楷体" w:hAnsi="Times New Roman" w:cs="Times New Roman"/>
        </w:rPr>
      </w:pPr>
      <w:r>
        <w:rPr>
          <w:rFonts w:ascii="Times New Roman" w:eastAsia="楷体" w:hAnsi="Times New Roman" w:cs="Times New Roman"/>
        </w:rPr>
        <w:t xml:space="preserve">To illuminate the spatial variations of carbon stocks for each land class, we calculated a coefficient based on vegetation cover to correct for the original carbon stocks in </w:t>
      </w:r>
      <w:r>
        <w:rPr>
          <w:rFonts w:ascii="Times New Roman" w:hAnsi="Times New Roman" w:cs="Times New Roman"/>
          <w:color w:val="0000FF"/>
        </w:rPr>
        <w:t>Eq. (1)</w:t>
      </w:r>
      <w:r>
        <w:rPr>
          <w:rFonts w:ascii="Times New Roman" w:hAnsi="Times New Roman" w:cs="Times New Roman"/>
        </w:rPr>
        <w:t>.</w:t>
      </w:r>
      <w:r>
        <w:rPr>
          <w:rFonts w:ascii="Times New Roman" w:eastAsia="楷体" w:hAnsi="Times New Roman" w:cs="Times New Roman"/>
        </w:rPr>
        <w:t xml:space="preserve"> This process is described as follows: </w:t>
      </w:r>
    </w:p>
    <w:p w14:paraId="1D322351" w14:textId="77777777" w:rsidR="00ED32D3" w:rsidRDefault="00F13C42">
      <w:pPr>
        <w:tabs>
          <w:tab w:val="left" w:pos="9498"/>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1200" w:dyaOrig="420" w14:anchorId="2FCCD579">
          <v:shape id="_x0000_i1026" type="#_x0000_t75" style="width:60pt;height:21pt" o:ole="">
            <v:imagedata r:id="rId10" o:title=""/>
          </v:shape>
          <o:OLEObject Type="Embed" ProgID="Equation.DSMT4" ShapeID="_x0000_i1026" DrawAspect="Content" ObjectID="_1804494609" r:id="rId11"/>
        </w:object>
      </w:r>
      <w:r>
        <w:rPr>
          <w:rFonts w:ascii="Times New Roman" w:hAnsi="Times New Roman" w:cs="Times New Roman"/>
          <w:position w:val="-28"/>
        </w:rPr>
        <w:tab/>
      </w:r>
      <w:r>
        <w:rPr>
          <w:rFonts w:ascii="Times New Roman" w:hAnsi="Times New Roman" w:cs="Times New Roman" w:hint="eastAsia"/>
          <w:position w:val="-28"/>
        </w:rPr>
        <w:t>(</w:t>
      </w:r>
      <w:r>
        <w:rPr>
          <w:rFonts w:ascii="Times New Roman" w:hAnsi="Times New Roman" w:cs="Times New Roman"/>
          <w:position w:val="-28"/>
        </w:rPr>
        <w:t>2)</w:t>
      </w:r>
    </w:p>
    <w:p w14:paraId="2781904D" w14:textId="77777777" w:rsidR="00ED32D3" w:rsidRDefault="00F13C42">
      <w:pPr>
        <w:tabs>
          <w:tab w:val="left" w:pos="9498"/>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720" w:dyaOrig="720" w14:anchorId="60264EC8">
          <v:shape id="_x0000_i1027" type="#_x0000_t75" style="width:36pt;height:36pt" o:ole="">
            <v:imagedata r:id="rId12" o:title=""/>
          </v:shape>
          <o:OLEObject Type="Embed" ProgID="Equation.DSMT4" ShapeID="_x0000_i1027" DrawAspect="Content" ObjectID="_1804494610" r:id="rId13"/>
        </w:object>
      </w:r>
      <w:r>
        <w:rPr>
          <w:rFonts w:ascii="Times New Roman" w:hAnsi="Times New Roman" w:cs="Times New Roman"/>
          <w:position w:val="-28"/>
        </w:rPr>
        <w:tab/>
      </w:r>
      <w:r>
        <w:rPr>
          <w:rFonts w:ascii="Times New Roman" w:hAnsi="Times New Roman" w:cs="Times New Roman" w:hint="eastAsia"/>
          <w:position w:val="-28"/>
        </w:rPr>
        <w:t>(</w:t>
      </w:r>
      <w:r>
        <w:rPr>
          <w:rFonts w:ascii="Times New Roman" w:hAnsi="Times New Roman" w:cs="Times New Roman"/>
          <w:position w:val="-28"/>
        </w:rPr>
        <w:t>3)</w:t>
      </w:r>
    </w:p>
    <w:p w14:paraId="3089A474" w14:textId="77777777" w:rsidR="00ED32D3" w:rsidRDefault="00F13C42">
      <w:pPr>
        <w:tabs>
          <w:tab w:val="left" w:pos="9498"/>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2500" w:dyaOrig="720" w14:anchorId="38A947F7">
          <v:shape id="_x0000_i1028" type="#_x0000_t75" style="width:124.8pt;height:36pt" o:ole="">
            <v:imagedata r:id="rId14" o:title=""/>
          </v:shape>
          <o:OLEObject Type="Embed" ProgID="Equation.DSMT4" ShapeID="_x0000_i1028" DrawAspect="Content" ObjectID="_1804494611" r:id="rId15"/>
        </w:object>
      </w:r>
      <w:r>
        <w:rPr>
          <w:rFonts w:ascii="Times New Roman" w:hAnsi="Times New Roman" w:cs="Times New Roman"/>
          <w:position w:val="-28"/>
        </w:rPr>
        <w:tab/>
      </w:r>
      <w:r>
        <w:rPr>
          <w:rFonts w:ascii="Times New Roman" w:hAnsi="Times New Roman" w:cs="Times New Roman" w:hint="eastAsia"/>
          <w:position w:val="-28"/>
        </w:rPr>
        <w:t>(</w:t>
      </w:r>
      <w:r>
        <w:rPr>
          <w:rFonts w:ascii="Times New Roman" w:hAnsi="Times New Roman" w:cs="Times New Roman"/>
          <w:position w:val="-28"/>
        </w:rPr>
        <w:t>4)</w:t>
      </w:r>
    </w:p>
    <w:p w14:paraId="2B76BEBF" w14:textId="77777777" w:rsidR="00ED32D3" w:rsidRDefault="00F13C42">
      <w:pPr>
        <w:spacing w:line="360" w:lineRule="auto"/>
        <w:ind w:firstLineChars="200" w:firstLine="480"/>
        <w:jc w:val="both"/>
        <w:rPr>
          <w:rFonts w:ascii="Times New Roman" w:hAnsi="Times New Roman" w:cs="Times New Roman"/>
          <w:position w:val="-12"/>
        </w:rPr>
      </w:pPr>
      <w:r>
        <w:rPr>
          <w:rFonts w:ascii="Times New Roman" w:hAnsi="Times New Roman" w:cs="Times New Roman"/>
          <w:position w:val="-12"/>
        </w:rPr>
        <w:t xml:space="preserve">where </w:t>
      </w:r>
      <w:r>
        <w:rPr>
          <w:rFonts w:ascii="Times New Roman" w:hAnsi="Times New Roman" w:cs="Times New Roman"/>
          <w:i/>
          <w:iCs/>
          <w:position w:val="-12"/>
        </w:rPr>
        <w:t xml:space="preserve">f </w:t>
      </w:r>
      <w:r>
        <w:rPr>
          <w:rFonts w:ascii="Times New Roman" w:hAnsi="Times New Roman" w:cs="Times New Roman"/>
          <w:position w:val="-12"/>
        </w:rPr>
        <w:t>refers to the vegetation cover,</w:t>
      </w:r>
      <w:r>
        <w:rPr>
          <w:rFonts w:ascii="Times New Roman" w:hAnsi="Times New Roman" w:cs="Times New Roman"/>
          <w:i/>
          <w:iCs/>
          <w:position w:val="-12"/>
        </w:rPr>
        <w:t xml:space="preserve"> F</w:t>
      </w:r>
      <w:r>
        <w:rPr>
          <w:rFonts w:ascii="Times New Roman" w:hAnsi="Times New Roman" w:cs="Times New Roman"/>
          <w:i/>
          <w:iCs/>
          <w:position w:val="-12"/>
          <w:vertAlign w:val="subscript"/>
        </w:rPr>
        <w:t xml:space="preserve">i </w:t>
      </w:r>
      <w:r>
        <w:rPr>
          <w:rFonts w:ascii="Times New Roman" w:hAnsi="Times New Roman" w:cs="Times New Roman"/>
          <w:position w:val="-12"/>
        </w:rPr>
        <w:t xml:space="preserve">refers to the adjustment coefficient for the carbon stock of the pixel </w:t>
      </w:r>
      <w:r>
        <w:rPr>
          <w:rFonts w:ascii="Times New Roman" w:hAnsi="Times New Roman" w:cs="Times New Roman" w:hint="eastAsia"/>
          <w:i/>
          <w:iCs/>
          <w:position w:val="-12"/>
        </w:rPr>
        <w:t>i</w:t>
      </w:r>
      <w:r>
        <w:rPr>
          <w:rFonts w:ascii="Times New Roman" w:hAnsi="Times New Roman" w:cs="Times New Roman"/>
          <w:position w:val="-12"/>
        </w:rPr>
        <w:t>,</w:t>
      </w:r>
      <w:r>
        <w:rPr>
          <w:rFonts w:ascii="Times New Roman" w:hAnsi="Times New Roman" w:cs="Times New Roman"/>
          <w:i/>
          <w:iCs/>
          <w:position w:val="-12"/>
        </w:rPr>
        <w:t xml:space="preserve"> f</w:t>
      </w:r>
      <w:r>
        <w:rPr>
          <w:rFonts w:ascii="Times New Roman" w:hAnsi="Times New Roman" w:cs="Times New Roman" w:hint="eastAsia"/>
          <w:i/>
          <w:iCs/>
          <w:position w:val="-12"/>
          <w:vertAlign w:val="subscript"/>
        </w:rPr>
        <w:t>i</w:t>
      </w:r>
      <w:r>
        <w:rPr>
          <w:rFonts w:ascii="Times New Roman" w:hAnsi="Times New Roman" w:cs="Times New Roman"/>
          <w:i/>
          <w:iCs/>
          <w:position w:val="-12"/>
          <w:vertAlign w:val="subscript"/>
        </w:rPr>
        <w:t xml:space="preserve"> </w:t>
      </w:r>
      <w:r>
        <w:rPr>
          <w:rFonts w:ascii="Times New Roman" w:hAnsi="Times New Roman" w:cs="Times New Roman"/>
          <w:position w:val="-12"/>
        </w:rPr>
        <w:t xml:space="preserve">refers to the vegetation cover of the pixel </w:t>
      </w:r>
      <w:r>
        <w:rPr>
          <w:rFonts w:ascii="Times New Roman" w:hAnsi="Times New Roman" w:cs="Times New Roman"/>
          <w:i/>
          <w:iCs/>
          <w:position w:val="-12"/>
        </w:rPr>
        <w:t>i</w:t>
      </w:r>
      <w:r>
        <w:rPr>
          <w:rFonts w:ascii="Times New Roman" w:hAnsi="Times New Roman" w:cs="Times New Roman"/>
          <w:position w:val="-12"/>
        </w:rPr>
        <w:t xml:space="preserve">, </w:t>
      </w:r>
      <w:r>
        <w:rPr>
          <w:rFonts w:ascii="Times New Roman" w:hAnsi="Times New Roman" w:cs="Times New Roman"/>
          <w:position w:val="-12"/>
        </w:rPr>
        <w:sym w:font="Symbol" w:char="F060"/>
      </w:r>
      <w:r>
        <w:rPr>
          <w:rFonts w:ascii="Times New Roman" w:hAnsi="Times New Roman" w:cs="Times New Roman"/>
          <w:i/>
          <w:iCs/>
          <w:position w:val="-12"/>
        </w:rPr>
        <w:t xml:space="preserve">f </w:t>
      </w:r>
      <w:r>
        <w:rPr>
          <w:rFonts w:ascii="Times New Roman" w:hAnsi="Times New Roman" w:cs="Times New Roman"/>
          <w:position w:val="-12"/>
        </w:rPr>
        <w:t xml:space="preserve">refers to the vegetation cover of the pixel </w:t>
      </w:r>
      <w:r>
        <w:rPr>
          <w:rFonts w:ascii="Times New Roman" w:hAnsi="Times New Roman" w:cs="Times New Roman"/>
          <w:i/>
          <w:iCs/>
          <w:position w:val="-12"/>
        </w:rPr>
        <w:t>i</w:t>
      </w:r>
      <w:r>
        <w:rPr>
          <w:rFonts w:ascii="Times New Roman" w:hAnsi="Times New Roman" w:cs="Times New Roman"/>
          <w:position w:val="-12"/>
        </w:rPr>
        <w:t xml:space="preserve">, </w:t>
      </w:r>
      <w:r>
        <w:rPr>
          <w:rFonts w:ascii="Times New Roman" w:hAnsi="Times New Roman" w:cs="Times New Roman"/>
          <w:i/>
          <w:iCs/>
          <w:position w:val="-12"/>
        </w:rPr>
        <w:t>C</w:t>
      </w:r>
      <w:r>
        <w:rPr>
          <w:rFonts w:ascii="Times New Roman" w:hAnsi="Times New Roman" w:cs="Times New Roman"/>
          <w:i/>
          <w:iCs/>
          <w:position w:val="-12"/>
          <w:vertAlign w:val="subscript"/>
        </w:rPr>
        <w:t>i</w:t>
      </w:r>
      <w:r>
        <w:rPr>
          <w:rFonts w:ascii="Times New Roman" w:hAnsi="Times New Roman" w:cs="Times New Roman"/>
          <w:i/>
          <w:iCs/>
          <w:position w:val="-12"/>
          <w:vertAlign w:val="superscript"/>
        </w:rPr>
        <w:t>a</w:t>
      </w:r>
      <w:r>
        <w:rPr>
          <w:rFonts w:ascii="Times New Roman" w:hAnsi="Times New Roman" w:cs="Times New Roman"/>
          <w:position w:val="-12"/>
        </w:rPr>
        <w:t xml:space="preserve"> is the carbon stock before adjustment and </w:t>
      </w:r>
      <w:r>
        <w:rPr>
          <w:rFonts w:ascii="Times New Roman" w:hAnsi="Times New Roman" w:cs="Times New Roman"/>
          <w:i/>
          <w:iCs/>
          <w:position w:val="-12"/>
        </w:rPr>
        <w:t>C</w:t>
      </w:r>
      <w:r>
        <w:rPr>
          <w:rFonts w:ascii="Times New Roman" w:hAnsi="Times New Roman" w:cs="Times New Roman"/>
          <w:i/>
          <w:iCs/>
          <w:position w:val="-12"/>
          <w:vertAlign w:val="subscript"/>
        </w:rPr>
        <w:t>i</w:t>
      </w:r>
      <w:r>
        <w:rPr>
          <w:rFonts w:ascii="Times New Roman" w:hAnsi="Times New Roman" w:cs="Times New Roman"/>
          <w:i/>
          <w:iCs/>
          <w:position w:val="-12"/>
          <w:vertAlign w:val="superscript"/>
        </w:rPr>
        <w:t>b</w:t>
      </w:r>
      <w:r>
        <w:rPr>
          <w:rFonts w:ascii="Times New Roman" w:hAnsi="Times New Roman" w:cs="Times New Roman"/>
          <w:position w:val="-12"/>
        </w:rPr>
        <w:t xml:space="preserve"> is the adjusted carbon stock.</w:t>
      </w:r>
    </w:p>
    <w:p w14:paraId="05807F9B" w14:textId="77777777" w:rsidR="00ED32D3" w:rsidRDefault="00F13C42">
      <w:pPr>
        <w:spacing w:beforeLines="50" w:before="163" w:afterLines="50" w:after="163" w:line="480" w:lineRule="auto"/>
        <w:jc w:val="both"/>
        <w:outlineLvl w:val="1"/>
        <w:rPr>
          <w:rFonts w:ascii="Times New Roman" w:hAnsi="Times New Roman" w:cs="Times New Roman"/>
          <w:b/>
        </w:rPr>
      </w:pPr>
      <w:r>
        <w:rPr>
          <w:rFonts w:ascii="Times New Roman" w:hAnsi="Times New Roman" w:cs="Times New Roman" w:hint="eastAsia"/>
          <w:b/>
        </w:rPr>
        <w:t>2</w:t>
      </w:r>
      <w:r>
        <w:rPr>
          <w:rFonts w:ascii="Times New Roman" w:hAnsi="Times New Roman" w:cs="Times New Roman"/>
          <w:b/>
        </w:rPr>
        <w:t xml:space="preserve"> Food </w:t>
      </w:r>
      <w:r>
        <w:rPr>
          <w:rFonts w:ascii="Times New Roman" w:hAnsi="Times New Roman" w:cs="Times New Roman" w:hint="eastAsia"/>
          <w:b/>
        </w:rPr>
        <w:t>supply</w:t>
      </w:r>
      <w:r>
        <w:rPr>
          <w:rFonts w:ascii="Times New Roman" w:hAnsi="Times New Roman" w:cs="Times New Roman"/>
          <w:b/>
        </w:rPr>
        <w:t>（</w:t>
      </w:r>
      <w:r>
        <w:rPr>
          <w:rFonts w:ascii="Times New Roman" w:hAnsi="Times New Roman" w:cs="Times New Roman"/>
          <w:b/>
        </w:rPr>
        <w:t>F</w:t>
      </w:r>
      <w:r>
        <w:rPr>
          <w:rFonts w:ascii="Times New Roman" w:hAnsi="Times New Roman" w:cs="Times New Roman" w:hint="eastAsia"/>
          <w:b/>
        </w:rPr>
        <w:t>S</w:t>
      </w:r>
      <w:r>
        <w:rPr>
          <w:rFonts w:ascii="Times New Roman" w:hAnsi="Times New Roman" w:cs="Times New Roman"/>
          <w:b/>
        </w:rPr>
        <w:t>）</w:t>
      </w:r>
    </w:p>
    <w:p w14:paraId="2DAC0519" w14:textId="73B1BC06" w:rsidR="00ED32D3" w:rsidRDefault="00F13C42" w:rsidP="00E80AEA">
      <w:pPr>
        <w:spacing w:line="360" w:lineRule="auto"/>
        <w:ind w:firstLineChars="200" w:firstLine="480"/>
        <w:jc w:val="both"/>
        <w:rPr>
          <w:rFonts w:ascii="Times New Roman" w:hAnsi="Times New Roman" w:cs="Times New Roman"/>
          <w:position w:val="-12"/>
        </w:rPr>
      </w:pPr>
      <w:r>
        <w:rPr>
          <w:rFonts w:ascii="Times New Roman" w:hAnsi="Times New Roman" w:cs="Times New Roman"/>
          <w:position w:val="-12"/>
        </w:rPr>
        <w:t>Food production is a foundational provisioning service of ecosystem services, playing a crucial role in human survival and development</w:t>
      </w:r>
      <w:r>
        <w:rPr>
          <w:rFonts w:ascii="Times New Roman" w:hAnsi="Times New Roman" w:cs="Times New Roman" w:hint="eastAsia"/>
          <w:position w:val="-12"/>
        </w:rPr>
        <w:t xml:space="preserve">. </w:t>
      </w:r>
      <w:r>
        <w:rPr>
          <w:rFonts w:ascii="Times New Roman" w:hAnsi="Times New Roman" w:cs="Times New Roman"/>
          <w:position w:val="-12"/>
        </w:rPr>
        <w:t>By calculating the proportion of individual arable land grid NDVI to the sum of administrative unit's arable land NDVI, multiplied by the total grain yield of the administrative unit, the grain production at the grid scale is obtained</w:t>
      </w:r>
      <w:r w:rsidR="00013DC2">
        <w:rPr>
          <w:rFonts w:ascii="Times New Roman" w:hAnsi="Times New Roman" w:cs="Times New Roman" w:hint="eastAsia"/>
          <w:position w:val="-12"/>
        </w:rPr>
        <w:t xml:space="preserve"> </w:t>
      </w:r>
      <w:r w:rsidR="00E80AEA" w:rsidRPr="00154A3B">
        <w:rPr>
          <w:rFonts w:ascii="Times New Roman" w:hAnsi="Times New Roman" w:cs="Times New Roman"/>
          <w:color w:val="0000FF"/>
          <w:position w:val="-12"/>
        </w:rPr>
        <w:fldChar w:fldCharType="begin"/>
      </w:r>
      <w:r w:rsidR="00373A5C" w:rsidRPr="00154A3B">
        <w:rPr>
          <w:rFonts w:ascii="Times New Roman" w:hAnsi="Times New Roman" w:cs="Times New Roman"/>
          <w:color w:val="0000FF"/>
          <w:position w:val="-12"/>
        </w:rPr>
        <w:instrText xml:space="preserve"> ADDIN ZOTERO_ITEM CSL_CITATION {"citationID":"iIWwbJQ5","properties":{"formattedCitation":"\\super 8\\uc0\\u8211{}10\\nosupersub{}","plainCitation":"8–10","noteIndex":0},"citationItems":[{"id":299,"uris":["http://zotero.org/users/14180859/items/WG9IFMK8"],"itemData":{"id":299,"type":"article-journal","abstract":"Ecosystem services (ESs) associated with the water-energy-food (WEF) nexus influence the ecological security of urban agglomerations. However, how to apply the assessment of ESs relevant to the WEF nexus into the identification and optimization of ecological security patterns still remains unclear. This study assessed the development level of the WEF nexus based on a constructed evaluation index system and the evaluation model combined with game theory and the Technique for Order Preference by Similarity to an Ideal Solution (TOPSIS) method. The relevant ESs were selected based on the analysis of stakeholders related to the WEF nexus, and further quantified by the models. On this basis, the relationship between the WEF nexus and ESs was evaluated by Spearman rank correlation analysis. Then this study identified ecological security patterns by following the basic paradigm of “Source identification-Resistance surface establishment-Corridor extraction”. Lastly, this study optimized ecological security patterns by considering the WEF nexus. Thus, a methodological framework of identifying and optimizing ecological security patterns from the perspective of ESs related to the WEF nexus was designed, which was applied to the case of the Yangtze River Delta Urban Agglomeration (YRDUA), China. The results revealed that the WEF nexus was significantly negatively correlated with ESs. The sources of water yield were in the southwest and central areas of the YRDUA, and those of carbon storage and food production were respectively in the forested and farming areas. The ecological resistance surface displayed a slow declining trend from east to west, and ecological corridors showed a zigzag distribution from north to south. The total length of the ecological corridors was 20,891.45 km. A scheme of “two belts, three zones and four groups” was proposed to optimize the ecological security pattern of the YRDUA. Policy recommendations were therefore put forward in this study to promote the ecological security of urban agglomerations from different perspectives.","call-number":"1","container-title":"Journal of Hydrology","DOI":"10.1016/j.jhydrol.2024.130912","ISSN":"0022-1694","journalAbbreviation":"Journal of Hydrology","page":"130912","source":"6.708","title":"Identifying and optimizing ecological security patterns from the perspective of the water-energy-food nexus","volume":"632","author":[{"family":"Ding","given":"Tonghui"},{"family":"Chen","given":"Junfei"},{"family":"Fang","given":"Liping"},{"family":"Ji","given":"Juan"}],"issued":{"date-parts":[["2024",3,1]]}}},{"id":296,"uris":["http://zotero.org/users/14180859/items/VXTJCJT5"],"itemData":{"id":296,"type":"article-journal","abstract":"This study addresses and conceptualizes the possible dependence of ecosystem services on prevailing air and/or water flow processes and conditions, and particularly on the trajectories and associated spatial reach of these flows in carrying services from supply to demand areas in the landscape. The present conceptualization considers and accounts for such flow-dependence in terms of potential and actually realized service supply and demand, which may generally differ and must therefore be distinguished due to and accounting for the prevailing conditions of service carrier flows. We here concretize and quantify such flow-dependence for a specific landscape case (the Stockholm region, Sweden) and for two examples of regulating ecosystem services: local climate regulation and storm water regulation. For these service and landscape examples, we identify, quantify and map key areas of potential and realized service supply and demand, based for the former (potential) on prevailing relatively static types of landscape conditions (such as land-cover/use, soil type and demographics), and for the latter (realized) on relevant carrier air and water flows. These first-order quantification examples constitute first steps towards further development of generally needed such flow-dependence assessments for various types of ecosystem services in different landscapes over the world.","call-number":"1","container-title":"Science of The Total Environment","DOI":"10.1016/j.scitotenv.2017.03.130","ISSN":"0048-9697","journalAbbreviation":"Science of The Total Environment","page":"599-609","source":"10.753","title":"Distinction, quantification and mapping of potential and realized supply-demand of flow-dependent ecosystem services","volume":"593-594","author":[{"family":"Goldenberg","given":"Romain"},{"family":"Kalantari","given":"Zahra"},{"family":"Cvetkovic","given":"Vladimir"},{"family":"Mörtberg","given":"Ulla"},{"family":"Deal","given":"Brian"},{"family":"Destouni","given":"Georgia"}],"issued":{"date-parts":[["2017",9,1]]}}},{"id":295,"uris":["http://zotero.org/users/14180859/items/WGETL2BX"],"itemData":{"id":295,"type":"article-journal","abstract":"Ecosystem service flows are a research topic of significant interest, and exploring this topic may mitigate the shortcomings related to the spatial mismatches between supply and demand in the current ecosystem services studies. The Pearl River Delta (PRD) experiences a serious spatial mismatch in ecosystem services in particular the food supply, between the supply areas (hilly areas) and demand areas (central areas). Therefore, this study focused on the PRD as a case study to analyze change trends of food supply-demand ratio (FSDR) at city level, and depict the spatial flow path within and between cities from the perspective of ecosystem service flow with different threshold distance, using an enhanced two-step floating catchment area accessibility method. The results showed that the food demand significantly exceeded the supply, the budget was 3.58 million tons and FSDR was 0.49 in 2015. There were large discrepancies in the FSDR at the city level before and after when considering the ecosystem service flows. The FSDR of cities in the central areas increased 0.1%–30%, due to the ecosystem service flow from the low hilly areas. As delivery distances i</w:instrText>
      </w:r>
      <w:r w:rsidR="00373A5C" w:rsidRPr="00154A3B">
        <w:rPr>
          <w:rFonts w:ascii="Times New Roman" w:hAnsi="Times New Roman" w:cs="Times New Roman" w:hint="eastAsia"/>
          <w:color w:val="0000FF"/>
          <w:position w:val="-12"/>
        </w:rPr>
        <w:instrText>ncreased, the size of food flow decreased within cities and increased among cities. This led to a significant decline in the population living in severe undersupplied areas (FSDR</w:instrText>
      </w:r>
      <w:r w:rsidR="00373A5C" w:rsidRPr="00154A3B">
        <w:rPr>
          <w:rFonts w:ascii="Times New Roman" w:hAnsi="Times New Roman" w:cs="Times New Roman" w:hint="eastAsia"/>
          <w:color w:val="0000FF"/>
          <w:position w:val="-12"/>
        </w:rPr>
        <w:instrText>＜</w:instrText>
      </w:r>
      <w:r w:rsidR="00373A5C" w:rsidRPr="00154A3B">
        <w:rPr>
          <w:rFonts w:ascii="Times New Roman" w:hAnsi="Times New Roman" w:cs="Times New Roman" w:hint="eastAsia"/>
          <w:color w:val="0000FF"/>
          <w:position w:val="-12"/>
        </w:rPr>
        <w:instrText>0.1) and oversupplied areas (FSDR</w:instrText>
      </w:r>
      <w:r w:rsidR="00373A5C" w:rsidRPr="00154A3B">
        <w:rPr>
          <w:rFonts w:ascii="Times New Roman" w:hAnsi="Times New Roman" w:cs="Times New Roman" w:hint="eastAsia"/>
          <w:color w:val="0000FF"/>
          <w:position w:val="-12"/>
        </w:rPr>
        <w:instrText>＞</w:instrText>
      </w:r>
      <w:r w:rsidR="00373A5C" w:rsidRPr="00154A3B">
        <w:rPr>
          <w:rFonts w:ascii="Times New Roman" w:hAnsi="Times New Roman" w:cs="Times New Roman" w:hint="eastAsia"/>
          <w:color w:val="0000FF"/>
          <w:position w:val="-12"/>
        </w:rPr>
        <w:instrText>1), and an increase in undersupplied areas (0.1</w:instrText>
      </w:r>
      <w:r w:rsidR="00373A5C" w:rsidRPr="00154A3B">
        <w:rPr>
          <w:rFonts w:ascii="Times New Roman" w:hAnsi="Times New Roman" w:cs="Times New Roman" w:hint="eastAsia"/>
          <w:color w:val="0000FF"/>
          <w:position w:val="-12"/>
        </w:rPr>
        <w:instrText>＜</w:instrText>
      </w:r>
      <w:r w:rsidR="00373A5C" w:rsidRPr="00154A3B">
        <w:rPr>
          <w:rFonts w:ascii="Times New Roman" w:hAnsi="Times New Roman" w:cs="Times New Roman" w:hint="eastAsia"/>
          <w:color w:val="0000FF"/>
          <w:position w:val="-12"/>
        </w:rPr>
        <w:instrText>FSDR</w:instrText>
      </w:r>
      <w:r w:rsidR="00373A5C" w:rsidRPr="00154A3B">
        <w:rPr>
          <w:rFonts w:ascii="Times New Roman" w:hAnsi="Times New Roman" w:cs="Times New Roman" w:hint="eastAsia"/>
          <w:color w:val="0000FF"/>
          <w:position w:val="-12"/>
        </w:rPr>
        <w:instrText>＜</w:instrText>
      </w:r>
      <w:r w:rsidR="00373A5C" w:rsidRPr="00154A3B">
        <w:rPr>
          <w:rFonts w:ascii="Times New Roman" w:hAnsi="Times New Roman" w:cs="Times New Roman" w:hint="eastAsia"/>
          <w:color w:val="0000FF"/>
          <w:position w:val="-12"/>
        </w:rPr>
        <w:instrText>0.9). Our findings indicate that local governments would benefit from enhancing connections between supply and demand areas to meet the food demand of big cities. This study offers a comprehensive and realistic understanding of the physical sit</w:instrText>
      </w:r>
      <w:r w:rsidR="00373A5C" w:rsidRPr="00154A3B">
        <w:rPr>
          <w:rFonts w:ascii="Times New Roman" w:hAnsi="Times New Roman" w:cs="Times New Roman"/>
          <w:color w:val="0000FF"/>
          <w:position w:val="-12"/>
        </w:rPr>
        <w:instrText xml:space="preserve">uation of ecosystem service consumption by human beings, and provides decision-making information for optimize land use allocation.","call-number":"1","container-title":"Journal of Environmental Management","DOI":"10.1016/j.jenvman.2021.113814","ISSN":"0301-4797","journalAbbreviation":"Journal of Environmental Management","page":"113814","source":"8.91","title":"The tradeoffs between food supply and demand from the perspective of ecosystem service flows: A case study in the Pearl River Delta, China","volume":"301","author":[{"family":"Liu","given":"Wei"},{"family":"Zhan","given":"Jinyan"},{"family":"Zhao","given":"Fen"},{"family":"Zhang","given":"Fan"},{"family":"Teng","given":"Yanmin"},{"family":"Wang","given":"Chao"},{"family":"Chu","given":"Xi"},{"family":"Kumi","given":"Michael Asiedu"}],"issued":{"date-parts":[["2022",1,1]]}},"label":"page"}],"schema":"https://github.com/citation-style-language/schema/raw/master/csl-citation.json"} </w:instrText>
      </w:r>
      <w:r w:rsidR="00E80AEA" w:rsidRPr="00154A3B">
        <w:rPr>
          <w:rFonts w:ascii="Times New Roman" w:hAnsi="Times New Roman" w:cs="Times New Roman"/>
          <w:color w:val="0000FF"/>
          <w:position w:val="-12"/>
        </w:rPr>
        <w:fldChar w:fldCharType="separate"/>
      </w:r>
      <w:r w:rsidR="00373A5C" w:rsidRPr="00154A3B">
        <w:rPr>
          <w:rFonts w:ascii="Times New Roman" w:hAnsi="Times New Roman" w:cs="Times New Roman"/>
          <w:color w:val="0000FF"/>
          <w:vertAlign w:val="superscript"/>
        </w:rPr>
        <w:t>8–10</w:t>
      </w:r>
      <w:r w:rsidR="00E80AEA" w:rsidRPr="00154A3B">
        <w:rPr>
          <w:rFonts w:ascii="Times New Roman" w:hAnsi="Times New Roman" w:cs="Times New Roman"/>
          <w:color w:val="0000FF"/>
          <w:position w:val="-12"/>
        </w:rPr>
        <w:fldChar w:fldCharType="end"/>
      </w:r>
      <w:r>
        <w:rPr>
          <w:rFonts w:ascii="Times New Roman" w:hAnsi="Times New Roman" w:cs="Times New Roman"/>
          <w:position w:val="-12"/>
        </w:rPr>
        <w:t>. The formula for calculating food production services is as follows:</w:t>
      </w:r>
    </w:p>
    <w:p w14:paraId="3B4C54DE" w14:textId="77777777" w:rsidR="00ED32D3" w:rsidRDefault="00F13C42">
      <w:pPr>
        <w:tabs>
          <w:tab w:val="left" w:pos="9498"/>
        </w:tabs>
        <w:spacing w:after="120" w:line="360" w:lineRule="auto"/>
        <w:jc w:val="both"/>
        <w:rPr>
          <w:rFonts w:ascii="Times New Roman" w:hAnsi="Times New Roman" w:cs="Times New Roman"/>
          <w:position w:val="-28"/>
        </w:rPr>
      </w:pPr>
      <w:r>
        <w:rPr>
          <w:rFonts w:ascii="Times New Roman" w:hAnsi="Times New Roman" w:cs="Times New Roman"/>
          <w:position w:val="-60"/>
        </w:rPr>
        <w:object w:dxaOrig="2040" w:dyaOrig="1040" w14:anchorId="513AAB7E">
          <v:shape id="_x0000_i1029" type="#_x0000_t75" style="width:102pt;height:51.6pt" o:ole="">
            <v:imagedata r:id="rId16" o:title=""/>
          </v:shape>
          <o:OLEObject Type="Embed" ProgID="Equation.DSMT4" ShapeID="_x0000_i1029" DrawAspect="Content" ObjectID="_1804494612" r:id="rId17"/>
        </w:object>
      </w:r>
      <w:r>
        <w:rPr>
          <w:rFonts w:ascii="Times New Roman" w:hAnsi="Times New Roman" w:cs="Times New Roman"/>
          <w:position w:val="-28"/>
        </w:rPr>
        <w:tab/>
      </w:r>
      <w:r>
        <w:rPr>
          <w:rFonts w:ascii="Times New Roman" w:hAnsi="Times New Roman" w:cs="Times New Roman" w:hint="eastAsia"/>
          <w:position w:val="-28"/>
        </w:rPr>
        <w:t>(5</w:t>
      </w:r>
      <w:r>
        <w:rPr>
          <w:rFonts w:ascii="Times New Roman" w:hAnsi="Times New Roman" w:cs="Times New Roman"/>
          <w:position w:val="-28"/>
        </w:rPr>
        <w:t>)</w:t>
      </w:r>
    </w:p>
    <w:p w14:paraId="7A6098BE" w14:textId="77777777" w:rsidR="00ED32D3" w:rsidRDefault="00F13C42">
      <w:pPr>
        <w:tabs>
          <w:tab w:val="left" w:pos="9498"/>
        </w:tabs>
        <w:spacing w:after="120" w:line="360" w:lineRule="auto"/>
        <w:jc w:val="both"/>
        <w:rPr>
          <w:rFonts w:ascii="Times New Roman" w:hAnsi="Times New Roman" w:cs="Times New Roman"/>
          <w:position w:val="-28"/>
        </w:rPr>
      </w:pPr>
      <w:r>
        <w:rPr>
          <w:rFonts w:ascii="Times New Roman" w:hAnsi="Times New Roman" w:cs="Times New Roman"/>
          <w:position w:val="-30"/>
        </w:rPr>
        <w:object w:dxaOrig="3660" w:dyaOrig="720" w14:anchorId="52D1D5AB">
          <v:shape id="_x0000_i1030" type="#_x0000_t75" style="width:183.6pt;height:36pt" o:ole="">
            <v:imagedata r:id="rId18" o:title=""/>
          </v:shape>
          <o:OLEObject Type="Embed" ProgID="Equation.DSMT4" ShapeID="_x0000_i1030" DrawAspect="Content" ObjectID="_1804494613" r:id="rId19"/>
        </w:object>
      </w:r>
      <w:r>
        <w:rPr>
          <w:rFonts w:ascii="Times New Roman" w:hAnsi="Times New Roman" w:cs="Times New Roman"/>
          <w:position w:val="-28"/>
        </w:rPr>
        <w:tab/>
      </w:r>
      <w:r>
        <w:rPr>
          <w:rFonts w:ascii="Times New Roman" w:hAnsi="Times New Roman" w:cs="Times New Roman" w:hint="eastAsia"/>
          <w:position w:val="-28"/>
        </w:rPr>
        <w:t>(6</w:t>
      </w:r>
      <w:r>
        <w:rPr>
          <w:rFonts w:ascii="Times New Roman" w:hAnsi="Times New Roman" w:cs="Times New Roman"/>
          <w:position w:val="-28"/>
        </w:rPr>
        <w:t>)</w:t>
      </w:r>
    </w:p>
    <w:p w14:paraId="66D0B7E4" w14:textId="77777777" w:rsidR="00ED32D3" w:rsidRDefault="00F13C42">
      <w:pPr>
        <w:spacing w:line="360" w:lineRule="auto"/>
        <w:ind w:firstLineChars="200" w:firstLine="480"/>
        <w:jc w:val="both"/>
        <w:rPr>
          <w:rFonts w:ascii="Times New Roman" w:hAnsi="Times New Roman" w:cs="Times New Roman"/>
          <w:position w:val="-12"/>
        </w:rPr>
      </w:pPr>
      <w:r>
        <w:rPr>
          <w:rFonts w:ascii="Times New Roman" w:hAnsi="Times New Roman" w:cs="Times New Roman"/>
          <w:position w:val="-12"/>
        </w:rPr>
        <w:t>Where</w:t>
      </w:r>
      <w:r>
        <w:rPr>
          <w:rFonts w:ascii="Times New Roman" w:hAnsi="Times New Roman" w:cs="Times New Roman" w:hint="eastAsia"/>
          <w:position w:val="-12"/>
        </w:rPr>
        <w:t xml:space="preserve"> </w:t>
      </w:r>
      <w:r>
        <w:rPr>
          <w:rFonts w:ascii="Times New Roman" w:hAnsi="Times New Roman" w:cs="Times New Roman" w:hint="eastAsia"/>
          <w:i/>
          <w:iCs/>
          <w:position w:val="-12"/>
        </w:rPr>
        <w:t>GP</w:t>
      </w:r>
      <w:r>
        <w:rPr>
          <w:rFonts w:ascii="Times New Roman" w:hAnsi="Times New Roman" w:cs="Times New Roman" w:hint="eastAsia"/>
          <w:position w:val="-12"/>
          <w:vertAlign w:val="subscript"/>
        </w:rPr>
        <w:t xml:space="preserve">i </w:t>
      </w:r>
      <w:r>
        <w:rPr>
          <w:rFonts w:ascii="Times New Roman" w:hAnsi="Times New Roman" w:cs="Times New Roman"/>
          <w:position w:val="-12"/>
        </w:rPr>
        <w:t>is the food production of the ith cultivatedland grid</w:t>
      </w:r>
      <w:r>
        <w:rPr>
          <w:rFonts w:ascii="Times New Roman" w:hAnsi="Times New Roman" w:cs="Times New Roman" w:hint="eastAsia"/>
          <w:position w:val="-12"/>
        </w:rPr>
        <w:t xml:space="preserve">, </w:t>
      </w:r>
      <w:r>
        <w:rPr>
          <w:rFonts w:ascii="Times New Roman" w:hAnsi="Times New Roman" w:cs="Times New Roman" w:hint="eastAsia"/>
          <w:i/>
          <w:iCs/>
          <w:position w:val="-12"/>
        </w:rPr>
        <w:t>GP</w:t>
      </w:r>
      <w:r>
        <w:rPr>
          <w:rFonts w:ascii="Times New Roman" w:hAnsi="Times New Roman" w:cs="Times New Roman" w:hint="eastAsia"/>
          <w:position w:val="-12"/>
          <w:vertAlign w:val="subscript"/>
        </w:rPr>
        <w:t>t</w:t>
      </w:r>
      <w:r>
        <w:rPr>
          <w:rFonts w:ascii="Times New Roman" w:hAnsi="Times New Roman" w:cs="Times New Roman" w:hint="eastAsia"/>
          <w:position w:val="-12"/>
        </w:rPr>
        <w:t xml:space="preserve"> </w:t>
      </w:r>
      <w:r>
        <w:rPr>
          <w:rFonts w:ascii="Times New Roman" w:hAnsi="Times New Roman" w:cs="Times New Roman"/>
          <w:position w:val="-12"/>
        </w:rPr>
        <w:t>is the total food production for the entire study area</w:t>
      </w:r>
      <w:r>
        <w:rPr>
          <w:rFonts w:ascii="Times New Roman" w:hAnsi="Times New Roman" w:cs="Times New Roman" w:hint="eastAsia"/>
          <w:position w:val="-12"/>
        </w:rPr>
        <w:t xml:space="preserve">, </w:t>
      </w:r>
      <w:r>
        <w:rPr>
          <w:rFonts w:ascii="Times New Roman" w:hAnsi="Times New Roman" w:cs="Times New Roman"/>
          <w:position w:val="-12"/>
        </w:rPr>
        <w:t xml:space="preserve">nrepresents the total number grids of cultivated land in the study area;and </w:t>
      </w:r>
      <w:r>
        <w:rPr>
          <w:rFonts w:ascii="Times New Roman" w:hAnsi="Times New Roman" w:cs="Times New Roman"/>
          <w:i/>
          <w:iCs/>
          <w:position w:val="-12"/>
        </w:rPr>
        <w:lastRenderedPageBreak/>
        <w:t>NDVl</w:t>
      </w:r>
      <w:r>
        <w:rPr>
          <w:rFonts w:ascii="Times New Roman" w:hAnsi="Times New Roman" w:cs="Times New Roman" w:hint="eastAsia"/>
          <w:i/>
          <w:iCs/>
          <w:position w:val="-12"/>
          <w:vertAlign w:val="subscript"/>
        </w:rPr>
        <w:t>i</w:t>
      </w:r>
      <w:r>
        <w:rPr>
          <w:rFonts w:ascii="Times New Roman" w:hAnsi="Times New Roman" w:cs="Times New Roman" w:hint="eastAsia"/>
          <w:position w:val="-12"/>
        </w:rPr>
        <w:t xml:space="preserve">, </w:t>
      </w:r>
      <w:r>
        <w:rPr>
          <w:rFonts w:ascii="Times New Roman" w:hAnsi="Times New Roman" w:cs="Times New Roman"/>
          <w:position w:val="-12"/>
        </w:rPr>
        <w:t xml:space="preserve">is the annual </w:t>
      </w:r>
      <w:r>
        <w:rPr>
          <w:rFonts w:ascii="Times New Roman" w:hAnsi="Times New Roman" w:cs="Times New Roman"/>
          <w:i/>
          <w:iCs/>
          <w:position w:val="-12"/>
        </w:rPr>
        <w:t>NDVl</w:t>
      </w:r>
      <w:r>
        <w:rPr>
          <w:rFonts w:ascii="Times New Roman" w:hAnsi="Times New Roman" w:cs="Times New Roman"/>
          <w:position w:val="-12"/>
        </w:rPr>
        <w:t xml:space="preserve"> value of the ith cultivated land grid</w:t>
      </w:r>
      <w:r>
        <w:rPr>
          <w:rFonts w:ascii="Times New Roman" w:hAnsi="Times New Roman" w:cs="Times New Roman" w:hint="eastAsia"/>
          <w:position w:val="-12"/>
        </w:rPr>
        <w:t xml:space="preserve">. </w:t>
      </w:r>
      <w:r>
        <w:rPr>
          <w:rFonts w:ascii="Times New Roman" w:hAnsi="Times New Roman" w:cs="Times New Roman"/>
          <w:position w:val="-12"/>
        </w:rPr>
        <w:t xml:space="preserve">Theterms </w:t>
      </w:r>
      <w:r>
        <w:rPr>
          <w:rFonts w:ascii="Times New Roman" w:hAnsi="Times New Roman" w:cs="Times New Roman"/>
          <w:i/>
          <w:iCs/>
          <w:position w:val="-12"/>
        </w:rPr>
        <w:t>NDVl</w:t>
      </w:r>
      <w:r>
        <w:rPr>
          <w:rFonts w:ascii="Times New Roman" w:hAnsi="Times New Roman" w:cs="Times New Roman"/>
          <w:i/>
          <w:iCs/>
          <w:position w:val="-12"/>
          <w:vertAlign w:val="subscript"/>
        </w:rPr>
        <w:t>m</w:t>
      </w:r>
      <w:r>
        <w:rPr>
          <w:rFonts w:ascii="Times New Roman" w:hAnsi="Times New Roman" w:cs="Times New Roman" w:hint="eastAsia"/>
          <w:i/>
          <w:iCs/>
          <w:position w:val="-12"/>
          <w:vertAlign w:val="subscript"/>
        </w:rPr>
        <w:t>a</w:t>
      </w:r>
      <w:r>
        <w:rPr>
          <w:rFonts w:ascii="Times New Roman" w:hAnsi="Times New Roman" w:cs="Times New Roman"/>
          <w:i/>
          <w:iCs/>
          <w:position w:val="-12"/>
          <w:vertAlign w:val="subscript"/>
        </w:rPr>
        <w:t>x</w:t>
      </w:r>
      <w:r>
        <w:rPr>
          <w:rFonts w:ascii="Times New Roman" w:hAnsi="Times New Roman" w:cs="Times New Roman"/>
          <w:position w:val="-12"/>
        </w:rPr>
        <w:t xml:space="preserve"> and</w:t>
      </w:r>
      <w:r>
        <w:rPr>
          <w:rFonts w:ascii="Times New Roman" w:hAnsi="Times New Roman" w:cs="Times New Roman"/>
          <w:i/>
          <w:iCs/>
          <w:position w:val="-12"/>
        </w:rPr>
        <w:t xml:space="preserve"> NDVl</w:t>
      </w:r>
      <w:r>
        <w:rPr>
          <w:rFonts w:ascii="Times New Roman" w:hAnsi="Times New Roman" w:cs="Times New Roman"/>
          <w:i/>
          <w:iCs/>
          <w:position w:val="-12"/>
          <w:vertAlign w:val="subscript"/>
        </w:rPr>
        <w:t>min</w:t>
      </w:r>
      <w:r>
        <w:rPr>
          <w:rFonts w:ascii="Times New Roman" w:hAnsi="Times New Roman" w:cs="Times New Roman"/>
          <w:position w:val="-12"/>
        </w:rPr>
        <w:t xml:space="preserve"> represent the maximum and minimumannual </w:t>
      </w:r>
      <w:r>
        <w:rPr>
          <w:rFonts w:ascii="Times New Roman" w:hAnsi="Times New Roman" w:cs="Times New Roman"/>
          <w:i/>
          <w:iCs/>
          <w:position w:val="-12"/>
        </w:rPr>
        <w:t>NDVl</w:t>
      </w:r>
      <w:r>
        <w:rPr>
          <w:rFonts w:ascii="Times New Roman" w:hAnsi="Times New Roman" w:cs="Times New Roman"/>
          <w:position w:val="-12"/>
        </w:rPr>
        <w:t xml:space="preserve"> values of the cultivated land for the study area</w:t>
      </w:r>
      <w:r>
        <w:rPr>
          <w:rFonts w:ascii="Times New Roman" w:hAnsi="Times New Roman" w:cs="Times New Roman" w:hint="eastAsia"/>
          <w:position w:val="-12"/>
        </w:rPr>
        <w:t xml:space="preserve">, </w:t>
      </w:r>
      <w:r>
        <w:rPr>
          <w:rFonts w:ascii="Times New Roman" w:hAnsi="Times New Roman" w:cs="Times New Roman"/>
          <w:position w:val="-12"/>
        </w:rPr>
        <w:t>respectively.</w:t>
      </w:r>
    </w:p>
    <w:p w14:paraId="554855AE" w14:textId="77777777" w:rsidR="00ED32D3" w:rsidRDefault="00F13C42">
      <w:pPr>
        <w:spacing w:beforeLines="50" w:before="163" w:afterLines="50" w:after="163" w:line="480" w:lineRule="auto"/>
        <w:jc w:val="both"/>
        <w:outlineLvl w:val="1"/>
        <w:rPr>
          <w:rFonts w:ascii="Times New Roman" w:hAnsi="Times New Roman" w:cs="Times New Roman"/>
          <w:b/>
        </w:rPr>
      </w:pPr>
      <w:r>
        <w:rPr>
          <w:rFonts w:ascii="Times New Roman" w:hAnsi="Times New Roman" w:cs="Times New Roman" w:hint="eastAsia"/>
          <w:b/>
        </w:rPr>
        <w:t>3</w:t>
      </w:r>
      <w:r>
        <w:rPr>
          <w:rFonts w:ascii="Times New Roman" w:hAnsi="Times New Roman" w:cs="Times New Roman"/>
          <w:b/>
        </w:rPr>
        <w:t xml:space="preserve"> Habitat quality</w:t>
      </w:r>
      <w:r>
        <w:rPr>
          <w:rFonts w:ascii="Times New Roman" w:hAnsi="Times New Roman" w:cs="Times New Roman"/>
          <w:b/>
        </w:rPr>
        <w:t>（</w:t>
      </w:r>
      <w:r>
        <w:rPr>
          <w:rFonts w:ascii="Times New Roman" w:hAnsi="Times New Roman" w:cs="Times New Roman"/>
          <w:b/>
        </w:rPr>
        <w:t>HQ</w:t>
      </w:r>
      <w:r>
        <w:rPr>
          <w:rFonts w:ascii="Times New Roman" w:hAnsi="Times New Roman" w:cs="Times New Roman"/>
          <w:b/>
        </w:rPr>
        <w:t>）</w:t>
      </w:r>
    </w:p>
    <w:p w14:paraId="530BE3EE" w14:textId="7F9DCA84" w:rsidR="00ED32D3" w:rsidRDefault="00F13C42">
      <w:pPr>
        <w:spacing w:line="360" w:lineRule="auto"/>
        <w:ind w:firstLineChars="200" w:firstLine="420"/>
        <w:jc w:val="both"/>
        <w:rPr>
          <w:rFonts w:ascii="Times New Roman" w:eastAsia="楷体" w:hAnsi="Times New Roman" w:cs="Times New Roman"/>
          <w:sz w:val="21"/>
          <w:szCs w:val="21"/>
        </w:rPr>
      </w:pPr>
      <w:r>
        <w:rPr>
          <w:rFonts w:ascii="Times New Roman" w:eastAsia="楷体" w:hAnsi="Times New Roman" w:cs="Times New Roman"/>
          <w:sz w:val="21"/>
          <w:szCs w:val="21"/>
        </w:rPr>
        <w:t>The Habitat Quality module of InVEST is an invaluable tool for evaluating and analyzing the ecological health and quality of specific regions. Habitat quality assesses the landscape's connectivity and its ability to supply vital resources for organism growth and survival, offering valuable insights into the overall environmental health and ecological system performance.</w:t>
      </w:r>
      <w:r>
        <w:t xml:space="preserve"> </w:t>
      </w:r>
      <w:r>
        <w:rPr>
          <w:rFonts w:ascii="Times New Roman" w:eastAsia="楷体" w:hAnsi="Times New Roman" w:cs="Times New Roman"/>
          <w:sz w:val="21"/>
          <w:szCs w:val="21"/>
        </w:rPr>
        <w:t>The habitat quality index ranges from 0 to 1, with higher values indicating better habitat quality</w:t>
      </w:r>
      <w:r w:rsidR="0010606E" w:rsidRPr="00FC3B98">
        <w:rPr>
          <w:rFonts w:ascii="Times New Roman" w:eastAsia="楷体" w:hAnsi="Times New Roman" w:cs="Times New Roman" w:hint="eastAsia"/>
          <w:color w:val="051BBB"/>
          <w:sz w:val="21"/>
          <w:szCs w:val="21"/>
        </w:rPr>
        <w:t xml:space="preserve"> </w:t>
      </w:r>
      <w:r w:rsidR="0010606E" w:rsidRPr="00154A3B">
        <w:rPr>
          <w:rFonts w:ascii="Times New Roman" w:eastAsia="楷体" w:hAnsi="Times New Roman" w:cs="Times New Roman"/>
          <w:color w:val="0000FF"/>
          <w:sz w:val="21"/>
          <w:szCs w:val="21"/>
        </w:rPr>
        <w:fldChar w:fldCharType="begin"/>
      </w:r>
      <w:r w:rsidR="00373A5C" w:rsidRPr="00154A3B">
        <w:rPr>
          <w:rFonts w:ascii="Times New Roman" w:eastAsia="楷体" w:hAnsi="Times New Roman" w:cs="Times New Roman"/>
          <w:color w:val="0000FF"/>
          <w:sz w:val="21"/>
          <w:szCs w:val="21"/>
        </w:rPr>
        <w:instrText xml:space="preserve"> ADDIN ZOTERO_ITEM CSL_CITATION {"citationID":"evB9Nh0T","properties":{"formattedCitation":"\\super 11,12\\nosupersub{}","plainCitation":"11,12","noteIndex":0},"citationItems":[{"id":302,"uris":["http://zotero.org/users/14180859/items/8D5U852J"],"itemData":{"id":302,"type":"article-journal","abstract":"River ecosystem health assessments provide the foundation for river ecological protection and integrated management. To evaluate the aquatic ecosystem health of  the Fan River basin, benthic macroinvertebrate indices (the Multimeric  Macroinvertebrates Index Flanders (MMIF) and Family Biotic Index (FBI)), a  habitat index (the river habitat quality Index (RHQI)) and a water quality index  (the Improved Water Pollution Index (IWPI)) were selected. The entropy weighting  method was used to calculate the RHQI and IWPI. A fuzzy comprehensive evaluation  method was used to evaluate the aquatic ecosystem health. The evaluation results  indicated that the aquatic ecosystem health of the Fan River basin was better in  2018 than in 2011, which respectively belonged to the ends of the 11th and 12th  Five-Year Plans of the Major Science and Technology Programs for Water Pollution  Control and Treatment in China. The proportions of sampling stations with good,  moderate and poor grades in 2011 were 50.0%, 40.0% and 10.0%, respectively, and  in 2018, the proportions of stations with excellent, good and moderate grades  were 20.0%, 50.0% and 30.0%, respectively. A correlation analysis showed that the  RHQI was significantly correlated with the MMIF, FBI and IWPI. The riparian land  use pattern was an important factor that influenced changes in the aquatic  ecosystem health grade. Of the water quality parameters, total phosphorous (TP)  and potassium bichromate index (COD) were the main factors that affected the  characteristics of benthic macroinvertebrates and the aquatic ecosystem health.","call-number":"3","container-title":"Scientific reports","DOI":"10.1038/s41598-019-50499-0","ISSN":"2045-2322","issue":"1","journalAbbreviation":"Sci Rep","language":"eng","note":"publisher-place: England\nPMID: 31575900 \nPMCID: PMC6773751","page":"14045","source":"4.996","title":"Aquatic ecosystem health assessment of a typical sub-basin of the Liao River based on entropy weights and a fuzzy comprehensive evaluation method.","volume":"9","author":[{"family":"Chen","given":"Jiabo"},{"family":"Wang","given":"Yanjie"},{"family":"Li","given":"Fayun"},{"family":"Liu","given":"Zicheng"}],"issued":{"date-parts":[["2019",10,1]]}}},{"id":300,"uris":["http://zotero.org/users/14180859/items/HQUTHXCD"],"itemData":{"id":300,"type":"article-journal","abstract":"Movement away from an area or social group in response to increasing density (density-dependent dispersal) is known for most species; why it evolves is  fundamental to our understanding of ecology and evolution. However, we have yet  to fully appreciate how individuals of varying conditions (e.g., age and sex)  might differently consider effects of density (quorum) when deciding to disperse  or not, and scale dependence in their sense of quorum. We tracked movements of  all individuals of a naturalized population of feral horses (Equus ferus  caballus; Sable Island National Park Reserve, Nova Scotia, Canada) during a  period of rapid population growth (N increased from 375 to 484 horses from 2008  to 2010). Permanent dispersal from breeding groups (bands) was positively density  dependent for all age and sex categories with respect to local density  (horses/km(2), bounded by the 99th percentile of individual movements [8000 m]),  but was negatively and positively density dependent for males and females,  respectively, in relation to group (band) size. Dispersal was generally female  biased, with the exception of foals which moved with their mothers (no sex  effect), and for yearlings and subadults when band sizes were smaller than  average, in which case males dispersed at higher rates than females. Dispersal  distance was positively related to local density. We conclude that dispersal rate  can be both positively and negatively density dependent for feral horses,  contingent on the state of individuals and the scale at which quorum with respect  to choosing to disperse or not is assessed. Scale effects and interactions of  density-dependent and sex- and age-biased dispersal may have both ecological and  evolutionary consequences through effects on resource and mate competition.","call-number":"2","container-title":"Ecology and evolution","DOI":"10.1002/ece3.694","ISSN":"2045-7758","issue":"9","journalAbbreviation":"Ecol Evol","language":"eng","note":"publisher-place: England\nPMID: 24101995 \nPMCID: PMC3790552","page":"3073-3082","source":"3.167","title":"Local density and group size interacts with age and sex to determine direction and rate of social dispersal in a polygynous mammal.","volume":"3","author":[{"family":"Marjamäki","given":"Paula H."},{"family":"Contasti","given":"Adrienne L."},{"family":"Coulson","given":"Tim N."},{"family":"McLoughlin","given":"Philip D."}],"issued":{"date-parts":[["2013",9]]}},"label":"page"}],"schema":"https://github.com/citation-style-language/schema/raw/master/csl-citation.json"} </w:instrText>
      </w:r>
      <w:r w:rsidR="0010606E" w:rsidRPr="00154A3B">
        <w:rPr>
          <w:rFonts w:ascii="Times New Roman" w:eastAsia="楷体" w:hAnsi="Times New Roman" w:cs="Times New Roman"/>
          <w:color w:val="0000FF"/>
          <w:sz w:val="21"/>
          <w:szCs w:val="21"/>
        </w:rPr>
        <w:fldChar w:fldCharType="separate"/>
      </w:r>
      <w:r w:rsidR="00373A5C" w:rsidRPr="00154A3B">
        <w:rPr>
          <w:rFonts w:ascii="Times New Roman" w:hAnsi="Times New Roman" w:cs="Times New Roman"/>
          <w:color w:val="0000FF"/>
          <w:sz w:val="21"/>
          <w:vertAlign w:val="superscript"/>
        </w:rPr>
        <w:t>11,12</w:t>
      </w:r>
      <w:r w:rsidR="0010606E" w:rsidRPr="00154A3B">
        <w:rPr>
          <w:rFonts w:ascii="Times New Roman" w:eastAsia="楷体" w:hAnsi="Times New Roman" w:cs="Times New Roman"/>
          <w:color w:val="0000FF"/>
          <w:sz w:val="21"/>
          <w:szCs w:val="21"/>
        </w:rPr>
        <w:fldChar w:fldCharType="end"/>
      </w:r>
      <w:r>
        <w:rPr>
          <w:rFonts w:ascii="Times New Roman" w:eastAsia="楷体" w:hAnsi="Times New Roman" w:cs="Times New Roman"/>
          <w:sz w:val="21"/>
          <w:szCs w:val="21"/>
        </w:rPr>
        <w:t>. The calculation formula is as follows</w:t>
      </w:r>
      <w:r>
        <w:rPr>
          <w:rFonts w:ascii="Times New Roman" w:eastAsia="楷体" w:hAnsi="Times New Roman" w:cs="Times New Roman" w:hint="eastAsia"/>
          <w:sz w:val="21"/>
          <w:szCs w:val="21"/>
        </w:rPr>
        <w:t>:</w:t>
      </w:r>
    </w:p>
    <w:p w14:paraId="0A33F4A3" w14:textId="77777777" w:rsidR="00ED32D3" w:rsidRDefault="00F13C42">
      <w:pPr>
        <w:tabs>
          <w:tab w:val="left" w:pos="9498"/>
        </w:tabs>
        <w:spacing w:after="120" w:line="360" w:lineRule="auto"/>
        <w:jc w:val="both"/>
        <w:rPr>
          <w:rFonts w:ascii="Times New Roman" w:hAnsi="Times New Roman" w:cs="Times New Roman"/>
          <w:position w:val="-28"/>
        </w:rPr>
      </w:pPr>
      <w:r>
        <w:rPr>
          <w:rFonts w:ascii="Times New Roman" w:hAnsi="Times New Roman" w:cs="Times New Roman"/>
          <w:position w:val="-34"/>
        </w:rPr>
        <w:object w:dxaOrig="2790" w:dyaOrig="850" w14:anchorId="18CB7B49">
          <v:shape id="_x0000_i1031" type="#_x0000_t75" style="width:139.8pt;height:43.2pt" o:ole="">
            <v:imagedata r:id="rId20" o:title=""/>
          </v:shape>
          <o:OLEObject Type="Embed" ProgID="Equation.DSMT4" ShapeID="_x0000_i1031" DrawAspect="Content" ObjectID="_1804494614" r:id="rId21"/>
        </w:object>
      </w:r>
      <w:r>
        <w:rPr>
          <w:rFonts w:ascii="Times New Roman" w:hAnsi="Times New Roman" w:cs="Times New Roman"/>
          <w:position w:val="-28"/>
        </w:rPr>
        <w:tab/>
      </w:r>
      <w:r>
        <w:rPr>
          <w:rFonts w:ascii="Times New Roman" w:hAnsi="Times New Roman" w:cs="Times New Roman" w:hint="eastAsia"/>
          <w:position w:val="-28"/>
        </w:rPr>
        <w:t>(7</w:t>
      </w:r>
      <w:r>
        <w:rPr>
          <w:rFonts w:ascii="Times New Roman" w:hAnsi="Times New Roman" w:cs="Times New Roman"/>
          <w:position w:val="-28"/>
        </w:rPr>
        <w:t>)</w:t>
      </w:r>
    </w:p>
    <w:p w14:paraId="063CB629" w14:textId="77777777" w:rsidR="00ED32D3" w:rsidRDefault="00F13C42">
      <w:pPr>
        <w:spacing w:line="360" w:lineRule="auto"/>
        <w:ind w:firstLineChars="200" w:firstLine="420"/>
        <w:jc w:val="both"/>
        <w:rPr>
          <w:rFonts w:ascii="Times New Roman" w:eastAsia="楷体" w:hAnsi="Times New Roman" w:cs="Times New Roman"/>
          <w:sz w:val="21"/>
          <w:szCs w:val="21"/>
        </w:rPr>
      </w:pPr>
      <w:r>
        <w:rPr>
          <w:rFonts w:ascii="Times New Roman" w:eastAsia="楷体" w:hAnsi="Times New Roman" w:cs="Times New Roman"/>
          <w:sz w:val="21"/>
          <w:szCs w:val="21"/>
        </w:rPr>
        <w:t xml:space="preserve">where </w:t>
      </w:r>
      <w:r>
        <w:rPr>
          <w:rFonts w:ascii="Times New Roman" w:eastAsia="楷体" w:hAnsi="Times New Roman" w:cs="Times New Roman"/>
          <w:i/>
          <w:iCs/>
          <w:sz w:val="21"/>
          <w:szCs w:val="21"/>
        </w:rPr>
        <w:t>HQI</w:t>
      </w:r>
      <w:r>
        <w:rPr>
          <w:rFonts w:ascii="Times New Roman" w:eastAsia="楷体" w:hAnsi="Times New Roman" w:cs="Times New Roman"/>
          <w:i/>
          <w:iCs/>
          <w:sz w:val="21"/>
          <w:szCs w:val="21"/>
          <w:vertAlign w:val="subscript"/>
        </w:rPr>
        <w:t>xj</w:t>
      </w:r>
      <w:r>
        <w:rPr>
          <w:rFonts w:ascii="Times New Roman" w:eastAsia="楷体" w:hAnsi="Times New Roman" w:cs="Times New Roman"/>
          <w:sz w:val="21"/>
          <w:szCs w:val="21"/>
        </w:rPr>
        <w:t xml:space="preserve"> denotes the habitat quality index of the jth LULC type in each xgrid; </w:t>
      </w:r>
      <w:r>
        <w:rPr>
          <w:rFonts w:ascii="Times New Roman" w:eastAsia="楷体" w:hAnsi="Times New Roman" w:cs="Times New Roman"/>
          <w:i/>
          <w:iCs/>
          <w:sz w:val="21"/>
          <w:szCs w:val="21"/>
        </w:rPr>
        <w:t>H</w:t>
      </w:r>
      <w:r>
        <w:rPr>
          <w:rFonts w:ascii="Times New Roman" w:eastAsia="楷体" w:hAnsi="Times New Roman" w:cs="Times New Roman"/>
          <w:i/>
          <w:iCs/>
          <w:sz w:val="21"/>
          <w:szCs w:val="21"/>
          <w:vertAlign w:val="subscript"/>
        </w:rPr>
        <w:t>j</w:t>
      </w:r>
      <w:r>
        <w:rPr>
          <w:rFonts w:ascii="Times New Roman" w:eastAsia="楷体" w:hAnsi="Times New Roman" w:cs="Times New Roman"/>
          <w:sz w:val="21"/>
          <w:szCs w:val="21"/>
        </w:rPr>
        <w:t xml:space="preserve"> denotes the habitat suitability of the jth land use type</w:t>
      </w:r>
      <w:r>
        <w:rPr>
          <w:rFonts w:ascii="Times New Roman" w:eastAsia="楷体" w:hAnsi="Times New Roman" w:cs="Times New Roman" w:hint="eastAsia"/>
          <w:sz w:val="21"/>
          <w:szCs w:val="21"/>
        </w:rPr>
        <w:t>,</w:t>
      </w:r>
      <w:r>
        <w:rPr>
          <w:rFonts w:ascii="Times New Roman" w:eastAsia="楷体" w:hAnsi="Times New Roman" w:cs="Times New Roman"/>
          <w:sz w:val="21"/>
          <w:szCs w:val="21"/>
        </w:rPr>
        <w:t xml:space="preserve"> k denotes the half-saturation constant, assumed as 0.5 in this study</w:t>
      </w:r>
      <w:r>
        <w:rPr>
          <w:rFonts w:ascii="Times New Roman" w:eastAsia="楷体" w:hAnsi="Times New Roman" w:cs="Times New Roman" w:hint="eastAsia"/>
          <w:sz w:val="21"/>
          <w:szCs w:val="21"/>
        </w:rPr>
        <w:t>,</w:t>
      </w:r>
      <w:r>
        <w:rPr>
          <w:rFonts w:ascii="Times New Roman" w:eastAsia="楷体" w:hAnsi="Times New Roman" w:cs="Times New Roman"/>
          <w:sz w:val="21"/>
          <w:szCs w:val="21"/>
        </w:rPr>
        <w:t xml:space="preserve"> and </w:t>
      </w:r>
      <w:r>
        <w:rPr>
          <w:rFonts w:ascii="Times New Roman" w:eastAsia="楷体" w:hAnsi="Times New Roman" w:cs="Times New Roman"/>
          <w:i/>
          <w:iCs/>
          <w:sz w:val="21"/>
          <w:szCs w:val="21"/>
        </w:rPr>
        <w:t>HR</w:t>
      </w:r>
      <w:r>
        <w:rPr>
          <w:rFonts w:ascii="Times New Roman" w:eastAsia="楷体" w:hAnsi="Times New Roman" w:cs="Times New Roman"/>
          <w:i/>
          <w:iCs/>
          <w:sz w:val="21"/>
          <w:szCs w:val="21"/>
          <w:vertAlign w:val="subscript"/>
        </w:rPr>
        <w:t>xj</w:t>
      </w:r>
      <w:r>
        <w:rPr>
          <w:rFonts w:ascii="Times New Roman" w:eastAsia="楷体" w:hAnsi="Times New Roman" w:cs="Times New Roman"/>
          <w:sz w:val="21"/>
          <w:szCs w:val="21"/>
        </w:rPr>
        <w:t xml:space="preserve"> denotes the habitat degradation degree of the jth LULC type in each xgrid.</w:t>
      </w:r>
    </w:p>
    <w:p w14:paraId="6224E50F" w14:textId="77777777" w:rsidR="00ED32D3" w:rsidRDefault="00F13C42">
      <w:pPr>
        <w:tabs>
          <w:tab w:val="left" w:pos="9498"/>
        </w:tabs>
        <w:spacing w:after="120" w:line="360" w:lineRule="auto"/>
        <w:jc w:val="both"/>
        <w:rPr>
          <w:rFonts w:ascii="Times New Roman" w:hAnsi="Times New Roman" w:cs="Times New Roman"/>
          <w:position w:val="-28"/>
        </w:rPr>
      </w:pPr>
      <w:r>
        <w:rPr>
          <w:rFonts w:ascii="Times New Roman" w:hAnsi="Times New Roman" w:cs="Times New Roman"/>
          <w:position w:val="-60"/>
        </w:rPr>
        <w:object w:dxaOrig="3100" w:dyaOrig="1080" w14:anchorId="51456D85">
          <v:shape id="_x0000_i1032" type="#_x0000_t75" style="width:155.4pt;height:53.4pt" o:ole="">
            <v:imagedata r:id="rId22" o:title=""/>
          </v:shape>
          <o:OLEObject Type="Embed" ProgID="Equation.DSMT4" ShapeID="_x0000_i1032" DrawAspect="Content" ObjectID="_1804494615" r:id="rId23"/>
        </w:object>
      </w:r>
      <w:r>
        <w:rPr>
          <w:rFonts w:ascii="Times New Roman" w:hAnsi="Times New Roman" w:cs="Times New Roman"/>
          <w:position w:val="-28"/>
        </w:rPr>
        <w:tab/>
      </w:r>
      <w:r>
        <w:rPr>
          <w:rFonts w:ascii="Times New Roman" w:hAnsi="Times New Roman" w:cs="Times New Roman" w:hint="eastAsia"/>
          <w:position w:val="-28"/>
        </w:rPr>
        <w:t>(8</w:t>
      </w:r>
      <w:r>
        <w:rPr>
          <w:rFonts w:ascii="Times New Roman" w:hAnsi="Times New Roman" w:cs="Times New Roman"/>
          <w:position w:val="-28"/>
        </w:rPr>
        <w:t>)</w:t>
      </w:r>
    </w:p>
    <w:p w14:paraId="3C746A0F" w14:textId="77777777" w:rsidR="00ED32D3" w:rsidRDefault="00F13C42">
      <w:pPr>
        <w:spacing w:line="360" w:lineRule="auto"/>
        <w:ind w:firstLineChars="200" w:firstLine="420"/>
        <w:jc w:val="both"/>
        <w:rPr>
          <w:rFonts w:ascii="Times New Roman" w:eastAsia="楷体" w:hAnsi="Times New Roman" w:cs="Times New Roman"/>
          <w:sz w:val="21"/>
          <w:szCs w:val="21"/>
        </w:rPr>
      </w:pPr>
      <w:r>
        <w:rPr>
          <w:rFonts w:ascii="Times New Roman" w:eastAsia="楷体" w:hAnsi="Times New Roman" w:cs="Times New Roman"/>
          <w:sz w:val="21"/>
          <w:szCs w:val="21"/>
        </w:rPr>
        <w:t xml:space="preserve">where </w:t>
      </w:r>
      <w:r>
        <w:rPr>
          <w:rFonts w:ascii="Times New Roman" w:eastAsia="楷体" w:hAnsi="Times New Roman" w:cs="Times New Roman"/>
          <w:i/>
          <w:iCs/>
          <w:sz w:val="21"/>
          <w:szCs w:val="21"/>
        </w:rPr>
        <w:t>R</w:t>
      </w:r>
      <w:r>
        <w:rPr>
          <w:rFonts w:ascii="Times New Roman" w:eastAsia="楷体" w:hAnsi="Times New Roman" w:cs="Times New Roman"/>
          <w:sz w:val="21"/>
          <w:szCs w:val="21"/>
        </w:rPr>
        <w:t xml:space="preserve"> denotes the total number of threat factors</w:t>
      </w:r>
      <w:r>
        <w:rPr>
          <w:rFonts w:ascii="Times New Roman" w:eastAsia="楷体" w:hAnsi="Times New Roman" w:cs="Times New Roman" w:hint="eastAsia"/>
          <w:sz w:val="21"/>
          <w:szCs w:val="21"/>
        </w:rPr>
        <w:t>,</w:t>
      </w:r>
      <w:r>
        <w:rPr>
          <w:rFonts w:ascii="Times New Roman" w:eastAsia="楷体" w:hAnsi="Times New Roman" w:cs="Times New Roman"/>
          <w:sz w:val="21"/>
          <w:szCs w:val="21"/>
        </w:rPr>
        <w:t xml:space="preserve"> </w:t>
      </w:r>
      <w:r>
        <w:rPr>
          <w:rFonts w:ascii="Times New Roman" w:eastAsia="楷体" w:hAnsi="Times New Roman" w:cs="Times New Roman"/>
          <w:i/>
          <w:iCs/>
          <w:sz w:val="21"/>
          <w:szCs w:val="21"/>
        </w:rPr>
        <w:t>Y</w:t>
      </w:r>
      <w:r>
        <w:rPr>
          <w:rFonts w:ascii="Times New Roman" w:eastAsia="楷体" w:hAnsi="Times New Roman" w:cs="Times New Roman"/>
          <w:i/>
          <w:iCs/>
          <w:sz w:val="21"/>
          <w:szCs w:val="21"/>
          <w:vertAlign w:val="subscript"/>
        </w:rPr>
        <w:t>r</w:t>
      </w:r>
      <w:r>
        <w:rPr>
          <w:rFonts w:ascii="Times New Roman" w:eastAsia="楷体" w:hAnsi="Times New Roman" w:cs="Times New Roman"/>
          <w:sz w:val="21"/>
          <w:szCs w:val="21"/>
        </w:rPr>
        <w:t xml:space="preserve"> denotes the number of units in the threat layer on the LULC</w:t>
      </w:r>
      <w:r>
        <w:rPr>
          <w:rFonts w:ascii="Times New Roman" w:eastAsia="楷体" w:hAnsi="Times New Roman" w:cs="Times New Roman" w:hint="eastAsia"/>
          <w:sz w:val="21"/>
          <w:szCs w:val="21"/>
        </w:rPr>
        <w:t>,</w:t>
      </w:r>
      <w:r>
        <w:rPr>
          <w:rFonts w:ascii="Times New Roman" w:eastAsia="楷体" w:hAnsi="Times New Roman" w:cs="Times New Roman"/>
          <w:i/>
          <w:iCs/>
          <w:sz w:val="21"/>
          <w:szCs w:val="21"/>
        </w:rPr>
        <w:t xml:space="preserve"> w</w:t>
      </w:r>
      <w:r>
        <w:rPr>
          <w:rFonts w:ascii="Times New Roman" w:eastAsia="楷体" w:hAnsi="Times New Roman" w:cs="Times New Roman"/>
          <w:i/>
          <w:iCs/>
          <w:sz w:val="21"/>
          <w:szCs w:val="21"/>
          <w:vertAlign w:val="subscript"/>
        </w:rPr>
        <w:t>r</w:t>
      </w:r>
      <w:r>
        <w:rPr>
          <w:rFonts w:ascii="Times New Roman" w:eastAsia="楷体" w:hAnsi="Times New Roman" w:cs="Times New Roman"/>
          <w:sz w:val="21"/>
          <w:szCs w:val="21"/>
        </w:rPr>
        <w:t xml:space="preserve"> denotes the relative weight of threat factor </w:t>
      </w:r>
      <w:r>
        <w:rPr>
          <w:rFonts w:ascii="Times New Roman" w:eastAsia="楷体" w:hAnsi="Times New Roman" w:cs="Times New Roman"/>
          <w:i/>
          <w:iCs/>
          <w:sz w:val="21"/>
          <w:szCs w:val="21"/>
        </w:rPr>
        <w:t>r</w:t>
      </w:r>
      <w:r>
        <w:rPr>
          <w:rFonts w:ascii="Times New Roman" w:eastAsia="楷体" w:hAnsi="Times New Roman" w:cs="Times New Roman"/>
          <w:sz w:val="21"/>
          <w:szCs w:val="21"/>
        </w:rPr>
        <w:t xml:space="preserve">; </w:t>
      </w:r>
      <w:r>
        <w:rPr>
          <w:rFonts w:ascii="Times New Roman" w:eastAsia="楷体" w:hAnsi="Times New Roman" w:cs="Times New Roman"/>
          <w:i/>
          <w:iCs/>
          <w:sz w:val="21"/>
          <w:szCs w:val="21"/>
        </w:rPr>
        <w:t>r</w:t>
      </w:r>
      <w:r>
        <w:rPr>
          <w:rFonts w:ascii="Times New Roman" w:eastAsia="楷体" w:hAnsi="Times New Roman" w:cs="Times New Roman"/>
          <w:i/>
          <w:iCs/>
          <w:sz w:val="21"/>
          <w:szCs w:val="21"/>
          <w:vertAlign w:val="subscript"/>
        </w:rPr>
        <w:t>y</w:t>
      </w:r>
      <w:r>
        <w:rPr>
          <w:rFonts w:ascii="Times New Roman" w:eastAsia="楷体" w:hAnsi="Times New Roman" w:cs="Times New Roman"/>
          <w:sz w:val="21"/>
          <w:szCs w:val="21"/>
        </w:rPr>
        <w:t xml:space="preserve"> denotes whether grid </w:t>
      </w:r>
      <w:r>
        <w:rPr>
          <w:rFonts w:ascii="Times New Roman" w:eastAsia="楷体" w:hAnsi="Times New Roman" w:cs="Times New Roman"/>
          <w:i/>
          <w:iCs/>
          <w:sz w:val="21"/>
          <w:szCs w:val="21"/>
        </w:rPr>
        <w:t>y</w:t>
      </w:r>
      <w:r>
        <w:rPr>
          <w:rFonts w:ascii="Times New Roman" w:eastAsia="楷体" w:hAnsi="Times New Roman" w:cs="Times New Roman"/>
          <w:sz w:val="21"/>
          <w:szCs w:val="21"/>
        </w:rPr>
        <w:t xml:space="preserve"> is a threat grid</w:t>
      </w:r>
      <w:r>
        <w:rPr>
          <w:rFonts w:ascii="Times New Roman" w:eastAsia="楷体" w:hAnsi="Times New Roman" w:cs="Times New Roman" w:hint="eastAsia"/>
          <w:sz w:val="21"/>
          <w:szCs w:val="21"/>
        </w:rPr>
        <w:t>,</w:t>
      </w:r>
      <w:r>
        <w:rPr>
          <w:rFonts w:ascii="Times New Roman" w:eastAsia="楷体" w:hAnsi="Times New Roman" w:cs="Times New Roman"/>
          <w:sz w:val="21"/>
          <w:szCs w:val="21"/>
        </w:rPr>
        <w:t xml:space="preserve"> </w:t>
      </w:r>
      <w:r>
        <w:rPr>
          <w:rFonts w:ascii="Times New Roman" w:eastAsia="楷体" w:hAnsi="Times New Roman" w:cs="Times New Roman"/>
          <w:i/>
          <w:iCs/>
          <w:sz w:val="21"/>
          <w:szCs w:val="21"/>
        </w:rPr>
        <w:t>i</w:t>
      </w:r>
      <w:r>
        <w:rPr>
          <w:rFonts w:ascii="Times New Roman" w:eastAsia="楷体" w:hAnsi="Times New Roman" w:cs="Times New Roman"/>
          <w:i/>
          <w:iCs/>
          <w:sz w:val="21"/>
          <w:szCs w:val="21"/>
          <w:vertAlign w:val="subscript"/>
        </w:rPr>
        <w:t>rxy</w:t>
      </w:r>
      <w:r>
        <w:rPr>
          <w:rFonts w:ascii="Times New Roman" w:eastAsia="楷体" w:hAnsi="Times New Roman" w:cs="Times New Roman"/>
          <w:sz w:val="21"/>
          <w:szCs w:val="21"/>
        </w:rPr>
        <w:t xml:space="preserve"> denotes the impact of threat source </w:t>
      </w:r>
      <w:r>
        <w:rPr>
          <w:rFonts w:ascii="Times New Roman" w:eastAsia="楷体" w:hAnsi="Times New Roman" w:cs="Times New Roman"/>
          <w:i/>
          <w:iCs/>
          <w:sz w:val="21"/>
          <w:szCs w:val="21"/>
        </w:rPr>
        <w:t>r</w:t>
      </w:r>
      <w:r>
        <w:rPr>
          <w:rFonts w:ascii="Times New Roman" w:eastAsia="楷体" w:hAnsi="Times New Roman" w:cs="Times New Roman"/>
          <w:sz w:val="21"/>
          <w:szCs w:val="21"/>
        </w:rPr>
        <w:t xml:space="preserve"> in grid </w:t>
      </w:r>
      <w:r>
        <w:rPr>
          <w:rFonts w:ascii="Times New Roman" w:eastAsia="楷体" w:hAnsi="Times New Roman" w:cs="Times New Roman"/>
          <w:i/>
          <w:iCs/>
          <w:sz w:val="21"/>
          <w:szCs w:val="21"/>
        </w:rPr>
        <w:t>x</w:t>
      </w:r>
      <w:r>
        <w:rPr>
          <w:rFonts w:ascii="Times New Roman" w:eastAsia="楷体" w:hAnsi="Times New Roman" w:cs="Times New Roman"/>
          <w:sz w:val="21"/>
          <w:szCs w:val="21"/>
        </w:rPr>
        <w:t xml:space="preserve"> on habitat </w:t>
      </w:r>
      <w:r>
        <w:rPr>
          <w:rFonts w:ascii="Times New Roman" w:eastAsia="楷体" w:hAnsi="Times New Roman" w:cs="Times New Roman"/>
          <w:i/>
          <w:iCs/>
          <w:sz w:val="21"/>
          <w:szCs w:val="21"/>
        </w:rPr>
        <w:t>y</w:t>
      </w:r>
      <w:r>
        <w:rPr>
          <w:rFonts w:ascii="Times New Roman" w:eastAsia="楷体" w:hAnsi="Times New Roman" w:cs="Times New Roman" w:hint="eastAsia"/>
          <w:sz w:val="21"/>
          <w:szCs w:val="21"/>
        </w:rPr>
        <w:t>,</w:t>
      </w:r>
      <w:r>
        <w:rPr>
          <w:rFonts w:ascii="Times New Roman" w:eastAsia="楷体" w:hAnsi="Times New Roman" w:cs="Times New Roman"/>
          <w:sz w:val="21"/>
          <w:szCs w:val="21"/>
        </w:rPr>
        <w:t xml:space="preserve"> </w:t>
      </w:r>
      <w:r>
        <w:rPr>
          <w:rFonts w:ascii="Times New Roman" w:eastAsia="楷体" w:hAnsi="Times New Roman" w:cs="Times New Roman"/>
          <w:i/>
          <w:iCs/>
          <w:sz w:val="21"/>
          <w:szCs w:val="21"/>
        </w:rPr>
        <w:t>β</w:t>
      </w:r>
      <w:r>
        <w:rPr>
          <w:rFonts w:ascii="Times New Roman" w:eastAsia="楷体" w:hAnsi="Times New Roman" w:cs="Times New Roman"/>
          <w:i/>
          <w:iCs/>
          <w:sz w:val="21"/>
          <w:szCs w:val="21"/>
          <w:vertAlign w:val="subscript"/>
        </w:rPr>
        <w:t>x</w:t>
      </w:r>
      <w:r>
        <w:rPr>
          <w:rFonts w:ascii="Times New Roman" w:eastAsia="楷体" w:hAnsi="Times New Roman" w:cs="Times New Roman"/>
          <w:sz w:val="21"/>
          <w:szCs w:val="21"/>
        </w:rPr>
        <w:t xml:space="preserve"> denotes the reachable level of grid </w:t>
      </w:r>
      <w:r>
        <w:rPr>
          <w:rFonts w:ascii="Times New Roman" w:eastAsia="楷体" w:hAnsi="Times New Roman" w:cs="Times New Roman"/>
          <w:i/>
          <w:iCs/>
          <w:sz w:val="21"/>
          <w:szCs w:val="21"/>
        </w:rPr>
        <w:t>x</w:t>
      </w:r>
      <w:r>
        <w:rPr>
          <w:rFonts w:ascii="Times New Roman" w:eastAsia="楷体" w:hAnsi="Times New Roman" w:cs="Times New Roman"/>
          <w:sz w:val="21"/>
          <w:szCs w:val="21"/>
        </w:rPr>
        <w:t xml:space="preserve">; and </w:t>
      </w:r>
      <w:r>
        <w:rPr>
          <w:rFonts w:ascii="Times New Roman" w:eastAsia="楷体" w:hAnsi="Times New Roman" w:cs="Times New Roman"/>
          <w:i/>
          <w:iCs/>
          <w:sz w:val="21"/>
          <w:szCs w:val="21"/>
        </w:rPr>
        <w:t>S</w:t>
      </w:r>
      <w:r>
        <w:rPr>
          <w:rFonts w:ascii="Times New Roman" w:eastAsia="楷体" w:hAnsi="Times New Roman" w:cs="Times New Roman"/>
          <w:i/>
          <w:iCs/>
          <w:sz w:val="21"/>
          <w:szCs w:val="21"/>
          <w:vertAlign w:val="subscript"/>
        </w:rPr>
        <w:t>jr</w:t>
      </w:r>
      <w:r>
        <w:rPr>
          <w:rFonts w:ascii="Times New Roman" w:eastAsia="楷体" w:hAnsi="Times New Roman" w:cs="Times New Roman"/>
          <w:sz w:val="21"/>
          <w:szCs w:val="21"/>
        </w:rPr>
        <w:t xml:space="preserve"> denotes the sensitivity of LULC type </w:t>
      </w:r>
      <w:r>
        <w:rPr>
          <w:rFonts w:ascii="Times New Roman" w:eastAsia="楷体" w:hAnsi="Times New Roman" w:cs="Times New Roman"/>
          <w:i/>
          <w:iCs/>
          <w:sz w:val="21"/>
          <w:szCs w:val="21"/>
        </w:rPr>
        <w:t>j</w:t>
      </w:r>
      <w:r>
        <w:rPr>
          <w:rFonts w:ascii="Times New Roman" w:eastAsia="楷体" w:hAnsi="Times New Roman" w:cs="Times New Roman"/>
          <w:sz w:val="21"/>
          <w:szCs w:val="21"/>
        </w:rPr>
        <w:t xml:space="preserve"> to threat factor </w:t>
      </w:r>
      <w:r>
        <w:rPr>
          <w:rFonts w:ascii="Times New Roman" w:eastAsia="楷体" w:hAnsi="Times New Roman" w:cs="Times New Roman"/>
          <w:i/>
          <w:iCs/>
          <w:sz w:val="21"/>
          <w:szCs w:val="21"/>
        </w:rPr>
        <w:t>r</w:t>
      </w:r>
      <w:r>
        <w:rPr>
          <w:rFonts w:ascii="Times New Roman" w:eastAsia="楷体" w:hAnsi="Times New Roman" w:cs="Times New Roman"/>
          <w:sz w:val="21"/>
          <w:szCs w:val="21"/>
        </w:rPr>
        <w:t>.</w:t>
      </w:r>
    </w:p>
    <w:p w14:paraId="591593B8" w14:textId="21092543" w:rsidR="00ED32D3" w:rsidRPr="005431C0" w:rsidRDefault="00F13C42">
      <w:pPr>
        <w:spacing w:line="360" w:lineRule="auto"/>
        <w:ind w:firstLineChars="200" w:firstLine="420"/>
        <w:jc w:val="both"/>
        <w:rPr>
          <w:rFonts w:ascii="Times New Roman" w:eastAsia="楷体" w:hAnsi="Times New Roman" w:cs="Times New Roman"/>
          <w:sz w:val="21"/>
          <w:szCs w:val="21"/>
        </w:rPr>
      </w:pPr>
      <w:r>
        <w:rPr>
          <w:rFonts w:ascii="Times New Roman" w:eastAsia="楷体" w:hAnsi="Times New Roman" w:cs="Times New Roman"/>
          <w:sz w:val="21"/>
          <w:szCs w:val="21"/>
        </w:rPr>
        <w:t>Referring to the results of existing studies</w:t>
      </w:r>
      <w:r>
        <w:rPr>
          <w:rFonts w:ascii="Times New Roman" w:eastAsia="楷体" w:hAnsi="Times New Roman" w:cs="Times New Roman" w:hint="eastAsia"/>
          <w:sz w:val="21"/>
          <w:szCs w:val="21"/>
        </w:rPr>
        <w:t xml:space="preserve"> a</w:t>
      </w:r>
      <w:r>
        <w:rPr>
          <w:rFonts w:ascii="Times New Roman" w:eastAsia="楷体" w:hAnsi="Times New Roman" w:cs="Times New Roman"/>
          <w:sz w:val="21"/>
          <w:szCs w:val="21"/>
        </w:rPr>
        <w:t>nd an expert scoring system</w:t>
      </w:r>
      <w:r w:rsidR="0010606E">
        <w:rPr>
          <w:rFonts w:ascii="Times New Roman" w:eastAsia="楷体" w:hAnsi="Times New Roman" w:cs="Times New Roman" w:hint="eastAsia"/>
          <w:sz w:val="21"/>
          <w:szCs w:val="21"/>
        </w:rPr>
        <w:t xml:space="preserve"> </w:t>
      </w:r>
      <w:r w:rsidR="00F53AE2" w:rsidRPr="00154A3B">
        <w:rPr>
          <w:rFonts w:ascii="Times New Roman" w:eastAsia="楷体" w:hAnsi="Times New Roman" w:cs="Times New Roman"/>
          <w:color w:val="0000FF"/>
          <w:sz w:val="21"/>
          <w:szCs w:val="21"/>
        </w:rPr>
        <w:fldChar w:fldCharType="begin"/>
      </w:r>
      <w:r w:rsidR="00373A5C" w:rsidRPr="00154A3B">
        <w:rPr>
          <w:rFonts w:ascii="Times New Roman" w:eastAsia="楷体" w:hAnsi="Times New Roman" w:cs="Times New Roman"/>
          <w:color w:val="0000FF"/>
          <w:sz w:val="21"/>
          <w:szCs w:val="21"/>
        </w:rPr>
        <w:instrText xml:space="preserve"> ADDIN ZOTERO_ITEM CSL_CITATION {"citationID":"dCuDieVh","properties":{"formattedCitation":"\\super 13,14\\nosupersub{}","plainCitation":"13,14","noteIndex":0},"citationItems":[{"id":304,"uris":["http://zotero.org/users/14180859/items/FSXWZCFQ"],"itemData":{"id":304,"type":"article-journal","abstract":"Habitat quality is an important indicator for assessing biodiversity and is critical to ecosystem processes. With urban development and construction in  developing countries, habitat quality is increasingly influenced by landscape  pattern changes. This has made habitat conservation to be an increasingly urgent  issue. Despite the growing interest in this issue, studies that reveal the role  of land use change in habitat degradation at multiple scales are still lacking.  Therefore, we analyzed the spatial and temporal variations of habitat quality of  the Three Gorges Reservoir area by the InVEST habitat quality model and  demonstrated the responses of habitat quality to various landscape dynamics by  correspondence analysis. The result showed that the habitat quality score of this  area increased from 0.685 in 2000 to 0.739 in 2015 and presented a significant  spatial heterogeneity. Habitat quality was significantly higher in the  northeastern and southwestern parts of the reservoir area than in other regions.  Meanwhile, habitat quality improved with altitude and slope, and increased for  all altitude and slope zones. The habitat quality of &gt;1000 m and &gt;25° zone  exceeds 0.8, while the habitat quality of &lt;500 m and &lt;15° zone is less than 0.6.  Habitat quality significantly varied among landscape dynamics and was extremely  sensitive to vegetation recovery and urban expansion. The vegetation restoration  model of returning farmland to forest is difficult to sustain, so we suggest  changing the vegetation recovery model to constructing complex vegetation  community. This study helps us to better understand the effects of landscape  pattern changes on habitat quality and can provide a scientific basis for  formulating regional ecological conservation policies and sustainable use of land  resources.","call-number":"3","container-title":"International journal of environmental research and public health","DOI":"10.3390/ijerph19063594","ISSN":"1660-4601 1661-7827","issue":"6","journalAbbreviation":"Int J Environ Res Public Health","language":"eng","note":"publisher-place: Switzerland\nPMID: 35329281 \nPMCID: PMC8950012","source":"4.614","title":"Spatial and Temporal Variations of Habitat Quality and Its Response of Landscape Dynamic in the Three Gorges Reservoir Area, China.","volume":"19","author":[{"family":"Liu","given":"Shuangshuang"},{"family":"Liao","given":"Qipeng"},{"family":"Xiao","given":"Mingzhu"},{"family":"Zhao","given":"Dengyue"},{"family":"Huang","given":"Chunbo"}],"issued":{"date-parts":[["2022",3,17]]}},"label":"page"},{"id":308,"uris":["http://zotero.org/users/14180859/items/W3GKMG8Q"],"itemData":{"id":308,"type":"article-journal","abstract":"The uneven spatial–temporal distribution of ecosystem services in humid regions seriously hinders the achievement of regional ecological construction and sustainable development goals. However, most studies have ignored the mechanism of coupled water supply and demand, and there is no clear understanding of the relationship between habitat quality and water supply services under future land use/land cover (LULC). This study is based on the Han River (HR) Basin and integrates the PLUS and InVEST models to propose an integrated framework for quantifying the spatial and temporal changes in associated water production, habitat quality, and the current risk of water supply and demand under future land use changes. The results show that from 2000 to 2050, the construction land under the Natural Development Scenario (NDS) is expanding, the proportion of forest and grassland is decreasing, and the habitat quality is decreasing from 0.7052 to 0.7046. Under the Ecological Protection Scenario (EPS), the increase in construction land has slowed, large areas of cropland land have been converted to forest land, and habitat quality has improved. Under the Ecological Development Scenario (EDS), the proportion of cropland and construction lands rises, and habitat quality declines the most (0.6923). In particular, water production is greater in areas of low habitat quality. The overall water supply of the HR basin has slightly decreased, and the water demand has increased significantly. The ecological deficit area of the upper HR has increased extensively from 2000 to 2020, and the risk of the basin's water supply demand has increased. This study proposes relevant supply and demand risk mitigation strategies to enhance regional coordinated development, which can provide a scientific basis for water resource management planning in wetland areas.","call-number":"2","container-title":"Ecological Indicators","DOI":"10.1016/j.ecolind.2023.111230","ISSN":"1470-160X","journalAbbreviation":"Ecological Indicators","page":"111230","source":"6.263","title":"Spatiotemporal dislocation of ecosystem supply and demand services from habitat quality under different development scenarios","volume":"157","author":[{"family":"Wang","given":"Hongxiang"},{"family":"Yuan","given":"Weiqi"},{"family":"Ma","given":"Yajuan"},{"family":"Bai","given":"Xiangyu"},{"family":"Huang","given":"Lintong"},{"family":"Cheng","given":"Siyuan"},{"family":"Yang","given":"Huan"},{"family":"Guo","given":"Wenxian"}],"issued":{"date-parts":[["2023",12,15]]}}}],"schema":"https://github.com/citation-style-language/schema/raw/master/csl-citation.json"} </w:instrText>
      </w:r>
      <w:r w:rsidR="00F53AE2" w:rsidRPr="00154A3B">
        <w:rPr>
          <w:rFonts w:ascii="Times New Roman" w:eastAsia="楷体" w:hAnsi="Times New Roman" w:cs="Times New Roman"/>
          <w:color w:val="0000FF"/>
          <w:sz w:val="21"/>
          <w:szCs w:val="21"/>
        </w:rPr>
        <w:fldChar w:fldCharType="separate"/>
      </w:r>
      <w:r w:rsidR="00373A5C" w:rsidRPr="00154A3B">
        <w:rPr>
          <w:rFonts w:ascii="Times New Roman" w:hAnsi="Times New Roman" w:cs="Times New Roman"/>
          <w:color w:val="0000FF"/>
          <w:sz w:val="21"/>
          <w:vertAlign w:val="superscript"/>
        </w:rPr>
        <w:t>13,14</w:t>
      </w:r>
      <w:r w:rsidR="00F53AE2" w:rsidRPr="00154A3B">
        <w:rPr>
          <w:rFonts w:ascii="Times New Roman" w:eastAsia="楷体" w:hAnsi="Times New Roman" w:cs="Times New Roman"/>
          <w:color w:val="0000FF"/>
          <w:sz w:val="21"/>
          <w:szCs w:val="21"/>
        </w:rPr>
        <w:fldChar w:fldCharType="end"/>
      </w:r>
      <w:r>
        <w:rPr>
          <w:rFonts w:ascii="Times New Roman" w:eastAsia="楷体" w:hAnsi="Times New Roman" w:cs="Times New Roman" w:hint="eastAsia"/>
          <w:sz w:val="21"/>
          <w:szCs w:val="21"/>
        </w:rPr>
        <w:t xml:space="preserve">. </w:t>
      </w:r>
      <w:r>
        <w:rPr>
          <w:rFonts w:ascii="Times New Roman" w:eastAsia="楷体" w:hAnsi="Times New Roman" w:cs="Times New Roman"/>
          <w:sz w:val="21"/>
          <w:szCs w:val="21"/>
        </w:rPr>
        <w:t>We consider farmland, rural settlements, urban land, transportation infrastructure, and unused land as threat factors, and establish the impact distance and weight of each threat factor based on the actual context</w:t>
      </w:r>
      <w:r>
        <w:rPr>
          <w:rFonts w:ascii="Times New Roman" w:eastAsia="楷体" w:hAnsi="Times New Roman" w:cs="Times New Roman" w:hint="eastAsia"/>
          <w:sz w:val="21"/>
          <w:szCs w:val="21"/>
        </w:rPr>
        <w:t xml:space="preserve"> </w:t>
      </w:r>
      <w:r>
        <w:rPr>
          <w:rFonts w:ascii="Times New Roman" w:eastAsia="楷体" w:hAnsi="Times New Roman" w:cs="Times New Roman"/>
          <w:color w:val="0000FF"/>
        </w:rPr>
        <w:t>(Table S</w:t>
      </w:r>
      <w:r>
        <w:rPr>
          <w:rFonts w:ascii="Times New Roman" w:eastAsia="楷体" w:hAnsi="Times New Roman" w:cs="Times New Roman" w:hint="eastAsia"/>
          <w:color w:val="0000FF"/>
        </w:rPr>
        <w:t>2</w:t>
      </w:r>
      <w:r>
        <w:rPr>
          <w:rFonts w:ascii="Times New Roman" w:eastAsia="楷体" w:hAnsi="Times New Roman" w:cs="Times New Roman"/>
          <w:color w:val="0000FF"/>
        </w:rPr>
        <w:t>)</w:t>
      </w:r>
      <w:r>
        <w:rPr>
          <w:rFonts w:ascii="Times New Roman" w:eastAsia="楷体" w:hAnsi="Times New Roman" w:cs="Times New Roman" w:hint="eastAsia"/>
          <w:sz w:val="21"/>
          <w:szCs w:val="21"/>
        </w:rPr>
        <w:t>,</w:t>
      </w:r>
      <w:r>
        <w:t xml:space="preserve"> </w:t>
      </w:r>
      <w:r>
        <w:rPr>
          <w:rFonts w:ascii="Times New Roman" w:eastAsia="楷体" w:hAnsi="Times New Roman" w:cs="Times New Roman"/>
          <w:sz w:val="21"/>
          <w:szCs w:val="21"/>
        </w:rPr>
        <w:t>and habitat suitability of habitat types and sensitivity of different habitat types to threat factors</w:t>
      </w:r>
      <w:r>
        <w:rPr>
          <w:rFonts w:ascii="Times New Roman" w:eastAsia="楷体" w:hAnsi="Times New Roman" w:cs="Times New Roman" w:hint="eastAsia"/>
          <w:sz w:val="21"/>
          <w:szCs w:val="21"/>
        </w:rPr>
        <w:t xml:space="preserve"> </w:t>
      </w:r>
      <w:r>
        <w:rPr>
          <w:rFonts w:ascii="Times New Roman" w:eastAsia="楷体" w:hAnsi="Times New Roman" w:cs="Times New Roman"/>
          <w:color w:val="0000FF"/>
        </w:rPr>
        <w:t>(Table S</w:t>
      </w:r>
      <w:r>
        <w:rPr>
          <w:rFonts w:ascii="Times New Roman" w:eastAsia="楷体" w:hAnsi="Times New Roman" w:cs="Times New Roman" w:hint="eastAsia"/>
          <w:color w:val="0000FF"/>
        </w:rPr>
        <w:t>3</w:t>
      </w:r>
      <w:r>
        <w:rPr>
          <w:rFonts w:ascii="Times New Roman" w:eastAsia="楷体" w:hAnsi="Times New Roman" w:cs="Times New Roman"/>
          <w:color w:val="0000FF"/>
        </w:rPr>
        <w:t>)</w:t>
      </w:r>
      <w:r>
        <w:rPr>
          <w:rFonts w:ascii="Times New Roman" w:eastAsia="楷体" w:hAnsi="Times New Roman" w:cs="Times New Roman" w:hint="eastAsia"/>
          <w:sz w:val="21"/>
          <w:szCs w:val="21"/>
        </w:rPr>
        <w:t>.</w:t>
      </w:r>
      <w:r w:rsidR="007C6B6C" w:rsidRPr="007C6B6C">
        <w:rPr>
          <w:rFonts w:hint="eastAsia"/>
        </w:rPr>
        <w:t xml:space="preserve"> </w:t>
      </w:r>
      <w:r w:rsidR="007C6B6C" w:rsidRPr="005431C0">
        <w:rPr>
          <w:rFonts w:ascii="Times New Roman" w:eastAsia="楷体" w:hAnsi="Times New Roman" w:cs="Times New Roman" w:hint="eastAsia"/>
          <w:sz w:val="21"/>
          <w:szCs w:val="21"/>
        </w:rPr>
        <w:t xml:space="preserve">The habitat quality model is run in inVEST software. LULC Data during the study period is imported in the column of Current Land Cover(Raster) in </w:t>
      </w:r>
      <w:r w:rsidR="007C6B6C" w:rsidRPr="005431C0">
        <w:rPr>
          <w:rFonts w:ascii="Times New Roman" w:eastAsia="楷体" w:hAnsi="Times New Roman" w:cs="Times New Roman" w:hint="eastAsia"/>
          <w:sz w:val="21"/>
          <w:szCs w:val="21"/>
        </w:rPr>
        <w:lastRenderedPageBreak/>
        <w:t>parameter setting, and parameters in Table S2 are imported in the column of Threats Data. Import parameters according to Table S3 in the Sensitivity of Land Cover Types to Each Threat column.</w:t>
      </w:r>
    </w:p>
    <w:p w14:paraId="2BD0E49E" w14:textId="77777777" w:rsidR="00ED32D3" w:rsidRDefault="00F13C42">
      <w:pPr>
        <w:spacing w:beforeLines="100" w:before="326"/>
        <w:jc w:val="both"/>
        <w:outlineLvl w:val="3"/>
        <w:rPr>
          <w:rFonts w:ascii="Times New Roman" w:hAnsi="Times New Roman" w:cs="Times New Roman"/>
          <w:b/>
          <w:bCs/>
          <w:sz w:val="21"/>
          <w:szCs w:val="21"/>
        </w:rPr>
      </w:pPr>
      <w:r>
        <w:rPr>
          <w:rFonts w:ascii="Times New Roman" w:hAnsi="Times New Roman" w:cs="Times New Roman"/>
          <w:b/>
          <w:bCs/>
          <w:sz w:val="21"/>
          <w:szCs w:val="21"/>
        </w:rPr>
        <w:t>Table S</w:t>
      </w:r>
      <w:r>
        <w:rPr>
          <w:rFonts w:ascii="Times New Roman" w:hAnsi="Times New Roman" w:cs="Times New Roman" w:hint="eastAsia"/>
          <w:b/>
          <w:bCs/>
          <w:sz w:val="21"/>
          <w:szCs w:val="21"/>
        </w:rPr>
        <w:t>2</w:t>
      </w:r>
    </w:p>
    <w:p w14:paraId="07DF5506" w14:textId="77777777" w:rsidR="00ED32D3" w:rsidRDefault="00F13C42">
      <w:pPr>
        <w:jc w:val="both"/>
        <w:rPr>
          <w:rFonts w:ascii="Times New Roman" w:hAnsi="Times New Roman" w:cs="Times New Roman"/>
          <w:sz w:val="21"/>
          <w:szCs w:val="21"/>
        </w:rPr>
      </w:pPr>
      <w:r>
        <w:rPr>
          <w:rFonts w:ascii="Times New Roman" w:eastAsia="楷体" w:hAnsi="Times New Roman" w:cs="Times New Roman"/>
          <w:sz w:val="21"/>
          <w:szCs w:val="21"/>
        </w:rPr>
        <w:t>Influence distance and weight of threat factors</w:t>
      </w:r>
      <w:r>
        <w:rPr>
          <w:rFonts w:ascii="Times New Roman" w:eastAsia="楷体" w:hAnsi="Times New Roman" w:cs="Times New Roman" w:hint="eastAsia"/>
          <w:sz w:val="21"/>
          <w:szCs w:val="21"/>
        </w:rPr>
        <w:t>.</w:t>
      </w:r>
    </w:p>
    <w:tbl>
      <w:tblPr>
        <w:tblW w:w="5000" w:type="pct"/>
        <w:tblLook w:val="04A0" w:firstRow="1" w:lastRow="0" w:firstColumn="1" w:lastColumn="0" w:noHBand="0" w:noVBand="1"/>
      </w:tblPr>
      <w:tblGrid>
        <w:gridCol w:w="1598"/>
        <w:gridCol w:w="1351"/>
        <w:gridCol w:w="4900"/>
        <w:gridCol w:w="1897"/>
      </w:tblGrid>
      <w:tr w:rsidR="00ED32D3" w14:paraId="35756730" w14:textId="77777777">
        <w:trPr>
          <w:trHeight w:val="300"/>
        </w:trPr>
        <w:tc>
          <w:tcPr>
            <w:tcW w:w="820" w:type="pct"/>
            <w:tcBorders>
              <w:top w:val="single" w:sz="4" w:space="0" w:color="000000"/>
              <w:left w:val="nil"/>
              <w:bottom w:val="single" w:sz="4" w:space="0" w:color="000000"/>
              <w:right w:val="nil"/>
            </w:tcBorders>
            <w:shd w:val="clear" w:color="auto" w:fill="auto"/>
            <w:noWrap/>
            <w:vAlign w:val="center"/>
          </w:tcPr>
          <w:p w14:paraId="1DCD6F92"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MAX_DIST</w:t>
            </w:r>
          </w:p>
        </w:tc>
        <w:tc>
          <w:tcPr>
            <w:tcW w:w="693" w:type="pct"/>
            <w:tcBorders>
              <w:top w:val="single" w:sz="4" w:space="0" w:color="000000"/>
              <w:left w:val="nil"/>
              <w:bottom w:val="single" w:sz="4" w:space="0" w:color="000000"/>
              <w:right w:val="nil"/>
            </w:tcBorders>
            <w:shd w:val="clear" w:color="auto" w:fill="auto"/>
            <w:noWrap/>
            <w:vAlign w:val="center"/>
          </w:tcPr>
          <w:p w14:paraId="6D3DE3D7"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WEIGHT</w:t>
            </w:r>
          </w:p>
        </w:tc>
        <w:tc>
          <w:tcPr>
            <w:tcW w:w="2514" w:type="pct"/>
            <w:tcBorders>
              <w:top w:val="single" w:sz="4" w:space="0" w:color="000000"/>
              <w:left w:val="nil"/>
              <w:bottom w:val="single" w:sz="4" w:space="0" w:color="000000"/>
              <w:right w:val="nil"/>
            </w:tcBorders>
            <w:shd w:val="clear" w:color="auto" w:fill="auto"/>
            <w:noWrap/>
            <w:vAlign w:val="center"/>
          </w:tcPr>
          <w:p w14:paraId="7A5AAAF5"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THREAT</w:t>
            </w:r>
          </w:p>
        </w:tc>
        <w:tc>
          <w:tcPr>
            <w:tcW w:w="973" w:type="pct"/>
            <w:tcBorders>
              <w:top w:val="single" w:sz="4" w:space="0" w:color="000000"/>
              <w:left w:val="nil"/>
              <w:bottom w:val="single" w:sz="4" w:space="0" w:color="000000"/>
              <w:right w:val="nil"/>
            </w:tcBorders>
            <w:shd w:val="clear" w:color="auto" w:fill="auto"/>
            <w:noWrap/>
            <w:vAlign w:val="center"/>
          </w:tcPr>
          <w:p w14:paraId="035D82F3"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DECAY</w:t>
            </w:r>
          </w:p>
        </w:tc>
      </w:tr>
      <w:tr w:rsidR="00ED32D3" w14:paraId="5E310F2B" w14:textId="77777777">
        <w:trPr>
          <w:trHeight w:val="300"/>
        </w:trPr>
        <w:tc>
          <w:tcPr>
            <w:tcW w:w="820" w:type="pct"/>
            <w:tcBorders>
              <w:top w:val="nil"/>
              <w:left w:val="nil"/>
              <w:bottom w:val="nil"/>
              <w:right w:val="nil"/>
            </w:tcBorders>
            <w:shd w:val="clear" w:color="auto" w:fill="auto"/>
            <w:noWrap/>
            <w:vAlign w:val="center"/>
          </w:tcPr>
          <w:p w14:paraId="74047E24"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4</w:t>
            </w:r>
          </w:p>
        </w:tc>
        <w:tc>
          <w:tcPr>
            <w:tcW w:w="693" w:type="pct"/>
            <w:tcBorders>
              <w:top w:val="nil"/>
              <w:left w:val="nil"/>
              <w:bottom w:val="nil"/>
              <w:right w:val="nil"/>
            </w:tcBorders>
            <w:shd w:val="clear" w:color="auto" w:fill="auto"/>
            <w:noWrap/>
            <w:vAlign w:val="center"/>
          </w:tcPr>
          <w:p w14:paraId="6B6825E2"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0.6</w:t>
            </w:r>
          </w:p>
        </w:tc>
        <w:tc>
          <w:tcPr>
            <w:tcW w:w="2514" w:type="pct"/>
            <w:tcBorders>
              <w:top w:val="nil"/>
              <w:left w:val="nil"/>
              <w:bottom w:val="nil"/>
              <w:right w:val="nil"/>
            </w:tcBorders>
            <w:shd w:val="clear" w:color="auto" w:fill="auto"/>
            <w:noWrap/>
            <w:vAlign w:val="center"/>
          </w:tcPr>
          <w:p w14:paraId="15824438"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farmland</w:t>
            </w:r>
          </w:p>
        </w:tc>
        <w:tc>
          <w:tcPr>
            <w:tcW w:w="973" w:type="pct"/>
            <w:tcBorders>
              <w:top w:val="nil"/>
              <w:left w:val="nil"/>
              <w:bottom w:val="nil"/>
              <w:right w:val="nil"/>
            </w:tcBorders>
            <w:shd w:val="clear" w:color="auto" w:fill="auto"/>
            <w:noWrap/>
            <w:vAlign w:val="center"/>
          </w:tcPr>
          <w:p w14:paraId="417FC839"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linear</w:t>
            </w:r>
          </w:p>
        </w:tc>
      </w:tr>
      <w:tr w:rsidR="00ED32D3" w14:paraId="0F1E8858" w14:textId="77777777">
        <w:trPr>
          <w:trHeight w:val="300"/>
        </w:trPr>
        <w:tc>
          <w:tcPr>
            <w:tcW w:w="820" w:type="pct"/>
            <w:tcBorders>
              <w:top w:val="nil"/>
              <w:left w:val="nil"/>
              <w:bottom w:val="nil"/>
              <w:right w:val="nil"/>
            </w:tcBorders>
            <w:shd w:val="clear" w:color="auto" w:fill="auto"/>
            <w:noWrap/>
            <w:vAlign w:val="center"/>
          </w:tcPr>
          <w:p w14:paraId="1B1FC402"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8</w:t>
            </w:r>
          </w:p>
        </w:tc>
        <w:tc>
          <w:tcPr>
            <w:tcW w:w="693" w:type="pct"/>
            <w:tcBorders>
              <w:top w:val="nil"/>
              <w:left w:val="nil"/>
              <w:bottom w:val="nil"/>
              <w:right w:val="nil"/>
            </w:tcBorders>
            <w:shd w:val="clear" w:color="auto" w:fill="auto"/>
            <w:noWrap/>
            <w:vAlign w:val="center"/>
          </w:tcPr>
          <w:p w14:paraId="2CAF3CF8"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0.8</w:t>
            </w:r>
          </w:p>
        </w:tc>
        <w:tc>
          <w:tcPr>
            <w:tcW w:w="2514" w:type="pct"/>
            <w:tcBorders>
              <w:top w:val="nil"/>
              <w:left w:val="nil"/>
              <w:bottom w:val="nil"/>
              <w:right w:val="nil"/>
            </w:tcBorders>
            <w:shd w:val="clear" w:color="auto" w:fill="auto"/>
            <w:noWrap/>
            <w:vAlign w:val="center"/>
          </w:tcPr>
          <w:p w14:paraId="59C2D16E"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rural settlements</w:t>
            </w:r>
          </w:p>
        </w:tc>
        <w:tc>
          <w:tcPr>
            <w:tcW w:w="973" w:type="pct"/>
            <w:tcBorders>
              <w:top w:val="nil"/>
              <w:left w:val="nil"/>
              <w:bottom w:val="nil"/>
              <w:right w:val="nil"/>
            </w:tcBorders>
            <w:shd w:val="clear" w:color="auto" w:fill="auto"/>
            <w:noWrap/>
            <w:vAlign w:val="center"/>
          </w:tcPr>
          <w:p w14:paraId="21E952E9"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exponential</w:t>
            </w:r>
          </w:p>
        </w:tc>
      </w:tr>
      <w:tr w:rsidR="00ED32D3" w14:paraId="70CF7F79" w14:textId="77777777">
        <w:trPr>
          <w:trHeight w:val="300"/>
        </w:trPr>
        <w:tc>
          <w:tcPr>
            <w:tcW w:w="820" w:type="pct"/>
            <w:tcBorders>
              <w:top w:val="nil"/>
              <w:left w:val="nil"/>
              <w:bottom w:val="nil"/>
              <w:right w:val="nil"/>
            </w:tcBorders>
            <w:shd w:val="clear" w:color="auto" w:fill="auto"/>
            <w:noWrap/>
            <w:vAlign w:val="center"/>
          </w:tcPr>
          <w:p w14:paraId="21614753"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6</w:t>
            </w:r>
          </w:p>
        </w:tc>
        <w:tc>
          <w:tcPr>
            <w:tcW w:w="693" w:type="pct"/>
            <w:tcBorders>
              <w:top w:val="nil"/>
              <w:left w:val="nil"/>
              <w:bottom w:val="nil"/>
              <w:right w:val="nil"/>
            </w:tcBorders>
            <w:shd w:val="clear" w:color="auto" w:fill="auto"/>
            <w:noWrap/>
            <w:vAlign w:val="center"/>
          </w:tcPr>
          <w:p w14:paraId="2BFA0D33"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1</w:t>
            </w:r>
          </w:p>
        </w:tc>
        <w:tc>
          <w:tcPr>
            <w:tcW w:w="2514" w:type="pct"/>
            <w:tcBorders>
              <w:top w:val="nil"/>
              <w:left w:val="nil"/>
              <w:bottom w:val="nil"/>
              <w:right w:val="nil"/>
            </w:tcBorders>
            <w:shd w:val="clear" w:color="auto" w:fill="auto"/>
            <w:noWrap/>
            <w:vAlign w:val="center"/>
          </w:tcPr>
          <w:p w14:paraId="32D93365"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urban land</w:t>
            </w:r>
          </w:p>
        </w:tc>
        <w:tc>
          <w:tcPr>
            <w:tcW w:w="973" w:type="pct"/>
            <w:tcBorders>
              <w:top w:val="nil"/>
              <w:left w:val="nil"/>
              <w:bottom w:val="nil"/>
              <w:right w:val="nil"/>
            </w:tcBorders>
            <w:shd w:val="clear" w:color="auto" w:fill="auto"/>
            <w:noWrap/>
            <w:vAlign w:val="center"/>
          </w:tcPr>
          <w:p w14:paraId="519589AC"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exponential</w:t>
            </w:r>
          </w:p>
        </w:tc>
      </w:tr>
      <w:tr w:rsidR="00ED32D3" w14:paraId="43E53D78" w14:textId="77777777">
        <w:trPr>
          <w:trHeight w:val="300"/>
        </w:trPr>
        <w:tc>
          <w:tcPr>
            <w:tcW w:w="820" w:type="pct"/>
            <w:tcBorders>
              <w:top w:val="nil"/>
              <w:left w:val="nil"/>
              <w:bottom w:val="nil"/>
              <w:right w:val="nil"/>
            </w:tcBorders>
            <w:shd w:val="clear" w:color="auto" w:fill="auto"/>
            <w:noWrap/>
            <w:vAlign w:val="center"/>
          </w:tcPr>
          <w:p w14:paraId="635A25B0"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3</w:t>
            </w:r>
          </w:p>
        </w:tc>
        <w:tc>
          <w:tcPr>
            <w:tcW w:w="693" w:type="pct"/>
            <w:tcBorders>
              <w:top w:val="nil"/>
              <w:left w:val="nil"/>
              <w:bottom w:val="nil"/>
              <w:right w:val="nil"/>
            </w:tcBorders>
            <w:shd w:val="clear" w:color="auto" w:fill="auto"/>
            <w:noWrap/>
            <w:vAlign w:val="center"/>
          </w:tcPr>
          <w:p w14:paraId="1464BDF6"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0.6</w:t>
            </w:r>
          </w:p>
        </w:tc>
        <w:tc>
          <w:tcPr>
            <w:tcW w:w="2514" w:type="pct"/>
            <w:tcBorders>
              <w:top w:val="nil"/>
              <w:left w:val="nil"/>
              <w:bottom w:val="nil"/>
              <w:right w:val="nil"/>
            </w:tcBorders>
            <w:shd w:val="clear" w:color="auto" w:fill="auto"/>
            <w:noWrap/>
            <w:vAlign w:val="center"/>
          </w:tcPr>
          <w:p w14:paraId="77D844DB"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transportation infrastructure</w:t>
            </w:r>
          </w:p>
        </w:tc>
        <w:tc>
          <w:tcPr>
            <w:tcW w:w="973" w:type="pct"/>
            <w:tcBorders>
              <w:top w:val="nil"/>
              <w:left w:val="nil"/>
              <w:bottom w:val="nil"/>
              <w:right w:val="nil"/>
            </w:tcBorders>
            <w:shd w:val="clear" w:color="auto" w:fill="auto"/>
            <w:noWrap/>
            <w:vAlign w:val="center"/>
          </w:tcPr>
          <w:p w14:paraId="3ED67221"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linear</w:t>
            </w:r>
          </w:p>
        </w:tc>
      </w:tr>
      <w:tr w:rsidR="00ED32D3" w14:paraId="4EED22BA" w14:textId="77777777">
        <w:trPr>
          <w:trHeight w:val="300"/>
        </w:trPr>
        <w:tc>
          <w:tcPr>
            <w:tcW w:w="820" w:type="pct"/>
            <w:tcBorders>
              <w:top w:val="nil"/>
              <w:left w:val="nil"/>
              <w:bottom w:val="single" w:sz="4" w:space="0" w:color="000000"/>
              <w:right w:val="nil"/>
            </w:tcBorders>
            <w:shd w:val="clear" w:color="auto" w:fill="auto"/>
            <w:noWrap/>
            <w:vAlign w:val="center"/>
          </w:tcPr>
          <w:p w14:paraId="4C740A7F"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3</w:t>
            </w:r>
          </w:p>
        </w:tc>
        <w:tc>
          <w:tcPr>
            <w:tcW w:w="693" w:type="pct"/>
            <w:tcBorders>
              <w:top w:val="nil"/>
              <w:left w:val="nil"/>
              <w:bottom w:val="single" w:sz="4" w:space="0" w:color="000000"/>
              <w:right w:val="nil"/>
            </w:tcBorders>
            <w:shd w:val="clear" w:color="auto" w:fill="auto"/>
            <w:noWrap/>
            <w:vAlign w:val="center"/>
          </w:tcPr>
          <w:p w14:paraId="1AC3852D"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0.1</w:t>
            </w:r>
          </w:p>
        </w:tc>
        <w:tc>
          <w:tcPr>
            <w:tcW w:w="2514" w:type="pct"/>
            <w:tcBorders>
              <w:top w:val="nil"/>
              <w:left w:val="nil"/>
              <w:bottom w:val="single" w:sz="4" w:space="0" w:color="000000"/>
              <w:right w:val="nil"/>
            </w:tcBorders>
            <w:shd w:val="clear" w:color="auto" w:fill="auto"/>
            <w:noWrap/>
            <w:vAlign w:val="center"/>
          </w:tcPr>
          <w:p w14:paraId="59D8DD6C"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unused land</w:t>
            </w:r>
          </w:p>
        </w:tc>
        <w:tc>
          <w:tcPr>
            <w:tcW w:w="973" w:type="pct"/>
            <w:tcBorders>
              <w:top w:val="nil"/>
              <w:left w:val="nil"/>
              <w:bottom w:val="single" w:sz="4" w:space="0" w:color="000000"/>
              <w:right w:val="nil"/>
            </w:tcBorders>
            <w:shd w:val="clear" w:color="auto" w:fill="auto"/>
            <w:noWrap/>
            <w:vAlign w:val="center"/>
          </w:tcPr>
          <w:p w14:paraId="6FB35C69" w14:textId="77777777" w:rsidR="00ED32D3" w:rsidRDefault="00F13C42">
            <w:pPr>
              <w:jc w:val="center"/>
              <w:rPr>
                <w:rFonts w:ascii="Times New Roman" w:hAnsi="Times New Roman" w:cs="Times New Roman"/>
                <w:color w:val="000000"/>
                <w:sz w:val="21"/>
                <w:szCs w:val="21"/>
              </w:rPr>
            </w:pPr>
            <w:r>
              <w:rPr>
                <w:rFonts w:ascii="Times New Roman" w:hAnsi="Times New Roman" w:cs="Times New Roman"/>
                <w:color w:val="000000"/>
                <w:sz w:val="21"/>
                <w:szCs w:val="21"/>
              </w:rPr>
              <w:t>exponential</w:t>
            </w:r>
          </w:p>
        </w:tc>
      </w:tr>
    </w:tbl>
    <w:p w14:paraId="7A5A19B3" w14:textId="77777777" w:rsidR="00ED32D3" w:rsidRDefault="00F13C42">
      <w:pPr>
        <w:spacing w:beforeLines="100" w:before="326"/>
        <w:jc w:val="both"/>
        <w:outlineLvl w:val="3"/>
        <w:rPr>
          <w:rFonts w:ascii="Times New Roman" w:hAnsi="Times New Roman" w:cs="Times New Roman"/>
          <w:b/>
          <w:bCs/>
          <w:sz w:val="21"/>
          <w:szCs w:val="21"/>
        </w:rPr>
      </w:pPr>
      <w:r>
        <w:rPr>
          <w:rFonts w:ascii="Times New Roman" w:hAnsi="Times New Roman" w:cs="Times New Roman"/>
          <w:b/>
          <w:bCs/>
          <w:sz w:val="21"/>
          <w:szCs w:val="21"/>
        </w:rPr>
        <w:t>Table S</w:t>
      </w:r>
      <w:r>
        <w:rPr>
          <w:rFonts w:ascii="Times New Roman" w:hAnsi="Times New Roman" w:cs="Times New Roman" w:hint="eastAsia"/>
          <w:b/>
          <w:bCs/>
          <w:sz w:val="21"/>
          <w:szCs w:val="21"/>
        </w:rPr>
        <w:t>3</w:t>
      </w:r>
    </w:p>
    <w:p w14:paraId="6D98E9F3" w14:textId="77777777" w:rsidR="00ED32D3" w:rsidRDefault="00F13C42">
      <w:pPr>
        <w:jc w:val="both"/>
        <w:rPr>
          <w:rFonts w:ascii="Times New Roman" w:hAnsi="Times New Roman" w:cs="Times New Roman"/>
          <w:sz w:val="21"/>
          <w:szCs w:val="21"/>
        </w:rPr>
      </w:pPr>
      <w:r>
        <w:rPr>
          <w:rFonts w:ascii="Times New Roman" w:eastAsia="楷体" w:hAnsi="Times New Roman" w:cs="Times New Roman"/>
          <w:sz w:val="21"/>
          <w:szCs w:val="21"/>
        </w:rPr>
        <w:t>Habitat types and their sensitivity to threat factors</w:t>
      </w:r>
      <w:r>
        <w:rPr>
          <w:rFonts w:ascii="Times New Roman" w:eastAsia="楷体" w:hAnsi="Times New Roman" w:cs="Times New Roman" w:hint="eastAsia"/>
          <w:sz w:val="21"/>
          <w:szCs w:val="21"/>
        </w:rPr>
        <w:t>.</w:t>
      </w:r>
    </w:p>
    <w:tbl>
      <w:tblPr>
        <w:tblW w:w="5000" w:type="pct"/>
        <w:tblLook w:val="04A0" w:firstRow="1" w:lastRow="0" w:firstColumn="1" w:lastColumn="0" w:noHBand="0" w:noVBand="1"/>
      </w:tblPr>
      <w:tblGrid>
        <w:gridCol w:w="1845"/>
        <w:gridCol w:w="1331"/>
        <w:gridCol w:w="1314"/>
        <w:gridCol w:w="1314"/>
        <w:gridCol w:w="1314"/>
        <w:gridCol w:w="1314"/>
        <w:gridCol w:w="1314"/>
      </w:tblGrid>
      <w:tr w:rsidR="00ED32D3" w14:paraId="02366FF6" w14:textId="77777777">
        <w:trPr>
          <w:trHeight w:val="270"/>
        </w:trPr>
        <w:tc>
          <w:tcPr>
            <w:tcW w:w="947" w:type="pct"/>
            <w:tcBorders>
              <w:top w:val="single" w:sz="4" w:space="0" w:color="000000"/>
              <w:left w:val="nil"/>
              <w:bottom w:val="single" w:sz="4" w:space="0" w:color="000000"/>
              <w:right w:val="nil"/>
            </w:tcBorders>
            <w:shd w:val="clear" w:color="auto" w:fill="auto"/>
            <w:noWrap/>
            <w:vAlign w:val="center"/>
          </w:tcPr>
          <w:p w14:paraId="1E540E48"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NAME</w:t>
            </w:r>
          </w:p>
        </w:tc>
        <w:tc>
          <w:tcPr>
            <w:tcW w:w="683" w:type="pct"/>
            <w:tcBorders>
              <w:top w:val="single" w:sz="4" w:space="0" w:color="000000"/>
              <w:left w:val="nil"/>
              <w:bottom w:val="single" w:sz="4" w:space="0" w:color="000000"/>
              <w:right w:val="nil"/>
            </w:tcBorders>
            <w:shd w:val="clear" w:color="auto" w:fill="auto"/>
            <w:noWrap/>
            <w:vAlign w:val="center"/>
          </w:tcPr>
          <w:p w14:paraId="19B4B581"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HABITAT</w:t>
            </w:r>
          </w:p>
        </w:tc>
        <w:tc>
          <w:tcPr>
            <w:tcW w:w="674" w:type="pct"/>
            <w:tcBorders>
              <w:top w:val="single" w:sz="4" w:space="0" w:color="000000"/>
              <w:left w:val="nil"/>
              <w:bottom w:val="single" w:sz="4" w:space="0" w:color="000000"/>
              <w:right w:val="nil"/>
            </w:tcBorders>
            <w:shd w:val="clear" w:color="auto" w:fill="auto"/>
            <w:noWrap/>
            <w:vAlign w:val="center"/>
          </w:tcPr>
          <w:p w14:paraId="44A3C511"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L_far</w:t>
            </w:r>
          </w:p>
        </w:tc>
        <w:tc>
          <w:tcPr>
            <w:tcW w:w="674" w:type="pct"/>
            <w:tcBorders>
              <w:top w:val="single" w:sz="4" w:space="0" w:color="000000"/>
              <w:left w:val="nil"/>
              <w:bottom w:val="single" w:sz="4" w:space="0" w:color="000000"/>
              <w:right w:val="nil"/>
            </w:tcBorders>
            <w:shd w:val="clear" w:color="auto" w:fill="auto"/>
            <w:noWrap/>
            <w:vAlign w:val="center"/>
          </w:tcPr>
          <w:p w14:paraId="59CC07A6"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L_rur</w:t>
            </w:r>
          </w:p>
        </w:tc>
        <w:tc>
          <w:tcPr>
            <w:tcW w:w="674" w:type="pct"/>
            <w:tcBorders>
              <w:top w:val="single" w:sz="4" w:space="0" w:color="000000"/>
              <w:left w:val="nil"/>
              <w:bottom w:val="single" w:sz="4" w:space="0" w:color="000000"/>
              <w:right w:val="nil"/>
            </w:tcBorders>
            <w:shd w:val="clear" w:color="auto" w:fill="auto"/>
            <w:noWrap/>
            <w:vAlign w:val="center"/>
          </w:tcPr>
          <w:p w14:paraId="034E496B"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L_urb</w:t>
            </w:r>
          </w:p>
        </w:tc>
        <w:tc>
          <w:tcPr>
            <w:tcW w:w="674" w:type="pct"/>
            <w:tcBorders>
              <w:top w:val="single" w:sz="4" w:space="0" w:color="000000"/>
              <w:left w:val="nil"/>
              <w:bottom w:val="single" w:sz="4" w:space="0" w:color="000000"/>
              <w:right w:val="nil"/>
            </w:tcBorders>
            <w:shd w:val="clear" w:color="auto" w:fill="auto"/>
            <w:noWrap/>
            <w:vAlign w:val="center"/>
          </w:tcPr>
          <w:p w14:paraId="6D6346BD"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L_tra</w:t>
            </w:r>
          </w:p>
        </w:tc>
        <w:tc>
          <w:tcPr>
            <w:tcW w:w="674" w:type="pct"/>
            <w:tcBorders>
              <w:top w:val="single" w:sz="4" w:space="0" w:color="000000"/>
              <w:left w:val="nil"/>
              <w:bottom w:val="single" w:sz="4" w:space="0" w:color="000000"/>
              <w:right w:val="nil"/>
            </w:tcBorders>
            <w:shd w:val="clear" w:color="auto" w:fill="auto"/>
            <w:noWrap/>
            <w:vAlign w:val="center"/>
          </w:tcPr>
          <w:p w14:paraId="149DBBB3"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L_unu</w:t>
            </w:r>
          </w:p>
        </w:tc>
      </w:tr>
      <w:tr w:rsidR="00ED32D3" w14:paraId="7456BBAE" w14:textId="77777777">
        <w:trPr>
          <w:trHeight w:val="270"/>
        </w:trPr>
        <w:tc>
          <w:tcPr>
            <w:tcW w:w="947" w:type="pct"/>
            <w:tcBorders>
              <w:top w:val="nil"/>
              <w:left w:val="nil"/>
              <w:bottom w:val="nil"/>
              <w:right w:val="nil"/>
            </w:tcBorders>
            <w:shd w:val="clear" w:color="auto" w:fill="auto"/>
            <w:noWrap/>
            <w:vAlign w:val="center"/>
          </w:tcPr>
          <w:p w14:paraId="7D71F11A"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paddy field</w:t>
            </w:r>
          </w:p>
        </w:tc>
        <w:tc>
          <w:tcPr>
            <w:tcW w:w="683" w:type="pct"/>
            <w:tcBorders>
              <w:top w:val="nil"/>
              <w:left w:val="nil"/>
              <w:bottom w:val="nil"/>
              <w:right w:val="nil"/>
            </w:tcBorders>
            <w:shd w:val="clear" w:color="auto" w:fill="auto"/>
            <w:noWrap/>
            <w:vAlign w:val="center"/>
          </w:tcPr>
          <w:p w14:paraId="173B7041"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0.5</w:t>
            </w:r>
          </w:p>
        </w:tc>
        <w:tc>
          <w:tcPr>
            <w:tcW w:w="674" w:type="pct"/>
            <w:tcBorders>
              <w:top w:val="nil"/>
              <w:left w:val="nil"/>
              <w:bottom w:val="nil"/>
              <w:right w:val="nil"/>
            </w:tcBorders>
            <w:shd w:val="clear" w:color="auto" w:fill="auto"/>
            <w:noWrap/>
            <w:vAlign w:val="center"/>
          </w:tcPr>
          <w:p w14:paraId="5E4E371E"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0.3</w:t>
            </w:r>
          </w:p>
        </w:tc>
        <w:tc>
          <w:tcPr>
            <w:tcW w:w="674" w:type="pct"/>
            <w:tcBorders>
              <w:top w:val="nil"/>
              <w:left w:val="nil"/>
              <w:bottom w:val="nil"/>
              <w:right w:val="nil"/>
            </w:tcBorders>
            <w:shd w:val="clear" w:color="auto" w:fill="auto"/>
            <w:noWrap/>
            <w:vAlign w:val="center"/>
          </w:tcPr>
          <w:p w14:paraId="79A55B01"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0.8</w:t>
            </w:r>
          </w:p>
        </w:tc>
        <w:tc>
          <w:tcPr>
            <w:tcW w:w="674" w:type="pct"/>
            <w:tcBorders>
              <w:top w:val="nil"/>
              <w:left w:val="nil"/>
              <w:bottom w:val="nil"/>
              <w:right w:val="nil"/>
            </w:tcBorders>
            <w:shd w:val="clear" w:color="auto" w:fill="auto"/>
            <w:noWrap/>
            <w:vAlign w:val="center"/>
          </w:tcPr>
          <w:p w14:paraId="57A11EC9"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0.5</w:t>
            </w:r>
          </w:p>
        </w:tc>
        <w:tc>
          <w:tcPr>
            <w:tcW w:w="674" w:type="pct"/>
            <w:tcBorders>
              <w:top w:val="nil"/>
              <w:left w:val="nil"/>
              <w:bottom w:val="nil"/>
              <w:right w:val="nil"/>
            </w:tcBorders>
            <w:shd w:val="clear" w:color="auto" w:fill="auto"/>
            <w:noWrap/>
            <w:vAlign w:val="center"/>
          </w:tcPr>
          <w:p w14:paraId="5B26F4BC"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0.4</w:t>
            </w:r>
          </w:p>
        </w:tc>
        <w:tc>
          <w:tcPr>
            <w:tcW w:w="674" w:type="pct"/>
            <w:tcBorders>
              <w:top w:val="nil"/>
              <w:left w:val="nil"/>
              <w:bottom w:val="nil"/>
              <w:right w:val="nil"/>
            </w:tcBorders>
            <w:shd w:val="clear" w:color="auto" w:fill="auto"/>
            <w:noWrap/>
            <w:vAlign w:val="center"/>
          </w:tcPr>
          <w:p w14:paraId="0087C9D6"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r>
      <w:tr w:rsidR="00ED32D3" w14:paraId="59597895" w14:textId="77777777">
        <w:trPr>
          <w:trHeight w:val="270"/>
        </w:trPr>
        <w:tc>
          <w:tcPr>
            <w:tcW w:w="947" w:type="pct"/>
            <w:tcBorders>
              <w:top w:val="nil"/>
              <w:left w:val="nil"/>
              <w:bottom w:val="nil"/>
              <w:right w:val="nil"/>
            </w:tcBorders>
            <w:shd w:val="clear" w:color="auto" w:fill="auto"/>
            <w:noWrap/>
            <w:vAlign w:val="center"/>
          </w:tcPr>
          <w:p w14:paraId="3E6AF11B"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dryland</w:t>
            </w:r>
          </w:p>
        </w:tc>
        <w:tc>
          <w:tcPr>
            <w:tcW w:w="683" w:type="pct"/>
            <w:tcBorders>
              <w:top w:val="nil"/>
              <w:left w:val="nil"/>
              <w:bottom w:val="nil"/>
              <w:right w:val="nil"/>
            </w:tcBorders>
            <w:shd w:val="clear" w:color="auto" w:fill="auto"/>
            <w:noWrap/>
            <w:vAlign w:val="center"/>
          </w:tcPr>
          <w:p w14:paraId="27B07798"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674" w:type="pct"/>
            <w:tcBorders>
              <w:top w:val="nil"/>
              <w:left w:val="nil"/>
              <w:bottom w:val="nil"/>
              <w:right w:val="nil"/>
            </w:tcBorders>
            <w:shd w:val="clear" w:color="auto" w:fill="auto"/>
            <w:noWrap/>
            <w:vAlign w:val="center"/>
          </w:tcPr>
          <w:p w14:paraId="37E8D371"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0.4</w:t>
            </w:r>
          </w:p>
        </w:tc>
        <w:tc>
          <w:tcPr>
            <w:tcW w:w="674" w:type="pct"/>
            <w:tcBorders>
              <w:top w:val="nil"/>
              <w:left w:val="nil"/>
              <w:bottom w:val="nil"/>
              <w:right w:val="nil"/>
            </w:tcBorders>
            <w:shd w:val="clear" w:color="auto" w:fill="auto"/>
            <w:noWrap/>
            <w:vAlign w:val="center"/>
          </w:tcPr>
          <w:p w14:paraId="7A046BFE"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0.7</w:t>
            </w:r>
          </w:p>
        </w:tc>
        <w:tc>
          <w:tcPr>
            <w:tcW w:w="674" w:type="pct"/>
            <w:tcBorders>
              <w:top w:val="nil"/>
              <w:left w:val="nil"/>
              <w:bottom w:val="nil"/>
              <w:right w:val="nil"/>
            </w:tcBorders>
            <w:shd w:val="clear" w:color="auto" w:fill="auto"/>
            <w:noWrap/>
            <w:vAlign w:val="center"/>
          </w:tcPr>
          <w:p w14:paraId="16AFD63A"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0.5</w:t>
            </w:r>
          </w:p>
        </w:tc>
        <w:tc>
          <w:tcPr>
            <w:tcW w:w="674" w:type="pct"/>
            <w:tcBorders>
              <w:top w:val="nil"/>
              <w:left w:val="nil"/>
              <w:bottom w:val="nil"/>
              <w:right w:val="nil"/>
            </w:tcBorders>
            <w:shd w:val="clear" w:color="auto" w:fill="auto"/>
            <w:noWrap/>
            <w:vAlign w:val="center"/>
          </w:tcPr>
          <w:p w14:paraId="72BA38B9"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0.6</w:t>
            </w:r>
          </w:p>
        </w:tc>
        <w:tc>
          <w:tcPr>
            <w:tcW w:w="674" w:type="pct"/>
            <w:tcBorders>
              <w:top w:val="nil"/>
              <w:left w:val="nil"/>
              <w:bottom w:val="nil"/>
              <w:right w:val="nil"/>
            </w:tcBorders>
            <w:shd w:val="clear" w:color="auto" w:fill="auto"/>
            <w:noWrap/>
            <w:vAlign w:val="center"/>
          </w:tcPr>
          <w:p w14:paraId="6D1F0040"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r>
      <w:tr w:rsidR="00ED32D3" w14:paraId="78424E0E" w14:textId="77777777">
        <w:trPr>
          <w:trHeight w:val="270"/>
        </w:trPr>
        <w:tc>
          <w:tcPr>
            <w:tcW w:w="947" w:type="pct"/>
            <w:tcBorders>
              <w:top w:val="nil"/>
              <w:left w:val="nil"/>
              <w:bottom w:val="nil"/>
              <w:right w:val="nil"/>
            </w:tcBorders>
            <w:shd w:val="clear" w:color="auto" w:fill="auto"/>
            <w:noWrap/>
            <w:vAlign w:val="center"/>
          </w:tcPr>
          <w:p w14:paraId="5873C42B"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woodland</w:t>
            </w:r>
          </w:p>
        </w:tc>
        <w:tc>
          <w:tcPr>
            <w:tcW w:w="683" w:type="pct"/>
            <w:tcBorders>
              <w:top w:val="nil"/>
              <w:left w:val="nil"/>
              <w:bottom w:val="nil"/>
              <w:right w:val="nil"/>
            </w:tcBorders>
            <w:shd w:val="clear" w:color="auto" w:fill="auto"/>
            <w:noWrap/>
            <w:vAlign w:val="center"/>
          </w:tcPr>
          <w:p w14:paraId="6C398FDE"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0.75</w:t>
            </w:r>
          </w:p>
        </w:tc>
        <w:tc>
          <w:tcPr>
            <w:tcW w:w="674" w:type="pct"/>
            <w:tcBorders>
              <w:top w:val="nil"/>
              <w:left w:val="nil"/>
              <w:bottom w:val="nil"/>
              <w:right w:val="nil"/>
            </w:tcBorders>
            <w:shd w:val="clear" w:color="auto" w:fill="auto"/>
            <w:noWrap/>
            <w:vAlign w:val="center"/>
          </w:tcPr>
          <w:p w14:paraId="77512737"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0.5</w:t>
            </w:r>
          </w:p>
        </w:tc>
        <w:tc>
          <w:tcPr>
            <w:tcW w:w="674" w:type="pct"/>
            <w:tcBorders>
              <w:top w:val="nil"/>
              <w:left w:val="nil"/>
              <w:bottom w:val="nil"/>
              <w:right w:val="nil"/>
            </w:tcBorders>
            <w:shd w:val="clear" w:color="auto" w:fill="auto"/>
            <w:noWrap/>
            <w:vAlign w:val="center"/>
          </w:tcPr>
          <w:p w14:paraId="7F5A54A6"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0.8</w:t>
            </w:r>
          </w:p>
        </w:tc>
        <w:tc>
          <w:tcPr>
            <w:tcW w:w="674" w:type="pct"/>
            <w:tcBorders>
              <w:top w:val="nil"/>
              <w:left w:val="nil"/>
              <w:bottom w:val="nil"/>
              <w:right w:val="nil"/>
            </w:tcBorders>
            <w:shd w:val="clear" w:color="auto" w:fill="auto"/>
            <w:noWrap/>
            <w:vAlign w:val="center"/>
          </w:tcPr>
          <w:p w14:paraId="476E6542"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0.8</w:t>
            </w:r>
          </w:p>
        </w:tc>
        <w:tc>
          <w:tcPr>
            <w:tcW w:w="674" w:type="pct"/>
            <w:tcBorders>
              <w:top w:val="nil"/>
              <w:left w:val="nil"/>
              <w:bottom w:val="nil"/>
              <w:right w:val="nil"/>
            </w:tcBorders>
            <w:shd w:val="clear" w:color="auto" w:fill="auto"/>
            <w:noWrap/>
            <w:vAlign w:val="center"/>
          </w:tcPr>
          <w:p w14:paraId="712F5FAD"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0.65</w:t>
            </w:r>
          </w:p>
        </w:tc>
        <w:tc>
          <w:tcPr>
            <w:tcW w:w="674" w:type="pct"/>
            <w:tcBorders>
              <w:top w:val="nil"/>
              <w:left w:val="nil"/>
              <w:bottom w:val="nil"/>
              <w:right w:val="nil"/>
            </w:tcBorders>
            <w:shd w:val="clear" w:color="auto" w:fill="auto"/>
            <w:noWrap/>
            <w:vAlign w:val="center"/>
          </w:tcPr>
          <w:p w14:paraId="417673B9"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r>
      <w:tr w:rsidR="00ED32D3" w14:paraId="0A084680" w14:textId="77777777">
        <w:trPr>
          <w:trHeight w:val="270"/>
        </w:trPr>
        <w:tc>
          <w:tcPr>
            <w:tcW w:w="947" w:type="pct"/>
            <w:tcBorders>
              <w:top w:val="nil"/>
              <w:left w:val="nil"/>
              <w:bottom w:val="nil"/>
              <w:right w:val="nil"/>
            </w:tcBorders>
            <w:shd w:val="clear" w:color="auto" w:fill="auto"/>
            <w:noWrap/>
            <w:vAlign w:val="center"/>
          </w:tcPr>
          <w:p w14:paraId="22B964BA"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shrubland</w:t>
            </w:r>
          </w:p>
        </w:tc>
        <w:tc>
          <w:tcPr>
            <w:tcW w:w="683" w:type="pct"/>
            <w:tcBorders>
              <w:top w:val="nil"/>
              <w:left w:val="nil"/>
              <w:bottom w:val="nil"/>
              <w:right w:val="nil"/>
            </w:tcBorders>
            <w:shd w:val="clear" w:color="auto" w:fill="auto"/>
            <w:noWrap/>
            <w:vAlign w:val="center"/>
          </w:tcPr>
          <w:p w14:paraId="3D59EDF1"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674" w:type="pct"/>
            <w:tcBorders>
              <w:top w:val="nil"/>
              <w:left w:val="nil"/>
              <w:bottom w:val="nil"/>
              <w:right w:val="nil"/>
            </w:tcBorders>
            <w:shd w:val="clear" w:color="auto" w:fill="auto"/>
            <w:noWrap/>
            <w:vAlign w:val="center"/>
          </w:tcPr>
          <w:p w14:paraId="3E09FD22"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0.7</w:t>
            </w:r>
          </w:p>
        </w:tc>
        <w:tc>
          <w:tcPr>
            <w:tcW w:w="674" w:type="pct"/>
            <w:tcBorders>
              <w:top w:val="nil"/>
              <w:left w:val="nil"/>
              <w:bottom w:val="nil"/>
              <w:right w:val="nil"/>
            </w:tcBorders>
            <w:shd w:val="clear" w:color="auto" w:fill="auto"/>
            <w:noWrap/>
            <w:vAlign w:val="center"/>
          </w:tcPr>
          <w:p w14:paraId="2040DF3D"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0.65</w:t>
            </w:r>
          </w:p>
        </w:tc>
        <w:tc>
          <w:tcPr>
            <w:tcW w:w="674" w:type="pct"/>
            <w:tcBorders>
              <w:top w:val="nil"/>
              <w:left w:val="nil"/>
              <w:bottom w:val="nil"/>
              <w:right w:val="nil"/>
            </w:tcBorders>
            <w:shd w:val="clear" w:color="auto" w:fill="auto"/>
            <w:noWrap/>
            <w:vAlign w:val="center"/>
          </w:tcPr>
          <w:p w14:paraId="73C0F17C"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0.7</w:t>
            </w:r>
          </w:p>
        </w:tc>
        <w:tc>
          <w:tcPr>
            <w:tcW w:w="674" w:type="pct"/>
            <w:tcBorders>
              <w:top w:val="nil"/>
              <w:left w:val="nil"/>
              <w:bottom w:val="nil"/>
              <w:right w:val="nil"/>
            </w:tcBorders>
            <w:shd w:val="clear" w:color="auto" w:fill="auto"/>
            <w:noWrap/>
            <w:vAlign w:val="center"/>
          </w:tcPr>
          <w:p w14:paraId="4BFD2971"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0.6</w:t>
            </w:r>
          </w:p>
        </w:tc>
        <w:tc>
          <w:tcPr>
            <w:tcW w:w="674" w:type="pct"/>
            <w:tcBorders>
              <w:top w:val="nil"/>
              <w:left w:val="nil"/>
              <w:bottom w:val="nil"/>
              <w:right w:val="nil"/>
            </w:tcBorders>
            <w:shd w:val="clear" w:color="auto" w:fill="auto"/>
            <w:noWrap/>
            <w:vAlign w:val="center"/>
          </w:tcPr>
          <w:p w14:paraId="4A2BB695"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r>
      <w:tr w:rsidR="00ED32D3" w14:paraId="2A5CAE0B" w14:textId="77777777">
        <w:trPr>
          <w:trHeight w:val="270"/>
        </w:trPr>
        <w:tc>
          <w:tcPr>
            <w:tcW w:w="947" w:type="pct"/>
            <w:tcBorders>
              <w:top w:val="nil"/>
              <w:left w:val="nil"/>
              <w:bottom w:val="nil"/>
              <w:right w:val="nil"/>
            </w:tcBorders>
            <w:shd w:val="clear" w:color="auto" w:fill="auto"/>
            <w:noWrap/>
            <w:vAlign w:val="center"/>
          </w:tcPr>
          <w:p w14:paraId="7A856434"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Sparse forest land</w:t>
            </w:r>
          </w:p>
        </w:tc>
        <w:tc>
          <w:tcPr>
            <w:tcW w:w="683" w:type="pct"/>
            <w:tcBorders>
              <w:top w:val="nil"/>
              <w:left w:val="nil"/>
              <w:bottom w:val="nil"/>
              <w:right w:val="nil"/>
            </w:tcBorders>
            <w:shd w:val="clear" w:color="auto" w:fill="auto"/>
            <w:noWrap/>
            <w:vAlign w:val="center"/>
          </w:tcPr>
          <w:p w14:paraId="6A621892"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674" w:type="pct"/>
            <w:tcBorders>
              <w:top w:val="nil"/>
              <w:left w:val="nil"/>
              <w:bottom w:val="nil"/>
              <w:right w:val="nil"/>
            </w:tcBorders>
            <w:shd w:val="clear" w:color="auto" w:fill="auto"/>
            <w:noWrap/>
            <w:vAlign w:val="center"/>
          </w:tcPr>
          <w:p w14:paraId="505598A4"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674" w:type="pct"/>
            <w:tcBorders>
              <w:top w:val="nil"/>
              <w:left w:val="nil"/>
              <w:bottom w:val="nil"/>
              <w:right w:val="nil"/>
            </w:tcBorders>
            <w:shd w:val="clear" w:color="auto" w:fill="auto"/>
            <w:noWrap/>
            <w:vAlign w:val="center"/>
          </w:tcPr>
          <w:p w14:paraId="7ECDB23A"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0.6</w:t>
            </w:r>
          </w:p>
        </w:tc>
        <w:tc>
          <w:tcPr>
            <w:tcW w:w="674" w:type="pct"/>
            <w:tcBorders>
              <w:top w:val="nil"/>
              <w:left w:val="nil"/>
              <w:bottom w:val="nil"/>
              <w:right w:val="nil"/>
            </w:tcBorders>
            <w:shd w:val="clear" w:color="auto" w:fill="auto"/>
            <w:noWrap/>
            <w:vAlign w:val="center"/>
          </w:tcPr>
          <w:p w14:paraId="343B556E"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0.6</w:t>
            </w:r>
          </w:p>
        </w:tc>
        <w:tc>
          <w:tcPr>
            <w:tcW w:w="674" w:type="pct"/>
            <w:tcBorders>
              <w:top w:val="nil"/>
              <w:left w:val="nil"/>
              <w:bottom w:val="nil"/>
              <w:right w:val="nil"/>
            </w:tcBorders>
            <w:shd w:val="clear" w:color="auto" w:fill="auto"/>
            <w:noWrap/>
            <w:vAlign w:val="center"/>
          </w:tcPr>
          <w:p w14:paraId="63492843"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0.5</w:t>
            </w:r>
          </w:p>
        </w:tc>
        <w:tc>
          <w:tcPr>
            <w:tcW w:w="674" w:type="pct"/>
            <w:tcBorders>
              <w:top w:val="nil"/>
              <w:left w:val="nil"/>
              <w:bottom w:val="nil"/>
              <w:right w:val="nil"/>
            </w:tcBorders>
            <w:shd w:val="clear" w:color="auto" w:fill="auto"/>
            <w:noWrap/>
            <w:vAlign w:val="center"/>
          </w:tcPr>
          <w:p w14:paraId="089A813D"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w:t>
            </w:r>
          </w:p>
        </w:tc>
      </w:tr>
      <w:tr w:rsidR="00ED32D3" w14:paraId="77CFF8AB" w14:textId="77777777">
        <w:trPr>
          <w:trHeight w:val="270"/>
        </w:trPr>
        <w:tc>
          <w:tcPr>
            <w:tcW w:w="947" w:type="pct"/>
            <w:tcBorders>
              <w:top w:val="nil"/>
              <w:left w:val="nil"/>
              <w:bottom w:val="single" w:sz="4" w:space="0" w:color="000000"/>
              <w:right w:val="nil"/>
            </w:tcBorders>
            <w:shd w:val="clear" w:color="auto" w:fill="auto"/>
            <w:noWrap/>
            <w:vAlign w:val="center"/>
          </w:tcPr>
          <w:p w14:paraId="408DAE45"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Other land use</w:t>
            </w:r>
          </w:p>
        </w:tc>
        <w:tc>
          <w:tcPr>
            <w:tcW w:w="683" w:type="pct"/>
            <w:tcBorders>
              <w:top w:val="nil"/>
              <w:left w:val="nil"/>
              <w:bottom w:val="single" w:sz="4" w:space="0" w:color="000000"/>
              <w:right w:val="nil"/>
            </w:tcBorders>
            <w:shd w:val="clear" w:color="auto" w:fill="auto"/>
            <w:noWrap/>
            <w:vAlign w:val="center"/>
          </w:tcPr>
          <w:p w14:paraId="1663517B"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0.3</w:t>
            </w:r>
          </w:p>
        </w:tc>
        <w:tc>
          <w:tcPr>
            <w:tcW w:w="674" w:type="pct"/>
            <w:tcBorders>
              <w:top w:val="nil"/>
              <w:left w:val="nil"/>
              <w:bottom w:val="single" w:sz="4" w:space="0" w:color="000000"/>
              <w:right w:val="nil"/>
            </w:tcBorders>
            <w:shd w:val="clear" w:color="auto" w:fill="auto"/>
            <w:noWrap/>
            <w:vAlign w:val="center"/>
          </w:tcPr>
          <w:p w14:paraId="7B3988F0"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0.1</w:t>
            </w:r>
          </w:p>
        </w:tc>
        <w:tc>
          <w:tcPr>
            <w:tcW w:w="674" w:type="pct"/>
            <w:tcBorders>
              <w:top w:val="nil"/>
              <w:left w:val="nil"/>
              <w:bottom w:val="single" w:sz="4" w:space="0" w:color="000000"/>
              <w:right w:val="nil"/>
            </w:tcBorders>
            <w:shd w:val="clear" w:color="auto" w:fill="auto"/>
            <w:noWrap/>
            <w:vAlign w:val="center"/>
          </w:tcPr>
          <w:p w14:paraId="6947544C"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0.85</w:t>
            </w:r>
          </w:p>
        </w:tc>
        <w:tc>
          <w:tcPr>
            <w:tcW w:w="674" w:type="pct"/>
            <w:tcBorders>
              <w:top w:val="nil"/>
              <w:left w:val="nil"/>
              <w:bottom w:val="single" w:sz="4" w:space="0" w:color="000000"/>
              <w:right w:val="nil"/>
            </w:tcBorders>
            <w:shd w:val="clear" w:color="auto" w:fill="auto"/>
            <w:noWrap/>
            <w:vAlign w:val="center"/>
          </w:tcPr>
          <w:p w14:paraId="7079E436"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0.85</w:t>
            </w:r>
          </w:p>
        </w:tc>
        <w:tc>
          <w:tcPr>
            <w:tcW w:w="674" w:type="pct"/>
            <w:tcBorders>
              <w:top w:val="nil"/>
              <w:left w:val="nil"/>
              <w:bottom w:val="single" w:sz="4" w:space="0" w:color="000000"/>
              <w:right w:val="nil"/>
            </w:tcBorders>
            <w:shd w:val="clear" w:color="auto" w:fill="auto"/>
            <w:noWrap/>
            <w:vAlign w:val="center"/>
          </w:tcPr>
          <w:p w14:paraId="0F34EE72"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0.7</w:t>
            </w:r>
          </w:p>
        </w:tc>
        <w:tc>
          <w:tcPr>
            <w:tcW w:w="674" w:type="pct"/>
            <w:tcBorders>
              <w:top w:val="nil"/>
              <w:left w:val="nil"/>
              <w:bottom w:val="single" w:sz="4" w:space="0" w:color="000000"/>
              <w:right w:val="nil"/>
            </w:tcBorders>
            <w:shd w:val="clear" w:color="auto" w:fill="auto"/>
            <w:noWrap/>
            <w:vAlign w:val="center"/>
          </w:tcPr>
          <w:p w14:paraId="7CAC4495" w14:textId="77777777" w:rsidR="00ED32D3" w:rsidRDefault="00F13C42">
            <w:pPr>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r>
    </w:tbl>
    <w:p w14:paraId="79A3AEB7" w14:textId="77777777" w:rsidR="00ED32D3" w:rsidRDefault="00F13C42">
      <w:pPr>
        <w:spacing w:beforeLines="50" w:before="163" w:afterLines="50" w:after="163" w:line="480" w:lineRule="auto"/>
        <w:jc w:val="both"/>
        <w:outlineLvl w:val="1"/>
        <w:rPr>
          <w:rFonts w:ascii="Times New Roman" w:hAnsi="Times New Roman" w:cs="Times New Roman"/>
          <w:b/>
        </w:rPr>
      </w:pPr>
      <w:r>
        <w:rPr>
          <w:rFonts w:ascii="Times New Roman" w:hAnsi="Times New Roman" w:cs="Times New Roman"/>
          <w:b/>
        </w:rPr>
        <w:t xml:space="preserve">4 Water retention </w:t>
      </w:r>
    </w:p>
    <w:p w14:paraId="17729CB1" w14:textId="6C4297F5" w:rsidR="00ED32D3" w:rsidRDefault="00F13C42">
      <w:pPr>
        <w:spacing w:line="360" w:lineRule="auto"/>
        <w:ind w:firstLineChars="200" w:firstLine="480"/>
        <w:jc w:val="both"/>
        <w:rPr>
          <w:rFonts w:ascii="Times New Roman" w:hAnsi="Times New Roman" w:cs="Times New Roman"/>
        </w:rPr>
      </w:pPr>
      <w:r>
        <w:rPr>
          <w:rFonts w:ascii="Times New Roman" w:hAnsi="Times New Roman" w:cs="Times New Roman"/>
        </w:rPr>
        <w:t xml:space="preserve">The </w:t>
      </w:r>
      <w:r>
        <w:rPr>
          <w:rFonts w:ascii="Times New Roman" w:hAnsi="Times New Roman" w:cs="Times New Roman" w:hint="eastAsia"/>
        </w:rPr>
        <w:t>retention</w:t>
      </w:r>
      <w:r>
        <w:rPr>
          <w:rFonts w:ascii="Times New Roman" w:hAnsi="Times New Roman" w:cs="Times New Roman"/>
        </w:rPr>
        <w:t xml:space="preserve"> of freshwater is a key ES that is assessed in this work by combining water yield and surface runoff</w:t>
      </w:r>
      <w:r w:rsidR="00A26574">
        <w:rPr>
          <w:rFonts w:ascii="Times New Roman" w:hAnsi="Times New Roman" w:cs="Times New Roman" w:hint="eastAsia"/>
        </w:rPr>
        <w:t xml:space="preserve"> </w:t>
      </w:r>
      <w:r w:rsidR="00A26574" w:rsidRPr="00154A3B">
        <w:rPr>
          <w:rFonts w:ascii="Times New Roman" w:hAnsi="Times New Roman" w:cs="Times New Roman"/>
          <w:color w:val="0000FF"/>
        </w:rPr>
        <w:fldChar w:fldCharType="begin"/>
      </w:r>
      <w:r w:rsidR="00373A5C" w:rsidRPr="00154A3B">
        <w:rPr>
          <w:rFonts w:ascii="Times New Roman" w:hAnsi="Times New Roman" w:cs="Times New Roman"/>
          <w:color w:val="0000FF"/>
        </w:rPr>
        <w:instrText xml:space="preserve"> ADDIN ZOTERO_ITEM CSL_CITATION {"citationID":"QQrXu4Vy","properties":{"formattedCitation":"\\super 15,16\\nosupersub{}","plainCitation":"15,16","noteIndex":0},"citationItems":[{"id":309,"uris":["http://zotero.org/users/14180859/items/8XZ3IM88"],"itemData":{"id":309,"type":"article-journal","abstract":"This paper analyzes the spatiotemporal patterns, water yield and water conservation function of different land use types in Poyang Lake Region, China, during 1990–2020 by using national land use, meteorological, soil, DEM data, etc., based on the InVEST model. The results showed that: (1) Cultivated land, forestland and water area were the main land use types in Poyang Lake Region during 1990–2020. Construction land and forestland were increasing, while grassland, unused land, cultivated land and water area were decreasing. (2) The increasing construction land was mainly derived from cultivated land. Mutual transfer existed between cultivated land and forestland, as well as between cultivated land and water area. (3) With a downward–upward–downward fluctuating trend, the average annual water yield of Poyang Lake Region was 16.17 × 109 m³, and the water conservation was 53.11 × 108 m³. The average water conservation capacity was 270.98 mm. The vegetation cover area with high water conservation value was mainly concentrated in the northwest of Jiujiang City and the northeast of Poyang County. (4) The average water conservation of different land use types during 1990–2020 was ranked as follows: water area &gt; cultivated land &gt; forestland &gt; construction land &gt; grassland &gt; unused land. The water conservation capacity was ranked as follows: water area &gt; grassland &gt; forestland &gt; cultivated land &gt; construction land &gt; unused land.","container-title":"Land","DOI":"10.3390/land11122228","ISSN":"2073-445X","issue":"12","title":"Assessing the Water Conservation Function Based on the InVEST Model: Taking Poyang Lake Region as an Example","volume":"11","author":[{"family":"Chen","given":"Qianru"},{"family":"Xu","given":"Xin"},{"family":"Wu","given":"Manyu"},{"family":"Wen","given":"Jiaming"},{"family":"Zou","given":"Jinlang"}],"issued":{"date-parts":[["2022"]]}}},{"id":310,"uris":["http://zotero.org/users/14180859/items/CMM97ZFZ"],"itemData":{"id":310,"type":"article-journal","abstract":"Recent expansion of the scale of human activities poses severe threats to Earth's life-support systems. Increasingly, protected areas (PAs) are expected to serve  dual goals: protect biodiversity and secure ecosystem services. We report a  nationwide assessment for China, quantifying the provision of threatened species  habitat and four key regulating services-water retention, soil retention,  sandstorm prevention, and carbon sequestration-in nature reserves (the primary  category of PAs in China). We find that China's nature reserves serve moderately  well for mammals and birds, but not for other major taxa, nor for these key  regulating ecosystem services. China's nature reserves encompass 15.1% of the  country's land surface. They capture 17.9% and 16.4% of the entire habitat area  for threatened mammals and birds, but only 13.1% for plants, 10.0% for  amphibians, and 8.5% for reptiles. Nature reserves encompass only 10.2-12.5% of  the source areas for the four key regulating services. They are concentrated in  western China, whereas much threatened species' habitat and regulating service  source areas occur in eastern provinces. Our analysis illuminates a strategy for  greatly strengthening PAs, through creating the first comprehensive national park  system of China. This would encompass both nature reserves, in which human  activities are highly restricted, and a new category of PAs for ecosystem  services, in which human activities not impacting key services are permitted.  This could close the gap in a politically feasible way. We also propose a new  category of PAs globally, for sustaining the provision of ecosystems services and  achieving sustainable development goals.","call-number":"1","container-title":"Proceedings of the National Academy of Sciences of the United States of America","DOI":"10.1073/pnas.1620503114","ISSN":"1091-6490 0027-8424","issue":"7","journalAbbreviation":"Proc Natl Acad Sci U S A","language":"eng","note":"publisher-place: United States\nPMID: 28137858 \nPMCID: PMC5321011","page":"1601-1606","source":"12.779","title":"Strengthening protected areas for biodiversity and ecosystem services in China.","volume":"114","author":[{"family":"Xu","given":"Weihua"},{"family":"Xiao","given":"Yi"},{"family":"Zhang","given":"Jingjing"},{"family":"Yang","given":"Wu"},{"family":"Zhang","given":"Lu"},{"family":"Hull","given":"Vanessa"},{"family":"Wang","given":"Zhi"},{"family":"Zheng","given":"Hua"},{"family":"Liu","given":"Jianguo"},{"family":"Polasky","given":"Stephen"},{"family":"Jiang","given":"Ling"},{"family":"Xiao","given":"Yang"},{"family":"Shi","given":"Xuewei"},{"family":"Rao","given":"Enming"},{"family":"Lu","given":"Fei"},{"family":"Wang","given":"Xiaoke"},{"family":"Daily","given":"Gretchen C."},{"family":"Ouyang","given":"Zhiyun"}],"issued":{"date-parts":[["2017",2,14]]}},"label":"page"}],"schema":"https://github.com/citation-style-language/schema/raw/master/csl-citation.json"} </w:instrText>
      </w:r>
      <w:r w:rsidR="00A26574" w:rsidRPr="00154A3B">
        <w:rPr>
          <w:rFonts w:ascii="Times New Roman" w:hAnsi="Times New Roman" w:cs="Times New Roman"/>
          <w:color w:val="0000FF"/>
        </w:rPr>
        <w:fldChar w:fldCharType="separate"/>
      </w:r>
      <w:r w:rsidR="00373A5C" w:rsidRPr="00154A3B">
        <w:rPr>
          <w:rFonts w:ascii="Times New Roman" w:hAnsi="Times New Roman" w:cs="Times New Roman"/>
          <w:color w:val="0000FF"/>
          <w:vertAlign w:val="superscript"/>
        </w:rPr>
        <w:t>15,16</w:t>
      </w:r>
      <w:r w:rsidR="00A26574" w:rsidRPr="00154A3B">
        <w:rPr>
          <w:rFonts w:ascii="Times New Roman" w:hAnsi="Times New Roman" w:cs="Times New Roman"/>
          <w:color w:val="0000FF"/>
        </w:rPr>
        <w:fldChar w:fldCharType="end"/>
      </w:r>
      <w:r>
        <w:rPr>
          <w:rFonts w:ascii="Times New Roman" w:hAnsi="Times New Roman" w:cs="Times New Roman"/>
        </w:rPr>
        <w:t xml:space="preserve">. Specifically, the water </w:t>
      </w:r>
      <w:r>
        <w:rPr>
          <w:rFonts w:ascii="Times New Roman" w:hAnsi="Times New Roman" w:cs="Times New Roman" w:hint="eastAsia"/>
        </w:rPr>
        <w:t>retention</w:t>
      </w:r>
      <w:r>
        <w:rPr>
          <w:rFonts w:ascii="Times New Roman" w:hAnsi="Times New Roman" w:cs="Times New Roman"/>
        </w:rPr>
        <w:t xml:space="preserve"> is obtained by correcting the water yield with topographic index, soil saturation hydraulic conductivity (</w:t>
      </w:r>
      <w:r>
        <w:rPr>
          <w:rFonts w:ascii="Times New Roman" w:hAnsi="Times New Roman" w:cs="Times New Roman"/>
          <w:i/>
          <w:iCs/>
        </w:rPr>
        <w:t>ksat</w:t>
      </w:r>
      <w:r>
        <w:rPr>
          <w:rFonts w:ascii="Times New Roman" w:hAnsi="Times New Roman" w:cs="Times New Roman"/>
        </w:rPr>
        <w:t>), and flow velocity coefficient (</w:t>
      </w:r>
      <w:r>
        <w:rPr>
          <w:rFonts w:ascii="Times New Roman" w:hAnsi="Times New Roman" w:cs="Times New Roman"/>
          <w:i/>
          <w:iCs/>
        </w:rPr>
        <w:t>Velocity</w:t>
      </w:r>
      <w:r>
        <w:rPr>
          <w:rFonts w:ascii="Times New Roman" w:hAnsi="Times New Roman" w:cs="Times New Roman"/>
        </w:rPr>
        <w:t>), which can be expressed by the following equation</w:t>
      </w:r>
      <w:r>
        <w:rPr>
          <w:rFonts w:ascii="Times New Roman" w:hAnsi="Times New Roman" w:cs="Times New Roman" w:hint="eastAsia"/>
        </w:rPr>
        <w:t>:</w:t>
      </w:r>
    </w:p>
    <w:p w14:paraId="22F1EFAB" w14:textId="77777777" w:rsidR="00ED32D3" w:rsidRDefault="00F13C42">
      <w:pPr>
        <w:tabs>
          <w:tab w:val="left" w:pos="9356"/>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5760" w:dyaOrig="720" w14:anchorId="0112FA70">
          <v:shape id="_x0000_i1033" type="#_x0000_t75" style="width:4in;height:36pt" o:ole="">
            <v:imagedata r:id="rId24" o:title=""/>
          </v:shape>
          <o:OLEObject Type="Embed" ProgID="Equation.DSMT4" ShapeID="_x0000_i1033" DrawAspect="Content" ObjectID="_1804494616" r:id="rId25"/>
        </w:object>
      </w:r>
      <w:r>
        <w:rPr>
          <w:rFonts w:ascii="Times New Roman" w:hAnsi="Times New Roman" w:cs="Times New Roman"/>
          <w:position w:val="-28"/>
        </w:rPr>
        <w:tab/>
      </w:r>
      <w:r>
        <w:rPr>
          <w:rFonts w:ascii="Times New Roman" w:hAnsi="Times New Roman" w:cs="Times New Roman" w:hint="eastAsia"/>
          <w:position w:val="-28"/>
        </w:rPr>
        <w:t>(9</w:t>
      </w:r>
      <w:r>
        <w:rPr>
          <w:rFonts w:ascii="Times New Roman" w:hAnsi="Times New Roman" w:cs="Times New Roman"/>
          <w:position w:val="-28"/>
        </w:rPr>
        <w:t>)</w:t>
      </w:r>
    </w:p>
    <w:p w14:paraId="368443E5" w14:textId="77777777" w:rsidR="00ED32D3" w:rsidRDefault="00F13C42" w:rsidP="00A26574">
      <w:pPr>
        <w:spacing w:line="360" w:lineRule="auto"/>
        <w:ind w:firstLineChars="200" w:firstLine="480"/>
        <w:jc w:val="both"/>
        <w:rPr>
          <w:rFonts w:ascii="Times New Roman" w:hAnsi="Times New Roman" w:cs="Times New Roman"/>
        </w:rPr>
      </w:pPr>
      <w:r>
        <w:rPr>
          <w:rFonts w:ascii="Times New Roman" w:hAnsi="Times New Roman" w:cs="Times New Roman"/>
        </w:rPr>
        <w:t xml:space="preserve">Where </w:t>
      </w:r>
      <w:r>
        <w:rPr>
          <w:rFonts w:ascii="Times New Roman" w:hAnsi="Times New Roman" w:cs="Times New Roman"/>
          <w:i/>
          <w:iCs/>
        </w:rPr>
        <w:t xml:space="preserve">WR </w:t>
      </w:r>
      <w:r>
        <w:rPr>
          <w:rFonts w:ascii="Times New Roman" w:hAnsi="Times New Roman" w:cs="Times New Roman"/>
        </w:rPr>
        <w:t>is the w</w:t>
      </w:r>
      <w:r>
        <w:rPr>
          <w:rFonts w:ascii="Times New Roman" w:hAnsi="Times New Roman" w:cs="Times New Roman" w:hint="eastAsia"/>
        </w:rPr>
        <w:t>a</w:t>
      </w:r>
      <w:r>
        <w:rPr>
          <w:rFonts w:ascii="Times New Roman" w:hAnsi="Times New Roman" w:cs="Times New Roman"/>
        </w:rPr>
        <w:t>ter retention (mm)</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hint="eastAsia"/>
          <w:i/>
          <w:iCs/>
        </w:rPr>
        <w:t>ksat</w:t>
      </w:r>
      <w:r>
        <w:rPr>
          <w:rFonts w:ascii="Times New Roman" w:hAnsi="Times New Roman" w:cs="Times New Roman" w:hint="eastAsia"/>
        </w:rPr>
        <w:t xml:space="preserve"> is</w:t>
      </w:r>
      <w:r>
        <w:rPr>
          <w:rFonts w:ascii="Times New Roman" w:hAnsi="Times New Roman" w:cs="Times New Roman"/>
        </w:rPr>
        <w:t xml:space="preserve"> the soil saturation hydraulic conductivity (mm/d)</w:t>
      </w:r>
      <w:r>
        <w:t xml:space="preserve"> </w:t>
      </w:r>
      <w:r>
        <w:rPr>
          <w:rFonts w:ascii="Times New Roman" w:hAnsi="Times New Roman" w:cs="Times New Roman"/>
        </w:rPr>
        <w:t>and is calculated using NeuroTheta software</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hint="eastAsia"/>
          <w:i/>
          <w:iCs/>
        </w:rPr>
        <w:t>Velocity</w:t>
      </w:r>
      <w:r>
        <w:rPr>
          <w:rFonts w:ascii="Times New Roman" w:hAnsi="Times New Roman" w:cs="Times New Roman" w:hint="eastAsia"/>
        </w:rPr>
        <w:t xml:space="preserve"> is</w:t>
      </w:r>
      <w:r>
        <w:rPr>
          <w:rFonts w:ascii="Times New Roman" w:hAnsi="Times New Roman" w:cs="Times New Roman"/>
        </w:rPr>
        <w:t xml:space="preserve"> the flow velocity coefficient</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hint="eastAsia"/>
          <w:i/>
          <w:iCs/>
        </w:rPr>
        <w:t>TI</w:t>
      </w:r>
      <w:r>
        <w:rPr>
          <w:rFonts w:ascii="Times New Roman" w:hAnsi="Times New Roman" w:cs="Times New Roman" w:hint="eastAsia"/>
        </w:rPr>
        <w:t xml:space="preserve"> is</w:t>
      </w:r>
      <w:r>
        <w:rPr>
          <w:rFonts w:ascii="Times New Roman" w:hAnsi="Times New Roman" w:cs="Times New Roman"/>
        </w:rPr>
        <w:t xml:space="preserve"> the topographic index</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i/>
          <w:iCs/>
        </w:rPr>
        <w:t>Yield</w:t>
      </w:r>
      <w:r>
        <w:rPr>
          <w:rFonts w:ascii="Times New Roman" w:hAnsi="Times New Roman" w:cs="Times New Roman" w:hint="eastAsia"/>
        </w:rPr>
        <w:t xml:space="preserve"> </w:t>
      </w:r>
      <w:r>
        <w:rPr>
          <w:rFonts w:ascii="Times New Roman" w:hAnsi="Times New Roman" w:cs="Times New Roman"/>
        </w:rPr>
        <w:t>is the water yield (mm)</w:t>
      </w:r>
      <w:r>
        <w:rPr>
          <w:rFonts w:ascii="Times New Roman" w:hAnsi="Times New Roman" w:cs="Times New Roman" w:hint="eastAsia"/>
        </w:rPr>
        <w:t>.</w:t>
      </w:r>
      <w:r>
        <w:rPr>
          <w:rFonts w:ascii="Times New Roman" w:hAnsi="Times New Roman" w:cs="Times New Roman"/>
        </w:rPr>
        <w:t xml:space="preserve"> The calculation of each main index is as follows:</w:t>
      </w:r>
    </w:p>
    <w:p w14:paraId="0B2D7AB1" w14:textId="77777777" w:rsidR="00ED32D3" w:rsidRDefault="00F13C42">
      <w:pPr>
        <w:spacing w:line="360" w:lineRule="auto"/>
        <w:ind w:firstLineChars="200" w:firstLine="482"/>
        <w:jc w:val="both"/>
        <w:rPr>
          <w:rFonts w:ascii="Times New Roman" w:hAnsi="Times New Roman" w:cs="Times New Roman"/>
          <w:b/>
          <w:bCs/>
        </w:rPr>
      </w:pPr>
      <w:r>
        <w:rPr>
          <w:rFonts w:ascii="Times New Roman" w:hAnsi="Times New Roman" w:cs="Times New Roman" w:hint="eastAsia"/>
          <w:b/>
          <w:bCs/>
        </w:rPr>
        <w:t>(</w:t>
      </w:r>
      <w:r>
        <w:rPr>
          <w:rFonts w:ascii="Times New Roman" w:hAnsi="Times New Roman" w:cs="Times New Roman"/>
          <w:b/>
          <w:bCs/>
        </w:rPr>
        <w:t>1) Topographic index</w:t>
      </w:r>
      <w:r>
        <w:rPr>
          <w:rFonts w:ascii="Times New Roman" w:hAnsi="Times New Roman" w:cs="Times New Roman" w:hint="eastAsia"/>
          <w:b/>
          <w:bCs/>
        </w:rPr>
        <w:t xml:space="preserve"> </w:t>
      </w:r>
      <w:r>
        <w:rPr>
          <w:rFonts w:ascii="Times New Roman" w:hAnsi="Times New Roman" w:cs="Times New Roman"/>
          <w:b/>
          <w:bCs/>
        </w:rPr>
        <w:t>(</w:t>
      </w:r>
      <w:r>
        <w:rPr>
          <w:rFonts w:ascii="Times New Roman" w:hAnsi="Times New Roman" w:cs="Times New Roman"/>
          <w:b/>
          <w:bCs/>
          <w:i/>
          <w:iCs/>
        </w:rPr>
        <w:t>TI</w:t>
      </w:r>
      <w:r>
        <w:rPr>
          <w:rFonts w:ascii="Times New Roman" w:hAnsi="Times New Roman" w:cs="Times New Roman" w:hint="eastAsia"/>
          <w:b/>
          <w:bCs/>
        </w:rPr>
        <w:t>)</w:t>
      </w:r>
      <w:r>
        <w:rPr>
          <w:rFonts w:ascii="Times New Roman" w:hAnsi="Times New Roman" w:cs="Times New Roman"/>
          <w:b/>
          <w:bCs/>
        </w:rPr>
        <w:t>:</w:t>
      </w:r>
    </w:p>
    <w:p w14:paraId="6AC88B40" w14:textId="77777777" w:rsidR="00ED32D3" w:rsidRDefault="00F13C42">
      <w:pPr>
        <w:tabs>
          <w:tab w:val="left" w:pos="9356"/>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2880" w:dyaOrig="720" w14:anchorId="501E5A60">
          <v:shape id="_x0000_i1034" type="#_x0000_t75" style="width:2in;height:36pt" o:ole="">
            <v:imagedata r:id="rId26" o:title=""/>
          </v:shape>
          <o:OLEObject Type="Embed" ProgID="Equation.DSMT4" ShapeID="_x0000_i1034" DrawAspect="Content" ObjectID="_1804494617" r:id="rId27"/>
        </w:object>
      </w:r>
      <w:r>
        <w:rPr>
          <w:rFonts w:ascii="Times New Roman" w:hAnsi="Times New Roman" w:cs="Times New Roman"/>
          <w:position w:val="-28"/>
        </w:rPr>
        <w:tab/>
      </w:r>
      <w:r>
        <w:rPr>
          <w:rFonts w:ascii="Times New Roman" w:hAnsi="Times New Roman" w:cs="Times New Roman" w:hint="eastAsia"/>
          <w:position w:val="-28"/>
        </w:rPr>
        <w:t>(10</w:t>
      </w:r>
      <w:r>
        <w:rPr>
          <w:rFonts w:ascii="Times New Roman" w:hAnsi="Times New Roman" w:cs="Times New Roman"/>
          <w:position w:val="-28"/>
        </w:rPr>
        <w:t>)</w:t>
      </w:r>
    </w:p>
    <w:p w14:paraId="2A9303DF" w14:textId="77777777" w:rsidR="00ED32D3" w:rsidRDefault="00F13C42" w:rsidP="00A26574">
      <w:pPr>
        <w:spacing w:line="360" w:lineRule="auto"/>
        <w:ind w:firstLineChars="200" w:firstLine="480"/>
        <w:jc w:val="both"/>
        <w:rPr>
          <w:rFonts w:ascii="Times New Roman" w:hAnsi="Times New Roman" w:cs="Times New Roman"/>
        </w:rPr>
      </w:pPr>
      <w:r>
        <w:rPr>
          <w:rFonts w:ascii="Times New Roman" w:hAnsi="Times New Roman" w:cs="Times New Roman"/>
        </w:rPr>
        <w:t xml:space="preserve">Where </w:t>
      </w:r>
      <w:r>
        <w:rPr>
          <w:rFonts w:ascii="Times New Roman" w:hAnsi="Times New Roman" w:cs="Times New Roman" w:hint="eastAsia"/>
          <w:i/>
          <w:iCs/>
        </w:rPr>
        <w:t>Drainage</w:t>
      </w:r>
      <w:r>
        <w:rPr>
          <w:rFonts w:ascii="Times New Roman" w:hAnsi="Times New Roman" w:cs="Times New Roman"/>
          <w:i/>
          <w:iCs/>
        </w:rPr>
        <w:t>_Area</w:t>
      </w:r>
      <w:r>
        <w:rPr>
          <w:rFonts w:ascii="Times New Roman" w:hAnsi="Times New Roman" w:cs="Times New Roman" w:hint="eastAsia"/>
        </w:rPr>
        <w:t xml:space="preserve"> is</w:t>
      </w:r>
      <w:r>
        <w:rPr>
          <w:rFonts w:ascii="Times New Roman" w:hAnsi="Times New Roman" w:cs="Times New Roman"/>
        </w:rPr>
        <w:t xml:space="preserve"> the number of pixels in the catchment; </w:t>
      </w:r>
      <w:r>
        <w:rPr>
          <w:rFonts w:ascii="Times New Roman" w:hAnsi="Times New Roman" w:cs="Times New Roman" w:hint="eastAsia"/>
          <w:i/>
          <w:iCs/>
        </w:rPr>
        <w:t>S</w:t>
      </w:r>
      <w:r>
        <w:rPr>
          <w:rFonts w:ascii="Times New Roman" w:hAnsi="Times New Roman" w:cs="Times New Roman"/>
          <w:i/>
          <w:iCs/>
        </w:rPr>
        <w:t>oil_depth</w:t>
      </w:r>
      <w:r>
        <w:rPr>
          <w:rFonts w:ascii="Times New Roman" w:hAnsi="Times New Roman" w:cs="Times New Roman" w:hint="eastAsia"/>
        </w:rPr>
        <w:t xml:space="preserve"> </w:t>
      </w:r>
      <w:r>
        <w:rPr>
          <w:rFonts w:ascii="Times New Roman" w:hAnsi="Times New Roman" w:cs="Times New Roman"/>
        </w:rPr>
        <w:t>is the soil depth (mm)</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i/>
          <w:iCs/>
        </w:rPr>
        <w:t>Slope</w:t>
      </w:r>
      <w:r>
        <w:rPr>
          <w:rFonts w:ascii="Times New Roman" w:hAnsi="Times New Roman" w:cs="Times New Roman"/>
        </w:rPr>
        <w:t xml:space="preserve"> </w:t>
      </w:r>
      <w:r>
        <w:rPr>
          <w:rFonts w:ascii="Times New Roman" w:hAnsi="Times New Roman" w:cs="Times New Roman" w:hint="eastAsia"/>
        </w:rPr>
        <w:t>is</w:t>
      </w:r>
      <w:r>
        <w:rPr>
          <w:rFonts w:ascii="Times New Roman" w:hAnsi="Times New Roman" w:cs="Times New Roman"/>
        </w:rPr>
        <w:t xml:space="preserve"> the </w:t>
      </w:r>
      <w:r>
        <w:rPr>
          <w:rFonts w:ascii="Times New Roman" w:hAnsi="Times New Roman" w:cs="Times New Roman" w:hint="eastAsia"/>
        </w:rPr>
        <w:t>s</w:t>
      </w:r>
      <w:r>
        <w:rPr>
          <w:rFonts w:ascii="Times New Roman" w:hAnsi="Times New Roman" w:cs="Times New Roman"/>
        </w:rPr>
        <w:t>lope ratio</w:t>
      </w:r>
      <w:r>
        <w:rPr>
          <w:rFonts w:ascii="Times New Roman" w:hAnsi="Times New Roman" w:cs="Times New Roman" w:hint="eastAsia"/>
        </w:rPr>
        <w:t>.</w:t>
      </w:r>
    </w:p>
    <w:p w14:paraId="650851F5" w14:textId="77777777" w:rsidR="00ED32D3" w:rsidRDefault="00F13C42">
      <w:pPr>
        <w:spacing w:line="360" w:lineRule="auto"/>
        <w:ind w:firstLineChars="200" w:firstLine="482"/>
        <w:jc w:val="both"/>
        <w:rPr>
          <w:rFonts w:ascii="Times New Roman" w:hAnsi="Times New Roman" w:cs="Times New Roman"/>
          <w:b/>
          <w:bCs/>
        </w:rPr>
      </w:pPr>
      <w:r>
        <w:rPr>
          <w:rFonts w:ascii="Times New Roman" w:hAnsi="Times New Roman" w:cs="Times New Roman" w:hint="eastAsia"/>
          <w:b/>
          <w:bCs/>
        </w:rPr>
        <w:t>(</w:t>
      </w:r>
      <w:r>
        <w:rPr>
          <w:rFonts w:ascii="Times New Roman" w:hAnsi="Times New Roman" w:cs="Times New Roman"/>
          <w:b/>
          <w:bCs/>
        </w:rPr>
        <w:t xml:space="preserve">2) Water yield </w:t>
      </w:r>
      <w:r>
        <w:rPr>
          <w:rFonts w:ascii="Times New Roman" w:hAnsi="Times New Roman" w:cs="Times New Roman" w:hint="eastAsia"/>
          <w:b/>
          <w:bCs/>
        </w:rPr>
        <w:t>(</w:t>
      </w:r>
      <w:r>
        <w:rPr>
          <w:rFonts w:ascii="Times New Roman" w:hAnsi="Times New Roman" w:cs="Times New Roman"/>
          <w:b/>
          <w:bCs/>
          <w:i/>
          <w:iCs/>
        </w:rPr>
        <w:t>Yield</w:t>
      </w:r>
      <w:r>
        <w:rPr>
          <w:rFonts w:ascii="Times New Roman" w:hAnsi="Times New Roman" w:cs="Times New Roman" w:hint="eastAsia"/>
          <w:b/>
          <w:bCs/>
        </w:rPr>
        <w:t>)</w:t>
      </w:r>
      <w:r>
        <w:rPr>
          <w:rFonts w:ascii="Times New Roman" w:hAnsi="Times New Roman" w:cs="Times New Roman"/>
          <w:b/>
          <w:bCs/>
        </w:rPr>
        <w:t>：</w:t>
      </w:r>
    </w:p>
    <w:p w14:paraId="0B3D1CF1" w14:textId="77777777" w:rsidR="00ED32D3" w:rsidRDefault="00F13C42">
      <w:pPr>
        <w:tabs>
          <w:tab w:val="left" w:pos="9356"/>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2720" w:dyaOrig="720" w14:anchorId="377DFDDA">
          <v:shape id="_x0000_i1035" type="#_x0000_t75" style="width:135.6pt;height:36pt" o:ole="">
            <v:imagedata r:id="rId28" o:title=""/>
          </v:shape>
          <o:OLEObject Type="Embed" ProgID="Equation.DSMT4" ShapeID="_x0000_i1035" DrawAspect="Content" ObjectID="_1804494618" r:id="rId29"/>
        </w:object>
      </w:r>
      <w:r>
        <w:rPr>
          <w:rFonts w:ascii="Times New Roman" w:hAnsi="Times New Roman" w:cs="Times New Roman"/>
          <w:position w:val="-28"/>
        </w:rPr>
        <w:tab/>
      </w:r>
      <w:r>
        <w:rPr>
          <w:rFonts w:ascii="Times New Roman" w:hAnsi="Times New Roman" w:cs="Times New Roman" w:hint="eastAsia"/>
          <w:position w:val="-28"/>
        </w:rPr>
        <w:t>(</w:t>
      </w:r>
      <w:r>
        <w:rPr>
          <w:rFonts w:ascii="Times New Roman" w:hAnsi="Times New Roman" w:cs="Times New Roman"/>
          <w:position w:val="-28"/>
        </w:rPr>
        <w:t>1</w:t>
      </w:r>
      <w:r>
        <w:rPr>
          <w:rFonts w:ascii="Times New Roman" w:hAnsi="Times New Roman" w:cs="Times New Roman" w:hint="eastAsia"/>
          <w:position w:val="-28"/>
        </w:rPr>
        <w:t>1</w:t>
      </w:r>
      <w:r>
        <w:rPr>
          <w:rFonts w:ascii="Times New Roman" w:hAnsi="Times New Roman" w:cs="Times New Roman"/>
          <w:position w:val="-28"/>
        </w:rPr>
        <w:t>)</w:t>
      </w:r>
    </w:p>
    <w:p w14:paraId="428C0378" w14:textId="77777777" w:rsidR="00ED32D3" w:rsidRDefault="00F13C42" w:rsidP="00A26574">
      <w:pPr>
        <w:spacing w:line="360" w:lineRule="auto"/>
        <w:ind w:firstLineChars="200" w:firstLine="480"/>
        <w:jc w:val="both"/>
        <w:rPr>
          <w:rFonts w:ascii="Times New Roman" w:hAnsi="Times New Roman" w:cs="Times New Roman"/>
        </w:rPr>
      </w:pPr>
      <w:r>
        <w:rPr>
          <w:rFonts w:ascii="Times New Roman" w:hAnsi="Times New Roman" w:cs="Times New Roman"/>
        </w:rPr>
        <w:t xml:space="preserve">Where </w:t>
      </w:r>
      <w:r>
        <w:rPr>
          <w:rFonts w:ascii="Times New Roman" w:hAnsi="Times New Roman" w:cs="Times New Roman"/>
          <w:i/>
          <w:iCs/>
        </w:rPr>
        <w:t>Y</w:t>
      </w:r>
      <w:r>
        <w:rPr>
          <w:rFonts w:ascii="Times New Roman" w:hAnsi="Times New Roman" w:cs="Times New Roman"/>
          <w:i/>
          <w:iCs/>
          <w:vertAlign w:val="subscript"/>
        </w:rPr>
        <w:t>j</w:t>
      </w:r>
      <w:r>
        <w:rPr>
          <w:rFonts w:ascii="Times New Roman" w:hAnsi="Times New Roman" w:cs="Times New Roman" w:hint="eastAsia"/>
        </w:rPr>
        <w:t>(</w:t>
      </w:r>
      <w:r>
        <w:rPr>
          <w:rFonts w:ascii="Times New Roman" w:hAnsi="Times New Roman" w:cs="Times New Roman"/>
          <w:i/>
          <w:iCs/>
        </w:rPr>
        <w:t>X</w:t>
      </w:r>
      <w:r>
        <w:rPr>
          <w:rFonts w:ascii="Times New Roman" w:hAnsi="Times New Roman" w:cs="Times New Roman"/>
        </w:rPr>
        <w:t xml:space="preserve">) is the annual water yield </w:t>
      </w:r>
      <w:r>
        <w:rPr>
          <w:rFonts w:ascii="Times New Roman" w:hAnsi="Times New Roman" w:cs="Times New Roman" w:hint="eastAsia"/>
        </w:rPr>
        <w:t>(</w:t>
      </w:r>
      <w:r>
        <w:rPr>
          <w:rFonts w:ascii="Times New Roman" w:hAnsi="Times New Roman" w:cs="Times New Roman"/>
        </w:rPr>
        <w:t>mm</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i/>
          <w:iCs/>
        </w:rPr>
        <w:t>P</w:t>
      </w:r>
      <w:r>
        <w:rPr>
          <w:rFonts w:ascii="Times New Roman" w:hAnsi="Times New Roman" w:cs="Times New Roman"/>
        </w:rPr>
        <w:t>(</w:t>
      </w:r>
      <w:r>
        <w:rPr>
          <w:rFonts w:ascii="Times New Roman" w:hAnsi="Times New Roman" w:cs="Times New Roman"/>
          <w:i/>
          <w:iCs/>
        </w:rPr>
        <w:t>x</w:t>
      </w:r>
      <w:r>
        <w:rPr>
          <w:rFonts w:ascii="Times New Roman" w:hAnsi="Times New Roman" w:cs="Times New Roman"/>
        </w:rPr>
        <w:t>)</w:t>
      </w:r>
      <w:r>
        <w:t xml:space="preserve"> </w:t>
      </w:r>
      <w:r>
        <w:rPr>
          <w:rFonts w:ascii="Times New Roman" w:hAnsi="Times New Roman" w:cs="Times New Roman"/>
        </w:rPr>
        <w:t>is the average annual precipitation</w:t>
      </w:r>
      <w:r>
        <w:rPr>
          <w:rFonts w:ascii="Times New Roman" w:hAnsi="Times New Roman" w:cs="Times New Roman" w:hint="eastAsia"/>
        </w:rPr>
        <w:t xml:space="preserve"> (</w:t>
      </w:r>
      <w:r>
        <w:rPr>
          <w:rFonts w:ascii="Times New Roman" w:hAnsi="Times New Roman" w:cs="Times New Roman"/>
        </w:rPr>
        <w:t>mm</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hint="eastAsia"/>
          <w:i/>
          <w:iCs/>
        </w:rPr>
        <w:t>A</w:t>
      </w:r>
      <w:r>
        <w:rPr>
          <w:rFonts w:ascii="Times New Roman" w:hAnsi="Times New Roman" w:cs="Times New Roman"/>
          <w:i/>
          <w:iCs/>
        </w:rPr>
        <w:t>ET</w:t>
      </w:r>
      <w:r>
        <w:rPr>
          <w:rFonts w:ascii="Times New Roman" w:hAnsi="Times New Roman" w:cs="Times New Roman"/>
          <w:i/>
          <w:iCs/>
          <w:vertAlign w:val="subscript"/>
        </w:rPr>
        <w:t>j</w:t>
      </w:r>
      <w:r>
        <w:rPr>
          <w:rFonts w:ascii="Times New Roman" w:hAnsi="Times New Roman" w:cs="Times New Roman"/>
        </w:rPr>
        <w:t>(</w:t>
      </w:r>
      <w:r>
        <w:rPr>
          <w:rFonts w:ascii="Times New Roman" w:hAnsi="Times New Roman" w:cs="Times New Roman"/>
          <w:i/>
          <w:iCs/>
        </w:rPr>
        <w:t>X</w:t>
      </w:r>
      <w:r>
        <w:rPr>
          <w:rFonts w:ascii="Times New Roman" w:hAnsi="Times New Roman" w:cs="Times New Roman"/>
        </w:rPr>
        <w:t>)</w:t>
      </w:r>
      <w:r>
        <w:t xml:space="preserve"> </w:t>
      </w:r>
      <w:r>
        <w:rPr>
          <w:rFonts w:ascii="Times New Roman" w:hAnsi="Times New Roman" w:cs="Times New Roman"/>
        </w:rPr>
        <w:t xml:space="preserve">a is the average annual evapotranspiration (mm) on LULC type </w:t>
      </w:r>
      <w:r>
        <w:rPr>
          <w:rFonts w:ascii="Times New Roman" w:hAnsi="Times New Roman" w:cs="Times New Roman"/>
          <w:i/>
          <w:iCs/>
        </w:rPr>
        <w:t>j</w:t>
      </w:r>
      <w:r>
        <w:rPr>
          <w:rFonts w:ascii="Times New Roman" w:hAnsi="Times New Roman" w:cs="Times New Roman"/>
        </w:rPr>
        <w:t xml:space="preserve">, which is calculated from the following equation: </w:t>
      </w:r>
    </w:p>
    <w:p w14:paraId="106DFC19" w14:textId="77777777" w:rsidR="00ED32D3" w:rsidRDefault="00F13C42">
      <w:pPr>
        <w:tabs>
          <w:tab w:val="left" w:pos="9356"/>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3720" w:dyaOrig="720" w14:anchorId="7780657D">
          <v:shape id="_x0000_i1036" type="#_x0000_t75" style="width:186pt;height:36pt" o:ole="">
            <v:imagedata r:id="rId30" o:title=""/>
          </v:shape>
          <o:OLEObject Type="Embed" ProgID="Equation.DSMT4" ShapeID="_x0000_i1036" DrawAspect="Content" ObjectID="_1804494619" r:id="rId31"/>
        </w:object>
      </w:r>
      <w:r>
        <w:rPr>
          <w:rFonts w:ascii="Times New Roman" w:hAnsi="Times New Roman" w:cs="Times New Roman"/>
          <w:position w:val="-28"/>
        </w:rPr>
        <w:tab/>
      </w:r>
      <w:r>
        <w:rPr>
          <w:rFonts w:ascii="Times New Roman" w:hAnsi="Times New Roman" w:cs="Times New Roman" w:hint="eastAsia"/>
          <w:position w:val="-28"/>
        </w:rPr>
        <w:t>(</w:t>
      </w:r>
      <w:r>
        <w:rPr>
          <w:rFonts w:ascii="Times New Roman" w:hAnsi="Times New Roman" w:cs="Times New Roman"/>
          <w:position w:val="-28"/>
        </w:rPr>
        <w:t>1</w:t>
      </w:r>
      <w:r>
        <w:rPr>
          <w:rFonts w:ascii="Times New Roman" w:hAnsi="Times New Roman" w:cs="Times New Roman" w:hint="eastAsia"/>
          <w:position w:val="-28"/>
        </w:rPr>
        <w:t>2</w:t>
      </w:r>
      <w:r>
        <w:rPr>
          <w:rFonts w:ascii="Times New Roman" w:hAnsi="Times New Roman" w:cs="Times New Roman"/>
          <w:position w:val="-28"/>
        </w:rPr>
        <w:t>)</w:t>
      </w:r>
    </w:p>
    <w:p w14:paraId="666CF4F7" w14:textId="77777777" w:rsidR="00ED32D3" w:rsidRDefault="00F13C42" w:rsidP="00A26574">
      <w:pPr>
        <w:spacing w:line="360" w:lineRule="auto"/>
        <w:ind w:firstLineChars="200" w:firstLine="480"/>
        <w:jc w:val="both"/>
        <w:rPr>
          <w:rFonts w:ascii="Times New Roman" w:hAnsi="Times New Roman" w:cs="Times New Roman"/>
        </w:rPr>
      </w:pPr>
      <w:r>
        <w:rPr>
          <w:rFonts w:ascii="Times New Roman" w:hAnsi="Times New Roman" w:cs="Times New Roman"/>
        </w:rPr>
        <w:t xml:space="preserve">Where </w:t>
      </w:r>
      <w:r>
        <w:rPr>
          <w:rFonts w:ascii="Times New Roman" w:hAnsi="Times New Roman" w:cs="Times New Roman" w:hint="eastAsia"/>
          <w:i/>
          <w:iCs/>
        </w:rPr>
        <w:t>R</w:t>
      </w:r>
      <w:r>
        <w:rPr>
          <w:rFonts w:ascii="Times New Roman" w:hAnsi="Times New Roman" w:cs="Times New Roman" w:hint="eastAsia"/>
          <w:i/>
          <w:iCs/>
          <w:vertAlign w:val="subscript"/>
        </w:rPr>
        <w:t>j</w:t>
      </w:r>
      <w:r>
        <w:rPr>
          <w:rFonts w:ascii="Times New Roman" w:hAnsi="Times New Roman" w:cs="Times New Roman"/>
        </w:rPr>
        <w:t>(</w:t>
      </w:r>
      <w:r>
        <w:rPr>
          <w:rFonts w:ascii="Times New Roman" w:hAnsi="Times New Roman" w:cs="Times New Roman"/>
          <w:i/>
          <w:iCs/>
        </w:rPr>
        <w:t>x</w:t>
      </w:r>
      <w:r>
        <w:rPr>
          <w:rFonts w:ascii="Times New Roman" w:hAnsi="Times New Roman" w:cs="Times New Roman"/>
        </w:rPr>
        <w:t>)</w:t>
      </w:r>
      <w:r>
        <w:t xml:space="preserve"> </w:t>
      </w:r>
      <w:r>
        <w:rPr>
          <w:rFonts w:ascii="Times New Roman" w:hAnsi="Times New Roman" w:cs="Times New Roman"/>
        </w:rPr>
        <w:t xml:space="preserve">is the dryness index of LULC type </w:t>
      </w:r>
      <w:r>
        <w:rPr>
          <w:rFonts w:ascii="Times New Roman" w:hAnsi="Times New Roman" w:cs="Times New Roman"/>
          <w:i/>
          <w:iCs/>
        </w:rPr>
        <w:t>j</w:t>
      </w:r>
      <w:r>
        <w:rPr>
          <w:rFonts w:ascii="Times New Roman" w:hAnsi="Times New Roman" w:cs="Times New Roman"/>
        </w:rPr>
        <w:t xml:space="preserve"> on raster pixel </w:t>
      </w:r>
      <w:r>
        <w:rPr>
          <w:rFonts w:ascii="Times New Roman" w:hAnsi="Times New Roman" w:cs="Times New Roman"/>
          <w:i/>
          <w:iCs/>
        </w:rPr>
        <w:t>x</w:t>
      </w:r>
      <w:r>
        <w:rPr>
          <w:rFonts w:ascii="Times New Roman" w:hAnsi="Times New Roman" w:cs="Times New Roman"/>
        </w:rPr>
        <w:t xml:space="preserve"> and represents the ratio of potential evapotranspiration to precipitation;</w:t>
      </w:r>
      <w:r>
        <w:rPr>
          <w:rFonts w:ascii="Times New Roman" w:hAnsi="Times New Roman" w:cs="Times New Roman" w:hint="eastAsia"/>
        </w:rPr>
        <w:t xml:space="preserve"> </w:t>
      </w:r>
      <w:r>
        <w:rPr>
          <w:rFonts w:ascii="Times New Roman" w:hAnsi="Times New Roman" w:cs="Times New Roman"/>
          <w:i/>
          <w:iCs/>
          <w:color w:val="333333"/>
          <w:shd w:val="clear" w:color="auto" w:fill="FFFFFF"/>
        </w:rPr>
        <w:t>ω</w:t>
      </w:r>
      <w:r>
        <w:rPr>
          <w:rFonts w:ascii="Times New Roman" w:hAnsi="Times New Roman" w:cs="Times New Roman"/>
          <w:i/>
          <w:iCs/>
          <w:color w:val="333333"/>
          <w:shd w:val="clear" w:color="auto" w:fill="FFFFFF"/>
          <w:vertAlign w:val="subscript"/>
        </w:rPr>
        <w:t>j</w:t>
      </w:r>
      <w:r>
        <w:rPr>
          <w:rFonts w:ascii="Times New Roman" w:hAnsi="Times New Roman" w:cs="Times New Roman"/>
        </w:rPr>
        <w:t>(</w:t>
      </w:r>
      <w:r>
        <w:rPr>
          <w:rFonts w:ascii="Times New Roman" w:hAnsi="Times New Roman" w:cs="Times New Roman"/>
          <w:i/>
          <w:iCs/>
        </w:rPr>
        <w:t>x</w:t>
      </w:r>
      <w:r>
        <w:rPr>
          <w:rFonts w:ascii="Times New Roman" w:hAnsi="Times New Roman" w:cs="Times New Roman"/>
        </w:rPr>
        <w:t>)</w:t>
      </w:r>
      <w:r>
        <w:t xml:space="preserve"> </w:t>
      </w:r>
      <w:r>
        <w:rPr>
          <w:rFonts w:ascii="Times New Roman" w:hAnsi="Times New Roman" w:cs="Times New Roman"/>
        </w:rPr>
        <w:t>is the ratio of corrected annual available water for vegetation to precipitation. They are calculated as follows</w:t>
      </w:r>
      <w:r>
        <w:rPr>
          <w:rFonts w:ascii="Times New Roman" w:hAnsi="Times New Roman" w:cs="Times New Roman" w:hint="eastAsia"/>
        </w:rPr>
        <w:t>:</w:t>
      </w:r>
    </w:p>
    <w:p w14:paraId="7CFE962C" w14:textId="77777777" w:rsidR="00ED32D3" w:rsidRDefault="00F13C42">
      <w:pPr>
        <w:tabs>
          <w:tab w:val="left" w:pos="9356"/>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3120" w:dyaOrig="720" w14:anchorId="13C26FB0">
          <v:shape id="_x0000_i1037" type="#_x0000_t75" style="width:156.6pt;height:36pt" o:ole="">
            <v:imagedata r:id="rId32" o:title=""/>
          </v:shape>
          <o:OLEObject Type="Embed" ProgID="Equation.DSMT4" ShapeID="_x0000_i1037" DrawAspect="Content" ObjectID="_1804494620" r:id="rId33"/>
        </w:object>
      </w:r>
      <w:r>
        <w:rPr>
          <w:rFonts w:ascii="Times New Roman" w:hAnsi="Times New Roman" w:cs="Times New Roman"/>
          <w:position w:val="-28"/>
        </w:rPr>
        <w:tab/>
      </w:r>
      <w:r>
        <w:rPr>
          <w:rFonts w:ascii="Times New Roman" w:hAnsi="Times New Roman" w:cs="Times New Roman" w:hint="eastAsia"/>
          <w:position w:val="-28"/>
        </w:rPr>
        <w:t>(</w:t>
      </w:r>
      <w:r>
        <w:rPr>
          <w:rFonts w:ascii="Times New Roman" w:hAnsi="Times New Roman" w:cs="Times New Roman"/>
          <w:position w:val="-28"/>
        </w:rPr>
        <w:t>1</w:t>
      </w:r>
      <w:r>
        <w:rPr>
          <w:rFonts w:ascii="Times New Roman" w:hAnsi="Times New Roman" w:cs="Times New Roman" w:hint="eastAsia"/>
          <w:position w:val="-28"/>
        </w:rPr>
        <w:t>3</w:t>
      </w:r>
      <w:r>
        <w:rPr>
          <w:rFonts w:ascii="Times New Roman" w:hAnsi="Times New Roman" w:cs="Times New Roman"/>
          <w:position w:val="-28"/>
        </w:rPr>
        <w:t>)</w:t>
      </w:r>
    </w:p>
    <w:p w14:paraId="4DD40C25" w14:textId="77777777" w:rsidR="00ED32D3" w:rsidRDefault="00F13C42">
      <w:pPr>
        <w:tabs>
          <w:tab w:val="left" w:pos="9356"/>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1580" w:dyaOrig="460" w14:anchorId="25436F68">
          <v:shape id="_x0000_i1038" type="#_x0000_t75" style="width:78.6pt;height:22.2pt" o:ole="">
            <v:imagedata r:id="rId34" o:title=""/>
          </v:shape>
          <o:OLEObject Type="Embed" ProgID="Equation.DSMT4" ShapeID="_x0000_i1038" DrawAspect="Content" ObjectID="_1804494621" r:id="rId35"/>
        </w:object>
      </w:r>
      <w:r>
        <w:rPr>
          <w:rFonts w:ascii="Times New Roman" w:hAnsi="Times New Roman" w:cs="Times New Roman"/>
          <w:position w:val="-28"/>
        </w:rPr>
        <w:tab/>
      </w:r>
      <w:r>
        <w:rPr>
          <w:rFonts w:ascii="Times New Roman" w:hAnsi="Times New Roman" w:cs="Times New Roman" w:hint="eastAsia"/>
          <w:position w:val="-28"/>
        </w:rPr>
        <w:t>(</w:t>
      </w:r>
      <w:r>
        <w:rPr>
          <w:rFonts w:ascii="Times New Roman" w:hAnsi="Times New Roman" w:cs="Times New Roman"/>
          <w:position w:val="-28"/>
        </w:rPr>
        <w:t>1</w:t>
      </w:r>
      <w:r>
        <w:rPr>
          <w:rFonts w:ascii="Times New Roman" w:hAnsi="Times New Roman" w:cs="Times New Roman" w:hint="eastAsia"/>
          <w:position w:val="-28"/>
        </w:rPr>
        <w:t>4</w:t>
      </w:r>
      <w:r>
        <w:rPr>
          <w:rFonts w:ascii="Times New Roman" w:hAnsi="Times New Roman" w:cs="Times New Roman"/>
          <w:position w:val="-28"/>
        </w:rPr>
        <w:t>)</w:t>
      </w:r>
    </w:p>
    <w:p w14:paraId="5AE2D283" w14:textId="77777777" w:rsidR="00ED32D3" w:rsidRDefault="00F13C42">
      <w:pPr>
        <w:tabs>
          <w:tab w:val="left" w:pos="9356"/>
        </w:tabs>
        <w:spacing w:after="120" w:line="360" w:lineRule="auto"/>
        <w:jc w:val="both"/>
        <w:rPr>
          <w:rFonts w:ascii="Times New Roman" w:hAnsi="Times New Roman" w:cs="Times New Roman"/>
          <w:position w:val="-28"/>
        </w:rPr>
      </w:pPr>
      <w:r>
        <w:rPr>
          <w:rFonts w:ascii="Times New Roman" w:hAnsi="Times New Roman" w:cs="Times New Roman"/>
          <w:position w:val="-30"/>
        </w:rPr>
        <w:object w:dxaOrig="2880" w:dyaOrig="1020" w14:anchorId="2715B2AA">
          <v:shape id="_x0000_i1039" type="#_x0000_t75" style="width:2in;height:51pt" o:ole="">
            <v:imagedata r:id="rId36" o:title=""/>
          </v:shape>
          <o:OLEObject Type="Embed" ProgID="Equation.DSMT4" ShapeID="_x0000_i1039" DrawAspect="Content" ObjectID="_1804494622" r:id="rId37"/>
        </w:object>
      </w:r>
      <w:r>
        <w:rPr>
          <w:rFonts w:ascii="Times New Roman" w:hAnsi="Times New Roman" w:cs="Times New Roman"/>
          <w:position w:val="-28"/>
        </w:rPr>
        <w:tab/>
      </w:r>
      <w:r>
        <w:rPr>
          <w:rFonts w:ascii="Times New Roman" w:hAnsi="Times New Roman" w:cs="Times New Roman" w:hint="eastAsia"/>
          <w:position w:val="-28"/>
        </w:rPr>
        <w:t>(</w:t>
      </w:r>
      <w:r>
        <w:rPr>
          <w:rFonts w:ascii="Times New Roman" w:hAnsi="Times New Roman" w:cs="Times New Roman"/>
          <w:position w:val="-28"/>
        </w:rPr>
        <w:t>1</w:t>
      </w:r>
      <w:r>
        <w:rPr>
          <w:rFonts w:ascii="Times New Roman" w:hAnsi="Times New Roman" w:cs="Times New Roman" w:hint="eastAsia"/>
          <w:position w:val="-28"/>
        </w:rPr>
        <w:t>5</w:t>
      </w:r>
      <w:r>
        <w:rPr>
          <w:rFonts w:ascii="Times New Roman" w:hAnsi="Times New Roman" w:cs="Times New Roman"/>
          <w:position w:val="-28"/>
        </w:rPr>
        <w:t>)</w:t>
      </w:r>
    </w:p>
    <w:p w14:paraId="4AB2DB15" w14:textId="424D4279" w:rsidR="00ED32D3" w:rsidRDefault="00F13C42" w:rsidP="00A26574">
      <w:pPr>
        <w:spacing w:line="360" w:lineRule="auto"/>
        <w:ind w:firstLineChars="200" w:firstLine="480"/>
        <w:jc w:val="both"/>
        <w:rPr>
          <w:rFonts w:ascii="Times New Roman" w:hAnsi="Times New Roman" w:cs="Times New Roman"/>
        </w:rPr>
      </w:pPr>
      <w:r>
        <w:rPr>
          <w:rFonts w:ascii="Times New Roman" w:hAnsi="Times New Roman" w:cs="Times New Roman"/>
        </w:rPr>
        <w:t xml:space="preserve">Where </w:t>
      </w:r>
      <w:r>
        <w:rPr>
          <w:rFonts w:ascii="Times New Roman" w:hAnsi="Times New Roman" w:cs="Times New Roman"/>
          <w:i/>
          <w:iCs/>
        </w:rPr>
        <w:t>k</w:t>
      </w:r>
      <w:r>
        <w:t xml:space="preserve"> </w:t>
      </w:r>
      <w:r>
        <w:rPr>
          <w:rFonts w:ascii="Times New Roman" w:hAnsi="Times New Roman" w:cs="Times New Roman"/>
        </w:rPr>
        <w:t>is the vegetation coefficient and is calculated from the vegetation leaf area index (</w:t>
      </w:r>
      <w:r>
        <w:rPr>
          <w:rFonts w:ascii="Times New Roman" w:hAnsi="Times New Roman" w:cs="Times New Roman"/>
          <w:i/>
          <w:iCs/>
        </w:rPr>
        <w:t>LAI</w:t>
      </w:r>
      <w:r>
        <w:rPr>
          <w:rFonts w:ascii="Times New Roman" w:hAnsi="Times New Roman" w:cs="Times New Roman"/>
        </w:rPr>
        <w:t>)</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hint="eastAsia"/>
          <w:i/>
          <w:iCs/>
        </w:rPr>
        <w:t>E</w:t>
      </w:r>
      <w:r>
        <w:rPr>
          <w:rFonts w:ascii="Times New Roman" w:hAnsi="Times New Roman" w:cs="Times New Roman"/>
          <w:i/>
          <w:iCs/>
        </w:rPr>
        <w:t>T</w:t>
      </w:r>
      <w:r>
        <w:rPr>
          <w:rFonts w:ascii="Times New Roman" w:hAnsi="Times New Roman" w:cs="Times New Roman"/>
          <w:i/>
          <w:iCs/>
          <w:vertAlign w:val="subscript"/>
        </w:rPr>
        <w:t xml:space="preserve">0 </w:t>
      </w:r>
      <w:r>
        <w:rPr>
          <w:rFonts w:ascii="Times New Roman" w:hAnsi="Times New Roman" w:cs="Times New Roman"/>
        </w:rPr>
        <w:t>is</w:t>
      </w:r>
      <w:r>
        <w:rPr>
          <w:rFonts w:ascii="Times New Roman" w:hAnsi="Times New Roman" w:cs="Times New Roman" w:hint="eastAsia"/>
        </w:rPr>
        <w:t xml:space="preserve"> </w:t>
      </w:r>
      <w:r>
        <w:rPr>
          <w:rFonts w:ascii="Times New Roman" w:hAnsi="Times New Roman" w:cs="Times New Roman"/>
        </w:rPr>
        <w:t>reference</w:t>
      </w:r>
      <w:r>
        <w:rPr>
          <w:rFonts w:ascii="Times New Roman" w:hAnsi="Times New Roman" w:cs="Times New Roman" w:hint="eastAsia"/>
        </w:rPr>
        <w:t xml:space="preserve"> </w:t>
      </w:r>
      <w:r>
        <w:rPr>
          <w:rFonts w:ascii="Times New Roman" w:hAnsi="Times New Roman" w:cs="Times New Roman"/>
        </w:rPr>
        <w:t xml:space="preserve">evapotranspiration and is calculated according to the equation proposed by; </w:t>
      </w:r>
      <w:r>
        <w:rPr>
          <w:rFonts w:ascii="Times New Roman" w:hAnsi="Times New Roman" w:cs="Times New Roman"/>
          <w:i/>
          <w:iCs/>
        </w:rPr>
        <w:t>N</w:t>
      </w:r>
      <w:r>
        <w:rPr>
          <w:rFonts w:ascii="Times New Roman" w:hAnsi="Times New Roman" w:cs="Times New Roman"/>
        </w:rPr>
        <w:t xml:space="preserve"> </w:t>
      </w:r>
      <w:r>
        <w:rPr>
          <w:rFonts w:ascii="Times New Roman" w:hAnsi="Times New Roman" w:cs="Times New Roman"/>
          <w:i/>
          <w:iCs/>
        </w:rPr>
        <w:t>is</w:t>
      </w:r>
      <w:r>
        <w:rPr>
          <w:rFonts w:ascii="Times New Roman" w:hAnsi="Times New Roman" w:cs="Times New Roman"/>
        </w:rPr>
        <w:t xml:space="preserve"> the sunshine time (</w:t>
      </w:r>
      <w:r>
        <w:rPr>
          <w:rFonts w:ascii="Times New Roman" w:hAnsi="Times New Roman" w:cs="Times New Roman"/>
          <w:i/>
          <w:iCs/>
        </w:rPr>
        <w:t>h</w:t>
      </w:r>
      <w:r>
        <w:rPr>
          <w:rFonts w:ascii="Times New Roman" w:hAnsi="Times New Roman" w:cs="Times New Roman"/>
        </w:rPr>
        <w:t>)</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i/>
          <w:iCs/>
        </w:rPr>
        <w:t>P</w:t>
      </w:r>
      <w:r>
        <w:rPr>
          <w:rFonts w:ascii="Times New Roman" w:hAnsi="Times New Roman" w:cs="Times New Roman"/>
          <w:i/>
          <w:iCs/>
          <w:vertAlign w:val="subscript"/>
        </w:rPr>
        <w:t>t</w:t>
      </w:r>
      <w:r>
        <w:rPr>
          <w:rFonts w:ascii="Times New Roman" w:hAnsi="Times New Roman" w:cs="Times New Roman" w:hint="eastAsia"/>
        </w:rPr>
        <w:t xml:space="preserve"> </w:t>
      </w:r>
      <w:r>
        <w:rPr>
          <w:rFonts w:ascii="Times New Roman" w:hAnsi="Times New Roman" w:cs="Times New Roman"/>
        </w:rPr>
        <w:t>is the saturated water vapor density (g/m</w:t>
      </w:r>
      <w:r>
        <w:rPr>
          <w:rFonts w:ascii="Times New Roman" w:hAnsi="Times New Roman" w:cs="Times New Roman"/>
          <w:vertAlign w:val="superscript"/>
        </w:rPr>
        <w:t>3</w:t>
      </w:r>
      <w:r>
        <w:rPr>
          <w:rFonts w:ascii="Times New Roman" w:hAnsi="Times New Roman" w:cs="Times New Roman"/>
        </w:rPr>
        <w:t>)</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i/>
          <w:iCs/>
        </w:rPr>
        <w:t>T</w:t>
      </w:r>
      <w:r>
        <w:rPr>
          <w:rFonts w:ascii="Times New Roman" w:hAnsi="Times New Roman" w:cs="Times New Roman"/>
          <w:i/>
          <w:iCs/>
          <w:vertAlign w:val="subscript"/>
        </w:rPr>
        <w:t>a</w:t>
      </w:r>
      <w:r>
        <w:t xml:space="preserve"> </w:t>
      </w:r>
      <w:r>
        <w:rPr>
          <w:rFonts w:ascii="Times New Roman" w:hAnsi="Times New Roman" w:cs="Times New Roman"/>
        </w:rPr>
        <w:t>is the average daily temperature (℃)</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i/>
          <w:iCs/>
        </w:rPr>
        <w:t>k</w:t>
      </w:r>
      <w:r>
        <w:t xml:space="preserve"> </w:t>
      </w:r>
      <w:r>
        <w:rPr>
          <w:rFonts w:ascii="Times New Roman" w:hAnsi="Times New Roman" w:cs="Times New Roman"/>
        </w:rPr>
        <w:t>is the empirical coefficient (initial value is 0.84).</w:t>
      </w:r>
    </w:p>
    <w:p w14:paraId="4A8B9942" w14:textId="77777777" w:rsidR="00ED32D3" w:rsidRDefault="00F13C42">
      <w:pPr>
        <w:tabs>
          <w:tab w:val="left" w:pos="9356"/>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1880" w:dyaOrig="720" w14:anchorId="0673DAFC">
          <v:shape id="_x0000_i1040" type="#_x0000_t75" style="width:93.6pt;height:36pt" o:ole="">
            <v:imagedata r:id="rId38" o:title=""/>
          </v:shape>
          <o:OLEObject Type="Embed" ProgID="Equation.DSMT4" ShapeID="_x0000_i1040" DrawAspect="Content" ObjectID="_1804494623" r:id="rId39"/>
        </w:object>
      </w:r>
      <w:r>
        <w:rPr>
          <w:rFonts w:ascii="Times New Roman" w:hAnsi="Times New Roman" w:cs="Times New Roman"/>
          <w:position w:val="-28"/>
        </w:rPr>
        <w:tab/>
      </w:r>
      <w:r>
        <w:rPr>
          <w:rFonts w:ascii="Times New Roman" w:hAnsi="Times New Roman" w:cs="Times New Roman" w:hint="eastAsia"/>
          <w:position w:val="-28"/>
        </w:rPr>
        <w:t>(</w:t>
      </w:r>
      <w:r>
        <w:rPr>
          <w:rFonts w:ascii="Times New Roman" w:hAnsi="Times New Roman" w:cs="Times New Roman"/>
          <w:position w:val="-28"/>
        </w:rPr>
        <w:t>1</w:t>
      </w:r>
      <w:r>
        <w:rPr>
          <w:rFonts w:ascii="Times New Roman" w:hAnsi="Times New Roman" w:cs="Times New Roman" w:hint="eastAsia"/>
          <w:position w:val="-28"/>
        </w:rPr>
        <w:t>6</w:t>
      </w:r>
      <w:r>
        <w:rPr>
          <w:rFonts w:ascii="Times New Roman" w:hAnsi="Times New Roman" w:cs="Times New Roman"/>
          <w:position w:val="-28"/>
        </w:rPr>
        <w:t>)</w:t>
      </w:r>
    </w:p>
    <w:p w14:paraId="688350A4" w14:textId="5FF19FDD" w:rsidR="00ED32D3" w:rsidRDefault="00F13C42" w:rsidP="002E6B03">
      <w:pPr>
        <w:spacing w:line="360" w:lineRule="auto"/>
        <w:ind w:firstLineChars="200" w:firstLine="480"/>
        <w:jc w:val="both"/>
        <w:rPr>
          <w:rFonts w:ascii="Times New Roman" w:hAnsi="Times New Roman" w:cs="Times New Roman"/>
        </w:rPr>
      </w:pPr>
      <w:r>
        <w:rPr>
          <w:rFonts w:ascii="Times New Roman" w:hAnsi="Times New Roman" w:cs="Times New Roman"/>
        </w:rPr>
        <w:lastRenderedPageBreak/>
        <w:t>Where</w:t>
      </w:r>
      <w:r>
        <w:rPr>
          <w:rFonts w:ascii="Times New Roman" w:hAnsi="Times New Roman" w:cs="Times New Roman" w:hint="eastAsia"/>
          <w:i/>
          <w:iCs/>
        </w:rPr>
        <w:t xml:space="preserve"> Z</w:t>
      </w:r>
      <w:r>
        <w:t xml:space="preserve"> </w:t>
      </w:r>
      <w:r>
        <w:rPr>
          <w:rFonts w:ascii="Times New Roman" w:hAnsi="Times New Roman" w:cs="Times New Roman"/>
        </w:rPr>
        <w:t>is the Zhang coefficient whose value is between [1, 10] and is taken as the default value in this study</w:t>
      </w:r>
      <w:r w:rsidR="000F2308">
        <w:rPr>
          <w:rFonts w:ascii="Times New Roman" w:hAnsi="Times New Roman" w:cs="Times New Roman" w:hint="eastAsia"/>
          <w:color w:val="0000FF"/>
        </w:rPr>
        <w:t xml:space="preserve"> </w:t>
      </w:r>
      <w:r w:rsidR="000F2308" w:rsidRPr="00154A3B">
        <w:rPr>
          <w:rFonts w:ascii="Times New Roman" w:hAnsi="Times New Roman" w:cs="Times New Roman"/>
          <w:color w:val="0000FF"/>
        </w:rPr>
        <w:fldChar w:fldCharType="begin"/>
      </w:r>
      <w:r w:rsidR="00154A3B" w:rsidRPr="00154A3B">
        <w:rPr>
          <w:rFonts w:ascii="Times New Roman" w:hAnsi="Times New Roman" w:cs="Times New Roman"/>
          <w:color w:val="0000FF"/>
        </w:rPr>
        <w:instrText xml:space="preserve"> ADDIN ZOTERO_ITEM CSL_CITATION {"citationID":"2El40BKQ","properties":{"formattedCitation":"\\super 17\\nosupersub{}","plainCitation":"17","noteIndex":0},"citationItems":[{"id":312,"uris":["http://zotero.org/users/14180859/items/2W2SUXH5"],"itemData":{"id":312,"type":"article-journal","abstract":"Mean annual evapotranspiration from a catchment is determined largely by precipitation and potential evapotranspiration; characteristics of the catchment (e.g., soil, topography, etc.) play only a secondary role. It has been shown that the ratio of mean annual potential evapotranspiration to precipitation (referred as the index of dryness) can be used to estimate mean annual evapotranspiration by using one additional parameter. This study evaluates the effects of climatic and catchment characteristics on the partitioning of mean annual precipitation into evapotranspiration using a rational function approach, which was developed based on phenomenological considerations. Over 470 catchments worldwide with long-term records of precipitation, potential evapotranspiration, and runoff were considered, and results show that model estimates of mean annual evapotranspiration agree well with observed evapotranspiration taken as the difference between precipitation and runoff. The mean absolute error between modeled and observed evapotranspiration was 54 mm, and the model was able to explain 89% of the variance with a slope of 1.00 through the origin. This indicates that the index of dryness is the most significant variable in determining mean annual evapotranspiration. Results also suggest that forested catchments tend to show higher evapotranspiration than grassed catchments and their evapotranspiration ratio (evapotranspiration divided by precipitation) is most sensitive to changes in catchment characteristics for regions with the index of dryness around 1.0. Additionally, a stepwise regression analysis was performed for over 270 Australian catchments where detailed information of vegetation cover, precipitation characteristics, catchment slopes, and plant available water capacity was available. It is shown that apart from the index of dryness, average storm depth, plant available water capacity, and storm arrival rate are also significant.","call-number":"1","container-title":"Water Resources Research","DOI":"10.1029/2003WR002710","ISSN":"0043-1397","issue":"2","journalAbbreviation":"Water Resources Research","note":"publisher: John Wiley &amp; Sons, Ltd","source":"6.159","title":"A rational function approach for estimating mean annual evapotranspiration","URL":"https://doi.org/10.1029/2003WR002710","volume":"40","author":[{"family":"Zhang","given":"L."},{"family":"Hickel","given":"K."},{"family":"Dawes","given":"W. R."},{"family":"Chiew","given":"F. H. S."},{"family":"Western","given":"A. W."},{"family":"Briggs","given":"P. R."}],"accessed":{"date-parts":[["2024",6,5]]},"issued":{"date-parts":[["2004",2,1]]}}}],"schema":"https://github.com/citation-style-language/schema/raw/master/csl-citation.json"} </w:instrText>
      </w:r>
      <w:r w:rsidR="000F2308" w:rsidRPr="00154A3B">
        <w:rPr>
          <w:rFonts w:ascii="Times New Roman" w:hAnsi="Times New Roman" w:cs="Times New Roman"/>
          <w:color w:val="0000FF"/>
        </w:rPr>
        <w:fldChar w:fldCharType="separate"/>
      </w:r>
      <w:r w:rsidR="00154A3B" w:rsidRPr="00154A3B">
        <w:rPr>
          <w:rFonts w:ascii="Times New Roman" w:hAnsi="Times New Roman" w:cs="Times New Roman"/>
          <w:color w:val="0000FF"/>
          <w:vertAlign w:val="superscript"/>
        </w:rPr>
        <w:t>17</w:t>
      </w:r>
      <w:r w:rsidR="000F2308" w:rsidRPr="00154A3B">
        <w:rPr>
          <w:rFonts w:ascii="Times New Roman" w:hAnsi="Times New Roman" w:cs="Times New Roman"/>
          <w:color w:val="0000FF"/>
        </w:rPr>
        <w:fldChar w:fldCharType="end"/>
      </w:r>
      <w:r>
        <w:rPr>
          <w:rFonts w:ascii="Times New Roman" w:hAnsi="Times New Roman" w:cs="Times New Roman"/>
        </w:rPr>
        <w:t xml:space="preserve">; </w:t>
      </w:r>
      <w:r>
        <w:rPr>
          <w:rFonts w:ascii="Times New Roman" w:hAnsi="Times New Roman" w:cs="Times New Roman"/>
          <w:i/>
          <w:iCs/>
        </w:rPr>
        <w:t>AWC</w:t>
      </w:r>
      <w:r>
        <w:rPr>
          <w:rFonts w:ascii="Times New Roman" w:hAnsi="Times New Roman" w:cs="Times New Roman"/>
        </w:rPr>
        <w:t>(x)</w:t>
      </w:r>
      <w:r>
        <w:t xml:space="preserve"> </w:t>
      </w:r>
      <w:r>
        <w:rPr>
          <w:rFonts w:ascii="Times New Roman" w:hAnsi="Times New Roman" w:cs="Times New Roman"/>
        </w:rPr>
        <w:t>is the effective available water for vegetation and is calculated from the following equation:</w:t>
      </w:r>
      <w:r w:rsidR="002E6B03">
        <w:rPr>
          <w:rFonts w:ascii="Times New Roman" w:hAnsi="Times New Roman" w:cs="Times New Roman" w:hint="eastAsia"/>
        </w:rPr>
        <w:t>d</w:t>
      </w:r>
    </w:p>
    <w:p w14:paraId="10B9915A" w14:textId="77777777" w:rsidR="00ED32D3" w:rsidRDefault="00F13C42">
      <w:pPr>
        <w:tabs>
          <w:tab w:val="left" w:pos="9356"/>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5220" w:dyaOrig="360" w14:anchorId="25A4A401">
          <v:shape id="_x0000_i1041" type="#_x0000_t75" style="width:261.6pt;height:18.6pt" o:ole="">
            <v:imagedata r:id="rId40" o:title=""/>
          </v:shape>
          <o:OLEObject Type="Embed" ProgID="Equation.DSMT4" ShapeID="_x0000_i1041" DrawAspect="Content" ObjectID="_1804494624" r:id="rId41"/>
        </w:object>
      </w:r>
      <w:r>
        <w:rPr>
          <w:rFonts w:ascii="Times New Roman" w:hAnsi="Times New Roman" w:cs="Times New Roman"/>
          <w:position w:val="-28"/>
        </w:rPr>
        <w:tab/>
      </w:r>
      <w:r>
        <w:rPr>
          <w:rFonts w:ascii="Times New Roman" w:hAnsi="Times New Roman" w:cs="Times New Roman" w:hint="eastAsia"/>
          <w:position w:val="-28"/>
        </w:rPr>
        <w:t>(</w:t>
      </w:r>
      <w:r>
        <w:rPr>
          <w:rFonts w:ascii="Times New Roman" w:hAnsi="Times New Roman" w:cs="Times New Roman"/>
          <w:position w:val="-28"/>
        </w:rPr>
        <w:t>1</w:t>
      </w:r>
      <w:r>
        <w:rPr>
          <w:rFonts w:ascii="Times New Roman" w:hAnsi="Times New Roman" w:cs="Times New Roman" w:hint="eastAsia"/>
          <w:position w:val="-28"/>
        </w:rPr>
        <w:t>7</w:t>
      </w:r>
      <w:r>
        <w:rPr>
          <w:rFonts w:ascii="Times New Roman" w:hAnsi="Times New Roman" w:cs="Times New Roman"/>
          <w:position w:val="-28"/>
        </w:rPr>
        <w:t>)</w:t>
      </w:r>
    </w:p>
    <w:p w14:paraId="3A09E125" w14:textId="77777777" w:rsidR="00ED32D3" w:rsidRDefault="00F13C42">
      <w:pPr>
        <w:tabs>
          <w:tab w:val="left" w:pos="9356"/>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6480" w:dyaOrig="840" w14:anchorId="38348584">
          <v:shape id="_x0000_i1042" type="#_x0000_t75" style="width:324pt;height:42pt" o:ole="">
            <v:imagedata r:id="rId42" o:title=""/>
          </v:shape>
          <o:OLEObject Type="Embed" ProgID="Equation.DSMT4" ShapeID="_x0000_i1042" DrawAspect="Content" ObjectID="_1804494625" r:id="rId43"/>
        </w:object>
      </w:r>
      <w:r>
        <w:rPr>
          <w:rFonts w:ascii="Times New Roman" w:hAnsi="Times New Roman" w:cs="Times New Roman"/>
          <w:position w:val="-28"/>
        </w:rPr>
        <w:tab/>
      </w:r>
      <w:r>
        <w:rPr>
          <w:rFonts w:ascii="Times New Roman" w:hAnsi="Times New Roman" w:cs="Times New Roman" w:hint="eastAsia"/>
          <w:position w:val="-28"/>
        </w:rPr>
        <w:t>(</w:t>
      </w:r>
      <w:r>
        <w:rPr>
          <w:rFonts w:ascii="Times New Roman" w:hAnsi="Times New Roman" w:cs="Times New Roman"/>
          <w:position w:val="-28"/>
        </w:rPr>
        <w:t>1</w:t>
      </w:r>
      <w:r>
        <w:rPr>
          <w:rFonts w:ascii="Times New Roman" w:hAnsi="Times New Roman" w:cs="Times New Roman" w:hint="eastAsia"/>
          <w:position w:val="-28"/>
        </w:rPr>
        <w:t>8</w:t>
      </w:r>
      <w:r>
        <w:rPr>
          <w:rFonts w:ascii="Times New Roman" w:hAnsi="Times New Roman" w:cs="Times New Roman"/>
          <w:position w:val="-28"/>
        </w:rPr>
        <w:t>)</w:t>
      </w:r>
    </w:p>
    <w:p w14:paraId="280F0BCE" w14:textId="77777777" w:rsidR="00ED32D3" w:rsidRDefault="00F13C42">
      <w:pPr>
        <w:spacing w:line="360" w:lineRule="auto"/>
        <w:jc w:val="both"/>
        <w:rPr>
          <w:rFonts w:ascii="Times New Roman" w:hAnsi="Times New Roman" w:cs="Times New Roman"/>
        </w:rPr>
      </w:pPr>
      <w:r>
        <w:rPr>
          <w:rFonts w:ascii="Times New Roman" w:hAnsi="Times New Roman" w:cs="Times New Roman"/>
        </w:rPr>
        <w:t xml:space="preserve">Where </w:t>
      </w:r>
      <w:r>
        <w:rPr>
          <w:rFonts w:ascii="Times New Roman" w:hAnsi="Times New Roman" w:cs="Times New Roman"/>
          <w:i/>
          <w:iCs/>
        </w:rPr>
        <w:t>PAWC</w:t>
      </w:r>
      <w:r>
        <w:rPr>
          <w:rFonts w:ascii="Times New Roman" w:hAnsi="Times New Roman" w:cs="Times New Roman" w:hint="eastAsia"/>
        </w:rPr>
        <w:t xml:space="preserve"> </w:t>
      </w:r>
      <w:r>
        <w:rPr>
          <w:rFonts w:ascii="Times New Roman" w:hAnsi="Times New Roman" w:cs="Times New Roman"/>
        </w:rPr>
        <w:t>is the plant available water content</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hint="eastAsia"/>
          <w:i/>
          <w:iCs/>
        </w:rPr>
        <w:t>s</w:t>
      </w:r>
      <w:r>
        <w:rPr>
          <w:rFonts w:ascii="Times New Roman" w:hAnsi="Times New Roman" w:cs="Times New Roman"/>
          <w:i/>
          <w:iCs/>
        </w:rPr>
        <w:t xml:space="preserve">and </w:t>
      </w:r>
      <w:r>
        <w:rPr>
          <w:rFonts w:ascii="Times New Roman" w:hAnsi="Times New Roman" w:cs="Times New Roman" w:hint="eastAsia"/>
        </w:rPr>
        <w:t>i</w:t>
      </w:r>
      <w:r>
        <w:rPr>
          <w:rFonts w:ascii="Times New Roman" w:hAnsi="Times New Roman" w:cs="Times New Roman"/>
        </w:rPr>
        <w:t>s the soil sand content (%)</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i/>
          <w:iCs/>
        </w:rPr>
        <w:t>silt</w:t>
      </w:r>
      <w:r>
        <w:rPr>
          <w:rFonts w:ascii="Times New Roman" w:hAnsi="Times New Roman" w:cs="Times New Roman" w:hint="eastAsia"/>
        </w:rPr>
        <w:t xml:space="preserve"> </w:t>
      </w:r>
      <w:r>
        <w:rPr>
          <w:rFonts w:ascii="Times New Roman" w:hAnsi="Times New Roman" w:cs="Times New Roman"/>
        </w:rPr>
        <w:t>is the soil powder content (%)</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hint="eastAsia"/>
          <w:i/>
          <w:iCs/>
        </w:rPr>
        <w:t>c</w:t>
      </w:r>
      <w:r>
        <w:rPr>
          <w:rFonts w:ascii="Times New Roman" w:hAnsi="Times New Roman" w:cs="Times New Roman"/>
          <w:i/>
          <w:iCs/>
        </w:rPr>
        <w:t>lay</w:t>
      </w:r>
      <w:r>
        <w:rPr>
          <w:rFonts w:ascii="Times New Roman" w:hAnsi="Times New Roman" w:cs="Times New Roman" w:hint="eastAsia"/>
        </w:rPr>
        <w:t xml:space="preserve"> </w:t>
      </w:r>
      <w:r>
        <w:rPr>
          <w:rFonts w:ascii="Times New Roman" w:hAnsi="Times New Roman" w:cs="Times New Roman"/>
        </w:rPr>
        <w:t xml:space="preserve">is the soil clay content (%); </w:t>
      </w:r>
      <w:r>
        <w:rPr>
          <w:rFonts w:ascii="Times New Roman" w:hAnsi="Times New Roman" w:cs="Times New Roman" w:hint="eastAsia"/>
          <w:i/>
          <w:iCs/>
        </w:rPr>
        <w:t>O</w:t>
      </w:r>
      <w:r>
        <w:rPr>
          <w:rFonts w:ascii="Times New Roman" w:hAnsi="Times New Roman" w:cs="Times New Roman"/>
          <w:i/>
          <w:iCs/>
        </w:rPr>
        <w:t>M</w:t>
      </w:r>
      <w:r>
        <w:rPr>
          <w:rFonts w:ascii="Times New Roman" w:hAnsi="Times New Roman" w:cs="Times New Roman" w:hint="eastAsia"/>
        </w:rPr>
        <w:t xml:space="preserve"> </w:t>
      </w:r>
      <w:r>
        <w:rPr>
          <w:rFonts w:ascii="Times New Roman" w:hAnsi="Times New Roman" w:cs="Times New Roman"/>
        </w:rPr>
        <w:t>is the soil organic matter content (%).</w:t>
      </w:r>
    </w:p>
    <w:p w14:paraId="64449CA0" w14:textId="0A79B918" w:rsidR="00ED32D3" w:rsidRDefault="00F13C42">
      <w:pPr>
        <w:spacing w:line="360" w:lineRule="auto"/>
        <w:ind w:firstLineChars="200" w:firstLine="480"/>
        <w:jc w:val="both"/>
        <w:rPr>
          <w:rFonts w:ascii="Times New Roman" w:hAnsi="Times New Roman" w:cs="Times New Roman"/>
        </w:rPr>
      </w:pPr>
      <w:r>
        <w:rPr>
          <w:rFonts w:ascii="Times New Roman" w:hAnsi="Times New Roman" w:cs="Times New Roman"/>
        </w:rPr>
        <w:t xml:space="preserve">The required input parameters for the model are listed in </w:t>
      </w:r>
      <w:r>
        <w:rPr>
          <w:rFonts w:ascii="Times New Roman" w:hAnsi="Times New Roman" w:cs="Times New Roman"/>
          <w:color w:val="0000FF"/>
        </w:rPr>
        <w:t xml:space="preserve">Table </w:t>
      </w:r>
      <w:r>
        <w:rPr>
          <w:rFonts w:ascii="Times New Roman" w:hAnsi="Times New Roman" w:cs="Times New Roman" w:hint="eastAsia"/>
          <w:color w:val="0000FF"/>
        </w:rPr>
        <w:t>S</w:t>
      </w:r>
      <w:r>
        <w:rPr>
          <w:rFonts w:ascii="Times New Roman" w:hAnsi="Times New Roman" w:cs="Times New Roman"/>
          <w:color w:val="0000FF"/>
        </w:rPr>
        <w:t>4</w:t>
      </w:r>
      <w:r>
        <w:rPr>
          <w:rFonts w:ascii="Times New Roman" w:hAnsi="Times New Roman" w:cs="Times New Roman"/>
        </w:rPr>
        <w:t>, including root depth (R</w:t>
      </w:r>
      <w:r>
        <w:rPr>
          <w:rFonts w:ascii="Times New Roman" w:hAnsi="Times New Roman" w:cs="Times New Roman" w:hint="eastAsia"/>
        </w:rPr>
        <w:t>oot</w:t>
      </w:r>
      <w:r>
        <w:rPr>
          <w:rFonts w:ascii="Times New Roman" w:hAnsi="Times New Roman" w:cs="Times New Roman"/>
        </w:rPr>
        <w:t>_depth), vegetation status (LULC_veg), and plant evapotranspiration coefficients according to LULC types (Kc), and flow velocity coefficients (Velocity)</w:t>
      </w:r>
      <w:r w:rsidR="008E0294">
        <w:rPr>
          <w:rFonts w:ascii="Times New Roman" w:eastAsia="楷体" w:hAnsi="Times New Roman" w:cs="Times New Roman"/>
          <w:sz w:val="21"/>
          <w:szCs w:val="21"/>
        </w:rPr>
        <w:t xml:space="preserve"> </w:t>
      </w:r>
      <w:r w:rsidR="008E0294" w:rsidRPr="00154A3B">
        <w:rPr>
          <w:rFonts w:ascii="Times New Roman" w:eastAsia="楷体" w:hAnsi="Times New Roman" w:cs="Times New Roman"/>
          <w:color w:val="0000FF"/>
          <w:sz w:val="21"/>
          <w:szCs w:val="21"/>
        </w:rPr>
        <w:fldChar w:fldCharType="begin"/>
      </w:r>
      <w:r w:rsidR="00154A3B" w:rsidRPr="00154A3B">
        <w:rPr>
          <w:rFonts w:ascii="Times New Roman" w:eastAsia="楷体" w:hAnsi="Times New Roman" w:cs="Times New Roman"/>
          <w:color w:val="0000FF"/>
          <w:sz w:val="21"/>
          <w:szCs w:val="21"/>
        </w:rPr>
        <w:instrText xml:space="preserve"> ADDIN ZOTERO_ITEM CSL_CITATION {"citationID":"jB5gMsJc","properties":{"formattedCitation":"\\super 18\\nosupersub{}","plainCitation":"18","noteIndex":0},"citationItems":[{"id":316,"uris":["http://zotero.org/users/14180859/items/ZE3963AV"],"itemData":{"id":316,"type":"article-journal","abstract":"The supply-demand risk assessment of ecosystem services (ES) can identify the supply-demand risk level, which is very important for the sustainable management  of regional ES. In this study, taking the Fenghe River watershed (FRW) as a case,  based on the status and the change trend of the supply-demand ratio of ES, and  the ES supply change trend, the supply-demand risk level of food provision (FP),  water yield (WY), soil retention (SR), and climate regulation (CR) are evaluated,  and the risk management zones of the FRW are divided using spatial superposition.  The results show that: (1) The supply and demand of SR are spatially matched,  while the other three ES are spatially mismatched. (2) From 2000 to 2015, the  supply amount of FP, WY, and SR increases by 11.59%, 1.25% and 55%, respectively,  while the supply amount of CR decreases by 5.15%. At the same time, the demand  amount of FP, WY, SR and CR increases by 39.97%, 53.88%, 36.3% and 215.5%,  respectively. (3) The supply-demand ratio means of four ES in the FRW are all  greater than 0, but there are some areas within that are less than 0. (4) In  terms of sub-watershed scale, except for SR, there are critically endangered  areas for the other three ES. Moreover, the FRW is divided into 11 supply-demand  risk management zones, such as FS-WY-CR critically endangered zone, WY-CR  critically endangered and FS vulnerable zone. The supply-demand risk management  zones based on multiple ES can identify the risk level of each ES in each zone.  These results and conclusions can provide the basis for rational allocation of  resources and sustainable management of ES.","call-number":"3","container-title":"International journal of environmental research and public health","DOI":"10.3390/ijerph17114112","ISSN":"1660-4601 1661-7827","issue":"11","journalAbbreviation":"Int J Environ Res Public Health","language":"eng","note":"publisher-place: Switzerland\nPMID: 32526942 \nPMCID: PMC7312005","source":"4.614","title":"Regional Spatial Management Based on Supply-Demand Risk of Ecosystem Services-A Case Study of the Fenghe River Watershed.","volume":"17","author":[{"family":"Zhang","given":"Hongjuan"},{"family":"Feng","given":"Juan"},{"family":"Zhang","given":"Zhicheng"},{"family":"Liu","given":"Kang"},{"family":"Gao","given":"Xin"},{"family":"Wang","given":"Zidong"}],"issued":{"date-parts":[["2020",6,9]]}}}],"schema":"https://github.com/citation-style-language/schema/raw/master/csl-citation.json"} </w:instrText>
      </w:r>
      <w:r w:rsidR="008E0294" w:rsidRPr="00154A3B">
        <w:rPr>
          <w:rFonts w:ascii="Times New Roman" w:eastAsia="楷体" w:hAnsi="Times New Roman" w:cs="Times New Roman"/>
          <w:color w:val="0000FF"/>
          <w:sz w:val="21"/>
          <w:szCs w:val="21"/>
        </w:rPr>
        <w:fldChar w:fldCharType="separate"/>
      </w:r>
      <w:r w:rsidR="00154A3B" w:rsidRPr="00154A3B">
        <w:rPr>
          <w:rFonts w:ascii="Times New Roman" w:hAnsi="Times New Roman" w:cs="Times New Roman"/>
          <w:color w:val="0000FF"/>
          <w:sz w:val="21"/>
          <w:vertAlign w:val="superscript"/>
        </w:rPr>
        <w:t>18</w:t>
      </w:r>
      <w:r w:rsidR="008E0294" w:rsidRPr="00154A3B">
        <w:rPr>
          <w:rFonts w:ascii="Times New Roman" w:eastAsia="楷体" w:hAnsi="Times New Roman" w:cs="Times New Roman"/>
          <w:color w:val="0000FF"/>
          <w:sz w:val="21"/>
          <w:szCs w:val="21"/>
        </w:rPr>
        <w:fldChar w:fldCharType="end"/>
      </w:r>
      <w:r w:rsidR="008E0294" w:rsidRPr="00154A3B">
        <w:rPr>
          <w:rFonts w:ascii="Times New Roman" w:eastAsia="楷体" w:hAnsi="Times New Roman" w:cs="Times New Roman" w:hint="eastAsia"/>
          <w:color w:val="0000FF"/>
          <w:sz w:val="21"/>
          <w:szCs w:val="21"/>
          <w:vertAlign w:val="superscript"/>
        </w:rPr>
        <w:t>,</w:t>
      </w:r>
      <w:r w:rsidR="008E0294" w:rsidRPr="00154A3B">
        <w:rPr>
          <w:rFonts w:ascii="Times New Roman" w:eastAsia="楷体" w:hAnsi="Times New Roman" w:cs="Times New Roman"/>
          <w:color w:val="0000FF"/>
          <w:sz w:val="21"/>
          <w:szCs w:val="21"/>
        </w:rPr>
        <w:fldChar w:fldCharType="begin"/>
      </w:r>
      <w:r w:rsidR="00154A3B" w:rsidRPr="00154A3B">
        <w:rPr>
          <w:rFonts w:ascii="Times New Roman" w:eastAsia="楷体" w:hAnsi="Times New Roman" w:cs="Times New Roman"/>
          <w:color w:val="0000FF"/>
          <w:sz w:val="21"/>
          <w:szCs w:val="21"/>
        </w:rPr>
        <w:instrText xml:space="preserve"> ADDIN ZOTERO_ITEM CSL_CITATION {"citationID":"atBiHOrn","properties":{"formattedCitation":"\\super 19\\nosupersub{}","plainCitation":"19","noteIndex":0},"citationItems":[{"id":314,"uris":["http://zotero.org/users/14180859/items/8GHQFE92"],"itemData":{"id":314,"type":"article-journal","abstract":"There is increasing evidence of environmental change impacts on ecosystem processes and services, yet poor understanding of the relative contributions of  land use and climate change to ecosystem services variations. Based on detailed  meteorological, hydrological records and satellite data over the Yellow River  Source Area (YRSA) in Tibetan Plateau from 1980s to 2008, together with a  water-yield module of Integrated Valuation of Ecosystem Services and Tradeoffs  (InVEST) model and also a Residual Trends (RESTREND) method, we assessed the  water supply variations in YRSA during the past three decades and disentangled  the relative contributions of land use and climate change. Results show that  water supply significantly decreased from 1980 to 2005 and then increased from  2005 to 2008. The quantity slightly decreased from 283.01 mm in 1980 to 276.95 mm  in 1995, 270.12 mm in 2000 and 267.97 mm in 2005, and it then rebounded slightly  to 275.26 mm in 2008. The water supply variation ranged from 283.01 mm to 267.97  mm. Climate change contributed dominantly to water supply decrease from 1980 to  1995, which accounts for approximately 64% of the decrease. During 1995 to 2000,  land use contributed more and about 58% to the water supply decrease as the  intense human activities. From 2000 to 2005, climate change became a positive  contribution to the water supply as the increased precipitation, but the land use  still contributed negatively. From 2005 to 2008, both climate and land use have  positive impacts, but land use contributed about 61% to the water supply  increase. The implementation of the Three Rivers Source Area Ecological  Protection Project has greatly improved the vegetation coverage conditions and  the water retention ability during this period. We recommend that the  implementation of ecological projects, grazing policies and artificial  improvement of degraded grassland would help to conserve the water retention  ability and increase water supply.","call-number":"3","container-title":"PloS one","DOI":"10.1371/journal.pone.0123793","ISSN":"1932-6203","issue":"4","journalAbbreviation":"PLoS One","language":"eng","note":"publisher-place: United States\nPMID: 25906192 \nPMCID: PMC4408050","page":"e0123793","source":"3.752","title":"Relative Contributions of Land Use and Climate Change to Water Supply Variations over Yellow River Source Area in Tibetan Plateau during the Past Three Decades.","volume":"10","author":[{"family":"Pan","given":"Tao"},{"family":"Wu","given":"Shaohong"},{"family":"Liu","given":"Yujie"}],"issued":{"date-parts":[["2015"]]}}}],"schema":"https://github.com/citation-style-language/schema/raw/master/csl-citation.json"} </w:instrText>
      </w:r>
      <w:r w:rsidR="008E0294" w:rsidRPr="00154A3B">
        <w:rPr>
          <w:rFonts w:ascii="Times New Roman" w:eastAsia="楷体" w:hAnsi="Times New Roman" w:cs="Times New Roman"/>
          <w:color w:val="0000FF"/>
          <w:sz w:val="21"/>
          <w:szCs w:val="21"/>
        </w:rPr>
        <w:fldChar w:fldCharType="separate"/>
      </w:r>
      <w:r w:rsidR="00154A3B" w:rsidRPr="00154A3B">
        <w:rPr>
          <w:rFonts w:ascii="Times New Roman" w:hAnsi="Times New Roman" w:cs="Times New Roman"/>
          <w:color w:val="0000FF"/>
          <w:sz w:val="21"/>
          <w:vertAlign w:val="superscript"/>
        </w:rPr>
        <w:t>19</w:t>
      </w:r>
      <w:r w:rsidR="008E0294" w:rsidRPr="00154A3B">
        <w:rPr>
          <w:rFonts w:ascii="Times New Roman" w:eastAsia="楷体" w:hAnsi="Times New Roman" w:cs="Times New Roman"/>
          <w:color w:val="0000FF"/>
          <w:sz w:val="21"/>
          <w:szCs w:val="21"/>
        </w:rPr>
        <w:fldChar w:fldCharType="end"/>
      </w:r>
      <w:r>
        <w:rPr>
          <w:rFonts w:ascii="Times New Roman" w:hAnsi="Times New Roman" w:cs="Times New Roman"/>
        </w:rPr>
        <w:t>.</w:t>
      </w:r>
    </w:p>
    <w:p w14:paraId="37398835" w14:textId="77777777" w:rsidR="00ED32D3" w:rsidRDefault="00F13C42">
      <w:pPr>
        <w:spacing w:beforeLines="100" w:before="326"/>
        <w:outlineLvl w:val="3"/>
        <w:rPr>
          <w:rFonts w:ascii="Times New Roman" w:hAnsi="Times New Roman" w:cs="Times New Roman"/>
          <w:b/>
          <w:bCs/>
          <w:sz w:val="21"/>
          <w:szCs w:val="21"/>
        </w:rPr>
      </w:pPr>
      <w:r>
        <w:rPr>
          <w:rFonts w:ascii="Times New Roman" w:hAnsi="Times New Roman" w:cs="Times New Roman"/>
          <w:b/>
          <w:bCs/>
          <w:sz w:val="21"/>
          <w:szCs w:val="21"/>
        </w:rPr>
        <w:t>Table S4</w:t>
      </w:r>
    </w:p>
    <w:p w14:paraId="352B2A2D" w14:textId="77777777" w:rsidR="00ED32D3" w:rsidRDefault="00F13C42">
      <w:pPr>
        <w:rPr>
          <w:rFonts w:ascii="Times New Roman" w:eastAsia="楷体" w:hAnsi="Times New Roman" w:cs="Times New Roman"/>
          <w:color w:val="FF0000"/>
          <w:sz w:val="21"/>
          <w:szCs w:val="21"/>
        </w:rPr>
      </w:pPr>
      <w:r>
        <w:rPr>
          <w:rFonts w:ascii="Times New Roman" w:hAnsi="Times New Roman" w:cs="Times New Roman"/>
          <w:sz w:val="21"/>
          <w:szCs w:val="21"/>
        </w:rPr>
        <w:t>The input parameters for the InVEST Water Yield model.</w:t>
      </w:r>
    </w:p>
    <w:tbl>
      <w:tblPr>
        <w:tblStyle w:val="11"/>
        <w:tblW w:w="5000" w:type="pct"/>
        <w:tblBorders>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4"/>
        <w:gridCol w:w="1868"/>
        <w:gridCol w:w="1868"/>
        <w:gridCol w:w="1867"/>
        <w:gridCol w:w="1869"/>
      </w:tblGrid>
      <w:tr w:rsidR="00ED32D3" w14:paraId="6B613335" w14:textId="77777777">
        <w:trPr>
          <w:trHeight w:val="261"/>
        </w:trPr>
        <w:tc>
          <w:tcPr>
            <w:tcW w:w="1162" w:type="pct"/>
            <w:tcBorders>
              <w:top w:val="single" w:sz="4" w:space="0" w:color="auto"/>
              <w:bottom w:val="single" w:sz="4" w:space="0" w:color="auto"/>
            </w:tcBorders>
            <w:shd w:val="clear" w:color="auto" w:fill="auto"/>
          </w:tcPr>
          <w:p w14:paraId="53FDE0C8" w14:textId="77777777" w:rsidR="00ED32D3" w:rsidRDefault="00F13C42">
            <w:pPr>
              <w:rPr>
                <w:rFonts w:ascii="Times New Roman" w:hAnsi="Times New Roman"/>
                <w:sz w:val="21"/>
                <w:szCs w:val="21"/>
              </w:rPr>
            </w:pPr>
            <w:r>
              <w:rPr>
                <w:rFonts w:ascii="Times New Roman" w:hAnsi="Times New Roman"/>
                <w:sz w:val="21"/>
                <w:szCs w:val="21"/>
              </w:rPr>
              <w:t>LULC type</w:t>
            </w:r>
          </w:p>
        </w:tc>
        <w:tc>
          <w:tcPr>
            <w:tcW w:w="959" w:type="pct"/>
            <w:tcBorders>
              <w:top w:val="single" w:sz="4" w:space="0" w:color="auto"/>
              <w:bottom w:val="single" w:sz="4" w:space="0" w:color="auto"/>
            </w:tcBorders>
            <w:shd w:val="clear" w:color="auto" w:fill="auto"/>
          </w:tcPr>
          <w:p w14:paraId="4DA529BA" w14:textId="77777777" w:rsidR="00ED32D3" w:rsidRDefault="00F13C42">
            <w:pPr>
              <w:rPr>
                <w:rFonts w:ascii="Times New Roman" w:hAnsi="Times New Roman"/>
                <w:sz w:val="21"/>
                <w:szCs w:val="21"/>
              </w:rPr>
            </w:pPr>
            <w:r>
              <w:rPr>
                <w:rFonts w:ascii="Times New Roman" w:hAnsi="Times New Roman"/>
                <w:sz w:val="21"/>
                <w:szCs w:val="21"/>
              </w:rPr>
              <w:t>Root_depth*</w:t>
            </w:r>
          </w:p>
        </w:tc>
        <w:tc>
          <w:tcPr>
            <w:tcW w:w="959" w:type="pct"/>
            <w:tcBorders>
              <w:top w:val="single" w:sz="4" w:space="0" w:color="auto"/>
              <w:bottom w:val="single" w:sz="4" w:space="0" w:color="auto"/>
            </w:tcBorders>
            <w:shd w:val="clear" w:color="auto" w:fill="auto"/>
          </w:tcPr>
          <w:p w14:paraId="543EB2F0" w14:textId="77777777" w:rsidR="00ED32D3" w:rsidRDefault="00F13C42">
            <w:pPr>
              <w:rPr>
                <w:rFonts w:ascii="Times New Roman" w:hAnsi="Times New Roman"/>
                <w:sz w:val="21"/>
                <w:szCs w:val="21"/>
              </w:rPr>
            </w:pPr>
            <w:r>
              <w:rPr>
                <w:rFonts w:ascii="Times New Roman" w:hAnsi="Times New Roman"/>
                <w:sz w:val="21"/>
                <w:szCs w:val="21"/>
              </w:rPr>
              <w:t>LULC_veg</w:t>
            </w:r>
          </w:p>
        </w:tc>
        <w:tc>
          <w:tcPr>
            <w:tcW w:w="959" w:type="pct"/>
            <w:tcBorders>
              <w:top w:val="single" w:sz="4" w:space="0" w:color="auto"/>
              <w:bottom w:val="single" w:sz="4" w:space="0" w:color="auto"/>
            </w:tcBorders>
            <w:shd w:val="clear" w:color="auto" w:fill="auto"/>
          </w:tcPr>
          <w:p w14:paraId="04639063" w14:textId="77777777" w:rsidR="00ED32D3" w:rsidRDefault="00F13C42">
            <w:pPr>
              <w:rPr>
                <w:rFonts w:ascii="Times New Roman" w:hAnsi="Times New Roman"/>
                <w:sz w:val="21"/>
                <w:szCs w:val="21"/>
              </w:rPr>
            </w:pPr>
            <w:r>
              <w:rPr>
                <w:rFonts w:ascii="Times New Roman" w:hAnsi="Times New Roman"/>
                <w:sz w:val="21"/>
                <w:szCs w:val="21"/>
              </w:rPr>
              <w:t>Kc</w:t>
            </w:r>
          </w:p>
        </w:tc>
        <w:tc>
          <w:tcPr>
            <w:tcW w:w="960" w:type="pct"/>
            <w:tcBorders>
              <w:top w:val="single" w:sz="4" w:space="0" w:color="auto"/>
              <w:bottom w:val="single" w:sz="4" w:space="0" w:color="auto"/>
            </w:tcBorders>
            <w:shd w:val="clear" w:color="auto" w:fill="auto"/>
          </w:tcPr>
          <w:p w14:paraId="7AA6C85B" w14:textId="77777777" w:rsidR="00ED32D3" w:rsidRDefault="00F13C42">
            <w:pPr>
              <w:rPr>
                <w:rFonts w:ascii="Times New Roman" w:hAnsi="Times New Roman"/>
                <w:sz w:val="21"/>
                <w:szCs w:val="21"/>
              </w:rPr>
            </w:pPr>
            <w:r>
              <w:rPr>
                <w:rFonts w:ascii="Times New Roman" w:hAnsi="Times New Roman"/>
                <w:sz w:val="21"/>
                <w:szCs w:val="21"/>
              </w:rPr>
              <w:t>Velocity</w:t>
            </w:r>
          </w:p>
        </w:tc>
      </w:tr>
      <w:tr w:rsidR="00ED32D3" w14:paraId="75B13D63" w14:textId="77777777">
        <w:trPr>
          <w:trHeight w:val="285"/>
        </w:trPr>
        <w:tc>
          <w:tcPr>
            <w:tcW w:w="1162" w:type="pct"/>
            <w:tcBorders>
              <w:top w:val="single" w:sz="4" w:space="0" w:color="auto"/>
            </w:tcBorders>
            <w:shd w:val="clear" w:color="auto" w:fill="auto"/>
          </w:tcPr>
          <w:p w14:paraId="0AF664AE" w14:textId="77777777" w:rsidR="00ED32D3" w:rsidRDefault="00F13C42">
            <w:pPr>
              <w:rPr>
                <w:rFonts w:ascii="Times New Roman" w:hAnsi="Times New Roman"/>
                <w:sz w:val="21"/>
                <w:szCs w:val="21"/>
              </w:rPr>
            </w:pPr>
            <w:r>
              <w:rPr>
                <w:rFonts w:ascii="Times New Roman" w:hAnsi="Times New Roman"/>
                <w:sz w:val="21"/>
                <w:szCs w:val="21"/>
              </w:rPr>
              <w:t>Cropland</w:t>
            </w:r>
          </w:p>
        </w:tc>
        <w:tc>
          <w:tcPr>
            <w:tcW w:w="959" w:type="pct"/>
            <w:tcBorders>
              <w:top w:val="single" w:sz="4" w:space="0" w:color="auto"/>
            </w:tcBorders>
            <w:shd w:val="clear" w:color="auto" w:fill="auto"/>
            <w:noWrap/>
          </w:tcPr>
          <w:p w14:paraId="29811465" w14:textId="77777777" w:rsidR="00ED32D3" w:rsidRDefault="00F13C42">
            <w:pPr>
              <w:rPr>
                <w:rFonts w:ascii="Times New Roman" w:hAnsi="Times New Roman"/>
                <w:sz w:val="21"/>
                <w:szCs w:val="21"/>
              </w:rPr>
            </w:pPr>
            <w:r>
              <w:rPr>
                <w:rFonts w:ascii="Times New Roman" w:hAnsi="Times New Roman" w:hint="eastAsia"/>
                <w:sz w:val="21"/>
                <w:szCs w:val="21"/>
              </w:rPr>
              <w:t>700</w:t>
            </w:r>
          </w:p>
        </w:tc>
        <w:tc>
          <w:tcPr>
            <w:tcW w:w="959" w:type="pct"/>
            <w:tcBorders>
              <w:top w:val="single" w:sz="4" w:space="0" w:color="auto"/>
            </w:tcBorders>
            <w:shd w:val="clear" w:color="auto" w:fill="auto"/>
          </w:tcPr>
          <w:p w14:paraId="57F82E79" w14:textId="77777777" w:rsidR="00ED32D3" w:rsidRDefault="00F13C42">
            <w:pPr>
              <w:rPr>
                <w:rFonts w:ascii="Times New Roman" w:hAnsi="Times New Roman"/>
                <w:sz w:val="21"/>
                <w:szCs w:val="21"/>
              </w:rPr>
            </w:pPr>
            <w:r>
              <w:rPr>
                <w:rFonts w:ascii="Times New Roman" w:hAnsi="Times New Roman"/>
                <w:sz w:val="21"/>
                <w:szCs w:val="21"/>
              </w:rPr>
              <w:t>1</w:t>
            </w:r>
          </w:p>
        </w:tc>
        <w:tc>
          <w:tcPr>
            <w:tcW w:w="959" w:type="pct"/>
            <w:tcBorders>
              <w:top w:val="single" w:sz="4" w:space="0" w:color="auto"/>
            </w:tcBorders>
            <w:shd w:val="clear" w:color="auto" w:fill="auto"/>
          </w:tcPr>
          <w:p w14:paraId="671BB23E" w14:textId="77777777" w:rsidR="00ED32D3" w:rsidRDefault="00F13C42">
            <w:pPr>
              <w:rPr>
                <w:rFonts w:ascii="Times New Roman" w:hAnsi="Times New Roman"/>
                <w:sz w:val="21"/>
                <w:szCs w:val="21"/>
              </w:rPr>
            </w:pPr>
            <w:r>
              <w:rPr>
                <w:rFonts w:ascii="Times New Roman" w:hAnsi="Times New Roman"/>
                <w:sz w:val="21"/>
                <w:szCs w:val="21"/>
              </w:rPr>
              <w:t>0.</w:t>
            </w:r>
            <w:r>
              <w:rPr>
                <w:rFonts w:ascii="Times New Roman" w:hAnsi="Times New Roman" w:hint="eastAsia"/>
                <w:sz w:val="21"/>
                <w:szCs w:val="21"/>
              </w:rPr>
              <w:t>8</w:t>
            </w:r>
          </w:p>
        </w:tc>
        <w:tc>
          <w:tcPr>
            <w:tcW w:w="960" w:type="pct"/>
            <w:tcBorders>
              <w:top w:val="single" w:sz="4" w:space="0" w:color="auto"/>
            </w:tcBorders>
            <w:shd w:val="clear" w:color="auto" w:fill="auto"/>
          </w:tcPr>
          <w:p w14:paraId="2C91F002" w14:textId="77777777" w:rsidR="00ED32D3" w:rsidRDefault="00F13C42">
            <w:pPr>
              <w:rPr>
                <w:rFonts w:ascii="Times New Roman" w:hAnsi="Times New Roman"/>
                <w:sz w:val="21"/>
                <w:szCs w:val="21"/>
              </w:rPr>
            </w:pPr>
            <w:r>
              <w:rPr>
                <w:rFonts w:ascii="Times New Roman" w:hAnsi="Times New Roman"/>
                <w:sz w:val="21"/>
                <w:szCs w:val="21"/>
              </w:rPr>
              <w:t>900</w:t>
            </w:r>
          </w:p>
        </w:tc>
      </w:tr>
      <w:tr w:rsidR="00ED32D3" w14:paraId="47D7A731" w14:textId="77777777">
        <w:trPr>
          <w:trHeight w:val="285"/>
        </w:trPr>
        <w:tc>
          <w:tcPr>
            <w:tcW w:w="1162" w:type="pct"/>
            <w:shd w:val="clear" w:color="auto" w:fill="auto"/>
          </w:tcPr>
          <w:p w14:paraId="2B8CF5CD" w14:textId="77777777" w:rsidR="00ED32D3" w:rsidRDefault="00F13C42">
            <w:pPr>
              <w:rPr>
                <w:rFonts w:ascii="Times New Roman" w:hAnsi="Times New Roman"/>
                <w:sz w:val="21"/>
                <w:szCs w:val="21"/>
              </w:rPr>
            </w:pPr>
            <w:r>
              <w:rPr>
                <w:rFonts w:ascii="Times New Roman" w:hAnsi="Times New Roman"/>
                <w:sz w:val="21"/>
                <w:szCs w:val="21"/>
              </w:rPr>
              <w:t>Woodland</w:t>
            </w:r>
          </w:p>
        </w:tc>
        <w:tc>
          <w:tcPr>
            <w:tcW w:w="959" w:type="pct"/>
            <w:shd w:val="clear" w:color="auto" w:fill="auto"/>
            <w:noWrap/>
          </w:tcPr>
          <w:p w14:paraId="59BE969B" w14:textId="77777777" w:rsidR="00ED32D3" w:rsidRDefault="00F13C42">
            <w:pPr>
              <w:rPr>
                <w:rFonts w:ascii="Times New Roman" w:hAnsi="Times New Roman"/>
                <w:sz w:val="21"/>
                <w:szCs w:val="21"/>
              </w:rPr>
            </w:pPr>
            <w:r>
              <w:rPr>
                <w:rFonts w:ascii="Times New Roman" w:hAnsi="Times New Roman" w:hint="eastAsia"/>
                <w:sz w:val="21"/>
                <w:szCs w:val="21"/>
              </w:rPr>
              <w:t>7000</w:t>
            </w:r>
          </w:p>
        </w:tc>
        <w:tc>
          <w:tcPr>
            <w:tcW w:w="959" w:type="pct"/>
            <w:shd w:val="clear" w:color="auto" w:fill="auto"/>
          </w:tcPr>
          <w:p w14:paraId="7FA4B00A" w14:textId="77777777" w:rsidR="00ED32D3" w:rsidRDefault="00F13C42">
            <w:pPr>
              <w:rPr>
                <w:rFonts w:ascii="Times New Roman" w:hAnsi="Times New Roman"/>
                <w:sz w:val="21"/>
                <w:szCs w:val="21"/>
              </w:rPr>
            </w:pPr>
            <w:r>
              <w:rPr>
                <w:rFonts w:ascii="Times New Roman" w:hAnsi="Times New Roman"/>
                <w:sz w:val="21"/>
                <w:szCs w:val="21"/>
              </w:rPr>
              <w:t>1</w:t>
            </w:r>
          </w:p>
        </w:tc>
        <w:tc>
          <w:tcPr>
            <w:tcW w:w="959" w:type="pct"/>
            <w:shd w:val="clear" w:color="auto" w:fill="auto"/>
          </w:tcPr>
          <w:p w14:paraId="6C0279E0" w14:textId="77777777" w:rsidR="00ED32D3" w:rsidRDefault="00F13C42">
            <w:pPr>
              <w:rPr>
                <w:rFonts w:ascii="Times New Roman" w:hAnsi="Times New Roman"/>
                <w:sz w:val="21"/>
                <w:szCs w:val="21"/>
              </w:rPr>
            </w:pPr>
            <w:r>
              <w:rPr>
                <w:rFonts w:ascii="Times New Roman" w:hAnsi="Times New Roman"/>
                <w:sz w:val="21"/>
                <w:szCs w:val="21"/>
              </w:rPr>
              <w:t>1</w:t>
            </w:r>
          </w:p>
        </w:tc>
        <w:tc>
          <w:tcPr>
            <w:tcW w:w="960" w:type="pct"/>
            <w:shd w:val="clear" w:color="auto" w:fill="auto"/>
          </w:tcPr>
          <w:p w14:paraId="360A6529" w14:textId="77777777" w:rsidR="00ED32D3" w:rsidRDefault="00F13C42">
            <w:pPr>
              <w:rPr>
                <w:rFonts w:ascii="Times New Roman" w:hAnsi="Times New Roman"/>
                <w:sz w:val="21"/>
                <w:szCs w:val="21"/>
              </w:rPr>
            </w:pPr>
            <w:r>
              <w:rPr>
                <w:rFonts w:ascii="Times New Roman" w:hAnsi="Times New Roman"/>
                <w:sz w:val="21"/>
                <w:szCs w:val="21"/>
              </w:rPr>
              <w:t>2</w:t>
            </w:r>
            <w:r>
              <w:rPr>
                <w:rFonts w:ascii="Times New Roman" w:hAnsi="Times New Roman" w:hint="eastAsia"/>
                <w:sz w:val="21"/>
                <w:szCs w:val="21"/>
              </w:rPr>
              <w:t>00</w:t>
            </w:r>
          </w:p>
        </w:tc>
      </w:tr>
      <w:tr w:rsidR="00ED32D3" w14:paraId="3C1D3FDE" w14:textId="77777777">
        <w:trPr>
          <w:trHeight w:val="285"/>
        </w:trPr>
        <w:tc>
          <w:tcPr>
            <w:tcW w:w="1162" w:type="pct"/>
            <w:shd w:val="clear" w:color="auto" w:fill="auto"/>
          </w:tcPr>
          <w:p w14:paraId="3735DFB6" w14:textId="77777777" w:rsidR="00ED32D3" w:rsidRDefault="00F13C42">
            <w:pPr>
              <w:rPr>
                <w:rFonts w:ascii="Times New Roman" w:hAnsi="Times New Roman"/>
                <w:sz w:val="21"/>
                <w:szCs w:val="21"/>
              </w:rPr>
            </w:pPr>
            <w:r>
              <w:rPr>
                <w:rFonts w:ascii="Times New Roman" w:hAnsi="Times New Roman"/>
                <w:sz w:val="21"/>
                <w:szCs w:val="21"/>
              </w:rPr>
              <w:t>Grassland</w:t>
            </w:r>
          </w:p>
        </w:tc>
        <w:tc>
          <w:tcPr>
            <w:tcW w:w="959" w:type="pct"/>
            <w:shd w:val="clear" w:color="auto" w:fill="auto"/>
            <w:noWrap/>
          </w:tcPr>
          <w:p w14:paraId="28D42BF3" w14:textId="77777777" w:rsidR="00ED32D3" w:rsidRDefault="00F13C42">
            <w:pPr>
              <w:rPr>
                <w:rFonts w:ascii="Times New Roman" w:hAnsi="Times New Roman"/>
                <w:sz w:val="21"/>
                <w:szCs w:val="21"/>
              </w:rPr>
            </w:pPr>
            <w:r>
              <w:rPr>
                <w:rFonts w:ascii="Times New Roman" w:hAnsi="Times New Roman" w:hint="eastAsia"/>
                <w:sz w:val="21"/>
                <w:szCs w:val="21"/>
              </w:rPr>
              <w:t>250</w:t>
            </w:r>
          </w:p>
        </w:tc>
        <w:tc>
          <w:tcPr>
            <w:tcW w:w="959" w:type="pct"/>
            <w:shd w:val="clear" w:color="auto" w:fill="auto"/>
          </w:tcPr>
          <w:p w14:paraId="6EA6D327" w14:textId="77777777" w:rsidR="00ED32D3" w:rsidRDefault="00F13C42">
            <w:pPr>
              <w:rPr>
                <w:rFonts w:ascii="Times New Roman" w:hAnsi="Times New Roman"/>
                <w:sz w:val="21"/>
                <w:szCs w:val="21"/>
              </w:rPr>
            </w:pPr>
            <w:r>
              <w:rPr>
                <w:rFonts w:ascii="Times New Roman" w:hAnsi="Times New Roman"/>
                <w:sz w:val="21"/>
                <w:szCs w:val="21"/>
              </w:rPr>
              <w:t>1</w:t>
            </w:r>
          </w:p>
        </w:tc>
        <w:tc>
          <w:tcPr>
            <w:tcW w:w="959" w:type="pct"/>
            <w:shd w:val="clear" w:color="auto" w:fill="auto"/>
          </w:tcPr>
          <w:p w14:paraId="10FF831F" w14:textId="77777777" w:rsidR="00ED32D3" w:rsidRDefault="00F13C42">
            <w:pPr>
              <w:rPr>
                <w:rFonts w:ascii="Times New Roman" w:hAnsi="Times New Roman"/>
                <w:sz w:val="21"/>
                <w:szCs w:val="21"/>
              </w:rPr>
            </w:pPr>
            <w:r>
              <w:rPr>
                <w:rFonts w:ascii="Times New Roman" w:hAnsi="Times New Roman"/>
                <w:sz w:val="21"/>
                <w:szCs w:val="21"/>
              </w:rPr>
              <w:t>0.</w:t>
            </w:r>
            <w:r>
              <w:rPr>
                <w:rFonts w:ascii="Times New Roman" w:hAnsi="Times New Roman" w:hint="eastAsia"/>
                <w:sz w:val="21"/>
                <w:szCs w:val="21"/>
              </w:rPr>
              <w:t>7</w:t>
            </w:r>
          </w:p>
        </w:tc>
        <w:tc>
          <w:tcPr>
            <w:tcW w:w="960" w:type="pct"/>
            <w:shd w:val="clear" w:color="auto" w:fill="auto"/>
          </w:tcPr>
          <w:p w14:paraId="3555EACB" w14:textId="77777777" w:rsidR="00ED32D3" w:rsidRDefault="00F13C42">
            <w:pPr>
              <w:rPr>
                <w:rFonts w:ascii="Times New Roman" w:hAnsi="Times New Roman"/>
                <w:sz w:val="21"/>
                <w:szCs w:val="21"/>
              </w:rPr>
            </w:pPr>
            <w:r>
              <w:rPr>
                <w:rFonts w:ascii="Times New Roman" w:hAnsi="Times New Roman"/>
                <w:sz w:val="21"/>
                <w:szCs w:val="21"/>
              </w:rPr>
              <w:t>500</w:t>
            </w:r>
          </w:p>
        </w:tc>
      </w:tr>
      <w:tr w:rsidR="00ED32D3" w14:paraId="086D95FD" w14:textId="77777777">
        <w:trPr>
          <w:trHeight w:val="285"/>
        </w:trPr>
        <w:tc>
          <w:tcPr>
            <w:tcW w:w="1162" w:type="pct"/>
            <w:shd w:val="clear" w:color="auto" w:fill="auto"/>
          </w:tcPr>
          <w:p w14:paraId="4928047C" w14:textId="77777777" w:rsidR="00ED32D3" w:rsidRDefault="00F13C42">
            <w:pPr>
              <w:rPr>
                <w:rFonts w:ascii="Times New Roman" w:hAnsi="Times New Roman"/>
                <w:sz w:val="21"/>
                <w:szCs w:val="21"/>
              </w:rPr>
            </w:pPr>
            <w:r>
              <w:rPr>
                <w:rFonts w:ascii="Times New Roman" w:hAnsi="Times New Roman"/>
                <w:sz w:val="21"/>
                <w:szCs w:val="21"/>
              </w:rPr>
              <w:t>Water body</w:t>
            </w:r>
          </w:p>
        </w:tc>
        <w:tc>
          <w:tcPr>
            <w:tcW w:w="959" w:type="pct"/>
            <w:shd w:val="clear" w:color="auto" w:fill="auto"/>
            <w:noWrap/>
          </w:tcPr>
          <w:p w14:paraId="1F40E4E9" w14:textId="77777777" w:rsidR="00ED32D3" w:rsidRDefault="00F13C42">
            <w:pPr>
              <w:rPr>
                <w:rFonts w:ascii="Times New Roman" w:hAnsi="Times New Roman"/>
                <w:sz w:val="21"/>
                <w:szCs w:val="21"/>
              </w:rPr>
            </w:pPr>
            <w:r>
              <w:rPr>
                <w:rFonts w:ascii="Times New Roman" w:hAnsi="Times New Roman"/>
                <w:sz w:val="21"/>
                <w:szCs w:val="21"/>
              </w:rPr>
              <w:t>1000</w:t>
            </w:r>
          </w:p>
        </w:tc>
        <w:tc>
          <w:tcPr>
            <w:tcW w:w="959" w:type="pct"/>
            <w:shd w:val="clear" w:color="auto" w:fill="auto"/>
          </w:tcPr>
          <w:p w14:paraId="179A8CA6" w14:textId="77777777" w:rsidR="00ED32D3" w:rsidRDefault="00F13C42">
            <w:pPr>
              <w:rPr>
                <w:rFonts w:ascii="Times New Roman" w:hAnsi="Times New Roman"/>
                <w:sz w:val="21"/>
                <w:szCs w:val="21"/>
              </w:rPr>
            </w:pPr>
            <w:r>
              <w:rPr>
                <w:rFonts w:ascii="Times New Roman" w:hAnsi="Times New Roman"/>
                <w:sz w:val="21"/>
                <w:szCs w:val="21"/>
              </w:rPr>
              <w:t>0</w:t>
            </w:r>
          </w:p>
        </w:tc>
        <w:tc>
          <w:tcPr>
            <w:tcW w:w="959" w:type="pct"/>
            <w:shd w:val="clear" w:color="auto" w:fill="auto"/>
          </w:tcPr>
          <w:p w14:paraId="1F127328" w14:textId="77777777" w:rsidR="00ED32D3" w:rsidRDefault="00F13C42">
            <w:pPr>
              <w:rPr>
                <w:rFonts w:ascii="Times New Roman" w:hAnsi="Times New Roman"/>
                <w:sz w:val="21"/>
                <w:szCs w:val="21"/>
              </w:rPr>
            </w:pPr>
            <w:r>
              <w:rPr>
                <w:rFonts w:ascii="Times New Roman" w:hAnsi="Times New Roman"/>
                <w:sz w:val="21"/>
                <w:szCs w:val="21"/>
              </w:rPr>
              <w:t>1.2</w:t>
            </w:r>
          </w:p>
        </w:tc>
        <w:tc>
          <w:tcPr>
            <w:tcW w:w="960" w:type="pct"/>
            <w:shd w:val="clear" w:color="auto" w:fill="auto"/>
          </w:tcPr>
          <w:p w14:paraId="21D87783" w14:textId="77777777" w:rsidR="00ED32D3" w:rsidRDefault="00F13C42">
            <w:pPr>
              <w:rPr>
                <w:rFonts w:ascii="Times New Roman" w:hAnsi="Times New Roman"/>
                <w:sz w:val="21"/>
                <w:szCs w:val="21"/>
              </w:rPr>
            </w:pPr>
            <w:r>
              <w:rPr>
                <w:rFonts w:ascii="Times New Roman" w:hAnsi="Times New Roman"/>
                <w:sz w:val="21"/>
                <w:szCs w:val="21"/>
              </w:rPr>
              <w:t>2012</w:t>
            </w:r>
          </w:p>
        </w:tc>
      </w:tr>
      <w:tr w:rsidR="00ED32D3" w14:paraId="63D0361B" w14:textId="77777777">
        <w:trPr>
          <w:trHeight w:val="285"/>
        </w:trPr>
        <w:tc>
          <w:tcPr>
            <w:tcW w:w="1162" w:type="pct"/>
            <w:shd w:val="clear" w:color="auto" w:fill="auto"/>
          </w:tcPr>
          <w:p w14:paraId="6F1FC3A1" w14:textId="77777777" w:rsidR="00ED32D3" w:rsidRDefault="00F13C42">
            <w:pPr>
              <w:rPr>
                <w:rFonts w:ascii="Times New Roman" w:hAnsi="Times New Roman"/>
                <w:sz w:val="21"/>
                <w:szCs w:val="21"/>
              </w:rPr>
            </w:pPr>
            <w:r>
              <w:rPr>
                <w:rFonts w:ascii="Times New Roman" w:hAnsi="Times New Roman"/>
                <w:sz w:val="21"/>
                <w:szCs w:val="21"/>
              </w:rPr>
              <w:t>Built-up land</w:t>
            </w:r>
          </w:p>
        </w:tc>
        <w:tc>
          <w:tcPr>
            <w:tcW w:w="959" w:type="pct"/>
            <w:shd w:val="clear" w:color="auto" w:fill="auto"/>
            <w:noWrap/>
          </w:tcPr>
          <w:p w14:paraId="30A0E496" w14:textId="77777777" w:rsidR="00ED32D3" w:rsidRDefault="00F13C42">
            <w:pPr>
              <w:rPr>
                <w:rFonts w:ascii="Times New Roman" w:hAnsi="Times New Roman"/>
                <w:sz w:val="21"/>
                <w:szCs w:val="21"/>
              </w:rPr>
            </w:pPr>
            <w:r>
              <w:rPr>
                <w:rFonts w:ascii="Times New Roman" w:hAnsi="Times New Roman"/>
                <w:sz w:val="21"/>
                <w:szCs w:val="21"/>
              </w:rPr>
              <w:t>5</w:t>
            </w:r>
            <w:r>
              <w:rPr>
                <w:rFonts w:ascii="Times New Roman" w:hAnsi="Times New Roman" w:hint="eastAsia"/>
                <w:sz w:val="21"/>
                <w:szCs w:val="21"/>
              </w:rPr>
              <w:t>0</w:t>
            </w:r>
            <w:r>
              <w:rPr>
                <w:rFonts w:ascii="Times New Roman" w:hAnsi="Times New Roman"/>
                <w:sz w:val="21"/>
                <w:szCs w:val="21"/>
              </w:rPr>
              <w:t>0</w:t>
            </w:r>
          </w:p>
        </w:tc>
        <w:tc>
          <w:tcPr>
            <w:tcW w:w="959" w:type="pct"/>
            <w:shd w:val="clear" w:color="auto" w:fill="auto"/>
          </w:tcPr>
          <w:p w14:paraId="276E13F4" w14:textId="77777777" w:rsidR="00ED32D3" w:rsidRDefault="00F13C42">
            <w:pPr>
              <w:rPr>
                <w:rFonts w:ascii="Times New Roman" w:hAnsi="Times New Roman"/>
                <w:sz w:val="21"/>
                <w:szCs w:val="21"/>
              </w:rPr>
            </w:pPr>
            <w:r>
              <w:rPr>
                <w:rFonts w:ascii="Times New Roman" w:hAnsi="Times New Roman"/>
                <w:sz w:val="21"/>
                <w:szCs w:val="21"/>
              </w:rPr>
              <w:t>0</w:t>
            </w:r>
          </w:p>
        </w:tc>
        <w:tc>
          <w:tcPr>
            <w:tcW w:w="959" w:type="pct"/>
            <w:shd w:val="clear" w:color="auto" w:fill="auto"/>
          </w:tcPr>
          <w:p w14:paraId="450039BA" w14:textId="77777777" w:rsidR="00ED32D3" w:rsidRDefault="00F13C42">
            <w:pPr>
              <w:rPr>
                <w:rFonts w:ascii="Times New Roman" w:hAnsi="Times New Roman"/>
                <w:sz w:val="21"/>
                <w:szCs w:val="21"/>
              </w:rPr>
            </w:pPr>
            <w:r>
              <w:rPr>
                <w:rFonts w:ascii="Times New Roman" w:hAnsi="Times New Roman"/>
                <w:sz w:val="21"/>
                <w:szCs w:val="21"/>
              </w:rPr>
              <w:t>0.4</w:t>
            </w:r>
          </w:p>
        </w:tc>
        <w:tc>
          <w:tcPr>
            <w:tcW w:w="960" w:type="pct"/>
            <w:shd w:val="clear" w:color="auto" w:fill="auto"/>
          </w:tcPr>
          <w:p w14:paraId="34B3765A" w14:textId="77777777" w:rsidR="00ED32D3" w:rsidRDefault="00F13C42">
            <w:pPr>
              <w:rPr>
                <w:rFonts w:ascii="Times New Roman" w:hAnsi="Times New Roman"/>
                <w:sz w:val="21"/>
                <w:szCs w:val="21"/>
              </w:rPr>
            </w:pPr>
            <w:r>
              <w:rPr>
                <w:rFonts w:ascii="Times New Roman" w:hAnsi="Times New Roman"/>
                <w:sz w:val="21"/>
                <w:szCs w:val="21"/>
              </w:rPr>
              <w:t>2012</w:t>
            </w:r>
          </w:p>
        </w:tc>
      </w:tr>
      <w:tr w:rsidR="00ED32D3" w14:paraId="25B83CDF" w14:textId="77777777">
        <w:trPr>
          <w:trHeight w:val="285"/>
        </w:trPr>
        <w:tc>
          <w:tcPr>
            <w:tcW w:w="1162" w:type="pct"/>
            <w:shd w:val="clear" w:color="auto" w:fill="auto"/>
          </w:tcPr>
          <w:p w14:paraId="45B89ABA" w14:textId="77777777" w:rsidR="00ED32D3" w:rsidRDefault="00F13C42">
            <w:pPr>
              <w:rPr>
                <w:rFonts w:ascii="Times New Roman" w:hAnsi="Times New Roman"/>
                <w:sz w:val="21"/>
                <w:szCs w:val="21"/>
              </w:rPr>
            </w:pPr>
            <w:r>
              <w:rPr>
                <w:rFonts w:ascii="Times New Roman" w:hAnsi="Times New Roman"/>
                <w:sz w:val="21"/>
                <w:szCs w:val="21"/>
              </w:rPr>
              <w:t>Unused land</w:t>
            </w:r>
          </w:p>
        </w:tc>
        <w:tc>
          <w:tcPr>
            <w:tcW w:w="959" w:type="pct"/>
            <w:shd w:val="clear" w:color="auto" w:fill="auto"/>
            <w:noWrap/>
          </w:tcPr>
          <w:p w14:paraId="5614A125" w14:textId="77777777" w:rsidR="00ED32D3" w:rsidRDefault="00F13C42">
            <w:pPr>
              <w:rPr>
                <w:rFonts w:ascii="Times New Roman" w:hAnsi="Times New Roman"/>
                <w:sz w:val="21"/>
                <w:szCs w:val="21"/>
              </w:rPr>
            </w:pPr>
            <w:r>
              <w:rPr>
                <w:rFonts w:ascii="Times New Roman" w:hAnsi="Times New Roman"/>
                <w:sz w:val="21"/>
                <w:szCs w:val="21"/>
              </w:rPr>
              <w:t>500</w:t>
            </w:r>
          </w:p>
        </w:tc>
        <w:tc>
          <w:tcPr>
            <w:tcW w:w="959" w:type="pct"/>
            <w:shd w:val="clear" w:color="auto" w:fill="auto"/>
          </w:tcPr>
          <w:p w14:paraId="7076DE88" w14:textId="77777777" w:rsidR="00ED32D3" w:rsidRDefault="00F13C42">
            <w:pPr>
              <w:rPr>
                <w:rFonts w:ascii="Times New Roman" w:hAnsi="Times New Roman"/>
                <w:sz w:val="21"/>
                <w:szCs w:val="21"/>
              </w:rPr>
            </w:pPr>
            <w:r>
              <w:rPr>
                <w:rFonts w:ascii="Times New Roman" w:hAnsi="Times New Roman"/>
                <w:sz w:val="21"/>
                <w:szCs w:val="21"/>
              </w:rPr>
              <w:t>1</w:t>
            </w:r>
          </w:p>
        </w:tc>
        <w:tc>
          <w:tcPr>
            <w:tcW w:w="959" w:type="pct"/>
            <w:shd w:val="clear" w:color="auto" w:fill="auto"/>
          </w:tcPr>
          <w:p w14:paraId="1B43FC4C" w14:textId="77777777" w:rsidR="00ED32D3" w:rsidRDefault="00F13C42">
            <w:pPr>
              <w:rPr>
                <w:rFonts w:ascii="Times New Roman" w:hAnsi="Times New Roman"/>
                <w:sz w:val="21"/>
                <w:szCs w:val="21"/>
              </w:rPr>
            </w:pPr>
            <w:r>
              <w:rPr>
                <w:rFonts w:ascii="Times New Roman" w:hAnsi="Times New Roman"/>
                <w:sz w:val="21"/>
                <w:szCs w:val="21"/>
              </w:rPr>
              <w:t>0.</w:t>
            </w:r>
            <w:r>
              <w:rPr>
                <w:rFonts w:ascii="Times New Roman" w:hAnsi="Times New Roman" w:hint="eastAsia"/>
                <w:sz w:val="21"/>
                <w:szCs w:val="21"/>
              </w:rPr>
              <w:t>5</w:t>
            </w:r>
          </w:p>
        </w:tc>
        <w:tc>
          <w:tcPr>
            <w:tcW w:w="960" w:type="pct"/>
            <w:shd w:val="clear" w:color="auto" w:fill="auto"/>
          </w:tcPr>
          <w:p w14:paraId="1A32B0E0" w14:textId="77777777" w:rsidR="00ED32D3" w:rsidRDefault="00F13C42">
            <w:pPr>
              <w:rPr>
                <w:rFonts w:ascii="Times New Roman" w:hAnsi="Times New Roman"/>
                <w:sz w:val="21"/>
                <w:szCs w:val="21"/>
              </w:rPr>
            </w:pPr>
            <w:r>
              <w:rPr>
                <w:rFonts w:ascii="Times New Roman" w:hAnsi="Times New Roman"/>
                <w:sz w:val="21"/>
                <w:szCs w:val="21"/>
              </w:rPr>
              <w:t>1500</w:t>
            </w:r>
          </w:p>
        </w:tc>
      </w:tr>
    </w:tbl>
    <w:p w14:paraId="24A4198E" w14:textId="77777777" w:rsidR="00ED32D3" w:rsidRDefault="00F13C42">
      <w:pPr>
        <w:spacing w:beforeLines="50" w:before="163" w:afterLines="50" w:after="163" w:line="480" w:lineRule="auto"/>
        <w:jc w:val="both"/>
        <w:outlineLvl w:val="1"/>
        <w:rPr>
          <w:rFonts w:ascii="Times New Roman" w:hAnsi="Times New Roman" w:cs="Times New Roman"/>
          <w:b/>
        </w:rPr>
      </w:pPr>
      <w:r>
        <w:rPr>
          <w:rFonts w:ascii="Times New Roman" w:hAnsi="Times New Roman" w:cs="Times New Roman" w:hint="eastAsia"/>
          <w:b/>
        </w:rPr>
        <w:t>5</w:t>
      </w:r>
      <w:r>
        <w:rPr>
          <w:rFonts w:ascii="Times New Roman" w:hAnsi="Times New Roman" w:cs="Times New Roman"/>
          <w:b/>
        </w:rPr>
        <w:t xml:space="preserve"> Soil conservation</w:t>
      </w:r>
      <w:r>
        <w:rPr>
          <w:rFonts w:ascii="Times New Roman" w:hAnsi="Times New Roman" w:cs="Times New Roman" w:hint="eastAsia"/>
          <w:b/>
        </w:rPr>
        <w:t>(SC)</w:t>
      </w:r>
    </w:p>
    <w:p w14:paraId="46752F28" w14:textId="6ADB3ABF" w:rsidR="00ED32D3" w:rsidRDefault="00F13C42">
      <w:pPr>
        <w:spacing w:line="360" w:lineRule="auto"/>
        <w:ind w:firstLineChars="200" w:firstLine="480"/>
        <w:jc w:val="both"/>
        <w:rPr>
          <w:rFonts w:ascii="Times New Roman" w:hAnsi="Times New Roman" w:cs="Times New Roman"/>
        </w:rPr>
      </w:pPr>
      <w:r>
        <w:rPr>
          <w:rFonts w:ascii="Times New Roman" w:hAnsi="Times New Roman" w:cs="Times New Roman"/>
        </w:rPr>
        <w:t>Soil conservation services are assessed using the InVEST sediment retention model. In the model, sediment retention is equal to the sum of the sediment intercepted by the parcel itself and intercepted from the upstream parcel</w:t>
      </w:r>
      <w:r w:rsidR="007F3FB1">
        <w:rPr>
          <w:rFonts w:ascii="Times New Roman" w:hAnsi="Times New Roman" w:cs="Times New Roman" w:hint="eastAsia"/>
        </w:rPr>
        <w:t xml:space="preserve"> </w:t>
      </w:r>
      <w:r w:rsidR="007F3FB1" w:rsidRPr="00154A3B">
        <w:rPr>
          <w:rFonts w:ascii="Times New Roman" w:hAnsi="Times New Roman" w:cs="Times New Roman"/>
          <w:color w:val="0000FF"/>
        </w:rPr>
        <w:fldChar w:fldCharType="begin"/>
      </w:r>
      <w:r w:rsidR="00154A3B" w:rsidRPr="00154A3B">
        <w:rPr>
          <w:rFonts w:ascii="Times New Roman" w:hAnsi="Times New Roman" w:cs="Times New Roman"/>
          <w:color w:val="0000FF"/>
        </w:rPr>
        <w:instrText xml:space="preserve"> ADDIN ZOTERO_ITEM CSL_CITATION {"citationID":"DJkkYPBt","properties":{"formattedCitation":"\\super 20\\uc0\\u8211{}22\\nosupersub{}","plainCitation":"20–22","noteIndex":0},"citationItems":[{"id":321,"uris":["http://zotero.org/users/14180859/items/7N2XQ525"],"itemData":{"id":321,"type":"article-journal","abstract":"This study aimed to quantitatively describe the ecosystem services of soda saline-alkali grasslands based on literature research, the InVEST model, a  transition matrix, and Spearman's correlation analysis. The chosen methodology  could provide insight into the relationships between different services to  provide empirical evidence for decision-making concerning the protection and  restoration of saline-alkali grasslands. The research provided several insights  into the ecological situation in western Jilin Province. First, the area of  saline-alkali grassland in western Jilin Province had noticeably decreased from  1990 to 2018. Moreover, the threat of grassland degradation in western Jilin  Province has increased year by year, and has become the main problem facing the  ecological environment of this region. Second, the results demonstrated how the  amount of grassland area, and coverage, are intricately linked to the provided  ecosystem services, and maintaining the stability of ecosystem services is the  basis for future efforts to increase grassland area and coverage. A trade-off  relationship exists between water supply services and other ecosystem services,  which indirectly confirms a climatic cause for grassland salinization in western  Jilin Province. The analyses identified various types of grassland ecosystem  service hotspots, but the share of hotspots representing all four assessed  ecosystem services was small; this indicates that the grassland ecosystem of  western Jilin Province is of generally poor quality. In conclusion, increasing  grassland salinization has reduced vegetation coverage, which leads to the  degradation of the grassland ecosystem and, in turn, affects the relationships  between various ecosystem services.","call-number":"3","container-title":"International journal of environmental research and public health","DOI":"10.3390/ijerph19084760","ISSN":"1660-4601 1661-7827","issue":"8","journalAbbreviation":"Int J Environ Res Public Health","language":"eng","note":"publisher-place: Switzerland\nPMID: 35457625 \nPMCID: PMC9027887","source":"4.614","title":"Quantifying the Ecosystem Services of Soda Saline-Alkali Grasslands in Western Jilin Province, NE China.","volume":"19","author":[{"family":"Chang","given":"Lei"},{"family":"Zhao","given":"Zhibo"},{"family":"Jiang","given":"Lixin"},{"family":"Li","given":"Yuefen"}],"issued":{"date-parts":[["2022",4,14]]}}},{"id":318,"uris":["http://zotero.org/users/14180859/items/QPYG53HF"],"itemData":{"id":318,"type":"article-journal","abstract":"The Loess Plateau of China is one of the most severe soil and water loss areas in the world. Since 1999, the Grain to Green Program (GTGP) has been implemented in  the region. This study aimed to analyze spatial and temporal variations of  ecosystem services from 2000 to 2015 to assess the effects of the GTGP, including  carbon sequestration, water regulation, soil conservation and sand fixation.  During the study period, the area of forest land and grassland significantly  expanded, while the area of farmland decreased sharply. Ecosystem services showed  an overall improvement with localized deterioration. Carbon sequestration, water  regulation and soil conservation increased substantially. Sand fixation showed a  decreasing trend mainly because of decreased wind speeds. There were synergies  between carbon sequestration and water regulation, and tradeoffs between soil  conservation and sand fixation. It was concluded that ecological projects have  contributed significantly to the rehabilitation of the fragile ecosystems of this  region. To make these projects more successful and sustainable, long-term  management procedures are necessary to maintain and consolidate the improvements.","call-number":"3","container-title":"PloS one","DOI":"10.1371/journal.pone.0209483","ISSN":"1932-6203","issue":"1","journalAbbreviation":"PLoS One","language":"eng","note":"publisher-place: United States\nPMID: 30689646 \nPMCID: PMC6349322","page":"e0209483","source":"3.752","title":"Ecosystem services changes between 2000 and 2015 in the Loess Plateau, China: A response to ecological restoration.","volume":"14","author":[{"family":"Wu","given":"Dan"},{"family":"Zou","given":"Changxin"},{"family":"Cao","given":"Wei"},{"family":"Xiao","given":"Tong"},{"family":"Gong","given":"Guoli"}],"issued":{"date-parts":[["2019"]]}}},{"id":319,"uris":["http://zotero.org/users/14180859/items/R7QURCEP"],"itemData":{"id":319,"type":"article-journal","abstract":"With the rapid advancement of urbanization and industrialization, the contradiction between the social economy and resources and the environment has  become increasingly prominent. On the basis of limited land resources, the way to  promote multi-objective comprehensive development such as economic, social  development and ecological and environmental protection through structure and  layout regulation, so as to maximize regional comprehensive benefits, is an  important task of current land spatial planning. Our aim is to obtain  land-use-change data in the study area using remote-sensing data inversion and  multiple-model simulation. Based on land suitability evaluation, we predict and  optimize the land use structure of the study area in 2030 and evaluate and  compare ecosystem services. Based on remote-sensing images and eco-environmental  data from 1985 to 2014 in the study area, land use/land cover change (LUCC) and  future simulation data were obtained by using supervised classification,  landscape metrics and the CA-Markov model. The ecosystem services were evaluated  by the InVEST model. The analytic hierarchy process (AHP) method was used to  evaluate the land suitability for LUCC. Finally, the LUCC in 2030 under two  different scenarios, Scenario_1 (prediction) and Scenario_2 (optimization), were  evaluated, and the ecosystem service functions were compared. In the last 30  years, the landscape in the study area has gradually fragmented, and the built-up  land has expanded rapidly, increased by one-third, mainly at the cost of  cropland, orchards and wasteland. According to the suitability evaluation, giving  priority to the land use types with higher environmental requirements will ensure  the study area has a higher ecosystem service value. The rapid development of  urbanization has a far-reaching impact on regional LUCC. Intensive land resources  need reasonable and scientific land use planning, and land use planning should be  based on the suitability evaluation of land resources, which can improve the  regional ecosystem service function.","call-number":"3","container-title":"International journal of environmental research and public health","DOI":"10.3390/ijerph19042432","ISSN":"1660-4601 1661-7827","issue":"4","journalAbbreviation":"Int J Environ Res Public Health","language":"eng","note":"publisher-place: Switzerland\nPMID: 35206619 \nPMCID: PMC8872445","source":"4.614","title":"Spatio-Temporal Evolution, Prediction and Optimization of LUCC Based on CA-Markov and InVEST Models: A Case Study of Mentougou District, Beijing.","volume":"19","author":[{"family":"Yi","given":"Yang"},{"family":"Zhang","given":"Chen"},{"family":"Zhu","given":"Jinqi"},{"family":"Zhang","given":"Yugang"},{"family":"Sun","given":"Hao"},{"family":"Kang","given":"Hongzhang"}],"issued":{"date-parts":[["2022",2,19]]}},"label":"page"}],"schema":"https://github.com/citation-style-language/schema/raw/master/csl-citation.json"} </w:instrText>
      </w:r>
      <w:r w:rsidR="007F3FB1" w:rsidRPr="00154A3B">
        <w:rPr>
          <w:rFonts w:ascii="Times New Roman" w:hAnsi="Times New Roman" w:cs="Times New Roman"/>
          <w:color w:val="0000FF"/>
        </w:rPr>
        <w:fldChar w:fldCharType="separate"/>
      </w:r>
      <w:r w:rsidR="00154A3B" w:rsidRPr="00154A3B">
        <w:rPr>
          <w:rFonts w:ascii="Times New Roman" w:hAnsi="Times New Roman" w:cs="Times New Roman"/>
          <w:color w:val="0000FF"/>
          <w:vertAlign w:val="superscript"/>
        </w:rPr>
        <w:t>20–22</w:t>
      </w:r>
      <w:r w:rsidR="007F3FB1" w:rsidRPr="00154A3B">
        <w:rPr>
          <w:rFonts w:ascii="Times New Roman" w:hAnsi="Times New Roman" w:cs="Times New Roman"/>
          <w:color w:val="0000FF"/>
        </w:rPr>
        <w:fldChar w:fldCharType="end"/>
      </w:r>
      <w:r>
        <w:rPr>
          <w:rFonts w:ascii="Times New Roman" w:hAnsi="Times New Roman" w:cs="Times New Roman"/>
        </w:rPr>
        <w:t>, which can be expressed as:</w:t>
      </w:r>
    </w:p>
    <w:p w14:paraId="189EF1D1" w14:textId="77777777" w:rsidR="00ED32D3" w:rsidRDefault="00F13C42">
      <w:pPr>
        <w:tabs>
          <w:tab w:val="left" w:pos="9375"/>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1920" w:dyaOrig="360" w14:anchorId="51F2F9E9">
          <v:shape id="_x0000_i1043" type="#_x0000_t75" style="width:96pt;height:18.6pt" o:ole="">
            <v:imagedata r:id="rId44" o:title=""/>
          </v:shape>
          <o:OLEObject Type="Embed" ProgID="Equation.DSMT4" ShapeID="_x0000_i1043" DrawAspect="Content" ObjectID="_1804494626" r:id="rId45"/>
        </w:object>
      </w:r>
      <w:r>
        <w:rPr>
          <w:rFonts w:ascii="Times New Roman" w:hAnsi="Times New Roman" w:cs="Times New Roman"/>
          <w:position w:val="-28"/>
        </w:rPr>
        <w:tab/>
      </w:r>
      <w:r>
        <w:rPr>
          <w:rFonts w:ascii="Times New Roman" w:hAnsi="Times New Roman" w:cs="Times New Roman" w:hint="eastAsia"/>
          <w:position w:val="-28"/>
        </w:rPr>
        <w:t>(19</w:t>
      </w:r>
      <w:r>
        <w:rPr>
          <w:rFonts w:ascii="Times New Roman" w:hAnsi="Times New Roman" w:cs="Times New Roman"/>
          <w:position w:val="-28"/>
        </w:rPr>
        <w:t>)</w:t>
      </w:r>
    </w:p>
    <w:p w14:paraId="24AFA210" w14:textId="77777777" w:rsidR="00ED32D3" w:rsidRDefault="00F13C42">
      <w:pPr>
        <w:tabs>
          <w:tab w:val="left" w:pos="9375"/>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1580" w:dyaOrig="360" w14:anchorId="716A3B21">
          <v:shape id="_x0000_i1044" type="#_x0000_t75" style="width:78.6pt;height:18.6pt" o:ole="">
            <v:imagedata r:id="rId46" o:title=""/>
          </v:shape>
          <o:OLEObject Type="Embed" ProgID="Equation.DSMT4" ShapeID="_x0000_i1044" DrawAspect="Content" ObjectID="_1804494627" r:id="rId47"/>
        </w:object>
      </w:r>
      <w:r>
        <w:rPr>
          <w:rFonts w:ascii="Times New Roman" w:hAnsi="Times New Roman" w:cs="Times New Roman"/>
          <w:position w:val="-28"/>
        </w:rPr>
        <w:tab/>
      </w:r>
      <w:r>
        <w:rPr>
          <w:rFonts w:ascii="Times New Roman" w:hAnsi="Times New Roman" w:cs="Times New Roman" w:hint="eastAsia"/>
          <w:position w:val="-28"/>
        </w:rPr>
        <w:t>(20</w:t>
      </w:r>
      <w:r>
        <w:rPr>
          <w:rFonts w:ascii="Times New Roman" w:hAnsi="Times New Roman" w:cs="Times New Roman"/>
          <w:position w:val="-28"/>
        </w:rPr>
        <w:t>)</w:t>
      </w:r>
    </w:p>
    <w:p w14:paraId="00E91011" w14:textId="77777777" w:rsidR="00ED32D3" w:rsidRDefault="00F13C42">
      <w:pPr>
        <w:tabs>
          <w:tab w:val="left" w:pos="9375"/>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2300" w:dyaOrig="360" w14:anchorId="136B58E0">
          <v:shape id="_x0000_i1045" type="#_x0000_t75" style="width:115.2pt;height:18.6pt" o:ole="">
            <v:imagedata r:id="rId48" o:title=""/>
          </v:shape>
          <o:OLEObject Type="Embed" ProgID="Equation.DSMT4" ShapeID="_x0000_i1045" DrawAspect="Content" ObjectID="_1804494628" r:id="rId49"/>
        </w:object>
      </w:r>
      <w:r>
        <w:rPr>
          <w:rFonts w:ascii="Times New Roman" w:hAnsi="Times New Roman" w:cs="Times New Roman"/>
          <w:position w:val="-28"/>
        </w:rPr>
        <w:tab/>
      </w:r>
      <w:r>
        <w:rPr>
          <w:rFonts w:ascii="Times New Roman" w:hAnsi="Times New Roman" w:cs="Times New Roman" w:hint="eastAsia"/>
          <w:position w:val="-28"/>
        </w:rPr>
        <w:t>(21</w:t>
      </w:r>
      <w:r>
        <w:rPr>
          <w:rFonts w:ascii="Times New Roman" w:hAnsi="Times New Roman" w:cs="Times New Roman"/>
          <w:position w:val="-28"/>
        </w:rPr>
        <w:t>)</w:t>
      </w:r>
    </w:p>
    <w:p w14:paraId="0819FDE6" w14:textId="77777777" w:rsidR="00ED32D3" w:rsidRDefault="00F13C42">
      <w:pPr>
        <w:spacing w:line="360" w:lineRule="auto"/>
        <w:jc w:val="both"/>
        <w:textAlignment w:val="center"/>
        <w:rPr>
          <w:rFonts w:ascii="Times New Roman" w:hAnsi="Times New Roman" w:cs="Times New Roman"/>
        </w:rPr>
      </w:pPr>
      <w:r>
        <w:rPr>
          <w:rFonts w:ascii="Times New Roman" w:hAnsi="Times New Roman" w:cs="Times New Roman"/>
        </w:rPr>
        <w:lastRenderedPageBreak/>
        <w:t xml:space="preserve">Where </w:t>
      </w:r>
      <w:r>
        <w:rPr>
          <w:rFonts w:ascii="Times New Roman" w:hAnsi="Times New Roman" w:cs="Times New Roman" w:hint="eastAsia"/>
          <w:i/>
          <w:iCs/>
        </w:rPr>
        <w:t>T</w:t>
      </w:r>
      <w:r>
        <w:rPr>
          <w:rFonts w:ascii="Times New Roman" w:hAnsi="Times New Roman" w:cs="Times New Roman"/>
          <w:i/>
          <w:iCs/>
          <w:vertAlign w:val="subscript"/>
        </w:rPr>
        <w:t>C</w:t>
      </w:r>
      <w:r>
        <w:rPr>
          <w:rFonts w:ascii="Times New Roman" w:hAnsi="Times New Roman" w:cs="Times New Roman"/>
          <w:i/>
          <w:iCs/>
        </w:rPr>
        <w:t>,</w:t>
      </w:r>
      <w:r>
        <w:rPr>
          <w:rFonts w:ascii="Times New Roman" w:hAnsi="Times New Roman" w:cs="Times New Roman" w:hint="eastAsia"/>
          <w:i/>
          <w:iCs/>
        </w:rPr>
        <w:t xml:space="preserve"> T</w:t>
      </w:r>
      <w:r>
        <w:rPr>
          <w:rFonts w:ascii="Times New Roman" w:hAnsi="Times New Roman" w:cs="Times New Roman"/>
          <w:i/>
          <w:iCs/>
          <w:vertAlign w:val="subscript"/>
        </w:rPr>
        <w:t>P</w:t>
      </w:r>
      <w:r>
        <w:rPr>
          <w:rFonts w:ascii="Times New Roman" w:hAnsi="Times New Roman" w:cs="Times New Roman"/>
          <w:i/>
          <w:iCs/>
        </w:rPr>
        <w:t>,</w:t>
      </w:r>
      <w:r>
        <w:rPr>
          <w:rFonts w:ascii="Times New Roman" w:hAnsi="Times New Roman" w:cs="Times New Roman"/>
        </w:rPr>
        <w:t xml:space="preserve"> and</w:t>
      </w:r>
      <w:r>
        <w:rPr>
          <w:rFonts w:ascii="Times New Roman" w:hAnsi="Times New Roman" w:cs="Times New Roman" w:hint="eastAsia"/>
          <w:i/>
          <w:iCs/>
        </w:rPr>
        <w:t xml:space="preserve"> T</w:t>
      </w:r>
      <w:r>
        <w:rPr>
          <w:rFonts w:ascii="Times New Roman" w:hAnsi="Times New Roman" w:cs="Times New Roman"/>
          <w:i/>
          <w:iCs/>
          <w:vertAlign w:val="subscript"/>
        </w:rPr>
        <w:t>R</w:t>
      </w:r>
      <w:r>
        <w:rPr>
          <w:rFonts w:ascii="Times New Roman" w:hAnsi="Times New Roman" w:cs="Times New Roman"/>
        </w:rPr>
        <w:t xml:space="preserve"> are the sediment retention, potential soil erosion, actual soil erosion, and sediment intercepted by the parcel from the upstream parcel</w:t>
      </w:r>
      <w:r>
        <w:rPr>
          <w:rFonts w:ascii="Times New Roman" w:hAnsi="Times New Roman" w:cs="Times New Roman" w:hint="eastAsia"/>
        </w:rPr>
        <w:t>,</w:t>
      </w:r>
      <w:r>
        <w:rPr>
          <w:rFonts w:ascii="Times New Roman" w:hAnsi="Times New Roman" w:cs="Times New Roman"/>
        </w:rPr>
        <w:t xml:space="preserve"> respectively</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hint="eastAsia"/>
          <w:i/>
          <w:iCs/>
        </w:rPr>
        <w:t>R</w:t>
      </w:r>
      <w:r>
        <w:rPr>
          <w:rFonts w:ascii="Times New Roman" w:hAnsi="Times New Roman" w:cs="Times New Roman"/>
        </w:rPr>
        <w:t xml:space="preserve"> is the rainfall erosivity index; </w:t>
      </w:r>
      <w:r>
        <w:rPr>
          <w:rFonts w:ascii="Times New Roman" w:hAnsi="Times New Roman" w:cs="Times New Roman" w:hint="eastAsia"/>
          <w:i/>
          <w:iCs/>
        </w:rPr>
        <w:t>K</w:t>
      </w:r>
      <w:r>
        <w:rPr>
          <w:rFonts w:ascii="Times New Roman" w:hAnsi="Times New Roman" w:cs="Times New Roman"/>
        </w:rPr>
        <w:t xml:space="preserve"> is the soil erodibility; </w:t>
      </w:r>
      <w:r>
        <w:rPr>
          <w:rFonts w:ascii="Times New Roman" w:hAnsi="Times New Roman" w:cs="Times New Roman" w:hint="eastAsia"/>
          <w:i/>
          <w:iCs/>
        </w:rPr>
        <w:t>LS</w:t>
      </w:r>
      <w:r>
        <w:rPr>
          <w:rFonts w:ascii="Times New Roman" w:hAnsi="Times New Roman" w:cs="Times New Roman"/>
        </w:rPr>
        <w:t xml:space="preserve"> is a slope length-gradient factor; </w:t>
      </w:r>
      <w:r>
        <w:rPr>
          <w:rFonts w:ascii="Times New Roman" w:hAnsi="Times New Roman" w:cs="Times New Roman" w:hint="eastAsia"/>
          <w:i/>
          <w:iCs/>
        </w:rPr>
        <w:t>C</w:t>
      </w:r>
      <w:r>
        <w:rPr>
          <w:rFonts w:ascii="Times New Roman" w:hAnsi="Times New Roman" w:cs="Times New Roman"/>
        </w:rPr>
        <w:t xml:space="preserve"> is a cover-management factor</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hint="eastAsia"/>
          <w:i/>
          <w:iCs/>
        </w:rPr>
        <w:t>P</w:t>
      </w:r>
      <w:r>
        <w:rPr>
          <w:rFonts w:ascii="Times New Roman" w:hAnsi="Times New Roman" w:cs="Times New Roman"/>
          <w:i/>
          <w:iCs/>
        </w:rPr>
        <w:t xml:space="preserve"> </w:t>
      </w:r>
      <w:r>
        <w:rPr>
          <w:rFonts w:ascii="Times New Roman" w:hAnsi="Times New Roman" w:cs="Times New Roman"/>
        </w:rPr>
        <w:t>is a support practice factor</w:t>
      </w:r>
      <w:r>
        <w:rPr>
          <w:rFonts w:ascii="Times New Roman" w:hAnsi="Times New Roman" w:cs="Times New Roman" w:hint="eastAsia"/>
        </w:rPr>
        <w:t>.</w:t>
      </w:r>
    </w:p>
    <w:p w14:paraId="682E09FD" w14:textId="77777777" w:rsidR="00ED32D3" w:rsidRDefault="00F13C42">
      <w:pPr>
        <w:spacing w:line="360" w:lineRule="auto"/>
        <w:ind w:firstLineChars="200" w:firstLine="482"/>
        <w:jc w:val="both"/>
        <w:textAlignment w:val="center"/>
        <w:rPr>
          <w:rFonts w:ascii="Times New Roman" w:hAnsi="Times New Roman" w:cs="Times New Roman"/>
          <w:b/>
          <w:bCs/>
        </w:rPr>
      </w:pPr>
      <w:r>
        <w:rPr>
          <w:rFonts w:ascii="Times New Roman" w:hAnsi="Times New Roman" w:cs="Times New Roman"/>
          <w:b/>
          <w:bCs/>
        </w:rPr>
        <w:t xml:space="preserve">(1) </w:t>
      </w:r>
      <w:r>
        <w:rPr>
          <w:rFonts w:ascii="Times New Roman" w:hAnsi="Times New Roman" w:cs="Times New Roman" w:hint="eastAsia"/>
          <w:b/>
          <w:bCs/>
        </w:rPr>
        <w:t>R</w:t>
      </w:r>
      <w:r>
        <w:rPr>
          <w:rFonts w:ascii="Times New Roman" w:hAnsi="Times New Roman" w:cs="Times New Roman"/>
          <w:b/>
          <w:bCs/>
        </w:rPr>
        <w:t>ainfall erosivity index</w:t>
      </w:r>
      <w:r>
        <w:rPr>
          <w:rFonts w:ascii="Times New Roman" w:hAnsi="Times New Roman" w:cs="Times New Roman" w:hint="eastAsia"/>
          <w:b/>
          <w:bCs/>
        </w:rPr>
        <w:t xml:space="preserve"> (</w:t>
      </w:r>
      <w:r>
        <w:rPr>
          <w:rFonts w:ascii="Times New Roman" w:hAnsi="Times New Roman" w:cs="Times New Roman"/>
          <w:b/>
          <w:bCs/>
          <w:i/>
          <w:iCs/>
        </w:rPr>
        <w:t>R</w:t>
      </w:r>
      <w:r>
        <w:rPr>
          <w:rFonts w:ascii="Times New Roman" w:hAnsi="Times New Roman" w:cs="Times New Roman"/>
          <w:b/>
          <w:bCs/>
        </w:rPr>
        <w:t>)</w:t>
      </w:r>
    </w:p>
    <w:p w14:paraId="49422569" w14:textId="77777777" w:rsidR="00ED32D3" w:rsidRDefault="00F13C42">
      <w:pPr>
        <w:spacing w:line="360" w:lineRule="auto"/>
        <w:ind w:firstLineChars="200" w:firstLine="480"/>
        <w:jc w:val="both"/>
        <w:textAlignment w:val="center"/>
        <w:rPr>
          <w:rFonts w:ascii="Times New Roman" w:hAnsi="Times New Roman" w:cs="Times New Roman"/>
        </w:rPr>
      </w:pPr>
      <w:r>
        <w:rPr>
          <w:rFonts w:ascii="Times New Roman" w:hAnsi="Times New Roman" w:cs="Times New Roman"/>
        </w:rPr>
        <w:t>The rainfall erosivity index</w:t>
      </w:r>
      <w:r>
        <w:t xml:space="preserve"> </w:t>
      </w:r>
      <w:r>
        <w:rPr>
          <w:rFonts w:ascii="Times New Roman" w:hAnsi="Times New Roman" w:cs="Times New Roman"/>
        </w:rPr>
        <w:t>is calculated based on precipitation data according to the following formula</w:t>
      </w:r>
      <w:r>
        <w:rPr>
          <w:rFonts w:ascii="Times New Roman" w:hAnsi="Times New Roman" w:cs="Times New Roman" w:hint="eastAsia"/>
        </w:rPr>
        <w:t>:</w:t>
      </w:r>
    </w:p>
    <w:p w14:paraId="09A1FDEC" w14:textId="77777777" w:rsidR="00ED32D3" w:rsidRDefault="00F13C42">
      <w:pPr>
        <w:tabs>
          <w:tab w:val="left" w:pos="9375"/>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2940" w:dyaOrig="720" w14:anchorId="183D54D5">
          <v:shape id="_x0000_i1046" type="#_x0000_t75" style="width:147pt;height:36pt" o:ole="">
            <v:imagedata r:id="rId50" o:title=""/>
          </v:shape>
          <o:OLEObject Type="Embed" ProgID="Equation.DSMT4" ShapeID="_x0000_i1046" DrawAspect="Content" ObjectID="_1804494629" r:id="rId51"/>
        </w:object>
      </w:r>
      <w:r>
        <w:rPr>
          <w:rFonts w:ascii="Times New Roman" w:hAnsi="Times New Roman" w:cs="Times New Roman"/>
          <w:position w:val="-28"/>
        </w:rPr>
        <w:tab/>
      </w:r>
      <w:r>
        <w:rPr>
          <w:rFonts w:ascii="Times New Roman" w:hAnsi="Times New Roman" w:cs="Times New Roman" w:hint="eastAsia"/>
          <w:position w:val="-28"/>
        </w:rPr>
        <w:t>(22</w:t>
      </w:r>
      <w:r>
        <w:rPr>
          <w:rFonts w:ascii="Times New Roman" w:hAnsi="Times New Roman" w:cs="Times New Roman"/>
          <w:position w:val="-28"/>
        </w:rPr>
        <w:t>)</w:t>
      </w:r>
    </w:p>
    <w:p w14:paraId="2696F2DE" w14:textId="77777777" w:rsidR="00ED32D3" w:rsidRDefault="00F13C42">
      <w:pPr>
        <w:spacing w:line="360" w:lineRule="auto"/>
        <w:jc w:val="both"/>
        <w:textAlignment w:val="center"/>
        <w:rPr>
          <w:rFonts w:ascii="Times New Roman" w:hAnsi="Times New Roman" w:cs="Times New Roman"/>
        </w:rPr>
      </w:pPr>
      <w:r>
        <w:rPr>
          <w:rFonts w:ascii="Times New Roman" w:hAnsi="Times New Roman" w:cs="Times New Roman"/>
        </w:rPr>
        <w:t>W</w:t>
      </w:r>
      <w:r>
        <w:rPr>
          <w:rFonts w:ascii="Times New Roman" w:hAnsi="Times New Roman" w:cs="Times New Roman" w:hint="eastAsia"/>
        </w:rPr>
        <w:t>here</w:t>
      </w:r>
      <w:r>
        <w:rPr>
          <w:rFonts w:ascii="Times New Roman" w:hAnsi="Times New Roman" w:cs="Times New Roman"/>
        </w:rPr>
        <w:t xml:space="preserve"> </w:t>
      </w:r>
      <w:r>
        <w:rPr>
          <w:rFonts w:ascii="Times New Roman" w:hAnsi="Times New Roman" w:cs="Times New Roman" w:hint="eastAsia"/>
          <w:i/>
          <w:iCs/>
        </w:rPr>
        <w:t>P</w:t>
      </w:r>
      <w:r>
        <w:rPr>
          <w:rFonts w:ascii="Times New Roman" w:hAnsi="Times New Roman" w:cs="Times New Roman" w:hint="eastAsia"/>
        </w:rPr>
        <w:t>(</w:t>
      </w:r>
      <w:r>
        <w:rPr>
          <w:rFonts w:ascii="Times New Roman" w:hAnsi="Times New Roman" w:cs="Times New Roman"/>
          <w:i/>
          <w:iCs/>
        </w:rPr>
        <w:t>x</w:t>
      </w:r>
      <w:r>
        <w:rPr>
          <w:rFonts w:ascii="Times New Roman" w:hAnsi="Times New Roman" w:cs="Times New Roman"/>
        </w:rPr>
        <w:t xml:space="preserve">) is the precipitation of pixel </w:t>
      </w:r>
      <w:r>
        <w:rPr>
          <w:rFonts w:ascii="Times New Roman" w:hAnsi="Times New Roman" w:cs="Times New Roman"/>
          <w:i/>
          <w:iCs/>
        </w:rPr>
        <w:t>x</w:t>
      </w:r>
      <w:r>
        <w:rPr>
          <w:rFonts w:ascii="Times New Roman" w:hAnsi="Times New Roman" w:cs="Times New Roman"/>
        </w:rPr>
        <w:t>.</w:t>
      </w:r>
    </w:p>
    <w:p w14:paraId="07F007F7" w14:textId="77777777" w:rsidR="00ED32D3" w:rsidRDefault="00F13C42">
      <w:pPr>
        <w:spacing w:line="360" w:lineRule="auto"/>
        <w:ind w:firstLineChars="200" w:firstLine="482"/>
        <w:jc w:val="both"/>
        <w:textAlignment w:val="center"/>
        <w:rPr>
          <w:rFonts w:ascii="Times New Roman" w:hAnsi="Times New Roman" w:cs="Times New Roman"/>
          <w:b/>
          <w:bCs/>
        </w:rPr>
      </w:pPr>
      <w:r>
        <w:rPr>
          <w:rFonts w:ascii="Times New Roman" w:hAnsi="Times New Roman" w:cs="Times New Roman"/>
          <w:b/>
          <w:bCs/>
        </w:rPr>
        <w:t>(2)</w:t>
      </w:r>
      <w:r>
        <w:rPr>
          <w:b/>
          <w:bCs/>
        </w:rPr>
        <w:t xml:space="preserve"> </w:t>
      </w:r>
      <w:r>
        <w:rPr>
          <w:rFonts w:ascii="Times New Roman" w:hAnsi="Times New Roman" w:cs="Times New Roman"/>
          <w:b/>
          <w:bCs/>
        </w:rPr>
        <w:t>Soil erodibility factor</w:t>
      </w:r>
      <w:r>
        <w:rPr>
          <w:rFonts w:ascii="Times New Roman" w:hAnsi="Times New Roman" w:cs="Times New Roman" w:hint="eastAsia"/>
          <w:b/>
          <w:bCs/>
        </w:rPr>
        <w:t xml:space="preserve"> (</w:t>
      </w:r>
      <w:r>
        <w:rPr>
          <w:rFonts w:ascii="Times New Roman" w:hAnsi="Times New Roman" w:cs="Times New Roman" w:hint="eastAsia"/>
          <w:b/>
          <w:bCs/>
          <w:i/>
          <w:iCs/>
        </w:rPr>
        <w:t>k</w:t>
      </w:r>
      <w:r>
        <w:rPr>
          <w:rFonts w:ascii="Times New Roman" w:hAnsi="Times New Roman" w:cs="Times New Roman"/>
          <w:b/>
          <w:bCs/>
        </w:rPr>
        <w:t>)</w:t>
      </w:r>
    </w:p>
    <w:p w14:paraId="1E6E55FD" w14:textId="77777777" w:rsidR="00ED32D3" w:rsidRDefault="00F13C42">
      <w:pPr>
        <w:tabs>
          <w:tab w:val="left" w:pos="9498"/>
        </w:tabs>
        <w:spacing w:line="360" w:lineRule="auto"/>
        <w:ind w:firstLineChars="200" w:firstLine="480"/>
        <w:jc w:val="both"/>
        <w:rPr>
          <w:rFonts w:ascii="Times New Roman" w:hAnsi="Times New Roman" w:cs="Times New Roman"/>
        </w:rPr>
      </w:pPr>
      <w:r>
        <w:rPr>
          <w:rFonts w:ascii="Times New Roman" w:hAnsi="Times New Roman" w:cs="Times New Roman"/>
        </w:rPr>
        <w:t>The soil erodibility factor was calculated by the EPIC model using soil particle size properties data.</w:t>
      </w:r>
    </w:p>
    <w:p w14:paraId="09E59ACA" w14:textId="77777777" w:rsidR="00ED32D3" w:rsidRDefault="00F13C42">
      <w:pPr>
        <w:tabs>
          <w:tab w:val="left" w:pos="9375"/>
        </w:tabs>
        <w:spacing w:after="120" w:line="360" w:lineRule="auto"/>
        <w:jc w:val="both"/>
        <w:rPr>
          <w:rFonts w:ascii="Times New Roman" w:hAnsi="Times New Roman" w:cs="Times New Roman"/>
          <w:position w:val="-28"/>
        </w:rPr>
      </w:pPr>
      <w:r>
        <w:rPr>
          <w:rFonts w:ascii="Times New Roman" w:hAnsi="Times New Roman" w:cs="Times New Roman"/>
          <w:position w:val="-28"/>
        </w:rPr>
        <w:object w:dxaOrig="8730" w:dyaOrig="1760" w14:anchorId="03EC1F7D">
          <v:shape id="_x0000_i1047" type="#_x0000_t75" style="width:436.8pt;height:87.6pt" o:ole="">
            <v:imagedata r:id="rId52" o:title=""/>
          </v:shape>
          <o:OLEObject Type="Embed" ProgID="Equation.DSMT4" ShapeID="_x0000_i1047" DrawAspect="Content" ObjectID="_1804494630" r:id="rId53"/>
        </w:object>
      </w:r>
      <w:r>
        <w:rPr>
          <w:rFonts w:ascii="Times New Roman" w:hAnsi="Times New Roman" w:cs="Times New Roman"/>
          <w:position w:val="-28"/>
        </w:rPr>
        <w:tab/>
      </w:r>
      <w:r>
        <w:rPr>
          <w:rFonts w:ascii="Times New Roman" w:hAnsi="Times New Roman" w:cs="Times New Roman" w:hint="eastAsia"/>
          <w:position w:val="-28"/>
        </w:rPr>
        <w:t>(23</w:t>
      </w:r>
      <w:r>
        <w:rPr>
          <w:rFonts w:ascii="Times New Roman" w:hAnsi="Times New Roman" w:cs="Times New Roman"/>
          <w:position w:val="-28"/>
        </w:rPr>
        <w:t>)</w:t>
      </w:r>
    </w:p>
    <w:p w14:paraId="486FDC9F" w14:textId="77777777" w:rsidR="00ED32D3" w:rsidRDefault="00F13C42">
      <w:pPr>
        <w:spacing w:line="360" w:lineRule="auto"/>
        <w:jc w:val="both"/>
        <w:rPr>
          <w:rFonts w:ascii="Times New Roman" w:hAnsi="Times New Roman" w:cs="Times New Roman"/>
        </w:rPr>
      </w:pPr>
      <w:r>
        <w:rPr>
          <w:rFonts w:ascii="Times New Roman" w:hAnsi="Times New Roman" w:cs="Times New Roman"/>
        </w:rPr>
        <w:t xml:space="preserve">Where </w:t>
      </w:r>
      <w:r>
        <w:rPr>
          <w:rFonts w:ascii="Times New Roman" w:hAnsi="Times New Roman" w:cs="Times New Roman"/>
          <w:i/>
          <w:iCs/>
        </w:rPr>
        <w:t>K</w:t>
      </w:r>
      <w:r>
        <w:rPr>
          <w:rFonts w:ascii="Times New Roman" w:hAnsi="Times New Roman" w:cs="Times New Roman"/>
          <w:i/>
          <w:iCs/>
          <w:vertAlign w:val="subscript"/>
        </w:rPr>
        <w:t>1</w:t>
      </w:r>
      <w:r>
        <w:rPr>
          <w:rFonts w:ascii="Times New Roman" w:hAnsi="Times New Roman" w:cs="Times New Roman"/>
          <w:i/>
          <w:iCs/>
        </w:rPr>
        <w:t xml:space="preserve"> </w:t>
      </w:r>
      <w:r>
        <w:rPr>
          <w:rFonts w:ascii="Times New Roman" w:hAnsi="Times New Roman" w:cs="Times New Roman" w:hint="eastAsia"/>
        </w:rPr>
        <w:t>i</w:t>
      </w:r>
      <w:r>
        <w:rPr>
          <w:rFonts w:ascii="Times New Roman" w:hAnsi="Times New Roman" w:cs="Times New Roman"/>
        </w:rPr>
        <w:t>s the soil sand content (%)</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i/>
          <w:iCs/>
        </w:rPr>
        <w:t>K</w:t>
      </w:r>
      <w:r>
        <w:rPr>
          <w:rFonts w:ascii="Times New Roman" w:hAnsi="Times New Roman" w:cs="Times New Roman"/>
          <w:i/>
          <w:iCs/>
          <w:vertAlign w:val="subscript"/>
        </w:rPr>
        <w:t>2</w:t>
      </w:r>
      <w:r>
        <w:rPr>
          <w:rFonts w:ascii="Times New Roman" w:hAnsi="Times New Roman" w:cs="Times New Roman" w:hint="eastAsia"/>
        </w:rPr>
        <w:t xml:space="preserve"> </w:t>
      </w:r>
      <w:r>
        <w:rPr>
          <w:rFonts w:ascii="Times New Roman" w:hAnsi="Times New Roman" w:cs="Times New Roman"/>
        </w:rPr>
        <w:t>is the soil powder content (%)</w:t>
      </w:r>
      <w:r>
        <w:rPr>
          <w:rFonts w:ascii="Times New Roman" w:hAnsi="Times New Roman" w:cs="Times New Roman" w:hint="eastAsia"/>
        </w:rPr>
        <w:t>;</w:t>
      </w:r>
      <w:r>
        <w:rPr>
          <w:rFonts w:ascii="Times New Roman" w:hAnsi="Times New Roman" w:cs="Times New Roman"/>
        </w:rPr>
        <w:t xml:space="preserve"> </w:t>
      </w:r>
      <w:r>
        <w:rPr>
          <w:rFonts w:ascii="Times New Roman" w:hAnsi="Times New Roman" w:cs="Times New Roman"/>
          <w:i/>
          <w:iCs/>
        </w:rPr>
        <w:t>K</w:t>
      </w:r>
      <w:r>
        <w:rPr>
          <w:rFonts w:ascii="Times New Roman" w:hAnsi="Times New Roman" w:cs="Times New Roman"/>
          <w:i/>
          <w:iCs/>
          <w:vertAlign w:val="subscript"/>
        </w:rPr>
        <w:t>3</w:t>
      </w:r>
      <w:r>
        <w:rPr>
          <w:rFonts w:ascii="Times New Roman" w:hAnsi="Times New Roman" w:cs="Times New Roman" w:hint="eastAsia"/>
        </w:rPr>
        <w:t xml:space="preserve"> </w:t>
      </w:r>
      <w:r>
        <w:rPr>
          <w:rFonts w:ascii="Times New Roman" w:hAnsi="Times New Roman" w:cs="Times New Roman"/>
        </w:rPr>
        <w:t xml:space="preserve">is the soil clay content (%); </w:t>
      </w:r>
      <w:r>
        <w:rPr>
          <w:rFonts w:ascii="Times New Roman" w:hAnsi="Times New Roman" w:cs="Times New Roman"/>
          <w:i/>
          <w:iCs/>
        </w:rPr>
        <w:t>K</w:t>
      </w:r>
      <w:r>
        <w:rPr>
          <w:rFonts w:ascii="Times New Roman" w:hAnsi="Times New Roman" w:cs="Times New Roman"/>
          <w:i/>
          <w:iCs/>
          <w:vertAlign w:val="subscript"/>
        </w:rPr>
        <w:t>4</w:t>
      </w:r>
      <w:r>
        <w:rPr>
          <w:rFonts w:ascii="Times New Roman" w:hAnsi="Times New Roman" w:cs="Times New Roman" w:hint="eastAsia"/>
        </w:rPr>
        <w:t xml:space="preserve"> </w:t>
      </w:r>
      <w:r>
        <w:rPr>
          <w:rFonts w:ascii="Times New Roman" w:hAnsi="Times New Roman" w:cs="Times New Roman"/>
        </w:rPr>
        <w:t xml:space="preserve">is the soil organic matter content (%); </w:t>
      </w:r>
      <w:r>
        <w:rPr>
          <w:rFonts w:ascii="Times New Roman" w:hAnsi="Times New Roman" w:cs="Times New Roman"/>
          <w:i/>
          <w:iCs/>
        </w:rPr>
        <w:t>K</w:t>
      </w:r>
      <w:r>
        <w:rPr>
          <w:rFonts w:ascii="Times New Roman" w:hAnsi="Times New Roman" w:cs="Times New Roman"/>
          <w:i/>
          <w:iCs/>
          <w:vertAlign w:val="subscript"/>
        </w:rPr>
        <w:t>5</w:t>
      </w:r>
      <w:r>
        <w:rPr>
          <w:rFonts w:ascii="Times New Roman" w:hAnsi="Times New Roman" w:cs="Times New Roman"/>
        </w:rPr>
        <w:t>=1</w:t>
      </w:r>
      <w:r>
        <w:rPr>
          <w:rFonts w:ascii="Times New Roman" w:hAnsi="Times New Roman" w:cs="Times New Roman" w:hint="eastAsia"/>
        </w:rPr>
        <w:t>-</w:t>
      </w:r>
      <w:r>
        <w:rPr>
          <w:rFonts w:ascii="Times New Roman" w:hAnsi="Times New Roman" w:cs="Times New Roman" w:hint="eastAsia"/>
          <w:i/>
          <w:iCs/>
        </w:rPr>
        <w:t>K</w:t>
      </w:r>
      <w:r>
        <w:rPr>
          <w:rFonts w:ascii="Times New Roman" w:hAnsi="Times New Roman" w:cs="Times New Roman"/>
          <w:vertAlign w:val="subscript"/>
        </w:rPr>
        <w:t>1</w:t>
      </w:r>
      <w:r>
        <w:rPr>
          <w:rFonts w:ascii="Times New Roman" w:hAnsi="Times New Roman" w:cs="Times New Roman"/>
        </w:rPr>
        <w:t>/100.</w:t>
      </w:r>
    </w:p>
    <w:p w14:paraId="066FA42B" w14:textId="4E01168B" w:rsidR="00ED32D3" w:rsidRDefault="007C150C">
      <w:pPr>
        <w:spacing w:line="360" w:lineRule="auto"/>
        <w:ind w:firstLineChars="200" w:firstLine="480"/>
        <w:jc w:val="both"/>
        <w:textAlignment w:val="center"/>
        <w:rPr>
          <w:rFonts w:ascii="Times New Roman" w:hAnsi="Times New Roman" w:cs="Times New Roman"/>
        </w:rPr>
      </w:pPr>
      <w:bookmarkStart w:id="2" w:name="OLE_LINK1"/>
      <w:r w:rsidRPr="007C150C">
        <w:rPr>
          <w:rFonts w:ascii="Times New Roman" w:hAnsi="Times New Roman" w:cs="Times New Roman" w:hint="eastAsia"/>
        </w:rPr>
        <w:t>Refer to relevant achievements</w:t>
      </w:r>
      <w:r w:rsidRPr="00154A3B">
        <w:rPr>
          <w:rFonts w:ascii="Times New Roman" w:hAnsi="Times New Roman" w:cs="Times New Roman"/>
          <w:color w:val="0000FF"/>
        </w:rPr>
        <w:t xml:space="preserve"> </w:t>
      </w:r>
      <w:r w:rsidRPr="00154A3B">
        <w:rPr>
          <w:rFonts w:ascii="Times New Roman" w:eastAsia="楷体" w:hAnsi="Times New Roman" w:cs="Times New Roman"/>
          <w:color w:val="0000FF"/>
          <w:sz w:val="21"/>
          <w:szCs w:val="21"/>
        </w:rPr>
        <w:fldChar w:fldCharType="begin"/>
      </w:r>
      <w:r w:rsidR="00154A3B" w:rsidRPr="00154A3B">
        <w:rPr>
          <w:rFonts w:ascii="Times New Roman" w:eastAsia="楷体" w:hAnsi="Times New Roman" w:cs="Times New Roman"/>
          <w:color w:val="0000FF"/>
          <w:sz w:val="21"/>
          <w:szCs w:val="21"/>
        </w:rPr>
        <w:instrText xml:space="preserve"> ADDIN ZOTERO_ITEM CSL_CITATION {"citationID":"VKFVCNHB","properties":{"formattedCitation":"\\super 23\\nosupersub{}","plainCitation":"23","noteIndex":0},"citationItems":[{"id":322,"uris":["http://zotero.org/users/14180859/items/8D6JGZ52"],"itemData":{"id":322,"type":"article-journal","abstract":"Soil erosion has been recognized as one of the major threats to our environment and water quality worldwide, especially in China. To mitigate nonpoint source  water quality problems caused by soil erosion, best management practices (BMPs)  and/or conservation programs have been adopted. Watershed models, such as the  Annualized Agricultural Non-Point Source Pollutant Loading model (AnnAGNPS), have  been developed to aid in the evaluation of watershed response to watershed  management practices. The model has been applied worldwide and proven to be a  very effective tool in identifying the critical areas which had serious erosion,  and in aiding in decision-making processes for adopting BMPs and/or conservation  programs so that cost/benefit can be maximized and non-point source pollution  control can be achieved in the most efficient way. The main goal of this study  was to assess the characteristics of soil erosion, sediment and sediment delivery  of a watershed so that effective conservation measures can be implemented. To  achieve the overall objective of this study, all necessary data for the 4,184  km(2) Daning River watershed in the Three-Gorge region of the Yangtze River of  China were assembled. The model was calibrated using observed monthly runoff from  1998 to 1999 (Nash-Sutcliffe coefficient of efficiency of 0.94 and R(2) of 0.94)  and validated using the observed monthly runoff from 2003 to 2005 (Nash-Sutcliffe  coefficient of efficiency of 0.93 and R(2) of 0.93). Additionally, the model was  validated using annual average sediment of 2000-2002 (relative error of -0.34)  and 2003-2004 (relative error of 0.18) at Wuxi station. Post validation  simulation showed that approximately 48% of the watershed was under the soil loss  tolerance released by the Ministry of Water Resources of China (500  t·km(-2)·y(-1)). However, 8% of the watershed had soil erosion of exceeding 5,000  t·km(-2)·y(-1). Sloping areas and low coverage areas are the main source of soil  loss in the watershed.","call-number":"3","container-title":"International journal of environmental research and public health","DOI":"10.3390/ijerph9051887","ISSN":"1660-4601 1661-7827","issue":"5","journalAbbreviation":"Int J Environ Res Public Health","language":"eng","note":"publisher-place: Switzerland\nPMID: 22754480 \nPMCID: PMC3386594","page":"1887-1907","source":"4.614","title":"Assessment of runoff and sediment yields using the AnnAGNPS model in a Three-Gorge watershed of China.","volume":"9","author":[{"family":"Hua","given":"Lizhong"},{"family":"He","given":"Xiubin"},{"family":"Yuan","given":"Yongping"},{"family":"Nan","given":"Hongwei"}],"issued":{"date-parts":[["2012",5]]}}}],"schema":"https://github.com/citation-style-language/schema/raw/master/csl-citation.json"} </w:instrText>
      </w:r>
      <w:r w:rsidRPr="00154A3B">
        <w:rPr>
          <w:rFonts w:ascii="Times New Roman" w:eastAsia="楷体" w:hAnsi="Times New Roman" w:cs="Times New Roman"/>
          <w:color w:val="0000FF"/>
          <w:sz w:val="21"/>
          <w:szCs w:val="21"/>
        </w:rPr>
        <w:fldChar w:fldCharType="separate"/>
      </w:r>
      <w:r w:rsidR="00154A3B" w:rsidRPr="00154A3B">
        <w:rPr>
          <w:rFonts w:ascii="Times New Roman" w:hAnsi="Times New Roman" w:cs="Times New Roman"/>
          <w:color w:val="0000FF"/>
          <w:sz w:val="21"/>
          <w:vertAlign w:val="superscript"/>
        </w:rPr>
        <w:t>23</w:t>
      </w:r>
      <w:r w:rsidRPr="00154A3B">
        <w:rPr>
          <w:rFonts w:ascii="Times New Roman" w:eastAsia="楷体" w:hAnsi="Times New Roman" w:cs="Times New Roman"/>
          <w:color w:val="0000FF"/>
          <w:sz w:val="21"/>
          <w:szCs w:val="21"/>
        </w:rPr>
        <w:fldChar w:fldCharType="end"/>
      </w:r>
      <w:r w:rsidRPr="00154A3B">
        <w:rPr>
          <w:rFonts w:ascii="Times New Roman" w:eastAsia="楷体" w:hAnsi="Times New Roman" w:cs="Times New Roman" w:hint="eastAsia"/>
          <w:color w:val="0000FF"/>
          <w:sz w:val="21"/>
          <w:szCs w:val="21"/>
          <w:vertAlign w:val="superscript"/>
        </w:rPr>
        <w:t>,</w:t>
      </w:r>
      <w:r w:rsidRPr="00154A3B">
        <w:rPr>
          <w:rFonts w:ascii="Times New Roman" w:eastAsia="楷体" w:hAnsi="Times New Roman" w:cs="Times New Roman"/>
          <w:color w:val="0000FF"/>
          <w:sz w:val="21"/>
          <w:szCs w:val="21"/>
        </w:rPr>
        <w:fldChar w:fldCharType="begin"/>
      </w:r>
      <w:r w:rsidR="00154A3B" w:rsidRPr="00154A3B">
        <w:rPr>
          <w:rFonts w:ascii="Times New Roman" w:eastAsia="楷体" w:hAnsi="Times New Roman" w:cs="Times New Roman"/>
          <w:color w:val="0000FF"/>
          <w:sz w:val="21"/>
          <w:szCs w:val="21"/>
        </w:rPr>
        <w:instrText xml:space="preserve"> ADDIN ZOTERO_ITEM CSL_CITATION {"citationID":"yWDdt43D","properties":{"formattedCitation":"\\super 24\\nosupersub{}","plainCitation":"24","noteIndex":0},"citationItems":[{"id":324,"uris":["http://zotero.org/users/14180859/items/Z7TZ3ZK9"],"itemData":{"id":324,"type":"article-journal","abstract":"We developed a linked land-sea modeling framework based on remote sensing and empirical data, which couples sediment export and coral reef models at fine  spatial resolution. This spatially-explicit (60 × 60 m) framework simultaneously  tracks changes in multiple benthic and fish indicators as a function of land-use  and climate change scenarios. We applied this framework in Kubulau District,  Fiji, to investigate the effects of logging, agriculture expansion, and  restoration on coral reef resilience. Under the deforestation scenario, models  projected a 4.5-fold sediment increase (&gt;7,000 t. yr(-1)) coupled with a  significant decrease in benthic habitat quality across 1,940 ha and a reef fish  biomass loss of 60.6 t. Under the restoration scenario, models projected a small  (&lt;30 t. yr(-1)) decrease in exported sediments, resulting in a significant  increase in benthic habitat quality across 577 ha and a fish biomass gain of 5.7  t. The decrease in benthic habitat quality and loss of fish biomass were greater  when combining climate change and deforestation scenarios. We evaluated where  land-use change and bleaching scenarios would impact sediment runoff and  downstream coral reefs to identify priority areas on land, where conservation or  restoration could promote coral reef resilience in the face of climate change.","call-number":"3","container-title":"Scientific reports","DOI":"10.1038/s41598-018-29951-0","ISSN":"2045-2322","issue":"1","journalAbbreviation":"Sci Rep","language":"eng","note":"publisher-place: England\nPMID: 30127469 \nPMCID: PMC6102229","page":"12465","source":"4.996","title":"Scenario planning with linked land-sea models inform where forest conservation actions will promote coral reef resilience.","volume":"8","author":[{"family":"Delevaux","given":"J. M. S."},{"family":"Jupiter","given":"S. D."},{"family":"Stamoulis","given":"K. A."},{"family":"Bremer","given":"L. L."},{"family":"Wenger","given":"A. S."},{"family":"Dacks","given":"R."},{"family":"Garrod","given":"P."},{"family":"Falinski","given":"K. A."},{"family":"Ticktin","given":"T."}],"issued":{"date-parts":[["2018",8,20]]}}}],"schema":"https://github.com/citation-style-language/schema/raw/master/csl-citation.json"} </w:instrText>
      </w:r>
      <w:r w:rsidRPr="00154A3B">
        <w:rPr>
          <w:rFonts w:ascii="Times New Roman" w:eastAsia="楷体" w:hAnsi="Times New Roman" w:cs="Times New Roman"/>
          <w:color w:val="0000FF"/>
          <w:sz w:val="21"/>
          <w:szCs w:val="21"/>
        </w:rPr>
        <w:fldChar w:fldCharType="separate"/>
      </w:r>
      <w:r w:rsidR="00154A3B" w:rsidRPr="00154A3B">
        <w:rPr>
          <w:rFonts w:ascii="Times New Roman" w:hAnsi="Times New Roman" w:cs="Times New Roman"/>
          <w:color w:val="0000FF"/>
          <w:sz w:val="21"/>
          <w:vertAlign w:val="superscript"/>
        </w:rPr>
        <w:t>24</w:t>
      </w:r>
      <w:r w:rsidRPr="00154A3B">
        <w:rPr>
          <w:rFonts w:ascii="Times New Roman" w:eastAsia="楷体" w:hAnsi="Times New Roman" w:cs="Times New Roman"/>
          <w:color w:val="0000FF"/>
          <w:sz w:val="21"/>
          <w:szCs w:val="21"/>
        </w:rPr>
        <w:fldChar w:fldCharType="end"/>
      </w:r>
      <w:r>
        <w:rPr>
          <w:rFonts w:ascii="Times New Roman" w:hAnsi="Times New Roman" w:cs="Times New Roman" w:hint="eastAsia"/>
        </w:rPr>
        <w:t>,t</w:t>
      </w:r>
      <w:r w:rsidR="00F13C42">
        <w:rPr>
          <w:rFonts w:ascii="Times New Roman" w:hAnsi="Times New Roman" w:cs="Times New Roman"/>
        </w:rPr>
        <w:t>he parameters to be entered into the model are shown in</w:t>
      </w:r>
      <w:bookmarkEnd w:id="2"/>
      <w:r w:rsidR="00F13C42">
        <w:rPr>
          <w:rFonts w:ascii="Times New Roman" w:hAnsi="Times New Roman" w:cs="Times New Roman"/>
        </w:rPr>
        <w:t xml:space="preserve"> </w:t>
      </w:r>
      <w:r w:rsidR="00F13C42">
        <w:rPr>
          <w:rFonts w:ascii="Times New Roman" w:hAnsi="Times New Roman" w:cs="Times New Roman"/>
          <w:color w:val="0000FF"/>
        </w:rPr>
        <w:t>Table S</w:t>
      </w:r>
      <w:r w:rsidR="00F13C42">
        <w:rPr>
          <w:rFonts w:ascii="Times New Roman" w:hAnsi="Times New Roman" w:cs="Times New Roman" w:hint="eastAsia"/>
          <w:color w:val="0000FF"/>
        </w:rPr>
        <w:t>5</w:t>
      </w:r>
      <w:r w:rsidR="00F13C42">
        <w:rPr>
          <w:rFonts w:ascii="Times New Roman" w:hAnsi="Times New Roman" w:cs="Times New Roman"/>
        </w:rPr>
        <w:t>.</w:t>
      </w:r>
    </w:p>
    <w:p w14:paraId="03F9C863" w14:textId="77777777" w:rsidR="00ED32D3" w:rsidRDefault="00F13C42">
      <w:pPr>
        <w:spacing w:beforeLines="100" w:before="326"/>
        <w:jc w:val="both"/>
        <w:outlineLvl w:val="3"/>
        <w:rPr>
          <w:rFonts w:ascii="Times New Roman" w:hAnsi="Times New Roman" w:cs="Times New Roman"/>
          <w:b/>
          <w:bCs/>
          <w:sz w:val="21"/>
          <w:szCs w:val="21"/>
        </w:rPr>
      </w:pPr>
      <w:r>
        <w:rPr>
          <w:rFonts w:ascii="Times New Roman" w:hAnsi="Times New Roman" w:cs="Times New Roman"/>
          <w:b/>
          <w:bCs/>
          <w:sz w:val="21"/>
          <w:szCs w:val="21"/>
        </w:rPr>
        <w:t>Table S</w:t>
      </w:r>
      <w:r>
        <w:rPr>
          <w:rFonts w:ascii="Times New Roman" w:hAnsi="Times New Roman" w:cs="Times New Roman" w:hint="eastAsia"/>
          <w:b/>
          <w:bCs/>
          <w:sz w:val="21"/>
          <w:szCs w:val="21"/>
        </w:rPr>
        <w:t>5</w:t>
      </w:r>
    </w:p>
    <w:p w14:paraId="20892B60" w14:textId="77777777" w:rsidR="00ED32D3" w:rsidRDefault="00F13C42">
      <w:pPr>
        <w:jc w:val="both"/>
        <w:rPr>
          <w:rFonts w:ascii="Times New Roman" w:eastAsia="楷体" w:hAnsi="Times New Roman" w:cs="Times New Roman"/>
          <w:color w:val="FF0000"/>
          <w:sz w:val="21"/>
          <w:szCs w:val="21"/>
        </w:rPr>
      </w:pPr>
      <w:r>
        <w:rPr>
          <w:rFonts w:ascii="Times New Roman" w:hAnsi="Times New Roman" w:cs="Times New Roman"/>
          <w:sz w:val="21"/>
          <w:szCs w:val="21"/>
        </w:rPr>
        <w:t>The input parameters for the InVEST Sediment Delivery Ratio (SDR) model.</w:t>
      </w:r>
    </w:p>
    <w:tbl>
      <w:tblPr>
        <w:tblStyle w:val="11"/>
        <w:tblW w:w="5000" w:type="pct"/>
        <w:tblBorders>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246"/>
        <w:gridCol w:w="3246"/>
        <w:gridCol w:w="3244"/>
      </w:tblGrid>
      <w:tr w:rsidR="00ED32D3" w14:paraId="48F5FE10" w14:textId="77777777">
        <w:trPr>
          <w:trHeight w:val="261"/>
        </w:trPr>
        <w:tc>
          <w:tcPr>
            <w:tcW w:w="1667" w:type="pct"/>
            <w:tcBorders>
              <w:top w:val="single" w:sz="4" w:space="0" w:color="auto"/>
              <w:bottom w:val="single" w:sz="4" w:space="0" w:color="auto"/>
            </w:tcBorders>
            <w:shd w:val="clear" w:color="auto" w:fill="auto"/>
          </w:tcPr>
          <w:p w14:paraId="4951B833" w14:textId="77777777" w:rsidR="00ED32D3" w:rsidRDefault="00F13C42">
            <w:pPr>
              <w:jc w:val="both"/>
              <w:rPr>
                <w:rFonts w:ascii="Times New Roman" w:hAnsi="Times New Roman"/>
                <w:sz w:val="21"/>
                <w:szCs w:val="21"/>
              </w:rPr>
            </w:pPr>
            <w:r>
              <w:rPr>
                <w:rFonts w:ascii="Times New Roman" w:hAnsi="Times New Roman"/>
                <w:sz w:val="21"/>
                <w:szCs w:val="21"/>
              </w:rPr>
              <w:t>LULC type</w:t>
            </w:r>
          </w:p>
        </w:tc>
        <w:tc>
          <w:tcPr>
            <w:tcW w:w="1667" w:type="pct"/>
            <w:tcBorders>
              <w:top w:val="single" w:sz="4" w:space="0" w:color="auto"/>
              <w:bottom w:val="single" w:sz="4" w:space="0" w:color="auto"/>
            </w:tcBorders>
            <w:shd w:val="clear" w:color="auto" w:fill="auto"/>
          </w:tcPr>
          <w:p w14:paraId="5F144A74" w14:textId="77777777" w:rsidR="00ED32D3" w:rsidRDefault="00F13C42">
            <w:pPr>
              <w:jc w:val="both"/>
              <w:rPr>
                <w:rFonts w:ascii="Times New Roman" w:hAnsi="Times New Roman"/>
                <w:sz w:val="21"/>
                <w:szCs w:val="21"/>
              </w:rPr>
            </w:pPr>
            <w:r>
              <w:rPr>
                <w:rFonts w:ascii="Times New Roman" w:hAnsi="Times New Roman"/>
                <w:sz w:val="21"/>
                <w:szCs w:val="21"/>
              </w:rPr>
              <w:t>usle_c</w:t>
            </w:r>
          </w:p>
        </w:tc>
        <w:tc>
          <w:tcPr>
            <w:tcW w:w="1666" w:type="pct"/>
            <w:tcBorders>
              <w:top w:val="single" w:sz="4" w:space="0" w:color="auto"/>
              <w:bottom w:val="single" w:sz="4" w:space="0" w:color="auto"/>
            </w:tcBorders>
            <w:shd w:val="clear" w:color="auto" w:fill="auto"/>
          </w:tcPr>
          <w:p w14:paraId="28791A63" w14:textId="77777777" w:rsidR="00ED32D3" w:rsidRDefault="00F13C42">
            <w:pPr>
              <w:jc w:val="both"/>
              <w:rPr>
                <w:rFonts w:ascii="Times New Roman" w:hAnsi="Times New Roman"/>
                <w:sz w:val="21"/>
                <w:szCs w:val="21"/>
              </w:rPr>
            </w:pPr>
            <w:r>
              <w:rPr>
                <w:rFonts w:ascii="Times New Roman" w:hAnsi="Times New Roman"/>
                <w:sz w:val="21"/>
                <w:szCs w:val="21"/>
              </w:rPr>
              <w:t>usle_p</w:t>
            </w:r>
          </w:p>
        </w:tc>
      </w:tr>
      <w:tr w:rsidR="00ED32D3" w14:paraId="4FEE7EDE" w14:textId="77777777">
        <w:trPr>
          <w:trHeight w:val="285"/>
        </w:trPr>
        <w:tc>
          <w:tcPr>
            <w:tcW w:w="1667" w:type="pct"/>
            <w:tcBorders>
              <w:top w:val="single" w:sz="4" w:space="0" w:color="auto"/>
            </w:tcBorders>
            <w:shd w:val="clear" w:color="auto" w:fill="auto"/>
          </w:tcPr>
          <w:p w14:paraId="20208B33" w14:textId="77777777" w:rsidR="00ED32D3" w:rsidRDefault="00F13C42">
            <w:pPr>
              <w:jc w:val="both"/>
              <w:rPr>
                <w:rFonts w:ascii="Times New Roman" w:hAnsi="Times New Roman"/>
                <w:sz w:val="21"/>
                <w:szCs w:val="21"/>
              </w:rPr>
            </w:pPr>
            <w:r>
              <w:rPr>
                <w:rFonts w:ascii="Times New Roman" w:hAnsi="Times New Roman"/>
                <w:sz w:val="21"/>
                <w:szCs w:val="21"/>
              </w:rPr>
              <w:t>Cropland</w:t>
            </w:r>
          </w:p>
        </w:tc>
        <w:tc>
          <w:tcPr>
            <w:tcW w:w="1667" w:type="pct"/>
            <w:tcBorders>
              <w:top w:val="single" w:sz="4" w:space="0" w:color="auto"/>
            </w:tcBorders>
            <w:shd w:val="clear" w:color="auto" w:fill="auto"/>
            <w:noWrap/>
          </w:tcPr>
          <w:p w14:paraId="1B88DFC6" w14:textId="77777777" w:rsidR="00ED32D3" w:rsidRDefault="00F13C42">
            <w:pPr>
              <w:jc w:val="both"/>
              <w:rPr>
                <w:rFonts w:ascii="Times New Roman" w:hAnsi="Times New Roman"/>
                <w:sz w:val="21"/>
                <w:szCs w:val="21"/>
              </w:rPr>
            </w:pPr>
            <w:r>
              <w:rPr>
                <w:rFonts w:ascii="Times New Roman" w:hAnsi="Times New Roman"/>
                <w:sz w:val="21"/>
                <w:szCs w:val="21"/>
              </w:rPr>
              <w:t>0.</w:t>
            </w:r>
            <w:r>
              <w:rPr>
                <w:rFonts w:ascii="Times New Roman" w:hAnsi="Times New Roman" w:hint="eastAsia"/>
                <w:sz w:val="21"/>
                <w:szCs w:val="21"/>
              </w:rPr>
              <w:t>19</w:t>
            </w:r>
            <w:r>
              <w:rPr>
                <w:rFonts w:ascii="Times New Roman" w:hAnsi="Times New Roman"/>
                <w:sz w:val="21"/>
                <w:szCs w:val="21"/>
              </w:rPr>
              <w:t>0</w:t>
            </w:r>
          </w:p>
        </w:tc>
        <w:tc>
          <w:tcPr>
            <w:tcW w:w="1666" w:type="pct"/>
            <w:tcBorders>
              <w:top w:val="single" w:sz="4" w:space="0" w:color="auto"/>
            </w:tcBorders>
            <w:shd w:val="clear" w:color="auto" w:fill="auto"/>
          </w:tcPr>
          <w:p w14:paraId="6CFD63E7" w14:textId="77777777" w:rsidR="00ED32D3" w:rsidRDefault="00F13C42">
            <w:pPr>
              <w:jc w:val="both"/>
              <w:rPr>
                <w:rFonts w:ascii="Times New Roman" w:hAnsi="Times New Roman"/>
                <w:sz w:val="21"/>
                <w:szCs w:val="21"/>
              </w:rPr>
            </w:pPr>
            <w:r>
              <w:rPr>
                <w:rFonts w:ascii="Times New Roman" w:hAnsi="Times New Roman"/>
                <w:sz w:val="21"/>
                <w:szCs w:val="21"/>
              </w:rPr>
              <w:t>0.400</w:t>
            </w:r>
          </w:p>
        </w:tc>
      </w:tr>
      <w:tr w:rsidR="00ED32D3" w14:paraId="517A49D2" w14:textId="77777777">
        <w:trPr>
          <w:trHeight w:val="285"/>
        </w:trPr>
        <w:tc>
          <w:tcPr>
            <w:tcW w:w="1667" w:type="pct"/>
            <w:shd w:val="clear" w:color="auto" w:fill="auto"/>
          </w:tcPr>
          <w:p w14:paraId="0B85DE7F" w14:textId="77777777" w:rsidR="00ED32D3" w:rsidRDefault="00F13C42">
            <w:pPr>
              <w:jc w:val="both"/>
              <w:rPr>
                <w:rFonts w:ascii="Times New Roman" w:hAnsi="Times New Roman"/>
                <w:sz w:val="21"/>
                <w:szCs w:val="21"/>
              </w:rPr>
            </w:pPr>
            <w:r>
              <w:rPr>
                <w:rFonts w:ascii="Times New Roman" w:hAnsi="Times New Roman"/>
                <w:sz w:val="21"/>
                <w:szCs w:val="21"/>
              </w:rPr>
              <w:t>Woodland</w:t>
            </w:r>
          </w:p>
        </w:tc>
        <w:tc>
          <w:tcPr>
            <w:tcW w:w="1667" w:type="pct"/>
            <w:shd w:val="clear" w:color="auto" w:fill="auto"/>
            <w:noWrap/>
          </w:tcPr>
          <w:p w14:paraId="29B56B6E" w14:textId="77777777" w:rsidR="00ED32D3" w:rsidRDefault="00F13C42">
            <w:pPr>
              <w:jc w:val="both"/>
              <w:rPr>
                <w:rFonts w:ascii="Times New Roman" w:hAnsi="Times New Roman"/>
                <w:sz w:val="21"/>
                <w:szCs w:val="21"/>
              </w:rPr>
            </w:pPr>
            <w:r>
              <w:rPr>
                <w:rFonts w:ascii="Times New Roman" w:hAnsi="Times New Roman"/>
                <w:sz w:val="21"/>
                <w:szCs w:val="21"/>
              </w:rPr>
              <w:t>0.0</w:t>
            </w:r>
            <w:r>
              <w:rPr>
                <w:rFonts w:ascii="Times New Roman" w:hAnsi="Times New Roman" w:hint="eastAsia"/>
                <w:sz w:val="21"/>
                <w:szCs w:val="21"/>
              </w:rPr>
              <w:t>20</w:t>
            </w:r>
          </w:p>
        </w:tc>
        <w:tc>
          <w:tcPr>
            <w:tcW w:w="1666" w:type="pct"/>
            <w:shd w:val="clear" w:color="auto" w:fill="auto"/>
          </w:tcPr>
          <w:p w14:paraId="2FE724C4" w14:textId="77777777" w:rsidR="00ED32D3" w:rsidRDefault="00F13C42">
            <w:pPr>
              <w:jc w:val="both"/>
              <w:rPr>
                <w:rFonts w:ascii="Times New Roman" w:hAnsi="Times New Roman"/>
                <w:sz w:val="21"/>
                <w:szCs w:val="21"/>
              </w:rPr>
            </w:pPr>
            <w:r>
              <w:rPr>
                <w:rFonts w:ascii="Times New Roman" w:hAnsi="Times New Roman" w:hint="eastAsia"/>
                <w:sz w:val="21"/>
                <w:szCs w:val="21"/>
              </w:rPr>
              <w:t>1.000</w:t>
            </w:r>
          </w:p>
        </w:tc>
      </w:tr>
      <w:tr w:rsidR="00ED32D3" w14:paraId="6C0874CF" w14:textId="77777777">
        <w:trPr>
          <w:trHeight w:val="285"/>
        </w:trPr>
        <w:tc>
          <w:tcPr>
            <w:tcW w:w="1667" w:type="pct"/>
            <w:shd w:val="clear" w:color="auto" w:fill="auto"/>
          </w:tcPr>
          <w:p w14:paraId="5B6ED63A" w14:textId="77777777" w:rsidR="00ED32D3" w:rsidRDefault="00F13C42">
            <w:pPr>
              <w:jc w:val="both"/>
              <w:rPr>
                <w:rFonts w:ascii="Times New Roman" w:hAnsi="Times New Roman"/>
                <w:sz w:val="21"/>
                <w:szCs w:val="21"/>
              </w:rPr>
            </w:pPr>
            <w:r>
              <w:rPr>
                <w:rFonts w:ascii="Times New Roman" w:hAnsi="Times New Roman"/>
                <w:sz w:val="21"/>
                <w:szCs w:val="21"/>
              </w:rPr>
              <w:t>Grassland</w:t>
            </w:r>
          </w:p>
        </w:tc>
        <w:tc>
          <w:tcPr>
            <w:tcW w:w="1667" w:type="pct"/>
            <w:shd w:val="clear" w:color="auto" w:fill="auto"/>
            <w:noWrap/>
          </w:tcPr>
          <w:p w14:paraId="461D6036" w14:textId="77777777" w:rsidR="00ED32D3" w:rsidRDefault="00F13C42">
            <w:pPr>
              <w:jc w:val="both"/>
              <w:rPr>
                <w:rFonts w:ascii="Times New Roman" w:hAnsi="Times New Roman"/>
                <w:sz w:val="21"/>
                <w:szCs w:val="21"/>
              </w:rPr>
            </w:pPr>
            <w:r>
              <w:rPr>
                <w:rFonts w:ascii="Times New Roman" w:hAnsi="Times New Roman"/>
                <w:sz w:val="21"/>
                <w:szCs w:val="21"/>
              </w:rPr>
              <w:t>0.</w:t>
            </w:r>
            <w:r>
              <w:rPr>
                <w:rFonts w:ascii="Times New Roman" w:hAnsi="Times New Roman" w:hint="eastAsia"/>
                <w:sz w:val="21"/>
                <w:szCs w:val="21"/>
              </w:rPr>
              <w:t>310</w:t>
            </w:r>
          </w:p>
        </w:tc>
        <w:tc>
          <w:tcPr>
            <w:tcW w:w="1666" w:type="pct"/>
            <w:shd w:val="clear" w:color="auto" w:fill="auto"/>
          </w:tcPr>
          <w:p w14:paraId="7000DC18" w14:textId="77777777" w:rsidR="00ED32D3" w:rsidRDefault="00F13C42">
            <w:pPr>
              <w:jc w:val="both"/>
              <w:rPr>
                <w:rFonts w:ascii="Times New Roman" w:hAnsi="Times New Roman"/>
                <w:sz w:val="21"/>
                <w:szCs w:val="21"/>
              </w:rPr>
            </w:pPr>
            <w:r>
              <w:rPr>
                <w:rFonts w:ascii="Times New Roman" w:hAnsi="Times New Roman" w:hint="eastAsia"/>
                <w:sz w:val="21"/>
                <w:szCs w:val="21"/>
              </w:rPr>
              <w:t>1.000</w:t>
            </w:r>
          </w:p>
        </w:tc>
      </w:tr>
      <w:tr w:rsidR="00ED32D3" w14:paraId="517550ED" w14:textId="77777777">
        <w:trPr>
          <w:trHeight w:val="285"/>
        </w:trPr>
        <w:tc>
          <w:tcPr>
            <w:tcW w:w="1667" w:type="pct"/>
            <w:shd w:val="clear" w:color="auto" w:fill="auto"/>
          </w:tcPr>
          <w:p w14:paraId="1B761F37" w14:textId="77777777" w:rsidR="00ED32D3" w:rsidRDefault="00F13C42">
            <w:pPr>
              <w:jc w:val="both"/>
              <w:rPr>
                <w:rFonts w:ascii="Times New Roman" w:hAnsi="Times New Roman"/>
                <w:sz w:val="21"/>
                <w:szCs w:val="21"/>
              </w:rPr>
            </w:pPr>
            <w:r>
              <w:rPr>
                <w:rFonts w:ascii="Times New Roman" w:hAnsi="Times New Roman"/>
                <w:sz w:val="21"/>
                <w:szCs w:val="21"/>
              </w:rPr>
              <w:t>Water body</w:t>
            </w:r>
          </w:p>
        </w:tc>
        <w:tc>
          <w:tcPr>
            <w:tcW w:w="1667" w:type="pct"/>
            <w:shd w:val="clear" w:color="auto" w:fill="auto"/>
            <w:noWrap/>
          </w:tcPr>
          <w:p w14:paraId="1D9837C1" w14:textId="77777777" w:rsidR="00ED32D3" w:rsidRDefault="00F13C42">
            <w:pPr>
              <w:jc w:val="both"/>
              <w:rPr>
                <w:rFonts w:ascii="Times New Roman" w:hAnsi="Times New Roman"/>
                <w:sz w:val="21"/>
                <w:szCs w:val="21"/>
              </w:rPr>
            </w:pPr>
            <w:r>
              <w:rPr>
                <w:rFonts w:ascii="Times New Roman" w:hAnsi="Times New Roman"/>
                <w:sz w:val="21"/>
                <w:szCs w:val="21"/>
              </w:rPr>
              <w:t>0.00</w:t>
            </w:r>
            <w:r>
              <w:rPr>
                <w:rFonts w:ascii="Times New Roman" w:hAnsi="Times New Roman" w:hint="eastAsia"/>
                <w:sz w:val="21"/>
                <w:szCs w:val="21"/>
              </w:rPr>
              <w:t>0</w:t>
            </w:r>
          </w:p>
        </w:tc>
        <w:tc>
          <w:tcPr>
            <w:tcW w:w="1666" w:type="pct"/>
            <w:shd w:val="clear" w:color="auto" w:fill="auto"/>
          </w:tcPr>
          <w:p w14:paraId="739FB87C" w14:textId="77777777" w:rsidR="00ED32D3" w:rsidRDefault="00F13C42">
            <w:pPr>
              <w:jc w:val="both"/>
              <w:rPr>
                <w:rFonts w:ascii="Times New Roman" w:hAnsi="Times New Roman"/>
                <w:sz w:val="21"/>
                <w:szCs w:val="21"/>
              </w:rPr>
            </w:pPr>
            <w:r>
              <w:rPr>
                <w:rFonts w:ascii="Times New Roman" w:hAnsi="Times New Roman"/>
                <w:sz w:val="21"/>
                <w:szCs w:val="21"/>
              </w:rPr>
              <w:t>0.00</w:t>
            </w:r>
            <w:r>
              <w:rPr>
                <w:rFonts w:ascii="Times New Roman" w:hAnsi="Times New Roman" w:hint="eastAsia"/>
                <w:sz w:val="21"/>
                <w:szCs w:val="21"/>
              </w:rPr>
              <w:t>0</w:t>
            </w:r>
          </w:p>
        </w:tc>
      </w:tr>
      <w:tr w:rsidR="00ED32D3" w14:paraId="61F58EBE" w14:textId="77777777">
        <w:trPr>
          <w:trHeight w:val="285"/>
        </w:trPr>
        <w:tc>
          <w:tcPr>
            <w:tcW w:w="1667" w:type="pct"/>
            <w:shd w:val="clear" w:color="auto" w:fill="auto"/>
          </w:tcPr>
          <w:p w14:paraId="1CAE72E2" w14:textId="77777777" w:rsidR="00ED32D3" w:rsidRDefault="00F13C42">
            <w:pPr>
              <w:jc w:val="both"/>
              <w:rPr>
                <w:rFonts w:ascii="Times New Roman" w:hAnsi="Times New Roman"/>
                <w:sz w:val="21"/>
                <w:szCs w:val="21"/>
              </w:rPr>
            </w:pPr>
            <w:r>
              <w:rPr>
                <w:rFonts w:ascii="Times New Roman" w:hAnsi="Times New Roman"/>
                <w:sz w:val="21"/>
                <w:szCs w:val="21"/>
              </w:rPr>
              <w:t>Built-up land</w:t>
            </w:r>
          </w:p>
        </w:tc>
        <w:tc>
          <w:tcPr>
            <w:tcW w:w="1667" w:type="pct"/>
            <w:shd w:val="clear" w:color="auto" w:fill="auto"/>
            <w:noWrap/>
          </w:tcPr>
          <w:p w14:paraId="6B7A1952" w14:textId="77777777" w:rsidR="00ED32D3" w:rsidRDefault="00F13C42">
            <w:pPr>
              <w:jc w:val="both"/>
              <w:rPr>
                <w:rFonts w:ascii="Times New Roman" w:hAnsi="Times New Roman"/>
                <w:sz w:val="21"/>
                <w:szCs w:val="21"/>
              </w:rPr>
            </w:pPr>
            <w:r>
              <w:rPr>
                <w:rFonts w:ascii="Times New Roman" w:hAnsi="Times New Roman"/>
                <w:sz w:val="21"/>
                <w:szCs w:val="21"/>
              </w:rPr>
              <w:t>0.0</w:t>
            </w:r>
            <w:r>
              <w:rPr>
                <w:rFonts w:ascii="Times New Roman" w:hAnsi="Times New Roman" w:hint="eastAsia"/>
                <w:sz w:val="21"/>
                <w:szCs w:val="21"/>
              </w:rPr>
              <w:t>0</w:t>
            </w:r>
            <w:r>
              <w:rPr>
                <w:rFonts w:ascii="Times New Roman" w:hAnsi="Times New Roman"/>
                <w:sz w:val="21"/>
                <w:szCs w:val="21"/>
              </w:rPr>
              <w:t>0</w:t>
            </w:r>
          </w:p>
        </w:tc>
        <w:tc>
          <w:tcPr>
            <w:tcW w:w="1666" w:type="pct"/>
            <w:shd w:val="clear" w:color="auto" w:fill="auto"/>
          </w:tcPr>
          <w:p w14:paraId="462A5B18" w14:textId="77777777" w:rsidR="00ED32D3" w:rsidRDefault="00F13C42">
            <w:pPr>
              <w:jc w:val="both"/>
              <w:rPr>
                <w:rFonts w:ascii="Times New Roman" w:hAnsi="Times New Roman"/>
                <w:sz w:val="21"/>
                <w:szCs w:val="21"/>
              </w:rPr>
            </w:pPr>
            <w:r>
              <w:rPr>
                <w:rFonts w:ascii="Times New Roman" w:hAnsi="Times New Roman"/>
                <w:sz w:val="21"/>
                <w:szCs w:val="21"/>
              </w:rPr>
              <w:t>0.0</w:t>
            </w:r>
            <w:r>
              <w:rPr>
                <w:rFonts w:ascii="Times New Roman" w:hAnsi="Times New Roman" w:hint="eastAsia"/>
                <w:sz w:val="21"/>
                <w:szCs w:val="21"/>
              </w:rPr>
              <w:t>0</w:t>
            </w:r>
            <w:r>
              <w:rPr>
                <w:rFonts w:ascii="Times New Roman" w:hAnsi="Times New Roman"/>
                <w:sz w:val="21"/>
                <w:szCs w:val="21"/>
              </w:rPr>
              <w:t>0</w:t>
            </w:r>
          </w:p>
        </w:tc>
      </w:tr>
      <w:tr w:rsidR="00ED32D3" w14:paraId="50D7AE63" w14:textId="77777777">
        <w:trPr>
          <w:trHeight w:val="285"/>
        </w:trPr>
        <w:tc>
          <w:tcPr>
            <w:tcW w:w="1667" w:type="pct"/>
            <w:shd w:val="clear" w:color="auto" w:fill="auto"/>
          </w:tcPr>
          <w:p w14:paraId="247205DD" w14:textId="77777777" w:rsidR="00ED32D3" w:rsidRDefault="00F13C42">
            <w:pPr>
              <w:jc w:val="both"/>
              <w:rPr>
                <w:rFonts w:ascii="Times New Roman" w:hAnsi="Times New Roman"/>
                <w:sz w:val="21"/>
                <w:szCs w:val="21"/>
              </w:rPr>
            </w:pPr>
            <w:r>
              <w:rPr>
                <w:rFonts w:ascii="Times New Roman" w:hAnsi="Times New Roman"/>
                <w:sz w:val="21"/>
                <w:szCs w:val="21"/>
              </w:rPr>
              <w:t>Unused land</w:t>
            </w:r>
          </w:p>
        </w:tc>
        <w:tc>
          <w:tcPr>
            <w:tcW w:w="1667" w:type="pct"/>
            <w:shd w:val="clear" w:color="auto" w:fill="auto"/>
            <w:noWrap/>
          </w:tcPr>
          <w:p w14:paraId="4557A5E8" w14:textId="77777777" w:rsidR="00ED32D3" w:rsidRDefault="00F13C42">
            <w:pPr>
              <w:jc w:val="both"/>
              <w:rPr>
                <w:rFonts w:ascii="Times New Roman" w:hAnsi="Times New Roman"/>
                <w:sz w:val="21"/>
                <w:szCs w:val="21"/>
              </w:rPr>
            </w:pPr>
            <w:r>
              <w:rPr>
                <w:rFonts w:ascii="Times New Roman" w:hAnsi="Times New Roman" w:hint="eastAsia"/>
                <w:sz w:val="21"/>
                <w:szCs w:val="21"/>
              </w:rPr>
              <w:t>1.000</w:t>
            </w:r>
          </w:p>
        </w:tc>
        <w:tc>
          <w:tcPr>
            <w:tcW w:w="1666" w:type="pct"/>
            <w:shd w:val="clear" w:color="auto" w:fill="auto"/>
          </w:tcPr>
          <w:p w14:paraId="4E849F14" w14:textId="77777777" w:rsidR="00ED32D3" w:rsidRDefault="00F13C42">
            <w:pPr>
              <w:jc w:val="both"/>
              <w:rPr>
                <w:rFonts w:ascii="Times New Roman" w:hAnsi="Times New Roman"/>
                <w:sz w:val="21"/>
                <w:szCs w:val="21"/>
              </w:rPr>
            </w:pPr>
            <w:r>
              <w:rPr>
                <w:rFonts w:ascii="Times New Roman" w:hAnsi="Times New Roman" w:hint="eastAsia"/>
                <w:sz w:val="21"/>
                <w:szCs w:val="21"/>
              </w:rPr>
              <w:t>1.000</w:t>
            </w:r>
          </w:p>
        </w:tc>
      </w:tr>
    </w:tbl>
    <w:bookmarkEnd w:id="0"/>
    <w:p w14:paraId="04F75F03" w14:textId="77777777" w:rsidR="00ED32D3" w:rsidRDefault="00F13C42">
      <w:pPr>
        <w:spacing w:beforeLines="50" w:before="163" w:afterLines="50" w:after="163" w:line="480" w:lineRule="auto"/>
        <w:jc w:val="both"/>
        <w:outlineLvl w:val="0"/>
        <w:rPr>
          <w:rFonts w:ascii="Times New Roman" w:hAnsi="Times New Roman" w:cs="Times New Roman"/>
          <w:b/>
          <w:bCs/>
          <w:sz w:val="28"/>
          <w:szCs w:val="32"/>
        </w:rPr>
      </w:pPr>
      <w:r>
        <w:rPr>
          <w:rFonts w:ascii="Times New Roman" w:hAnsi="Times New Roman" w:cs="Times New Roman"/>
          <w:b/>
          <w:bCs/>
          <w:sz w:val="28"/>
          <w:szCs w:val="32"/>
        </w:rPr>
        <w:lastRenderedPageBreak/>
        <w:t xml:space="preserve">Appendix </w:t>
      </w:r>
      <w:r>
        <w:rPr>
          <w:rFonts w:ascii="Times New Roman" w:hAnsi="Times New Roman" w:cs="Times New Roman" w:hint="eastAsia"/>
          <w:b/>
          <w:bCs/>
          <w:sz w:val="28"/>
          <w:szCs w:val="32"/>
        </w:rPr>
        <w:t>B</w:t>
      </w:r>
      <w:r>
        <w:rPr>
          <w:rFonts w:ascii="Times New Roman" w:hAnsi="Times New Roman" w:cs="Times New Roman"/>
          <w:b/>
          <w:bCs/>
          <w:sz w:val="28"/>
          <w:szCs w:val="32"/>
        </w:rPr>
        <w:t xml:space="preserve">. Quantification of landscape structure </w:t>
      </w:r>
      <w:r>
        <w:rPr>
          <w:rFonts w:ascii="Times New Roman" w:hAnsi="Times New Roman" w:cs="Times New Roman" w:hint="eastAsia"/>
          <w:b/>
          <w:bCs/>
          <w:sz w:val="28"/>
          <w:szCs w:val="32"/>
        </w:rPr>
        <w:t>using</w:t>
      </w:r>
      <w:r>
        <w:rPr>
          <w:rFonts w:ascii="Times New Roman" w:hAnsi="Times New Roman" w:cs="Times New Roman"/>
          <w:b/>
          <w:bCs/>
          <w:sz w:val="28"/>
          <w:szCs w:val="32"/>
        </w:rPr>
        <w:t xml:space="preserve"> </w:t>
      </w:r>
      <w:r>
        <w:rPr>
          <w:rFonts w:ascii="Times New Roman" w:hAnsi="Times New Roman" w:cs="Times New Roman" w:hint="eastAsia"/>
          <w:b/>
          <w:bCs/>
          <w:sz w:val="28"/>
          <w:szCs w:val="32"/>
        </w:rPr>
        <w:t>landscape</w:t>
      </w:r>
      <w:r>
        <w:rPr>
          <w:rFonts w:ascii="Times New Roman" w:hAnsi="Times New Roman" w:cs="Times New Roman"/>
          <w:b/>
          <w:bCs/>
          <w:sz w:val="28"/>
          <w:szCs w:val="32"/>
        </w:rPr>
        <w:t xml:space="preserve"> </w:t>
      </w:r>
      <w:r>
        <w:rPr>
          <w:rFonts w:ascii="Times New Roman" w:hAnsi="Times New Roman" w:cs="Times New Roman" w:hint="eastAsia"/>
          <w:b/>
          <w:bCs/>
          <w:sz w:val="28"/>
          <w:szCs w:val="32"/>
        </w:rPr>
        <w:t>metrics</w:t>
      </w:r>
    </w:p>
    <w:p w14:paraId="2104B5B5" w14:textId="77777777" w:rsidR="00ED32D3" w:rsidRDefault="00F13C42">
      <w:pPr>
        <w:jc w:val="both"/>
        <w:outlineLvl w:val="3"/>
        <w:rPr>
          <w:rFonts w:ascii="Times New Roman" w:hAnsi="Times New Roman" w:cs="Times New Roman"/>
          <w:b/>
          <w:bCs/>
          <w:sz w:val="21"/>
          <w:szCs w:val="21"/>
        </w:rPr>
      </w:pPr>
      <w:r>
        <w:rPr>
          <w:rFonts w:ascii="Times New Roman" w:hAnsi="Times New Roman" w:cs="Times New Roman"/>
          <w:b/>
          <w:bCs/>
          <w:sz w:val="21"/>
          <w:szCs w:val="21"/>
        </w:rPr>
        <w:t>Table S1</w:t>
      </w:r>
    </w:p>
    <w:p w14:paraId="4CBB9C65" w14:textId="77777777" w:rsidR="00ED32D3" w:rsidRDefault="00F13C42">
      <w:pPr>
        <w:jc w:val="both"/>
        <w:rPr>
          <w:rFonts w:ascii="Times New Roman" w:hAnsi="Times New Roman" w:cs="Times New Roman"/>
          <w:sz w:val="21"/>
          <w:szCs w:val="21"/>
        </w:rPr>
      </w:pPr>
      <w:r>
        <w:rPr>
          <w:rFonts w:ascii="Times New Roman" w:hAnsi="Times New Roman"/>
          <w:sz w:val="21"/>
          <w:szCs w:val="21"/>
        </w:rPr>
        <w:t>Description</w:t>
      </w:r>
      <w:r>
        <w:rPr>
          <w:rFonts w:ascii="Times New Roman" w:hAnsi="Times New Roman" w:cs="Times New Roman"/>
          <w:sz w:val="21"/>
          <w:szCs w:val="21"/>
        </w:rPr>
        <w:t xml:space="preserve"> of the metrics used to assess landscape structure.</w:t>
      </w:r>
    </w:p>
    <w:tbl>
      <w:tblPr>
        <w:tblStyle w:val="11"/>
        <w:tblW w:w="9781" w:type="dxa"/>
        <w:tblBorders>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271"/>
        <w:gridCol w:w="1418"/>
        <w:gridCol w:w="850"/>
        <w:gridCol w:w="6242"/>
      </w:tblGrid>
      <w:tr w:rsidR="00ED32D3" w14:paraId="3684006E" w14:textId="77777777" w:rsidTr="008E0294">
        <w:trPr>
          <w:trHeight w:val="261"/>
        </w:trPr>
        <w:tc>
          <w:tcPr>
            <w:tcW w:w="1271" w:type="dxa"/>
            <w:tcBorders>
              <w:top w:val="single" w:sz="4" w:space="0" w:color="auto"/>
              <w:bottom w:val="single" w:sz="4" w:space="0" w:color="auto"/>
            </w:tcBorders>
            <w:shd w:val="clear" w:color="auto" w:fill="auto"/>
          </w:tcPr>
          <w:p w14:paraId="546BBF02" w14:textId="77777777" w:rsidR="00ED32D3" w:rsidRDefault="00F13C42">
            <w:pPr>
              <w:rPr>
                <w:rFonts w:ascii="Times New Roman" w:hAnsi="Times New Roman"/>
                <w:sz w:val="21"/>
                <w:szCs w:val="21"/>
              </w:rPr>
            </w:pPr>
            <w:r>
              <w:rPr>
                <w:rFonts w:ascii="Times New Roman" w:hAnsi="Times New Roman"/>
                <w:sz w:val="21"/>
                <w:szCs w:val="21"/>
              </w:rPr>
              <w:t>Type</w:t>
            </w:r>
          </w:p>
        </w:tc>
        <w:tc>
          <w:tcPr>
            <w:tcW w:w="1418" w:type="dxa"/>
            <w:tcBorders>
              <w:top w:val="single" w:sz="4" w:space="0" w:color="auto"/>
              <w:bottom w:val="single" w:sz="4" w:space="0" w:color="auto"/>
            </w:tcBorders>
            <w:shd w:val="clear" w:color="auto" w:fill="auto"/>
          </w:tcPr>
          <w:p w14:paraId="448B9448" w14:textId="77777777" w:rsidR="00ED32D3" w:rsidRDefault="00F13C42">
            <w:pPr>
              <w:rPr>
                <w:rFonts w:ascii="Times New Roman" w:hAnsi="Times New Roman"/>
                <w:sz w:val="21"/>
                <w:szCs w:val="21"/>
              </w:rPr>
            </w:pPr>
            <w:r>
              <w:rPr>
                <w:rFonts w:ascii="Times New Roman" w:hAnsi="Times New Roman"/>
                <w:sz w:val="21"/>
                <w:szCs w:val="21"/>
              </w:rPr>
              <w:t>Metrics</w:t>
            </w:r>
          </w:p>
        </w:tc>
        <w:tc>
          <w:tcPr>
            <w:tcW w:w="850" w:type="dxa"/>
            <w:tcBorders>
              <w:top w:val="single" w:sz="4" w:space="0" w:color="auto"/>
              <w:bottom w:val="single" w:sz="4" w:space="0" w:color="auto"/>
            </w:tcBorders>
            <w:shd w:val="clear" w:color="auto" w:fill="auto"/>
          </w:tcPr>
          <w:p w14:paraId="39C45EDB" w14:textId="77777777" w:rsidR="00ED32D3" w:rsidRDefault="00F13C42">
            <w:pPr>
              <w:rPr>
                <w:rFonts w:ascii="Times New Roman" w:hAnsi="Times New Roman"/>
                <w:sz w:val="21"/>
                <w:szCs w:val="21"/>
              </w:rPr>
            </w:pPr>
            <w:r>
              <w:rPr>
                <w:rFonts w:ascii="Times New Roman" w:hAnsi="Times New Roman"/>
                <w:sz w:val="21"/>
                <w:szCs w:val="21"/>
              </w:rPr>
              <w:t>Level*</w:t>
            </w:r>
          </w:p>
        </w:tc>
        <w:tc>
          <w:tcPr>
            <w:tcW w:w="6242" w:type="dxa"/>
            <w:tcBorders>
              <w:top w:val="single" w:sz="4" w:space="0" w:color="auto"/>
              <w:bottom w:val="single" w:sz="4" w:space="0" w:color="auto"/>
            </w:tcBorders>
            <w:shd w:val="clear" w:color="auto" w:fill="auto"/>
          </w:tcPr>
          <w:p w14:paraId="3D77C316" w14:textId="77777777" w:rsidR="00ED32D3" w:rsidRDefault="00F13C42">
            <w:pPr>
              <w:rPr>
                <w:rFonts w:ascii="Times New Roman" w:hAnsi="Times New Roman"/>
                <w:sz w:val="21"/>
                <w:szCs w:val="21"/>
              </w:rPr>
            </w:pPr>
            <w:r>
              <w:rPr>
                <w:rFonts w:ascii="Times New Roman" w:hAnsi="Times New Roman"/>
                <w:sz w:val="21"/>
                <w:szCs w:val="21"/>
              </w:rPr>
              <w:t>Description</w:t>
            </w:r>
          </w:p>
        </w:tc>
      </w:tr>
      <w:tr w:rsidR="00ED32D3" w14:paraId="45E539DB" w14:textId="77777777" w:rsidTr="008E0294">
        <w:trPr>
          <w:trHeight w:val="285"/>
        </w:trPr>
        <w:tc>
          <w:tcPr>
            <w:tcW w:w="1271" w:type="dxa"/>
            <w:vMerge w:val="restart"/>
            <w:tcBorders>
              <w:top w:val="single" w:sz="4" w:space="0" w:color="auto"/>
              <w:bottom w:val="nil"/>
            </w:tcBorders>
            <w:shd w:val="clear" w:color="auto" w:fill="auto"/>
          </w:tcPr>
          <w:p w14:paraId="011142D9" w14:textId="77777777" w:rsidR="00ED32D3" w:rsidRDefault="00F13C42">
            <w:pPr>
              <w:rPr>
                <w:rFonts w:ascii="Times New Roman" w:hAnsi="Times New Roman"/>
                <w:sz w:val="21"/>
                <w:szCs w:val="21"/>
              </w:rPr>
            </w:pPr>
            <w:bookmarkStart w:id="3" w:name="_Hlk97753552"/>
            <w:r>
              <w:rPr>
                <w:rFonts w:ascii="Times New Roman" w:hAnsi="Times New Roman"/>
                <w:sz w:val="21"/>
                <w:szCs w:val="21"/>
              </w:rPr>
              <w:t>Composition</w:t>
            </w:r>
          </w:p>
        </w:tc>
        <w:tc>
          <w:tcPr>
            <w:tcW w:w="1418" w:type="dxa"/>
            <w:tcBorders>
              <w:top w:val="single" w:sz="4" w:space="0" w:color="auto"/>
              <w:bottom w:val="nil"/>
            </w:tcBorders>
            <w:shd w:val="clear" w:color="auto" w:fill="auto"/>
          </w:tcPr>
          <w:p w14:paraId="0E3E2BDE" w14:textId="77777777" w:rsidR="00ED32D3" w:rsidRDefault="00F13C42">
            <w:pPr>
              <w:rPr>
                <w:rFonts w:ascii="Times New Roman" w:hAnsi="Times New Roman"/>
                <w:sz w:val="21"/>
                <w:szCs w:val="21"/>
              </w:rPr>
            </w:pPr>
            <w:r>
              <w:rPr>
                <w:rFonts w:ascii="Times New Roman" w:hAnsi="Times New Roman"/>
                <w:sz w:val="21"/>
                <w:szCs w:val="21"/>
              </w:rPr>
              <w:t>Patch density (PD)</w:t>
            </w:r>
          </w:p>
        </w:tc>
        <w:tc>
          <w:tcPr>
            <w:tcW w:w="850" w:type="dxa"/>
            <w:tcBorders>
              <w:top w:val="single" w:sz="4" w:space="0" w:color="auto"/>
              <w:bottom w:val="nil"/>
            </w:tcBorders>
            <w:shd w:val="clear" w:color="auto" w:fill="auto"/>
          </w:tcPr>
          <w:p w14:paraId="02259D80" w14:textId="77777777" w:rsidR="00ED32D3" w:rsidRDefault="00F13C42">
            <w:pPr>
              <w:rPr>
                <w:rFonts w:ascii="Times New Roman" w:hAnsi="Times New Roman"/>
                <w:sz w:val="21"/>
                <w:szCs w:val="21"/>
              </w:rPr>
            </w:pPr>
            <w:r>
              <w:rPr>
                <w:rFonts w:ascii="Times New Roman" w:hAnsi="Times New Roman"/>
                <w:sz w:val="21"/>
                <w:szCs w:val="21"/>
              </w:rPr>
              <w:t>C</w:t>
            </w:r>
          </w:p>
        </w:tc>
        <w:tc>
          <w:tcPr>
            <w:tcW w:w="6242" w:type="dxa"/>
            <w:tcBorders>
              <w:top w:val="single" w:sz="4" w:space="0" w:color="auto"/>
              <w:bottom w:val="nil"/>
            </w:tcBorders>
            <w:shd w:val="clear" w:color="auto" w:fill="auto"/>
            <w:noWrap/>
          </w:tcPr>
          <w:p w14:paraId="7817D8CD" w14:textId="3F4981B2" w:rsidR="00ED32D3" w:rsidRDefault="00F13C42">
            <w:pPr>
              <w:rPr>
                <w:rFonts w:ascii="Times New Roman" w:hAnsi="Times New Roman"/>
                <w:sz w:val="21"/>
                <w:szCs w:val="21"/>
              </w:rPr>
            </w:pPr>
            <w:r>
              <w:rPr>
                <w:rFonts w:ascii="Times New Roman" w:hAnsi="Times New Roman"/>
                <w:sz w:val="21"/>
                <w:szCs w:val="21"/>
              </w:rPr>
              <w:t>Range: PD ˃ 0, without limit. Unit: n/km</w:t>
            </w:r>
            <w:r>
              <w:rPr>
                <w:rFonts w:ascii="Times New Roman" w:hAnsi="Times New Roman"/>
                <w:sz w:val="21"/>
                <w:szCs w:val="21"/>
                <w:vertAlign w:val="superscript"/>
              </w:rPr>
              <w:t>2</w:t>
            </w:r>
            <w:r>
              <w:rPr>
                <w:rFonts w:ascii="Times New Roman" w:hAnsi="Times New Roman"/>
                <w:sz w:val="21"/>
                <w:szCs w:val="21"/>
              </w:rPr>
              <w:t>. PD is measured as the number of patches of each LULC type divided by the total landscape area, reflecting the degree of landscape fragmentation</w:t>
            </w:r>
            <w:r w:rsidR="002B6B86">
              <w:rPr>
                <w:rFonts w:ascii="Times New Roman" w:hAnsi="Times New Roman" w:hint="eastAsia"/>
                <w:color w:val="0000FF"/>
                <w:sz w:val="21"/>
                <w:szCs w:val="21"/>
              </w:rPr>
              <w:t xml:space="preserve"> </w:t>
            </w:r>
            <w:r w:rsidR="002B6B86" w:rsidRPr="00154A3B">
              <w:rPr>
                <w:rFonts w:ascii="Times New Roman" w:hAnsi="Times New Roman"/>
                <w:color w:val="0000FF"/>
                <w:sz w:val="21"/>
                <w:szCs w:val="21"/>
              </w:rPr>
              <w:fldChar w:fldCharType="begin"/>
            </w:r>
            <w:r w:rsidR="00154A3B" w:rsidRPr="00154A3B">
              <w:rPr>
                <w:rFonts w:ascii="Times New Roman" w:hAnsi="Times New Roman"/>
                <w:color w:val="0000FF"/>
                <w:sz w:val="21"/>
                <w:szCs w:val="21"/>
              </w:rPr>
              <w:instrText xml:space="preserve"> ADDIN ZOTERO_ITEM CSL_CITATION {"citationID":"Cfok4Cmx","properties":{"formattedCitation":"\\super 25,26\\nosupersub{}","plainCitation":"25,26","noteIndex":0},"citationItems":[{"id":326,"uris":["http://zotero.org/users/14180859/items/PG44Y3PU"],"itemData":{"id":326,"type":"article-journal","abstract":"BACKGROUND AND AIMS: Models assessing the prospects of plant species at the landscape level often focus primarily on the relationship between species  dynamics and landscape structure. However, the short-term prospects of species  with slow responses to landscape changes depend on the factors affecting local  population dynamics. In this study it is hypothesized that large herbivores may  be a major factor affecting the short-term prospects of slow-responding species  in the European landscape, because large herbivores have increased in number in  this region in recent decades and can strongly influence local population  dynamics. METHODS: The impact of browsing by large herbivores was simulated on  the landscape-level dynamics of the dry grassland perennial polycarpic herb  Scorzonera hispanica. A dynamic, spatially explicit model was used that  incorporated information on the location of patches suitable for S. hispanica,  local population dynamics (matrices including the impact of large herbivores),  initial population sizes and dispersal rate of the species. Simulations were  performed relating to the prospects of S. hispanica over the next 30 years under  different rates of herbivory (browsing intensity) and varying frequencies of  population destruction (e.g. by human activity). KEY RESULTS: Although a high  rate of herbivory was detected in most populations of S. hispanica, current  landscape-level dynamics of S. hispanica were approximately in equilibrium. A  decline or increase of over 20 % in the herbivory rate promoted rapid expansion  or decline of S. hispanica, respectively. This effect was much stronger in the  presence of population destruction. CONCLUSIONS: Browsing by large herbivores can  have a dramatic effect on the landscape dynamics of plant species. Changes in the  density of large herbivores and the probability of population destruction should  be incorporated into models predicting species abundance and distribution.","call-number":"2","container-title":"Annals of botany","DOI":"10.1093/aob/mcs064","ISSN":"1095-8290 0305-7364","issue":"7","journalAbbreviation":"Ann Bot","language":"eng","note":"publisher-place: England\nPMID: 22492260 \nPMCID: PMC3489140","page":"1411-1421","source":"5.04","title":"The effects of large herbivores on the landscape dynamics of a perennial herb.","volume":"110","author":[{"family":"Hemrová","given":"Lucie"},{"family":"Cervenková","given":"Zita"},{"family":"Münzbergová","given":"Zuzana"}],"issued":{"date-parts":[["2012",11]]}}},{"id":328,"uris":["http://zotero.org/users/14180859/items/IWNSLYRR"],"itemData":{"id":328,"type":"article-journal","abstract":"Most air pollution research has focused on assessing the urban landscape effects of pollutants in megacities, little is known about their associations in small-  to mid-sized cities. Considering that the biggest urban growth is projected to  occur in these smaller-scale cities, this empirical study identifies the key  urban form determinants of decadal-long fine particulate matter (PM(2.5)) trends  in all 626 Chinese cities at the county level and above. As the first study of  its kind, this study comprehensively examines the urban form effects on air  quality in cities of different population sizes, at different development levels,  and in different spatial-autocorrelation positions. Results demonstrate that the  urban form evolution has long-term effects on PM(2.5) level, but the dominant  factors shift over the urbanization stages: area metrics play a role in PM(2.5)  trends of small-sized cities at the early urban development stage, whereas  aggregation metrics determine such trends mostly in mid-sized cities. For large  cities exhibiting a higher degree of urbanization, the spatial connectedness of  urban patches is positively associated with long-term PM(2.5) level increases. We  suggest that, depending on the city's developmental stage, different aspects of  the urban form should be emphasized to achieve long-term clean air goals.","call-number":"3","container-title":"Scientific reports","DOI":"10.1038/s41598-020-74524-9","ISSN":"2045-2322","issue":"1","journalAbbreviation":"Sci Rep","language":"eng","note":"publisher-place: England\nPMID: 33122678 \nPMCID: PMC7596069","page":"18618","source":"4.996","title":"Urban and air pollution: a multi-city study of long-term effects of urban landscape patterns on air quality trends.","volume":"10","author":[{"family":"Liang","given":"Lu"},{"family":"Gong","given":"Peng"}],"issued":{"date-parts":[["2020",10,29]]}},"label":"page"}],"schema":"https://github.com/citation-style-language/schema/raw/master/csl-citation.json"} </w:instrText>
            </w:r>
            <w:r w:rsidR="002B6B86" w:rsidRPr="00154A3B">
              <w:rPr>
                <w:rFonts w:ascii="Times New Roman" w:hAnsi="Times New Roman"/>
                <w:color w:val="0000FF"/>
                <w:sz w:val="21"/>
                <w:szCs w:val="21"/>
              </w:rPr>
              <w:fldChar w:fldCharType="separate"/>
            </w:r>
            <w:r w:rsidR="00154A3B" w:rsidRPr="00154A3B">
              <w:rPr>
                <w:rFonts w:ascii="Times New Roman" w:hAnsi="Times New Roman" w:cs="Times New Roman"/>
                <w:color w:val="0000FF"/>
                <w:sz w:val="21"/>
                <w:vertAlign w:val="superscript"/>
              </w:rPr>
              <w:t>25,26</w:t>
            </w:r>
            <w:r w:rsidR="002B6B86" w:rsidRPr="00154A3B">
              <w:rPr>
                <w:rFonts w:ascii="Times New Roman" w:hAnsi="Times New Roman"/>
                <w:color w:val="0000FF"/>
                <w:sz w:val="21"/>
                <w:szCs w:val="21"/>
              </w:rPr>
              <w:fldChar w:fldCharType="end"/>
            </w:r>
            <w:r>
              <w:rPr>
                <w:rFonts w:ascii="Times New Roman" w:hAnsi="Times New Roman"/>
                <w:sz w:val="21"/>
                <w:szCs w:val="21"/>
              </w:rPr>
              <w:t>.</w:t>
            </w:r>
          </w:p>
        </w:tc>
      </w:tr>
      <w:tr w:rsidR="00ED32D3" w14:paraId="06A19E8B" w14:textId="77777777" w:rsidTr="008E0294">
        <w:trPr>
          <w:trHeight w:val="285"/>
        </w:trPr>
        <w:tc>
          <w:tcPr>
            <w:tcW w:w="1271" w:type="dxa"/>
            <w:vMerge/>
            <w:tcBorders>
              <w:top w:val="nil"/>
              <w:right w:val="nil"/>
            </w:tcBorders>
            <w:shd w:val="clear" w:color="auto" w:fill="auto"/>
          </w:tcPr>
          <w:p w14:paraId="05E965CC" w14:textId="77777777" w:rsidR="00ED32D3" w:rsidRDefault="00ED32D3">
            <w:pPr>
              <w:rPr>
                <w:rFonts w:ascii="Times New Roman" w:hAnsi="Times New Roman"/>
                <w:sz w:val="21"/>
                <w:szCs w:val="21"/>
              </w:rPr>
            </w:pPr>
          </w:p>
        </w:tc>
        <w:tc>
          <w:tcPr>
            <w:tcW w:w="1418" w:type="dxa"/>
            <w:tcBorders>
              <w:top w:val="nil"/>
              <w:left w:val="nil"/>
              <w:bottom w:val="nil"/>
              <w:right w:val="nil"/>
            </w:tcBorders>
            <w:shd w:val="clear" w:color="auto" w:fill="auto"/>
          </w:tcPr>
          <w:p w14:paraId="65F2F16A" w14:textId="77777777" w:rsidR="00ED32D3" w:rsidRDefault="00F13C42">
            <w:pPr>
              <w:rPr>
                <w:rFonts w:ascii="Times New Roman" w:hAnsi="Times New Roman"/>
                <w:sz w:val="21"/>
                <w:szCs w:val="21"/>
              </w:rPr>
            </w:pPr>
            <w:r>
              <w:rPr>
                <w:rFonts w:ascii="Times New Roman" w:hAnsi="Times New Roman"/>
                <w:sz w:val="21"/>
                <w:szCs w:val="21"/>
              </w:rPr>
              <w:t>Percentage of Landscape (PLAND)</w:t>
            </w:r>
          </w:p>
        </w:tc>
        <w:tc>
          <w:tcPr>
            <w:tcW w:w="850" w:type="dxa"/>
            <w:tcBorders>
              <w:top w:val="nil"/>
              <w:left w:val="nil"/>
              <w:bottom w:val="nil"/>
              <w:right w:val="nil"/>
            </w:tcBorders>
            <w:shd w:val="clear" w:color="auto" w:fill="auto"/>
          </w:tcPr>
          <w:p w14:paraId="34245317" w14:textId="77777777" w:rsidR="00ED32D3" w:rsidRDefault="00F13C42">
            <w:pPr>
              <w:rPr>
                <w:rFonts w:ascii="Times New Roman" w:hAnsi="Times New Roman"/>
                <w:sz w:val="21"/>
                <w:szCs w:val="21"/>
              </w:rPr>
            </w:pPr>
            <w:r>
              <w:rPr>
                <w:rFonts w:ascii="Times New Roman" w:hAnsi="Times New Roman"/>
                <w:sz w:val="21"/>
                <w:szCs w:val="21"/>
              </w:rPr>
              <w:t>C</w:t>
            </w:r>
          </w:p>
        </w:tc>
        <w:tc>
          <w:tcPr>
            <w:tcW w:w="6242" w:type="dxa"/>
            <w:tcBorders>
              <w:top w:val="nil"/>
              <w:left w:val="nil"/>
              <w:bottom w:val="nil"/>
              <w:right w:val="nil"/>
            </w:tcBorders>
            <w:shd w:val="clear" w:color="auto" w:fill="auto"/>
            <w:noWrap/>
          </w:tcPr>
          <w:p w14:paraId="70945C30" w14:textId="0AE52B77" w:rsidR="00ED32D3" w:rsidRDefault="00F13C42">
            <w:pPr>
              <w:rPr>
                <w:rFonts w:ascii="Times New Roman" w:hAnsi="Times New Roman"/>
                <w:sz w:val="21"/>
                <w:szCs w:val="21"/>
              </w:rPr>
            </w:pPr>
            <w:r>
              <w:rPr>
                <w:rFonts w:ascii="Times New Roman" w:hAnsi="Times New Roman"/>
                <w:sz w:val="21"/>
                <w:szCs w:val="21"/>
              </w:rPr>
              <w:t xml:space="preserve">Range: 0 ˂ PLAND </w:t>
            </w:r>
            <w:r>
              <w:rPr>
                <w:rFonts w:ascii="Times New Roman" w:hAnsi="Times New Roman" w:hint="eastAsia"/>
                <w:sz w:val="21"/>
                <w:szCs w:val="21"/>
              </w:rPr>
              <w:t>≤</w:t>
            </w:r>
            <w:r>
              <w:rPr>
                <w:rFonts w:ascii="Times New Roman" w:hAnsi="Times New Roman"/>
                <w:sz w:val="21"/>
                <w:szCs w:val="21"/>
              </w:rPr>
              <w:t xml:space="preserve"> 100. Unit: %. PLAND equals the percentage of the landscape comprised of the corresponding patch type and measures the dominance of a particular patch type</w:t>
            </w:r>
            <w:r w:rsidR="002B6B86">
              <w:rPr>
                <w:rFonts w:ascii="Times New Roman" w:hAnsi="Times New Roman" w:hint="eastAsia"/>
                <w:color w:val="0000FF"/>
                <w:sz w:val="21"/>
                <w:szCs w:val="21"/>
              </w:rPr>
              <w:t xml:space="preserve"> </w:t>
            </w:r>
            <w:r w:rsidR="002B6B86" w:rsidRPr="00154A3B">
              <w:rPr>
                <w:rFonts w:ascii="Times New Roman" w:hAnsi="Times New Roman"/>
                <w:color w:val="0000FF"/>
                <w:sz w:val="21"/>
                <w:szCs w:val="21"/>
              </w:rPr>
              <w:fldChar w:fldCharType="begin"/>
            </w:r>
            <w:r w:rsidR="00154A3B" w:rsidRPr="00154A3B">
              <w:rPr>
                <w:rFonts w:ascii="Times New Roman" w:hAnsi="Times New Roman"/>
                <w:color w:val="0000FF"/>
                <w:sz w:val="21"/>
                <w:szCs w:val="21"/>
              </w:rPr>
              <w:instrText xml:space="preserve"> ADDIN ZOTERO_ITEM CSL_CITATION {"citationID":"jDyFi7tB","properties":{"formattedCitation":"\\super 27,28\\nosupersub{}","plainCitation":"27,28","noteIndex":0},"citationItems":[{"id":332,"uris":["http://zotero.org/users/14180859/items/PYMSN5W7"],"itemData":{"id":332,"type":"article-journal","abstract":"Previous studies have shown both health and environmental benefits of green spaces, especially in moderating temperature and reducing air pollution. However,  the characteristics of green structures have been overlooked in previous  investigations. In addition, the mediation effects of green structures on  respiratory mortality have not been assessed. This study explores the potential  mediation pathways and effects of green structure characteristics on respiratory  mortality through temperature, primary and secondary air pollutants separately  using partial least squares model with data from Taiwan. The measurable  characteristics of green structure include the largest patch percentage,  landscape proportion, aggregation, patch distance, and fragmentation. The results  showed that mortality of pneumonia and chronic lower respiratory diseases could  be reduced by minimizing fragmentation and increasing the largest patch  percentage of green structure, and the mediation effects are mostly through  reducing air pollutants rather than temperature. Moreover, a high proportion of  but fragmented green spaces would increase secondary air pollutants and enhance  health risks; demonstrating the deficiency of traditional greening policy with  primary focus on coverage ratio. This is the first research focusing on mediation  effects of green structure characteristics on respiratory mortality, revealing  that appropriate green structure planning can be a useful complementary strategy  in environmental health management.","call-number":"3","container-title":"Scientific reports","DOI":"10.1038/srep42854","ISSN":"2045-2322","journalAbbreviation":"Sci Rep","language":"eng","note":"publisher-place: England\nPMID: 28230108 \nPMCID: PMC5322332","page":"42854","source":"4.996","title":"Mediation pathways and effects of green structures on respiratory mortality via reducing air pollution.","volume":"7","author":[{"family":"Shen","given":"Yu-Sheng"},{"family":"Lung","given":"Shih-Chun Candice"}],"issued":{"date-parts":[["2017",2,23]]}},"label":"page"},{"id":330,"uris":["http://zotero.org/users/14180859/items/3SV3CHJL"],"itemData":{"id":330,"type":"article-journal","abstract":"PM2.5 refers to particulate matter (PM) in air that is less than 2.5 μm in aerodynamic diameter, which has negative effects on air quality and human health.  PM2.5 is the main pollutant source in haze occurring in Beijing, and it also has  caused many problems in other cities. Previous studies have focused mostly on the  relationship between land use and air quality, but less research has specifically  explored the effects of urban landscape patterns on PM2.5. This study considered  the rapidly growing and heavily polluted Beijing, China. To better understand the  impact of urban landscape pattern on PM2.5 pollution, five landscape metrics  including PLAND, PD, ED, SHEI, and CONTAG were applied in the study. Further,  other data, such as street networks, population density, and elevation considered  as factors influencing PM2.5, were obtained through RS and GIS. By means of  correlation analysis and stepwise multiple regression, the effects of landscape  pattern on PM2.5 concentration was explored. The results showed that (1) at  class-level, vegetation and water were significant landscape components in  reducing PM2.5 concentration, while cropland played a special role in PM2.5  concentration; (2) landscape configuration (ED and PD) features at class-level  had obvious effects on particulate matter; and (3) at the landscape-level, the  evenness (SHEI) and fragmentation (CONTAG) of the whole landscape related closely  with PM2.5 concentration. Results of this study could expand our understanding of  the role of urban landscape pattern on PM2.5 and provide useful information for  urban planning.","call-number":"3","container-title":"PloS one","DOI":"10.1371/journal.pone.0142449","ISSN":"1932-6203","issue":"11","journalAbbreviation":"PLoS One","language":"eng","note":"publisher-place: United States\nPMID: 26565799 \nPMCID: PMC4643981","page":"e0142449","source":"3.752","title":"Effects of Urban Landscape Pattern on PM2.5 Pollution--A Beijing Case Study.","volume":"10","author":[{"family":"Wu","given":"Jiansheng"},{"family":"Xie","given":"Wudan"},{"family":"Li","given":"Weifeng"},{"family":"Li","given":"Jiacheng"}],"issued":{"date-parts":[["2015"]]}}}],"schema":"https://github.com/citation-style-language/schema/raw/master/csl-citation.json"} </w:instrText>
            </w:r>
            <w:r w:rsidR="002B6B86" w:rsidRPr="00154A3B">
              <w:rPr>
                <w:rFonts w:ascii="Times New Roman" w:hAnsi="Times New Roman"/>
                <w:color w:val="0000FF"/>
                <w:sz w:val="21"/>
                <w:szCs w:val="21"/>
              </w:rPr>
              <w:fldChar w:fldCharType="separate"/>
            </w:r>
            <w:r w:rsidR="00154A3B" w:rsidRPr="00154A3B">
              <w:rPr>
                <w:rFonts w:ascii="Times New Roman" w:hAnsi="Times New Roman" w:cs="Times New Roman"/>
                <w:color w:val="0000FF"/>
                <w:sz w:val="21"/>
                <w:vertAlign w:val="superscript"/>
              </w:rPr>
              <w:t>27,28</w:t>
            </w:r>
            <w:r w:rsidR="002B6B86" w:rsidRPr="00154A3B">
              <w:rPr>
                <w:rFonts w:ascii="Times New Roman" w:hAnsi="Times New Roman"/>
                <w:color w:val="0000FF"/>
                <w:sz w:val="21"/>
                <w:szCs w:val="21"/>
              </w:rPr>
              <w:fldChar w:fldCharType="end"/>
            </w:r>
            <w:r>
              <w:rPr>
                <w:rFonts w:ascii="Times New Roman" w:hAnsi="Times New Roman"/>
                <w:sz w:val="21"/>
                <w:szCs w:val="21"/>
              </w:rPr>
              <w:t>.</w:t>
            </w:r>
          </w:p>
        </w:tc>
      </w:tr>
      <w:tr w:rsidR="00ED32D3" w14:paraId="2D5C1B2A" w14:textId="77777777" w:rsidTr="008E0294">
        <w:trPr>
          <w:trHeight w:val="285"/>
        </w:trPr>
        <w:tc>
          <w:tcPr>
            <w:tcW w:w="1271" w:type="dxa"/>
            <w:vMerge/>
            <w:tcBorders>
              <w:right w:val="nil"/>
            </w:tcBorders>
            <w:shd w:val="clear" w:color="auto" w:fill="auto"/>
          </w:tcPr>
          <w:p w14:paraId="014BECC7" w14:textId="77777777" w:rsidR="00ED32D3" w:rsidRDefault="00ED32D3">
            <w:pPr>
              <w:rPr>
                <w:rFonts w:ascii="Times New Roman" w:hAnsi="Times New Roman"/>
                <w:sz w:val="21"/>
                <w:szCs w:val="21"/>
              </w:rPr>
            </w:pPr>
          </w:p>
        </w:tc>
        <w:tc>
          <w:tcPr>
            <w:tcW w:w="1418" w:type="dxa"/>
            <w:tcBorders>
              <w:top w:val="nil"/>
              <w:left w:val="nil"/>
              <w:bottom w:val="nil"/>
              <w:right w:val="nil"/>
            </w:tcBorders>
            <w:shd w:val="clear" w:color="auto" w:fill="auto"/>
          </w:tcPr>
          <w:p w14:paraId="58C73D32" w14:textId="77777777" w:rsidR="00ED32D3" w:rsidRPr="002B6B86" w:rsidRDefault="00F13C42">
            <w:pPr>
              <w:rPr>
                <w:rFonts w:ascii="Times New Roman" w:hAnsi="Times New Roman"/>
                <w:sz w:val="21"/>
                <w:szCs w:val="21"/>
              </w:rPr>
            </w:pPr>
            <w:r w:rsidRPr="002B6B86">
              <w:rPr>
                <w:rFonts w:ascii="Times New Roman" w:hAnsi="Times New Roman" w:hint="eastAsia"/>
                <w:sz w:val="21"/>
                <w:szCs w:val="21"/>
              </w:rPr>
              <w:t>Mean patch size</w:t>
            </w:r>
          </w:p>
          <w:p w14:paraId="6E839C20" w14:textId="77777777" w:rsidR="00ED32D3" w:rsidRPr="002B6B86" w:rsidRDefault="00F13C42">
            <w:pPr>
              <w:rPr>
                <w:rFonts w:ascii="Times New Roman" w:hAnsi="Times New Roman"/>
                <w:sz w:val="21"/>
                <w:szCs w:val="21"/>
              </w:rPr>
            </w:pPr>
            <w:r w:rsidRPr="002B6B86">
              <w:rPr>
                <w:rFonts w:ascii="Times New Roman" w:hAnsi="Times New Roman" w:hint="eastAsia"/>
                <w:sz w:val="21"/>
                <w:szCs w:val="21"/>
              </w:rPr>
              <w:t>(AREA_MN)</w:t>
            </w:r>
          </w:p>
        </w:tc>
        <w:tc>
          <w:tcPr>
            <w:tcW w:w="850" w:type="dxa"/>
            <w:tcBorders>
              <w:top w:val="nil"/>
              <w:left w:val="nil"/>
              <w:bottom w:val="nil"/>
              <w:right w:val="nil"/>
            </w:tcBorders>
            <w:shd w:val="clear" w:color="auto" w:fill="auto"/>
          </w:tcPr>
          <w:p w14:paraId="4A0971AF" w14:textId="77777777" w:rsidR="00ED32D3" w:rsidRPr="002B6B86" w:rsidRDefault="00F13C42">
            <w:pPr>
              <w:rPr>
                <w:rFonts w:ascii="Times New Roman" w:hAnsi="Times New Roman"/>
                <w:sz w:val="21"/>
                <w:szCs w:val="21"/>
              </w:rPr>
            </w:pPr>
            <w:r w:rsidRPr="002B6B86">
              <w:rPr>
                <w:rFonts w:ascii="Times New Roman" w:hAnsi="Times New Roman"/>
                <w:sz w:val="21"/>
                <w:szCs w:val="21"/>
              </w:rPr>
              <w:t>C</w:t>
            </w:r>
          </w:p>
        </w:tc>
        <w:tc>
          <w:tcPr>
            <w:tcW w:w="6242" w:type="dxa"/>
            <w:tcBorders>
              <w:top w:val="nil"/>
              <w:left w:val="nil"/>
              <w:bottom w:val="nil"/>
              <w:right w:val="nil"/>
            </w:tcBorders>
            <w:shd w:val="clear" w:color="auto" w:fill="auto"/>
            <w:noWrap/>
          </w:tcPr>
          <w:p w14:paraId="675B1C5D" w14:textId="638B7203" w:rsidR="00ED32D3" w:rsidRPr="002B6B86" w:rsidRDefault="00F13C42">
            <w:pPr>
              <w:rPr>
                <w:rFonts w:ascii="Times New Roman" w:hAnsi="Times New Roman"/>
                <w:sz w:val="21"/>
                <w:szCs w:val="21"/>
              </w:rPr>
            </w:pPr>
            <w:r w:rsidRPr="002B6B86">
              <w:rPr>
                <w:rFonts w:ascii="Times New Roman" w:hAnsi="Times New Roman" w:hint="eastAsia"/>
                <w:sz w:val="21"/>
                <w:szCs w:val="21"/>
              </w:rPr>
              <w:t xml:space="preserve">AREA_MN </w:t>
            </w:r>
            <w:r w:rsidRPr="002B6B86">
              <w:rPr>
                <w:rFonts w:ascii="Times New Roman" w:hAnsi="Times New Roman" w:hint="eastAsia"/>
                <w:sz w:val="21"/>
                <w:szCs w:val="21"/>
              </w:rPr>
              <w:t>≥</w:t>
            </w:r>
            <w:r w:rsidRPr="002B6B86">
              <w:rPr>
                <w:rFonts w:ascii="Times New Roman" w:hAnsi="Times New Roman" w:hint="eastAsia"/>
                <w:sz w:val="21"/>
                <w:szCs w:val="21"/>
              </w:rPr>
              <w:t xml:space="preserve"> 0, without limit; Unit: ha.The smaller the average patch size, the greater the patch density and the greater the landscape fragmentation</w:t>
            </w:r>
            <w:r w:rsidR="002B6B86" w:rsidRPr="002B6B86">
              <w:rPr>
                <w:rFonts w:ascii="Times New Roman" w:hAnsi="Times New Roman" w:hint="eastAsia"/>
                <w:sz w:val="21"/>
                <w:szCs w:val="21"/>
              </w:rPr>
              <w:t xml:space="preserve"> </w:t>
            </w:r>
            <w:r w:rsidR="002B6B86" w:rsidRPr="00154A3B">
              <w:rPr>
                <w:rFonts w:ascii="Times New Roman" w:hAnsi="Times New Roman"/>
                <w:color w:val="0000FF"/>
                <w:sz w:val="21"/>
                <w:szCs w:val="21"/>
              </w:rPr>
              <w:fldChar w:fldCharType="begin"/>
            </w:r>
            <w:r w:rsidR="00154A3B" w:rsidRPr="00154A3B">
              <w:rPr>
                <w:rFonts w:ascii="Times New Roman" w:hAnsi="Times New Roman"/>
                <w:color w:val="0000FF"/>
                <w:sz w:val="21"/>
                <w:szCs w:val="21"/>
              </w:rPr>
              <w:instrText xml:space="preserve"> ADDIN ZOTERO_ITEM CSL_CITATION {"citationID":"H9WRr3kP","properties":{"formattedCitation":"\\super 29\\uc0\\u8211{}31\\nosupersub{}","plainCitation":"29–31","noteIndex":0},"citationItems":[{"id":334,"uris":["http://zotero.org/users/14180859/items/786GUVGJ"],"itemData":{"id":334,"type":"article-journal","abstract":"Attacks by wild carnivores on humans represent an increasing problem in urban areas across North America and their frequency is expected to rise following  urban expansion towards carnivore habitats. Here, we analyzed records of  carnivore attacks on humans in urban areas of the U.S. and Canada between 1980  and 2016 to analyze the general patterns of the attacks, as well as describe the  landscape structure and, for those attacks occurring at night, the light  conditions at the site of the attacks. We found that several behavioral and  landscape-related factors were recurrent elements in the attacks recorded. The  species for which the attack locations were available (coyote and black bear)  attacked in areas with different conditions of landscape structure and artificial  light. Specifically, black bears attacked more frequently in areas with abundant  and aggregated vegetation cover and scarce buildings and roads, while coyotes  attacked in a broader range of landscape conditions. At night, black bears  attacked in generally darker areas than coyotes. By providing a comprehensive  perspective of the phenomenon, this study will improve our understanding of how  effective strategies aimed at reducing the frequency of risky encounters in urban  areas should be developed.","call-number":"3","container-title":"Scientific reports","DOI":"10.1038/s41598-018-36034-7","ISSN":"2045-2322","issue":"1","journalAbbreviation":"Sci Rep","language":"eng","note":"publisher-place: England\nPMID: 30531972 \nPMCID: PMC6286335","page":"17728","source":"4.996","title":"Patterns of wild carnivore attacks on humans in urban areas.","volume":"8","author":[{"family":"Bombieri","given":"Giulia"},{"family":"Delgado","given":"María Del Mar"},{"family":"Russo","given":"Luca Francesco"},{"family":"Garrote","given":"Pedro José"},{"family":"López-Bao","given":"José Vicente"},{"family":"Fedriani","given":"José M."},{"family":"Penteriani","given":"Vincenzo"}],"issued":{"date-parts":[["2018",12,7]]}},"label":"page"},{"id":338,"uris":["http://zotero.org/users/14180859/items/XXBJPDW8"],"itemData":{"id":338,"type":"article-journal","abstract":"The changes of natural habitat structure and function due to human interference is hastening worldwide, and it is compulsory to preserve biological resources in  a protected system. This study aims to measure the landscape ecological structure  and the extent of habitat fragmentation in the Bale mountains national park. The  land use/land cover change was determined by interpreting the 1985, 1995, 2005  and 2017 Landsat images with ArcGIS 10.3, and the selected landscape structural  metrics was analyzed using FRAGSTATS 4.2.1. All land cover classes showed a  declining trend, except the farmland, and grassland depicted the highest area  reduction. From 1985 to 2017 grassland, Erica, forestland, and afro-alpine were  decreased by 9.36 %, 0.26 %, 0.06 %, and 0.01 %, respectively. Whereas, farmland  was increased by 43.67 %. The study area was characterized as progressively  fragmented since it was signified by the escalated value of patch number  (40.22 %), area-weighted mean shape index (18.84 %), and edge density (22.27 %)  and a declined value of mean patch size (28.68 %) and core area (10.60 %) over  the study period. Considering this result, there was a high loss in area  available for core dependent species, particularly for Mountain nyala in the  grasslands and woodlands, Ethiopian wolf in afro-alpine regions, and Bale monkey  in the bamboo forest. Both forestland and grassland need a conservation priority  since these habitats were the most fragmented and habitat lost area.","call-number":"4","container-title":"Heliyon","DOI":"10.1016/j.heliyon.2021.e07642","ISSN":"2405-8440","issue":"7","journalAbbreviation":"Heliyon","language":"eng","license":"© 2021 The Author(s).","note":"publisher-place: England\nPMID: 34377861 \nPMCID: PMC8327354","page":"e07642","source":"3.776","title":"Class and landscape level habitat fragmentation analysis in the Bale mountains national park, southeastern Ethiopia.","volume":"7","author":[{"family":"Muhammed","given":"Annissa"},{"family":"Elias","given":"Eyasu"}],"issued":{"date-parts":[["2021",7]]}}},{"id":335,"uris":["http://zotero.org/users/14180859/items/ZS9895CZ"],"itemData":{"id":335,"type":"article-journal","abstract":"Monitoring wetland dynamics and related land-use changes over long-time periods is essential to understanding wetland evolution and supporting knowledge-based  conservation policies. Combining multi-source remote sensing images, this study  identifies the dynamics of marshes, a core part of wetlands, in the Small  Sanjiang Plain (SSP), from 1965 to 2015. The influence of human activities on  marsh patterns is estimated quantitatively by the trajectory analysis method. The  results indicate that the marsh area decreased drastically by 53.17% of the total  SSP area during the study period, which covered the last five decades. The marsh  mostly transformed to paddy field and dry farmland in the SSP from 1965 to 2015,  indicating that agricultural encroachment was the dominant contributor to marsh  degradation in the area. Analysis of the landscape indexes indicates that marsh  fragmentation was aggravated during the past five decades in the SSP. Trajectory  analysis also indicated that human activities have acted as the primary driving  force of marsh changes in the SSP since 1965. This study provides scientific  information to better understand the evolution of the wetland and to implement  ecological conservation and sustainable management of the wetlands in the future.","container-title":"Sensors (Basel, Switzerland)","DOI":"10.3390/s20041036","ISSN":"1424-8220","issue":"4","journalAbbreviation":"Sensors (Basel)","language":"eng","note":"publisher-place: Switzerland\nPMID: 32075124 \nPMCID: PMC7070650","title":"Large-Scale Marsh Loss Reconstructed from Satellite Data in the Small Sanjiang Plain since 1965: Process, Pattern and Driving Force.","volume":"20","author":[{"family":"Yan","given":"Fengqin"}],"issued":{"date-parts":[["2020",2,14]]}}}],"schema":"https://github.com/citation-style-language/schema/raw/master/csl-citation.json"} </w:instrText>
            </w:r>
            <w:r w:rsidR="002B6B86" w:rsidRPr="00154A3B">
              <w:rPr>
                <w:rFonts w:ascii="Times New Roman" w:hAnsi="Times New Roman"/>
                <w:color w:val="0000FF"/>
                <w:sz w:val="21"/>
                <w:szCs w:val="21"/>
              </w:rPr>
              <w:fldChar w:fldCharType="separate"/>
            </w:r>
            <w:r w:rsidR="00154A3B" w:rsidRPr="00154A3B">
              <w:rPr>
                <w:rFonts w:ascii="Times New Roman" w:hAnsi="Times New Roman" w:cs="Times New Roman"/>
                <w:color w:val="0000FF"/>
                <w:sz w:val="21"/>
                <w:vertAlign w:val="superscript"/>
              </w:rPr>
              <w:t>29–31</w:t>
            </w:r>
            <w:r w:rsidR="002B6B86" w:rsidRPr="00154A3B">
              <w:rPr>
                <w:rFonts w:ascii="Times New Roman" w:hAnsi="Times New Roman"/>
                <w:color w:val="0000FF"/>
                <w:sz w:val="21"/>
                <w:szCs w:val="21"/>
              </w:rPr>
              <w:fldChar w:fldCharType="end"/>
            </w:r>
            <w:r w:rsidRPr="002B6B86">
              <w:rPr>
                <w:rFonts w:ascii="Times New Roman" w:hAnsi="Times New Roman" w:hint="eastAsia"/>
                <w:sz w:val="21"/>
                <w:szCs w:val="21"/>
              </w:rPr>
              <w:t>.</w:t>
            </w:r>
          </w:p>
        </w:tc>
      </w:tr>
      <w:tr w:rsidR="00ED32D3" w14:paraId="4D1C1241" w14:textId="77777777" w:rsidTr="008E0294">
        <w:trPr>
          <w:trHeight w:val="285"/>
        </w:trPr>
        <w:tc>
          <w:tcPr>
            <w:tcW w:w="1271" w:type="dxa"/>
            <w:vMerge/>
            <w:shd w:val="clear" w:color="auto" w:fill="auto"/>
          </w:tcPr>
          <w:p w14:paraId="418AEC01" w14:textId="77777777" w:rsidR="00ED32D3" w:rsidRDefault="00ED32D3">
            <w:pPr>
              <w:rPr>
                <w:rFonts w:ascii="Times New Roman" w:hAnsi="Times New Roman"/>
                <w:sz w:val="21"/>
                <w:szCs w:val="21"/>
              </w:rPr>
            </w:pPr>
          </w:p>
        </w:tc>
        <w:tc>
          <w:tcPr>
            <w:tcW w:w="1418" w:type="dxa"/>
            <w:tcBorders>
              <w:top w:val="nil"/>
            </w:tcBorders>
            <w:shd w:val="clear" w:color="auto" w:fill="auto"/>
          </w:tcPr>
          <w:p w14:paraId="098CC2BA" w14:textId="77777777" w:rsidR="00ED32D3" w:rsidRDefault="00F13C42">
            <w:pPr>
              <w:rPr>
                <w:rFonts w:ascii="Times New Roman" w:hAnsi="Times New Roman"/>
                <w:sz w:val="21"/>
                <w:szCs w:val="21"/>
              </w:rPr>
            </w:pPr>
            <w:r>
              <w:rPr>
                <w:rFonts w:ascii="Times New Roman" w:hAnsi="Times New Roman"/>
                <w:sz w:val="21"/>
                <w:szCs w:val="21"/>
              </w:rPr>
              <w:t>Largest Patch</w:t>
            </w:r>
          </w:p>
          <w:p w14:paraId="7816FD4F" w14:textId="77777777" w:rsidR="00ED32D3" w:rsidRDefault="00F13C42">
            <w:pPr>
              <w:rPr>
                <w:rFonts w:ascii="Times New Roman" w:hAnsi="Times New Roman"/>
                <w:sz w:val="21"/>
                <w:szCs w:val="21"/>
              </w:rPr>
            </w:pPr>
            <w:r>
              <w:rPr>
                <w:rFonts w:ascii="Times New Roman" w:hAnsi="Times New Roman"/>
                <w:sz w:val="21"/>
                <w:szCs w:val="21"/>
              </w:rPr>
              <w:t>Index (LPI)</w:t>
            </w:r>
          </w:p>
        </w:tc>
        <w:tc>
          <w:tcPr>
            <w:tcW w:w="850" w:type="dxa"/>
            <w:tcBorders>
              <w:top w:val="nil"/>
            </w:tcBorders>
            <w:shd w:val="clear" w:color="auto" w:fill="auto"/>
          </w:tcPr>
          <w:p w14:paraId="2500B231" w14:textId="77777777" w:rsidR="00ED32D3" w:rsidRDefault="00F13C42">
            <w:pPr>
              <w:rPr>
                <w:rFonts w:ascii="Times New Roman" w:hAnsi="Times New Roman"/>
                <w:sz w:val="21"/>
                <w:szCs w:val="21"/>
              </w:rPr>
            </w:pPr>
            <w:r>
              <w:rPr>
                <w:rFonts w:ascii="Times New Roman" w:hAnsi="Times New Roman"/>
                <w:sz w:val="21"/>
                <w:szCs w:val="21"/>
              </w:rPr>
              <w:t>L</w:t>
            </w:r>
          </w:p>
        </w:tc>
        <w:tc>
          <w:tcPr>
            <w:tcW w:w="6242" w:type="dxa"/>
            <w:tcBorders>
              <w:top w:val="nil"/>
            </w:tcBorders>
            <w:shd w:val="clear" w:color="auto" w:fill="auto"/>
            <w:noWrap/>
          </w:tcPr>
          <w:p w14:paraId="26C0CA42" w14:textId="227AEF6D" w:rsidR="00ED32D3" w:rsidRDefault="00F13C42">
            <w:pPr>
              <w:rPr>
                <w:rFonts w:ascii="Times New Roman" w:hAnsi="Times New Roman"/>
                <w:sz w:val="21"/>
                <w:szCs w:val="21"/>
              </w:rPr>
            </w:pPr>
            <w:r>
              <w:rPr>
                <w:rFonts w:ascii="Times New Roman" w:hAnsi="Times New Roman"/>
                <w:sz w:val="21"/>
                <w:szCs w:val="21"/>
              </w:rPr>
              <w:t xml:space="preserve">Range: 0 ˂ LPI </w:t>
            </w:r>
            <w:r>
              <w:rPr>
                <w:rFonts w:ascii="Times New Roman" w:hAnsi="Times New Roman" w:hint="eastAsia"/>
                <w:sz w:val="21"/>
                <w:szCs w:val="21"/>
              </w:rPr>
              <w:t>≤</w:t>
            </w:r>
            <w:r>
              <w:rPr>
                <w:rFonts w:ascii="Times New Roman" w:hAnsi="Times New Roman"/>
                <w:sz w:val="21"/>
                <w:szCs w:val="21"/>
              </w:rPr>
              <w:t xml:space="preserve"> 100. Unit: %. LPI equals the area of the largest patch in the landscape divided by total landscape area and measures the dominance of the largest patch</w:t>
            </w:r>
            <w:r w:rsidR="00E20EC8">
              <w:rPr>
                <w:rFonts w:ascii="Times New Roman" w:hAnsi="Times New Roman" w:hint="eastAsia"/>
                <w:color w:val="0000FF"/>
                <w:sz w:val="21"/>
                <w:szCs w:val="21"/>
              </w:rPr>
              <w:t xml:space="preserve"> </w:t>
            </w:r>
            <w:r w:rsidR="00E20EC8" w:rsidRPr="00154A3B">
              <w:rPr>
                <w:rFonts w:ascii="Times New Roman" w:hAnsi="Times New Roman"/>
                <w:color w:val="0000FF"/>
                <w:sz w:val="21"/>
                <w:szCs w:val="21"/>
              </w:rPr>
              <w:fldChar w:fldCharType="begin"/>
            </w:r>
            <w:r w:rsidR="00154A3B" w:rsidRPr="00154A3B">
              <w:rPr>
                <w:rFonts w:ascii="Times New Roman" w:hAnsi="Times New Roman"/>
                <w:color w:val="0000FF"/>
                <w:sz w:val="21"/>
                <w:szCs w:val="21"/>
              </w:rPr>
              <w:instrText xml:space="preserve"> ADDIN ZOTERO_ITEM CSL_CITATION {"citationID":"Ht3RQLBM","properties":{"formattedCitation":"\\super 32,33\\nosupersub{}","plainCitation":"32,33","noteIndex":0},"citationItems":[{"id":340,"uris":["http://zotero.org/users/14180859/items/WPL3G8DE"],"itemData":{"id":340,"type":"article-journal","abstract":"Landscape patterns in a watershed potentially have significant influence on the occurrence, migration, and transformation of pollutants, such as nitrogen (N) and  phosphorus (P) in rivers. Human activities can accelerate the pollution and  complicate the problem especially in a peri-urban watershed with different types  of land use. To characterize the heterogeneous correlations between landscape  patterns and seasonal variations of N and P in a peri-urban watershed located  upstream of Tianjin metropolis, China, observations of total nitrogen (TN) and  total phosphorus (TP) at 33 locations were performed in the wet and dry seasons  from 2013 to 2016. The data from individual locations were averaged for the wet  and dry seasons and analyzed with geographical detector to identify influential  landscape indices on seasonal water quality variations. The geographically  weighted regression method, capable of analyzing heterogeneous correlations, was  used to evaluate the integrated effects from different landscape indices. The  results demonstrated that the location-weighted landscape contrast index (LWLI),  the ratio of urban areas, and the ratio of forest areas were major influential  indicators that affected TN and TP in river water. These indices also had  integrated effects on variations of TN and TP together with other indices such as  Shannon diversity index, landscape shape index, largest patch index, and  contagion index. The integrated effects were different in the wet and dry seasons  because of different effects of flushing and dilution by rainwater and the  heterogeneity in landscape patterns. The LWLI had a positive relationship to  water quality in the areas with high ratio of urban areas, indicating that  domestic wastewater can be a major source of N and P pollution. The approaches  and findings of this study may provide a reference for characterizing the major  factors and integrated effects that control nonpoint source pollution in a  watershed.","container-title":"Environmental science and pollution research international","DOI":"10.1007/s11356-020-09441-5","ISSN":"1614-7499 0944-1344","issue":"27","journalAbbreviation":"Environ Sci Pollut Res Int","language":"eng","note":"publisher-place: Germany\nPMID: 32557052 \nPMCID: PMC7423808","page":"34067-34077","title":"Characterizing the heterogeneous correlations between the landscape patterns and seasonal variations of total nitrogen and total phosphorus in a peri-urban  watershed.","volume":"27","author":[{"family":"Li","given":"Chongwei"},{"family":"Zhang","given":"Haiyan"},{"family":"Hao","given":"Yonghong"},{"family":"Zhang","given":"Ming"}],"issued":{"date-parts":[["2020",9]]}}},{"id":341,"uris":["http://zotero.org/users/14180859/items/T97SRMKM"],"itemData":{"id":341,"type":"article-journal","abstract":"Most air pollution research has focused on assessing the urban landscape effects of pollutants in megacities, little is known about their associations in small-  to mid-sized cities. Considering that the biggest urban growth is projected to  occur in these smaller-scale cities, this empirical study identifies the key  urban form determinants of decadal-long fine particulate matter (PM(2.5)) trends  in all 626 Chinese cities at the county level and above. As the first study of  its kind, this study comprehensively examines the urban form effects on air  quality in cities of different population sizes, at different development levels,  and in different spatial-autocorrelation positions. Results demonstrate that the  urban form evolution has long-term effects on PM(2.5) level, but the dominant  factors shift over the urbanization stages: area metrics play a role in PM(2.5)  trends of small-sized cities at the early urban development stage, whereas  aggregation metrics determine such trends mostly in mid-sized cities. For large  cities exhibiting a higher degree of urbanization, the spatial connectedness of  urban patches is positively associated with long-term PM(2.5) level increases. We  suggest that, depending on the city's developmental stage, different aspects of  the urban form should be emphasized to achieve long-term clean air goals.","call-number":"3","container-title":"Scientific reports","DOI":"10.1038/s41598-020-74524-9","ISSN":"2045-2322","issue":"1","journalAbbreviation":"Sci Rep","language":"eng","note":"publisher-place: England\nPMID: 33122678 \nPMCID: PMC7596069","page":"18618","source":"4.996","title":"Urban and air pollution: a multi-city study of long-term effects of urban landscape patterns on air quality trends.","volume":"10","author":[{"family":"Liang","given":"Lu"},{"family":"Gong","given":"Peng"}],"issued":{"date-parts":[["2020",10,29]]}},"label":"page"}],"schema":"https://github.com/citation-style-language/schema/raw/master/csl-citation.json"} </w:instrText>
            </w:r>
            <w:r w:rsidR="00E20EC8" w:rsidRPr="00154A3B">
              <w:rPr>
                <w:rFonts w:ascii="Times New Roman" w:hAnsi="Times New Roman"/>
                <w:color w:val="0000FF"/>
                <w:sz w:val="21"/>
                <w:szCs w:val="21"/>
              </w:rPr>
              <w:fldChar w:fldCharType="separate"/>
            </w:r>
            <w:r w:rsidR="00154A3B" w:rsidRPr="00154A3B">
              <w:rPr>
                <w:rFonts w:ascii="Times New Roman" w:hAnsi="Times New Roman" w:cs="Times New Roman"/>
                <w:color w:val="0000FF"/>
                <w:sz w:val="21"/>
                <w:vertAlign w:val="superscript"/>
              </w:rPr>
              <w:t>32,33</w:t>
            </w:r>
            <w:r w:rsidR="00E20EC8" w:rsidRPr="00154A3B">
              <w:rPr>
                <w:rFonts w:ascii="Times New Roman" w:hAnsi="Times New Roman"/>
                <w:color w:val="0000FF"/>
                <w:sz w:val="21"/>
                <w:szCs w:val="21"/>
              </w:rPr>
              <w:fldChar w:fldCharType="end"/>
            </w:r>
            <w:r>
              <w:rPr>
                <w:rFonts w:ascii="Times New Roman" w:hAnsi="Times New Roman"/>
                <w:sz w:val="21"/>
                <w:szCs w:val="21"/>
              </w:rPr>
              <w:t>.</w:t>
            </w:r>
          </w:p>
        </w:tc>
      </w:tr>
      <w:tr w:rsidR="00ED32D3" w14:paraId="099B8D18" w14:textId="77777777" w:rsidTr="008E0294">
        <w:trPr>
          <w:trHeight w:val="496"/>
        </w:trPr>
        <w:tc>
          <w:tcPr>
            <w:tcW w:w="1271" w:type="dxa"/>
            <w:vMerge/>
            <w:shd w:val="clear" w:color="auto" w:fill="auto"/>
          </w:tcPr>
          <w:p w14:paraId="48F51E01" w14:textId="77777777" w:rsidR="00ED32D3" w:rsidRDefault="00ED32D3">
            <w:pPr>
              <w:rPr>
                <w:rFonts w:ascii="Times New Roman" w:hAnsi="Times New Roman"/>
                <w:sz w:val="21"/>
                <w:szCs w:val="21"/>
              </w:rPr>
            </w:pPr>
          </w:p>
        </w:tc>
        <w:tc>
          <w:tcPr>
            <w:tcW w:w="1418" w:type="dxa"/>
            <w:shd w:val="clear" w:color="auto" w:fill="auto"/>
          </w:tcPr>
          <w:p w14:paraId="7E8CF6C2" w14:textId="77777777" w:rsidR="00ED32D3" w:rsidRDefault="00F13C42">
            <w:pPr>
              <w:rPr>
                <w:rFonts w:ascii="Times New Roman" w:hAnsi="Times New Roman"/>
                <w:sz w:val="21"/>
                <w:szCs w:val="21"/>
              </w:rPr>
            </w:pPr>
            <w:r>
              <w:rPr>
                <w:rFonts w:ascii="Times New Roman" w:hAnsi="Times New Roman"/>
                <w:sz w:val="21"/>
                <w:szCs w:val="21"/>
              </w:rPr>
              <w:t xml:space="preserve">Shannon’s </w:t>
            </w:r>
          </w:p>
          <w:p w14:paraId="00E36DFC" w14:textId="77777777" w:rsidR="00ED32D3" w:rsidRDefault="00F13C42">
            <w:pPr>
              <w:rPr>
                <w:rFonts w:ascii="Times New Roman" w:hAnsi="Times New Roman"/>
                <w:sz w:val="21"/>
                <w:szCs w:val="21"/>
              </w:rPr>
            </w:pPr>
            <w:r>
              <w:rPr>
                <w:rFonts w:ascii="Times New Roman" w:hAnsi="Times New Roman"/>
                <w:sz w:val="21"/>
                <w:szCs w:val="21"/>
              </w:rPr>
              <w:t>diversity index (SHDI)</w:t>
            </w:r>
          </w:p>
        </w:tc>
        <w:tc>
          <w:tcPr>
            <w:tcW w:w="850" w:type="dxa"/>
            <w:shd w:val="clear" w:color="auto" w:fill="auto"/>
          </w:tcPr>
          <w:p w14:paraId="2FFF199D" w14:textId="77777777" w:rsidR="00ED32D3" w:rsidRDefault="00F13C42">
            <w:pPr>
              <w:rPr>
                <w:rFonts w:ascii="Times New Roman" w:hAnsi="Times New Roman"/>
                <w:sz w:val="21"/>
                <w:szCs w:val="21"/>
              </w:rPr>
            </w:pPr>
            <w:r>
              <w:rPr>
                <w:rFonts w:ascii="Times New Roman" w:hAnsi="Times New Roman"/>
                <w:sz w:val="21"/>
                <w:szCs w:val="21"/>
              </w:rPr>
              <w:t>L</w:t>
            </w:r>
          </w:p>
        </w:tc>
        <w:tc>
          <w:tcPr>
            <w:tcW w:w="6242" w:type="dxa"/>
            <w:shd w:val="clear" w:color="auto" w:fill="auto"/>
            <w:noWrap/>
          </w:tcPr>
          <w:p w14:paraId="6886774C" w14:textId="4CBD673A" w:rsidR="00ED32D3" w:rsidRDefault="00F13C42">
            <w:pPr>
              <w:rPr>
                <w:rFonts w:ascii="Times New Roman" w:hAnsi="Times New Roman"/>
                <w:sz w:val="21"/>
                <w:szCs w:val="21"/>
              </w:rPr>
            </w:pPr>
            <w:r>
              <w:rPr>
                <w:rFonts w:ascii="Times New Roman" w:hAnsi="Times New Roman"/>
                <w:sz w:val="21"/>
                <w:szCs w:val="21"/>
              </w:rPr>
              <w:t xml:space="preserve">Range: SHDI </w:t>
            </w:r>
            <w:r>
              <w:rPr>
                <w:rFonts w:ascii="Times New Roman" w:hAnsi="Times New Roman" w:hint="eastAsia"/>
                <w:sz w:val="21"/>
                <w:szCs w:val="21"/>
              </w:rPr>
              <w:t>≥</w:t>
            </w:r>
            <w:r>
              <w:rPr>
                <w:rFonts w:ascii="Times New Roman" w:hAnsi="Times New Roman"/>
                <w:sz w:val="21"/>
                <w:szCs w:val="21"/>
              </w:rPr>
              <w:t xml:space="preserve"> 0, without limit. Unit: None. SHDI equals minus the sum, across all patch types, of the proportional abundance of each patch type multiplied by that proportion and indicates the patch diversity in the landscape</w:t>
            </w:r>
            <w:r w:rsidR="00566CCC" w:rsidRPr="00154A3B">
              <w:rPr>
                <w:rFonts w:ascii="Times New Roman" w:hAnsi="Times New Roman" w:hint="eastAsia"/>
                <w:color w:val="0000FF"/>
                <w:sz w:val="21"/>
                <w:szCs w:val="21"/>
              </w:rPr>
              <w:t xml:space="preserve"> </w:t>
            </w:r>
            <w:r w:rsidR="00566CCC" w:rsidRPr="00154A3B">
              <w:rPr>
                <w:rFonts w:ascii="Times New Roman" w:hAnsi="Times New Roman"/>
                <w:color w:val="0000FF"/>
                <w:sz w:val="21"/>
                <w:szCs w:val="21"/>
              </w:rPr>
              <w:fldChar w:fldCharType="begin"/>
            </w:r>
            <w:r w:rsidR="00154A3B" w:rsidRPr="00154A3B">
              <w:rPr>
                <w:rFonts w:ascii="Times New Roman" w:hAnsi="Times New Roman"/>
                <w:color w:val="0000FF"/>
                <w:sz w:val="21"/>
                <w:szCs w:val="21"/>
              </w:rPr>
              <w:instrText xml:space="preserve"> ADDIN ZOTERO_ITEM CSL_CITATION {"citationID":"vMCcBkLp","properties":{"formattedCitation":"\\super 34,35\\nosupersub{}","plainCitation":"34,35","noteIndex":0},"citationItems":[{"id":346,"uris":["http://zotero.org/users/14180859/items/6ANK22MZ"],"itemData":{"id":346,"type":"article-journal","abstract":"Invasive plants have extensive impacts on ecosystem function and biodiversity globally. Our inability to manage invasive species stems in part from a lack of  understanding of the processes that control their successful establishment and  spread. To date, studies have largely considered how above-ground processes  control native/invasive plant interactions. Emerging research from terrestrial  and wetland ecosystems demonstrates that below-ground processes under microbial  control can determine the outcome of interactions between native and invasive  plants. Whether sediment microbes modify the success of invasive macrophytes in  marine ecosystems is untested, despite marine sediment microbes controlling many  ecological processes (e.g. nutrient cycling) comparable to those in terrestrial  ecosystems. We first show that sediment bacterial communities differ between the  native seagrass Zostera capricorni and the invasive alga Caulerpa taxifolia and  that those differences relate to functional changes in sulfur cycling between the  macrophytes. Second, by experimentally manipulating the microbial communities we  show that intact microbial communities in Z. capricorni sediments provide biotic  resistance by reducing C. taxifolia fragment growth 119% compared to when they  are inactive, and intact microbial communities in C. taxifolia sediments have  positive feedbacks by increasing fragment growth 200%. Thus, similar to  terrestrial ecosystems, microorganisms appear to indirectly control the success  of invasive macrophytes in marine ecosystems.","call-number":"3","container-title":"Scientific reports","DOI":"10.1038/s41598-017-10231-2","ISSN":"2045-2322","issue":"1","journalAbbreviation":"Sci Rep","language":"eng","note":"publisher-place: England\nPMID: 28852143 \nPMCID: PMC5575248","page":"9845","source":"4.996","title":"Microbial communities in marine sediments modify success of an invasive macrophyte.","volume":"7","author":[{"family":"Gribben","given":"Paul E."},{"family":"Nielsen","given":"Shaun"},{"family":"Seymour","given":"Justin R."},{"family":"Bradley","given":"Daniel J."},{"family":"West","given":"Matthew N."},{"family":"Thomas","given":"Torsten"}],"issued":{"date-parts":[["2017",8,29]]}},"label":"page"},{"id":344,"uris":["http://zotero.org/users/14180859/items/EQ2QD8P4"],"itemData":{"id":344,"type":"article-journal","abstract":"Urban green space is an important refuge of biodiversity in urban areas. Therefore, it is crucial to understand the relationship between the landscape  pattern of green spaces and biodiversity to mitigate the negative effects of  urbanization. In this study, we collected insects from 45 green patches in  Beijing during July 2012 using suction sampling. The green patches were dominated  by managed lawns, mixed with scattered trees and shrubs. We examined the effects  of landscape pattern on insect species density using hierarchical partitioning  analysis and partial least squares regression. The results of the hierarchical  partitioning analysis indicated that five explanatory variables, i.e., patch area  (with 19.9% independent effects), connectivity (13.9%), distance to nearest patch  (13.8%), diversity for patch types (11.0%), and patch shape (8.3%), significantly  contributed to insect species density. With the partial least squares regression  model, we found species density was negatively related to patch area, shape,  connectivity, diversity for patch types and proportion of impervious surface at  the significance level of p &lt; 0.05 and positively related to proportion of  vegetated land. Regression tree analysis further showed that the highest species  density was found in green patches with an area &lt;500 m2. Our results indicated  that improvement in habitat quality, such as patch area and connectivity that are  typically thought to be important for conservation, did not actually increase  species density. However, increasing compactness (low-edge) of patch shape and  landscape composition did have the expected effect. Therefore, it is recommended  that the composition of the surrounding landscape should be considered  simultaneously with planned improvements in local habitat quality.","call-number":"3","container-title":"PloS one","DOI":"10.1371/journal.pone.0119276","ISSN":"1932-6203","issue":"3","journalAbbreviation":"PLoS One","language":"eng","note":"publisher-place: United States\nPMID: 25793897 \nPMCID: PMC4368726","page":"e0119276","source":"3.752","title":"Effect of landscape pattern on insect species density within urban green spaces in Beijing, China.","volume":"10","author":[{"family":"Su","given":"Zhimin"},{"family":"Li","given":"Xiaoma"},{"family":"Zhou","given":"Weiqi"},{"family":"Ouyang","given":"Zhiyun"}],"issued":{"date-parts":[["2015"]]}}}],"schema":"https://github.com/citation-style-language/schema/raw/master/csl-citation.json"} </w:instrText>
            </w:r>
            <w:r w:rsidR="00566CCC" w:rsidRPr="00154A3B">
              <w:rPr>
                <w:rFonts w:ascii="Times New Roman" w:hAnsi="Times New Roman"/>
                <w:color w:val="0000FF"/>
                <w:sz w:val="21"/>
                <w:szCs w:val="21"/>
              </w:rPr>
              <w:fldChar w:fldCharType="separate"/>
            </w:r>
            <w:r w:rsidR="00154A3B" w:rsidRPr="00154A3B">
              <w:rPr>
                <w:rFonts w:ascii="Times New Roman" w:hAnsi="Times New Roman" w:cs="Times New Roman"/>
                <w:color w:val="0000FF"/>
                <w:sz w:val="21"/>
                <w:vertAlign w:val="superscript"/>
              </w:rPr>
              <w:t>34,35</w:t>
            </w:r>
            <w:r w:rsidR="00566CCC" w:rsidRPr="00154A3B">
              <w:rPr>
                <w:rFonts w:ascii="Times New Roman" w:hAnsi="Times New Roman"/>
                <w:color w:val="0000FF"/>
                <w:sz w:val="21"/>
                <w:szCs w:val="21"/>
              </w:rPr>
              <w:fldChar w:fldCharType="end"/>
            </w:r>
            <w:r>
              <w:rPr>
                <w:rFonts w:ascii="Times New Roman" w:hAnsi="Times New Roman"/>
                <w:sz w:val="21"/>
                <w:szCs w:val="21"/>
              </w:rPr>
              <w:t>.</w:t>
            </w:r>
          </w:p>
        </w:tc>
      </w:tr>
      <w:tr w:rsidR="00EB22A7" w14:paraId="1B32FB6A" w14:textId="77777777" w:rsidTr="008E0294">
        <w:trPr>
          <w:trHeight w:val="285"/>
        </w:trPr>
        <w:tc>
          <w:tcPr>
            <w:tcW w:w="1271" w:type="dxa"/>
            <w:vMerge w:val="restart"/>
            <w:shd w:val="clear" w:color="auto" w:fill="auto"/>
          </w:tcPr>
          <w:p w14:paraId="2F8091DC" w14:textId="77777777" w:rsidR="00EB22A7" w:rsidRDefault="00EB22A7">
            <w:pPr>
              <w:rPr>
                <w:rFonts w:ascii="Times New Roman" w:hAnsi="Times New Roman"/>
                <w:sz w:val="21"/>
                <w:szCs w:val="21"/>
              </w:rPr>
            </w:pPr>
            <w:r>
              <w:rPr>
                <w:rFonts w:ascii="Times New Roman" w:hAnsi="Times New Roman"/>
                <w:sz w:val="21"/>
                <w:szCs w:val="21"/>
              </w:rPr>
              <w:t>Configuration</w:t>
            </w:r>
          </w:p>
        </w:tc>
        <w:tc>
          <w:tcPr>
            <w:tcW w:w="1418" w:type="dxa"/>
            <w:shd w:val="clear" w:color="auto" w:fill="auto"/>
          </w:tcPr>
          <w:p w14:paraId="72686AFA" w14:textId="77777777" w:rsidR="00EB22A7" w:rsidRDefault="00EB22A7">
            <w:pPr>
              <w:rPr>
                <w:rFonts w:ascii="Times New Roman" w:hAnsi="Times New Roman"/>
                <w:sz w:val="21"/>
                <w:szCs w:val="21"/>
              </w:rPr>
            </w:pPr>
            <w:r>
              <w:rPr>
                <w:rFonts w:ascii="Times New Roman" w:hAnsi="Times New Roman"/>
                <w:sz w:val="21"/>
                <w:szCs w:val="21"/>
              </w:rPr>
              <w:t>Edge density</w:t>
            </w:r>
          </w:p>
          <w:p w14:paraId="2ADCF2A8" w14:textId="77777777" w:rsidR="00EB22A7" w:rsidRDefault="00EB22A7">
            <w:pPr>
              <w:rPr>
                <w:rFonts w:ascii="Times New Roman" w:hAnsi="Times New Roman"/>
                <w:sz w:val="21"/>
                <w:szCs w:val="21"/>
              </w:rPr>
            </w:pPr>
            <w:r>
              <w:rPr>
                <w:rFonts w:ascii="Times New Roman" w:hAnsi="Times New Roman"/>
                <w:sz w:val="21"/>
                <w:szCs w:val="21"/>
              </w:rPr>
              <w:t>(ED)</w:t>
            </w:r>
          </w:p>
        </w:tc>
        <w:tc>
          <w:tcPr>
            <w:tcW w:w="850" w:type="dxa"/>
            <w:shd w:val="clear" w:color="auto" w:fill="auto"/>
          </w:tcPr>
          <w:p w14:paraId="7955D7FE" w14:textId="77777777" w:rsidR="00EB22A7" w:rsidRDefault="00EB22A7">
            <w:pPr>
              <w:rPr>
                <w:rFonts w:ascii="Times New Roman" w:hAnsi="Times New Roman"/>
                <w:sz w:val="21"/>
                <w:szCs w:val="21"/>
              </w:rPr>
            </w:pPr>
            <w:r>
              <w:rPr>
                <w:rFonts w:ascii="Times New Roman" w:hAnsi="Times New Roman"/>
                <w:sz w:val="21"/>
                <w:szCs w:val="21"/>
              </w:rPr>
              <w:t>L</w:t>
            </w:r>
          </w:p>
        </w:tc>
        <w:tc>
          <w:tcPr>
            <w:tcW w:w="6242" w:type="dxa"/>
            <w:shd w:val="clear" w:color="auto" w:fill="auto"/>
            <w:noWrap/>
          </w:tcPr>
          <w:p w14:paraId="6D4C179E" w14:textId="6B599759" w:rsidR="00EB22A7" w:rsidRDefault="00EB22A7">
            <w:pPr>
              <w:rPr>
                <w:rFonts w:ascii="Times New Roman" w:hAnsi="Times New Roman"/>
                <w:sz w:val="21"/>
                <w:szCs w:val="21"/>
              </w:rPr>
            </w:pPr>
            <w:r>
              <w:rPr>
                <w:rFonts w:ascii="Times New Roman" w:hAnsi="Times New Roman"/>
                <w:sz w:val="21"/>
                <w:szCs w:val="21"/>
              </w:rPr>
              <w:t xml:space="preserve">ED </w:t>
            </w:r>
            <w:r>
              <w:rPr>
                <w:rFonts w:ascii="Times New Roman" w:hAnsi="Times New Roman" w:hint="eastAsia"/>
                <w:sz w:val="21"/>
                <w:szCs w:val="21"/>
              </w:rPr>
              <w:t>≥</w:t>
            </w:r>
            <w:r>
              <w:rPr>
                <w:rFonts w:ascii="Times New Roman" w:hAnsi="Times New Roman"/>
                <w:sz w:val="21"/>
                <w:szCs w:val="21"/>
              </w:rPr>
              <w:t xml:space="preserve"> 0, without limit; Unit: m/ha. ED equals the sum of the lengths of all edge segments in the landscape, divided by the total landscape area, multiplied by 10,000. It measures the complexity of the patch edge</w:t>
            </w:r>
            <w:r w:rsidRPr="00154A3B">
              <w:rPr>
                <w:rFonts w:ascii="Times New Roman" w:hAnsi="Times New Roman" w:hint="eastAsia"/>
                <w:color w:val="0000FF"/>
                <w:sz w:val="21"/>
                <w:szCs w:val="21"/>
              </w:rPr>
              <w:t xml:space="preserve"> </w:t>
            </w:r>
            <w:r w:rsidRPr="00154A3B">
              <w:rPr>
                <w:rFonts w:ascii="Times New Roman" w:hAnsi="Times New Roman"/>
                <w:color w:val="0000FF"/>
                <w:sz w:val="21"/>
                <w:szCs w:val="21"/>
              </w:rPr>
              <w:fldChar w:fldCharType="begin"/>
            </w:r>
            <w:r w:rsidR="00154A3B" w:rsidRPr="00154A3B">
              <w:rPr>
                <w:rFonts w:ascii="Times New Roman" w:hAnsi="Times New Roman"/>
                <w:color w:val="0000FF"/>
                <w:sz w:val="21"/>
                <w:szCs w:val="21"/>
              </w:rPr>
              <w:instrText xml:space="preserve"> ADDIN ZOTERO_ITEM CSL_CITATION {"citationID":"UZp6PikI","properties":{"formattedCitation":"\\super 36,37\\nosupersub{}","plainCitation":"36,37","noteIndex":0},"citationItems":[{"id":348,"uris":["http://zotero.org/users/14180859/items/FN9VVEBH"],"itemData":{"id":348,"type":"article-journal","abstract":"Landscape structure can affect dispersal and gene flow in a species. In urban areas, buildings, roads, and small habitat patches make the landscape highly  fragmented and can inhibit movement and affect dispersal behavior. Similarly, in  rural forested areas, large open areas, such as fields, may act as barriers to  movement. We studied how landscape structure affects natal dispersal distances of  Eurasian red squirrels (Sciurus vulgaris) in an urban area and a rural area in  Finland, by monitoring juvenile red squirrels with radio telemetry. We observed  extremely long dispersal distances-up to 16 km-in the rural study area, but  shorter distances-on average only half a kilometer-in the urban study area. The  landscape structure affected the eventual dispersal paths; in the rural  landscape, dispersers favored spruce dominated areas and avoided fields along  their dispersal route, although they occasionally even crossed wide fields. In  the urban landscape, squirrels preferred areas with deciduous or coniferous  trees. The movement steps made by dispersers were longer in the more hostile  landscape compared to forested areas. Despite these effects on movement path, the  landscape structure only had a minor effect on straight line dispersal distances  moved from the natal nest. In other words, individuals moved longer distances and  were likely to circumvent barriers in their path, but this did not affect how far  they settled from their natal home. This result indicates that, although  landscape structure has obvious effects on movement, it still may have only a  small effect on other aspects of the population, for example, gene flow.","call-number":"2","container-title":"Ecology and evolution","DOI":"10.1002/ece3.4806","ISSN":"2045-7758","issue":"3","journalAbbreviation":"Ecol Evol","language":"eng","note":"publisher-place: England\nPMID: 30805150 \nPMCID: PMC6374674","page":"1173-1181","source":"3.167","title":"The effect of landscape structure on dispersal distances of the Eurasian red squirrel.","volume":"9","author":[{"family":"Hämäläinen","given":"Suvi"},{"family":"Fey","given":"Karen"},{"family":"Selonen","given":"Vesa"}],"issued":{"date-parts":[["2019",2]]}}},{"id":350,"uris":["http://zotero.org/users/14180859/items/NRRC2C35"],"itemData":{"id":350,"type":"article-journal","abstract":"Although wolves are wide-ranging generalist carnivores throughout their life cycle, during the pup-rearing season wolf activity is focused on natal den sites  where pup survival depends upon pack members provisioning food. Because prey  availability is influenced by habitat quality within the home range, we  investigated the relative importance of prey species for adults and pups and  further examined the relationship between habitat characteristics, wolf diet, and  litter size on Prince of Wales Island (POW) in Southeast Alaska. During  2012-2020, we detected 13 active den sites within the home ranges of nine wolf  packs. We estimated minimum pup counts using motion-detecting cameras and  individual genotypes from noninvasive samples (hair: n = 322; scat: n = 227) and  quantified wolf diet composition using fecal DNA metabarcoding (n = 538). We  assessed habitat composition, configuration, and connectivity within denning and  annual home ranges estimated using wolf GPS-collar data. Contrary to  expectations, wolves had a more constricted diet during denning season (April  15-July 31), and within this season pups had a narrower dietary niche (species  richness [S] = 4) focused more on deer (relative frequency of occurrence  [O/I] = 0.924) than adults (S = 15; deer O/I = 0.591). Litter size had a positive  relationship with the relative frequency of deer in a wolf pack's diet. Wolf  consumption of deer was positively associated with the proportion of young-growth  forest (</w:instrText>
            </w:r>
            <w:r w:rsidR="00154A3B" w:rsidRPr="00154A3B">
              <w:rPr>
                <w:rFonts w:ascii="Times New Roman" w:hAnsi="Times New Roman" w:hint="eastAsia"/>
                <w:color w:val="0000FF"/>
                <w:sz w:val="21"/>
                <w:szCs w:val="21"/>
              </w:rPr>
              <w:instrText>≤</w:instrText>
            </w:r>
            <w:r w:rsidR="00154A3B" w:rsidRPr="00154A3B">
              <w:rPr>
                <w:rFonts w:ascii="Times New Roman" w:hAnsi="Times New Roman"/>
                <w:color w:val="0000FF"/>
                <w:sz w:val="21"/>
                <w:szCs w:val="21"/>
              </w:rPr>
              <w:instrText xml:space="preserve">25 years old) within denning and annual home ranges. High levels of  vegetation patch interspersion, and the density of closed logging roads were also  important predictors, suggesting these habitat qualities were influential for  increasing the availability of deer to wolves. Our results contrast with previous  research indicating wolf pup diets included more alternate prey (i.e., beaver)  than adults and emphasize the importance of deer to wolf viability on POW,  especially during denning season.","call-number":"2","container-title":"Ecology and evolution","DOI":"10.1002/ece3.9648","ISSN":"2045-7758","issue":"1","journalAbbreviation":"Ecol Evol","language":"eng","license":"© 2023 The Authors. Ecology and Evolution published by John Wiley &amp; Sons Ltd.","note":"publisher-place: England\nPMID: 36644699 \nPMCID: PMC9834010","page":"e9648","source":"3.167","title":"Variation in adult and pup wolf diets at natal den sites is influenced by forest composition and configuration.","volume":"13","author":[{"family":"Roffler","given":"Gretchen H."},{"family":"Pilgrim","given":"Kristine L."},{"family":"Zarn","given":"Katherine E."},{"family":"Schwartz","given":"Michael K."},{"family":"Levi","given":"Taal"}],"issued":{"date-parts":[["2023",1]]}},"label":"page"}],"schema":"https://github.com/citation-style-language/schema/raw/master/csl-citation.json"} </w:instrText>
            </w:r>
            <w:r w:rsidRPr="00154A3B">
              <w:rPr>
                <w:rFonts w:ascii="Times New Roman" w:hAnsi="Times New Roman"/>
                <w:color w:val="0000FF"/>
                <w:sz w:val="21"/>
                <w:szCs w:val="21"/>
              </w:rPr>
              <w:fldChar w:fldCharType="separate"/>
            </w:r>
            <w:r w:rsidR="00154A3B" w:rsidRPr="00154A3B">
              <w:rPr>
                <w:rFonts w:ascii="Times New Roman" w:hAnsi="Times New Roman" w:cs="Times New Roman"/>
                <w:color w:val="0000FF"/>
                <w:sz w:val="21"/>
                <w:vertAlign w:val="superscript"/>
              </w:rPr>
              <w:t>36,37</w:t>
            </w:r>
            <w:r w:rsidRPr="00154A3B">
              <w:rPr>
                <w:rFonts w:ascii="Times New Roman" w:hAnsi="Times New Roman"/>
                <w:color w:val="0000FF"/>
                <w:sz w:val="21"/>
                <w:szCs w:val="21"/>
              </w:rPr>
              <w:fldChar w:fldCharType="end"/>
            </w:r>
            <w:r>
              <w:rPr>
                <w:rFonts w:ascii="Times New Roman" w:hAnsi="Times New Roman"/>
                <w:sz w:val="21"/>
                <w:szCs w:val="21"/>
              </w:rPr>
              <w:t>.</w:t>
            </w:r>
          </w:p>
        </w:tc>
      </w:tr>
      <w:tr w:rsidR="00EB22A7" w14:paraId="133690E6" w14:textId="77777777" w:rsidTr="008E0294">
        <w:trPr>
          <w:trHeight w:val="285"/>
        </w:trPr>
        <w:tc>
          <w:tcPr>
            <w:tcW w:w="1271" w:type="dxa"/>
            <w:vMerge/>
            <w:shd w:val="clear" w:color="auto" w:fill="auto"/>
          </w:tcPr>
          <w:p w14:paraId="0DE3E475" w14:textId="77777777" w:rsidR="00EB22A7" w:rsidRDefault="00EB22A7">
            <w:pPr>
              <w:rPr>
                <w:rFonts w:ascii="Times New Roman" w:hAnsi="Times New Roman"/>
                <w:sz w:val="21"/>
                <w:szCs w:val="21"/>
              </w:rPr>
            </w:pPr>
          </w:p>
        </w:tc>
        <w:tc>
          <w:tcPr>
            <w:tcW w:w="1418" w:type="dxa"/>
            <w:shd w:val="clear" w:color="auto" w:fill="auto"/>
          </w:tcPr>
          <w:p w14:paraId="7AC012E6" w14:textId="77777777" w:rsidR="00EB22A7" w:rsidRPr="00566CCC" w:rsidRDefault="00EB22A7">
            <w:pPr>
              <w:rPr>
                <w:rFonts w:ascii="Times New Roman" w:hAnsi="Times New Roman"/>
                <w:sz w:val="21"/>
                <w:szCs w:val="21"/>
              </w:rPr>
            </w:pPr>
            <w:r w:rsidRPr="00566CCC">
              <w:rPr>
                <w:rFonts w:ascii="Times New Roman" w:hAnsi="Times New Roman" w:hint="eastAsia"/>
                <w:sz w:val="21"/>
                <w:szCs w:val="21"/>
              </w:rPr>
              <w:t>Landscape shape index</w:t>
            </w:r>
          </w:p>
          <w:p w14:paraId="35A1FCD0" w14:textId="77777777" w:rsidR="00EB22A7" w:rsidRPr="00566CCC" w:rsidRDefault="00EB22A7">
            <w:pPr>
              <w:rPr>
                <w:rFonts w:ascii="Times New Roman" w:hAnsi="Times New Roman"/>
                <w:sz w:val="21"/>
                <w:szCs w:val="21"/>
              </w:rPr>
            </w:pPr>
            <w:r w:rsidRPr="00566CCC">
              <w:rPr>
                <w:rFonts w:ascii="Times New Roman" w:hAnsi="Times New Roman" w:hint="eastAsia"/>
                <w:sz w:val="21"/>
                <w:szCs w:val="21"/>
              </w:rPr>
              <w:t>(LSI)</w:t>
            </w:r>
          </w:p>
        </w:tc>
        <w:tc>
          <w:tcPr>
            <w:tcW w:w="850" w:type="dxa"/>
            <w:shd w:val="clear" w:color="auto" w:fill="auto"/>
          </w:tcPr>
          <w:p w14:paraId="226C89C3" w14:textId="77777777" w:rsidR="00EB22A7" w:rsidRPr="00566CCC" w:rsidRDefault="00EB22A7">
            <w:pPr>
              <w:rPr>
                <w:rFonts w:ascii="Times New Roman" w:hAnsi="Times New Roman"/>
                <w:sz w:val="21"/>
                <w:szCs w:val="21"/>
              </w:rPr>
            </w:pPr>
            <w:r w:rsidRPr="00566CCC">
              <w:rPr>
                <w:rFonts w:ascii="Times New Roman" w:hAnsi="Times New Roman"/>
                <w:sz w:val="21"/>
                <w:szCs w:val="21"/>
              </w:rPr>
              <w:t>L</w:t>
            </w:r>
          </w:p>
        </w:tc>
        <w:tc>
          <w:tcPr>
            <w:tcW w:w="6242" w:type="dxa"/>
            <w:shd w:val="clear" w:color="auto" w:fill="auto"/>
            <w:noWrap/>
          </w:tcPr>
          <w:p w14:paraId="38EDBB48" w14:textId="626D42B5" w:rsidR="00EB22A7" w:rsidRPr="00566CCC" w:rsidRDefault="00EB22A7">
            <w:pPr>
              <w:rPr>
                <w:rFonts w:ascii="Times New Roman" w:hAnsi="Times New Roman"/>
                <w:sz w:val="21"/>
                <w:szCs w:val="21"/>
              </w:rPr>
            </w:pPr>
            <w:r w:rsidRPr="00566CCC">
              <w:rPr>
                <w:rFonts w:ascii="Times New Roman" w:hAnsi="Times New Roman" w:hint="eastAsia"/>
                <w:sz w:val="21"/>
                <w:szCs w:val="21"/>
              </w:rPr>
              <w:t>LSI</w:t>
            </w:r>
            <w:r w:rsidRPr="00566CCC">
              <w:rPr>
                <w:rFonts w:ascii="Times New Roman" w:hAnsi="Times New Roman"/>
                <w:sz w:val="21"/>
                <w:szCs w:val="21"/>
              </w:rPr>
              <w:t xml:space="preserve"> </w:t>
            </w:r>
            <w:r w:rsidRPr="00566CCC">
              <w:rPr>
                <w:rFonts w:ascii="Times New Roman" w:hAnsi="Times New Roman" w:hint="eastAsia"/>
                <w:sz w:val="21"/>
                <w:szCs w:val="21"/>
              </w:rPr>
              <w:t>≥</w:t>
            </w:r>
            <w:r w:rsidRPr="00566CCC">
              <w:rPr>
                <w:rFonts w:ascii="Times New Roman" w:hAnsi="Times New Roman"/>
                <w:sz w:val="21"/>
                <w:szCs w:val="21"/>
              </w:rPr>
              <w:t xml:space="preserve"> 0, without limit;</w:t>
            </w:r>
            <w:r w:rsidRPr="00566CCC">
              <w:rPr>
                <w:rFonts w:ascii="Times New Roman" w:hAnsi="Times New Roman" w:hint="eastAsia"/>
                <w:sz w:val="21"/>
                <w:szCs w:val="21"/>
              </w:rPr>
              <w:t xml:space="preserve"> </w:t>
            </w:r>
            <w:r w:rsidRPr="00566CCC">
              <w:rPr>
                <w:rFonts w:ascii="Times New Roman" w:hAnsi="Times New Roman"/>
                <w:sz w:val="21"/>
                <w:szCs w:val="21"/>
              </w:rPr>
              <w:t>Unit: None.</w:t>
            </w:r>
            <w:r w:rsidRPr="00566CCC">
              <w:rPr>
                <w:rFonts w:ascii="Times New Roman" w:hAnsi="Times New Roman" w:hint="eastAsia"/>
                <w:sz w:val="21"/>
                <w:szCs w:val="21"/>
              </w:rPr>
              <w:t xml:space="preserve"> Larger LSI values indicate longer and more irregular patch boundaries, i.e., a higher degree of landscape fragmentation</w:t>
            </w:r>
            <w:r w:rsidRPr="00154A3B">
              <w:rPr>
                <w:rFonts w:ascii="Times New Roman" w:hAnsi="Times New Roman" w:hint="eastAsia"/>
                <w:color w:val="0000FF"/>
                <w:sz w:val="21"/>
                <w:szCs w:val="21"/>
              </w:rPr>
              <w:t xml:space="preserve"> </w:t>
            </w:r>
            <w:r w:rsidRPr="00154A3B">
              <w:rPr>
                <w:rFonts w:ascii="Times New Roman" w:hAnsi="Times New Roman"/>
                <w:color w:val="0000FF"/>
                <w:sz w:val="21"/>
                <w:szCs w:val="21"/>
              </w:rPr>
              <w:fldChar w:fldCharType="begin"/>
            </w:r>
            <w:r w:rsidR="00154A3B" w:rsidRPr="00154A3B">
              <w:rPr>
                <w:rFonts w:ascii="Times New Roman" w:hAnsi="Times New Roman"/>
                <w:color w:val="0000FF"/>
                <w:sz w:val="21"/>
                <w:szCs w:val="21"/>
              </w:rPr>
              <w:instrText xml:space="preserve"> ADDIN ZOTERO_ITEM CSL_CITATION {"citationID":"mG54Qdsg","properties":{"formattedCitation":"\\super 38,39\\nosupersub{}","plainCitation":"38,39","noteIndex":0},"citationItems":[{"id":351,"uris":["http://zotero.org/users/14180859/items/DIDSECJV"],"itemData":{"id":351,"type":"article-journal","abstract":"Most air pollution research has focused on assessing the urban landscape effects of pollutants in megacities, little is known about their associations in small-  to mid-sized cities. Considering that the biggest urban growth is projected to  occur in these smaller-scale cities, this empirical study identifies the key  urban form determinants of decadal-long fine particulate matter (PM(2.5)) trends  in all 626 Chinese cities at the county level and above. As the first study of  its kind, this study comprehensively examines the urban form effects on air  quality in cities of different population sizes, at different development levels,  and in different spatial-autocorrelation positions. Results demonstrate that the  urban form evolution has long-term effects on PM(2.5) level, but the dominant  factors shift over the urbanization stages: area metrics play a role in PM(2.5)  trends of small-sized cities at the early urban development stage, whereas  aggregation metrics determine such trends mostly in mid-sized cities. For large  cities exhibiting a higher degree of urbanization, the spatial connectedness of  urban patches is positively associated with long-term PM(2.5) level increases. We  suggest that, depending on the city's developmental stage, different aspects of  the urban form should be emphasized to achieve long-term clean air goals.","call-number":"3","container-title":"Scientific reports","DOI":"10.1038/s41598-020-74524-9","ISSN":"2045-2322","issue":"1","journalAbbreviation":"Sci Rep","language":"eng","note":"publisher-place: England\nPMID: 33122678 \nPMCID: PMC7596069","page":"18618","source":"4.996","title":"Urban and air pollution: a multi-city study of long-term effects of urban landscape patterns on air quality trends.","volume":"10","author":[{"family":"Liang","given":"Lu"},{"family":"Gong","given":"Peng"}],"issued":{"date-parts":[["2020",10,29]]}},"label":"page"},{"id":353,"uris":["http://zotero.org/users/14180859/items/F8UPBIP8"],"itemData":{"id":353,"type":"article-journal","abstract":"Research on urban thermal environments based on thermal comfort can help formulate effective measures to improve urban thermal and human settlement  environments, which is of great significance for improving urban quality, urban  climate change adaptation, and sustainable development. Taking 344 municipal  administrative districts in China as study areas, the Universal Thermal Climate  Index (UTCI) of each city in the last 20 years was calculated to evaluate thermal  comfort. We then analyzed the thermal comfort and spatiotemporal heterogeneity of  each city during a typical heat wave. Finally, the driving forces of the  potential socioeconomic, natural, and landscape factors influencing thermal  comfort were analyzed using geographic detectors. The results show that the  thermal comfort index had similar spatial patterns and differentiation  characteristics in different years, and the interannual variation was not  obvious. Cities in the typical heat wave period were mainly distributed in East  and Northwest China. The driving factor in the contribution rate of the same  index in different years was basically the same and was not affected by the  change in years, and the highest contribution rate was the natural factor.","call-number":"3","container-title":"International journal of environmental research and public health","DOI":"10.3390/ijerph19095683","ISSN":"1660-4601 1661-7827","issue":"9","journalAbbreviation":"Int J Environ Res Public Health","language":"eng","note":"publisher-place: Switzerland\nPMID: 35565078 \nPMCID: PMC9105431","source":"4.614","title":"Spatial Heterogeneity and Attribution Analysis of Urban Thermal Comfort in China from 2000 to 2020.","volume":"19","author":[{"family":"Wu","given":"Jiansheng"},{"family":"Li","given":"Xuechen"},{"family":"Li","given":"Si"},{"family":"Liu","given":"Chang"},{"family":"Yi","given":"Tengyun"},{"family":"Zhao","given":"Yuhao"}],"issued":{"date-parts":[["2022",5,7]]}}}],"schema":"https://github.com/citation-style-language/schema/raw/master/csl-citation.json"} </w:instrText>
            </w:r>
            <w:r w:rsidRPr="00154A3B">
              <w:rPr>
                <w:rFonts w:ascii="Times New Roman" w:hAnsi="Times New Roman"/>
                <w:color w:val="0000FF"/>
                <w:sz w:val="21"/>
                <w:szCs w:val="21"/>
              </w:rPr>
              <w:fldChar w:fldCharType="separate"/>
            </w:r>
            <w:r w:rsidR="00154A3B" w:rsidRPr="00154A3B">
              <w:rPr>
                <w:rFonts w:ascii="Times New Roman" w:hAnsi="Times New Roman" w:cs="Times New Roman"/>
                <w:color w:val="0000FF"/>
                <w:sz w:val="21"/>
                <w:vertAlign w:val="superscript"/>
              </w:rPr>
              <w:t>38,39</w:t>
            </w:r>
            <w:r w:rsidRPr="00154A3B">
              <w:rPr>
                <w:rFonts w:ascii="Times New Roman" w:hAnsi="Times New Roman"/>
                <w:color w:val="0000FF"/>
                <w:sz w:val="21"/>
                <w:szCs w:val="21"/>
              </w:rPr>
              <w:fldChar w:fldCharType="end"/>
            </w:r>
            <w:r w:rsidRPr="00566CCC">
              <w:rPr>
                <w:rFonts w:ascii="Times New Roman" w:hAnsi="Times New Roman" w:hint="eastAsia"/>
                <w:sz w:val="21"/>
                <w:szCs w:val="21"/>
              </w:rPr>
              <w:t>.</w:t>
            </w:r>
          </w:p>
        </w:tc>
      </w:tr>
      <w:tr w:rsidR="00EB22A7" w14:paraId="7FCC8ED2" w14:textId="77777777" w:rsidTr="008E0294">
        <w:trPr>
          <w:trHeight w:val="285"/>
        </w:trPr>
        <w:tc>
          <w:tcPr>
            <w:tcW w:w="1271" w:type="dxa"/>
            <w:vMerge/>
            <w:shd w:val="clear" w:color="auto" w:fill="auto"/>
          </w:tcPr>
          <w:p w14:paraId="2F6195EE" w14:textId="77777777" w:rsidR="00EB22A7" w:rsidRDefault="00EB22A7">
            <w:pPr>
              <w:rPr>
                <w:rFonts w:ascii="Times New Roman" w:hAnsi="Times New Roman"/>
                <w:sz w:val="21"/>
                <w:szCs w:val="21"/>
              </w:rPr>
            </w:pPr>
          </w:p>
        </w:tc>
        <w:tc>
          <w:tcPr>
            <w:tcW w:w="1418" w:type="dxa"/>
            <w:shd w:val="clear" w:color="auto" w:fill="auto"/>
          </w:tcPr>
          <w:p w14:paraId="4DC1A526" w14:textId="77777777" w:rsidR="00EB22A7" w:rsidRDefault="00EB22A7">
            <w:pPr>
              <w:rPr>
                <w:rFonts w:ascii="Times New Roman" w:hAnsi="Times New Roman"/>
                <w:sz w:val="21"/>
                <w:szCs w:val="21"/>
              </w:rPr>
            </w:pPr>
            <w:r>
              <w:rPr>
                <w:rFonts w:ascii="Times New Roman" w:hAnsi="Times New Roman"/>
                <w:sz w:val="21"/>
                <w:szCs w:val="21"/>
              </w:rPr>
              <w:t>Interspersion &amp;</w:t>
            </w:r>
          </w:p>
          <w:p w14:paraId="18E98CE8" w14:textId="77777777" w:rsidR="00EB22A7" w:rsidRDefault="00EB22A7">
            <w:pPr>
              <w:rPr>
                <w:rFonts w:ascii="Times New Roman" w:hAnsi="Times New Roman"/>
                <w:sz w:val="21"/>
                <w:szCs w:val="21"/>
              </w:rPr>
            </w:pPr>
            <w:r>
              <w:rPr>
                <w:rFonts w:ascii="Times New Roman" w:hAnsi="Times New Roman"/>
                <w:sz w:val="21"/>
                <w:szCs w:val="21"/>
              </w:rPr>
              <w:t>Juxtaposition Index (IJI)</w:t>
            </w:r>
          </w:p>
        </w:tc>
        <w:tc>
          <w:tcPr>
            <w:tcW w:w="850" w:type="dxa"/>
            <w:shd w:val="clear" w:color="auto" w:fill="auto"/>
          </w:tcPr>
          <w:p w14:paraId="52CF5B8C" w14:textId="77777777" w:rsidR="00EB22A7" w:rsidRDefault="00EB22A7">
            <w:pPr>
              <w:rPr>
                <w:rFonts w:ascii="Times New Roman" w:hAnsi="Times New Roman"/>
                <w:sz w:val="21"/>
                <w:szCs w:val="21"/>
              </w:rPr>
            </w:pPr>
            <w:r>
              <w:rPr>
                <w:rFonts w:ascii="Times New Roman" w:hAnsi="Times New Roman"/>
                <w:sz w:val="21"/>
                <w:szCs w:val="21"/>
              </w:rPr>
              <w:t>L</w:t>
            </w:r>
          </w:p>
        </w:tc>
        <w:tc>
          <w:tcPr>
            <w:tcW w:w="6242" w:type="dxa"/>
            <w:shd w:val="clear" w:color="auto" w:fill="auto"/>
            <w:noWrap/>
          </w:tcPr>
          <w:p w14:paraId="77F7FDB2" w14:textId="5114B4F6" w:rsidR="00EB22A7" w:rsidRDefault="00EB22A7">
            <w:pPr>
              <w:rPr>
                <w:rFonts w:ascii="Times New Roman" w:hAnsi="Times New Roman"/>
                <w:sz w:val="21"/>
                <w:szCs w:val="21"/>
              </w:rPr>
            </w:pPr>
            <w:r>
              <w:rPr>
                <w:rFonts w:ascii="Times New Roman" w:hAnsi="Times New Roman"/>
                <w:sz w:val="21"/>
                <w:szCs w:val="21"/>
              </w:rPr>
              <w:t xml:space="preserve">Range: 0 ˂ IJI </w:t>
            </w:r>
            <w:r>
              <w:rPr>
                <w:rFonts w:ascii="Times New Roman" w:hAnsi="Times New Roman" w:hint="eastAsia"/>
                <w:sz w:val="21"/>
                <w:szCs w:val="21"/>
              </w:rPr>
              <w:t>≤</w:t>
            </w:r>
            <w:r>
              <w:rPr>
                <w:rFonts w:ascii="Times New Roman" w:hAnsi="Times New Roman"/>
                <w:sz w:val="21"/>
                <w:szCs w:val="21"/>
              </w:rPr>
              <w:t xml:space="preserve"> 100; Unit: %. IJI is a relative index that represents the observed level of interspersion as a percentage of the maximum possible given the total number of patch types and reflects the adjacent characteristics between different patch types</w:t>
            </w:r>
            <w:r w:rsidRPr="00154A3B">
              <w:rPr>
                <w:rFonts w:ascii="Times New Roman" w:hAnsi="Times New Roman" w:hint="eastAsia"/>
                <w:color w:val="0000FF"/>
                <w:sz w:val="21"/>
                <w:szCs w:val="21"/>
              </w:rPr>
              <w:t xml:space="preserve"> </w:t>
            </w:r>
            <w:r w:rsidRPr="00154A3B">
              <w:rPr>
                <w:rFonts w:ascii="Times New Roman" w:hAnsi="Times New Roman"/>
                <w:color w:val="0000FF"/>
                <w:sz w:val="21"/>
                <w:szCs w:val="21"/>
              </w:rPr>
              <w:fldChar w:fldCharType="begin"/>
            </w:r>
            <w:r w:rsidR="00154A3B" w:rsidRPr="00154A3B">
              <w:rPr>
                <w:rFonts w:ascii="Times New Roman" w:hAnsi="Times New Roman"/>
                <w:color w:val="0000FF"/>
                <w:sz w:val="21"/>
                <w:szCs w:val="21"/>
              </w:rPr>
              <w:instrText xml:space="preserve"> ADDIN ZOTERO_ITEM CSL_CITATION {"citationID":"V0n45dhS","properties":{"formattedCitation":"\\super 40,41\\nosupersub{}","plainCitation":"40,41","noteIndex":0},"citationItems":[{"id":355,"uris":["http://zotero.org/users/14180859/items/6F7R24A4"],"itemData":{"id":355,"type":"article-journal","abstract":"Natal habitat preference induction (NHPI) occurs when animals exhibit a preference for new habitat that is similar to that which they experienced in  their natal environment, potentially leading to post-dispersal success. While the  study of NHPI is typically focused on post-settlement home ranges, we  investigated how this behavior may manifest during extra-home range movements  (EHRMs), both to identify exploratory prospecting behavior and assess how natal  habitat cues may influence path selection before settlement. We analyzed GPS  collar relocation data collected during 79 EHRMs made by 34 juvenile and subadult  white-tailed deer (Odocoileus virginianus) across an agricultural landscape with  highly fragmented forests in Illinois, USA. We developed a workflow to measure  multidimensional natal habitat dissimilarity for each EHRM relocation and fit  step-selection functions to evaluate whether natal habitat similarity explained  habitat selection along movement paths. Across seasons, selection for natal  habitat similarity was generally weak during excursive movements, but strong  during dispersals, indicating that NHPI is manifested in dispersal habitat  selection in this study system and bolstering the hypothesis that excursive  movements differ functionally from dispersal. Our approach for extending the NHPI  hypothesis to behavior during EHRMs can be applied to a variety of taxa and can  expand our understanding of how individual behavioral variation and early life  experience may shape connectivity and resistance across landscapes.","call-number":"2","container-title":"Ecology and evolution","DOI":"10.1002/ece3.9794","ISSN":"2045-7758","issue":"2","journalAbbreviation":"Ecol Evol","language":"eng","license":"© 2023 The Authors. Ecology and Evolution published by John Wiley &amp; Sons Ltd.","note":"publisher-place: England\nPMID: 36760707 \nPMCID: PMC9897958","page":"e9794","source":"3.167","title":"Influence of natal habitat preference on habitat selection during extra-home range movements in a large ungulate.","volume":"13","author":[{"family":"Hooven","given":"Nathan D."},{"family":"Springer","given":"Matthew T."},{"family":"Nielsen","given":"Clayton K."},{"family":"Schauber","given":"Eric M."}],"issued":{"date-parts":[["2023",2]]}}},{"id":354,"uris":["http://zotero.org/users/14180859/items/ASSK4ZSJ"],"itemData":{"id":354,"type":"article-journal","abstract":"Although wolves are wide-ranging generalist carnivores throughout their life cycle, during the pup-rearing season wolf activity is focused on natal den sites  where pup survival depends upon pack members provisioning food. Because prey  availability is influenced by habitat quality within the home range, we  investigated the relative importance of prey species for adults and pups and  further examined the relationship between habitat characteristics, wolf diet, and  litter size on Prince of Wales Island (POW) in Southeast Alaska. During  2012-2020, we detected 13 active den sites within the home ranges of nine wolf  packs. We estimated minimum pup counts using motion-detecting cameras and  individual genotypes from noninvasive samples (hair: n = 322; scat: n = 227) and  quantified wolf diet composition using fecal DNA metabarcoding (n = 538). We  assessed habitat composition, configuration, and connectivity within denning and  annual home ranges estimated using wolf GPS-collar data. Contrary to  expectations, wolves had a more constricted diet during denning season (April  15-July 31), and within this season pups had a narrower dietary niche (species  richness [S] = 4) focused more on deer (relative frequency of occurrence  [O/I] = 0.924) than adults (S = 15; deer O/I = 0.591). Litter size had a positive  relationship with the relative frequency of deer in a wolf pack's diet. Wolf  consumption of deer was positively associated with the proportion of young-growth  forest (</w:instrText>
            </w:r>
            <w:r w:rsidR="00154A3B" w:rsidRPr="00154A3B">
              <w:rPr>
                <w:rFonts w:ascii="Times New Roman" w:hAnsi="Times New Roman" w:hint="eastAsia"/>
                <w:color w:val="0000FF"/>
                <w:sz w:val="21"/>
                <w:szCs w:val="21"/>
              </w:rPr>
              <w:instrText>≤</w:instrText>
            </w:r>
            <w:r w:rsidR="00154A3B" w:rsidRPr="00154A3B">
              <w:rPr>
                <w:rFonts w:ascii="Times New Roman" w:hAnsi="Times New Roman"/>
                <w:color w:val="0000FF"/>
                <w:sz w:val="21"/>
                <w:szCs w:val="21"/>
              </w:rPr>
              <w:instrText xml:space="preserve">25 years old) within denning and annual home ranges. High levels of  vegetation patch interspersion, and the density of closed logging roads were also  important predictors, suggesting these habitat qualities were influential for  increasing the availability of deer to wolves. Our results contrast with previous  research indicating wolf pup diets included more alternate prey (i.e., beaver)  than adults and emphasize the importance of deer to wolf viability on POW,  especially during denning season.","call-number":"2","container-title":"Ecology and evolution","DOI":"10.1002/ece3.9648","ISSN":"2045-7758","issue":"1","journalAbbreviation":"Ecol Evol","language":"eng","license":"© 2023 The Authors. Ecology and Evolution published by John Wiley &amp; Sons Ltd.","note":"publisher-place: England\nPMID: 36644699 \nPMCID: PMC9834010","page":"e9648","source":"3.167","title":"Variation in adult and pup wolf diets at natal den sites is influenced by forest composition and configuration.","volume":"13","author":[{"family":"Roffler","given":"Gretchen H."},{"family":"Pilgrim","given":"Kristine L."},{"family":"Zarn","given":"Katherine E."},{"family":"Schwartz","given":"Michael K."},{"family":"Levi","given":"Taal"}],"issued":{"date-parts":[["2023",1]]}},"label":"page"}],"schema":"https://github.com/citation-style-language/schema/raw/master/csl-citation.json"} </w:instrText>
            </w:r>
            <w:r w:rsidRPr="00154A3B">
              <w:rPr>
                <w:rFonts w:ascii="Times New Roman" w:hAnsi="Times New Roman"/>
                <w:color w:val="0000FF"/>
                <w:sz w:val="21"/>
                <w:szCs w:val="21"/>
              </w:rPr>
              <w:fldChar w:fldCharType="separate"/>
            </w:r>
            <w:r w:rsidR="00154A3B" w:rsidRPr="00154A3B">
              <w:rPr>
                <w:rFonts w:ascii="Times New Roman" w:hAnsi="Times New Roman" w:cs="Times New Roman"/>
                <w:color w:val="0000FF"/>
                <w:sz w:val="21"/>
                <w:vertAlign w:val="superscript"/>
              </w:rPr>
              <w:t>40,41</w:t>
            </w:r>
            <w:r w:rsidRPr="00154A3B">
              <w:rPr>
                <w:rFonts w:ascii="Times New Roman" w:hAnsi="Times New Roman"/>
                <w:color w:val="0000FF"/>
                <w:sz w:val="21"/>
                <w:szCs w:val="21"/>
              </w:rPr>
              <w:fldChar w:fldCharType="end"/>
            </w:r>
            <w:r>
              <w:rPr>
                <w:rFonts w:ascii="Times New Roman" w:hAnsi="Times New Roman"/>
                <w:sz w:val="21"/>
                <w:szCs w:val="21"/>
              </w:rPr>
              <w:t>.</w:t>
            </w:r>
          </w:p>
        </w:tc>
      </w:tr>
      <w:tr w:rsidR="00EB22A7" w14:paraId="304F7AA7" w14:textId="77777777" w:rsidTr="008E0294">
        <w:trPr>
          <w:trHeight w:val="285"/>
        </w:trPr>
        <w:tc>
          <w:tcPr>
            <w:tcW w:w="1271" w:type="dxa"/>
            <w:vMerge/>
            <w:shd w:val="clear" w:color="auto" w:fill="auto"/>
          </w:tcPr>
          <w:p w14:paraId="7EFAD741" w14:textId="77777777" w:rsidR="00EB22A7" w:rsidRDefault="00EB22A7">
            <w:pPr>
              <w:rPr>
                <w:rFonts w:ascii="Times New Roman" w:hAnsi="Times New Roman"/>
                <w:sz w:val="21"/>
                <w:szCs w:val="21"/>
              </w:rPr>
            </w:pPr>
          </w:p>
        </w:tc>
        <w:tc>
          <w:tcPr>
            <w:tcW w:w="1418" w:type="dxa"/>
            <w:shd w:val="clear" w:color="auto" w:fill="auto"/>
          </w:tcPr>
          <w:p w14:paraId="7820E16E" w14:textId="31A9E49B" w:rsidR="00EB22A7" w:rsidRDefault="00EB22A7">
            <w:pPr>
              <w:rPr>
                <w:rFonts w:ascii="Times New Roman" w:hAnsi="Times New Roman"/>
                <w:sz w:val="21"/>
                <w:szCs w:val="21"/>
              </w:rPr>
            </w:pPr>
            <w:r w:rsidRPr="00EB22A7">
              <w:rPr>
                <w:rFonts w:ascii="Times New Roman" w:hAnsi="Times New Roman" w:hint="eastAsia"/>
                <w:sz w:val="21"/>
                <w:szCs w:val="21"/>
              </w:rPr>
              <w:t>Aggregation Index (AI)</w:t>
            </w:r>
          </w:p>
        </w:tc>
        <w:tc>
          <w:tcPr>
            <w:tcW w:w="850" w:type="dxa"/>
            <w:shd w:val="clear" w:color="auto" w:fill="auto"/>
          </w:tcPr>
          <w:p w14:paraId="20752CE1" w14:textId="2E77E302" w:rsidR="00EB22A7" w:rsidRDefault="00EB22A7">
            <w:pPr>
              <w:rPr>
                <w:rFonts w:ascii="Times New Roman" w:hAnsi="Times New Roman"/>
                <w:sz w:val="21"/>
                <w:szCs w:val="21"/>
              </w:rPr>
            </w:pPr>
            <w:r>
              <w:rPr>
                <w:rFonts w:ascii="Times New Roman" w:hAnsi="Times New Roman" w:hint="eastAsia"/>
                <w:sz w:val="21"/>
                <w:szCs w:val="21"/>
              </w:rPr>
              <w:t>C</w:t>
            </w:r>
          </w:p>
        </w:tc>
        <w:tc>
          <w:tcPr>
            <w:tcW w:w="6242" w:type="dxa"/>
            <w:shd w:val="clear" w:color="auto" w:fill="auto"/>
            <w:noWrap/>
          </w:tcPr>
          <w:p w14:paraId="4A476737" w14:textId="396B177B" w:rsidR="00EB22A7" w:rsidRDefault="00EB22A7">
            <w:pPr>
              <w:rPr>
                <w:rFonts w:ascii="Times New Roman" w:hAnsi="Times New Roman"/>
                <w:sz w:val="21"/>
                <w:szCs w:val="21"/>
              </w:rPr>
            </w:pPr>
            <w:r>
              <w:rPr>
                <w:rFonts w:ascii="Times New Roman" w:hAnsi="Times New Roman"/>
                <w:sz w:val="21"/>
                <w:szCs w:val="21"/>
              </w:rPr>
              <w:t xml:space="preserve">Range: 0 ˂ </w:t>
            </w:r>
            <w:r w:rsidRPr="00EB22A7">
              <w:rPr>
                <w:rFonts w:ascii="Times New Roman" w:hAnsi="Times New Roman" w:hint="eastAsia"/>
                <w:sz w:val="21"/>
                <w:szCs w:val="21"/>
              </w:rPr>
              <w:t>AI</w:t>
            </w:r>
            <w:r>
              <w:rPr>
                <w:rFonts w:ascii="Times New Roman" w:hAnsi="Times New Roman"/>
                <w:sz w:val="21"/>
                <w:szCs w:val="21"/>
              </w:rPr>
              <w:t xml:space="preserve"> </w:t>
            </w:r>
            <w:r>
              <w:rPr>
                <w:rFonts w:ascii="Times New Roman" w:hAnsi="Times New Roman" w:hint="eastAsia"/>
                <w:sz w:val="21"/>
                <w:szCs w:val="21"/>
              </w:rPr>
              <w:t>≤</w:t>
            </w:r>
            <w:r>
              <w:rPr>
                <w:rFonts w:ascii="Times New Roman" w:hAnsi="Times New Roman"/>
                <w:sz w:val="21"/>
                <w:szCs w:val="21"/>
              </w:rPr>
              <w:t xml:space="preserve"> 100</w:t>
            </w:r>
            <w:r w:rsidR="00203865">
              <w:rPr>
                <w:rFonts w:ascii="Times New Roman" w:hAnsi="Times New Roman" w:hint="eastAsia"/>
                <w:sz w:val="21"/>
                <w:szCs w:val="21"/>
              </w:rPr>
              <w:t>;</w:t>
            </w:r>
            <w:r w:rsidR="00203865">
              <w:rPr>
                <w:rFonts w:ascii="Times New Roman" w:hAnsi="Times New Roman"/>
                <w:sz w:val="21"/>
                <w:szCs w:val="21"/>
              </w:rPr>
              <w:t xml:space="preserve"> Unit: %.</w:t>
            </w:r>
            <w:r w:rsidR="00203865">
              <w:rPr>
                <w:rFonts w:hint="eastAsia"/>
              </w:rPr>
              <w:t xml:space="preserve"> </w:t>
            </w:r>
            <w:r w:rsidR="00203865" w:rsidRPr="00203865">
              <w:rPr>
                <w:rFonts w:ascii="Times New Roman" w:hAnsi="Times New Roman" w:hint="eastAsia"/>
                <w:sz w:val="21"/>
                <w:szCs w:val="21"/>
              </w:rPr>
              <w:t>AI is equal to the number of like-kind adjacency relationships involving the corresponding category divided by the maximum possible number of like-kind adjacency relationships involving the corresponding category, and is used to measure the degree of non-randomness or clustering of a particular landscape type</w:t>
            </w:r>
            <w:r w:rsidR="00A80A40" w:rsidRPr="00154A3B">
              <w:rPr>
                <w:rFonts w:ascii="Times New Roman" w:hAnsi="Times New Roman"/>
                <w:color w:val="0000FF"/>
                <w:sz w:val="21"/>
                <w:szCs w:val="21"/>
              </w:rPr>
              <w:fldChar w:fldCharType="begin"/>
            </w:r>
            <w:r w:rsidR="00154A3B" w:rsidRPr="00154A3B">
              <w:rPr>
                <w:rFonts w:ascii="Times New Roman" w:hAnsi="Times New Roman"/>
                <w:color w:val="0000FF"/>
                <w:sz w:val="21"/>
                <w:szCs w:val="21"/>
              </w:rPr>
              <w:instrText xml:space="preserve"> ADDIN ZOTERO_ITEM CSL_CITATION {"citationID":"fDqpRJip","properties":{"formattedCitation":"\\super 42\\nosupersub{}","plainCitation":"42","noteIndex":0},"citationItems":[{"id":431,"uris":["http://zotero.org/users/14180859/items/9ANTKGKA"],"itemData":{"id":431,"type":"article-journal","abstract":"Understanding the spatially varying relationships between landscape pattern and water quality in the agricultural karst river system is helpful for landscape planning and management to protect water quality. In this study, empirical models were established to examine the impact of landscape pattern on the seasonal water quality at multi-spatial scales in a typical karst river basin in Southwestern China. Water samples from the Chishui River basin were collected and analysed during both the wet and dry seasons. Kruskal–Wallis tests revealed significant seasonal variations in water physic-chemical parameter variables, the values of which were all generally higher in the wet period than those in the dry period except for pH and SO42−. Moreover, the nutrient indicators including NO3−-N, PO43−-P, DOC and DSi showed obvious spatial variations, some of which were related to the spatial distribution of cropland that reflected the agricultural activities of the basin. Redundancy analysis results indicated that the landscape pattern metrics can better explain the variation of water physic-chemical parameters in the dry period than in the wet period. The results revealed that the overall variations of water physic-chemical parameters were better explained by landscape pattern metrics at catchment scales. Further, the results of multiple linear regression model showed that the scale effects of the relationship between landscape pattern and water quality varied across different metrics and parameters. The geographical characteristics of catchment had significant relationships with some water physic-chemical parameters, suggesting that it may have impacts on water quality through combining with land use. This study highlights the importance of spatial scale in reflecting land-water interactions.","container-title":"Agriculture, Ecosystems &amp; Environment","DOI":"10.1016/j.agee.2020.106999","ISSN":"0167-8809","journalAbbreviation":"Agriculture, Ecosystems &amp; Environment","page":"106999","title":"Spatial scale effects of the variable relationships between landscape pattern and water quality: Example from an agricultural karst river basin, Southwestern China","volume":"300","author":[{"family":"Xu","given":"Sen"},{"family":"Li","given":"Si-Liang"},{"family":"Zhong","given":"Jun"},{"family":"Li","given":"Cai"}],"issued":{"date-parts":[["2020",9,15]]}}}],"schema":"https://github.com/citation-style-language/schema/raw/master/csl-citation.json"} </w:instrText>
            </w:r>
            <w:r w:rsidR="00A80A40" w:rsidRPr="00154A3B">
              <w:rPr>
                <w:rFonts w:ascii="Times New Roman" w:hAnsi="Times New Roman"/>
                <w:color w:val="0000FF"/>
                <w:sz w:val="21"/>
                <w:szCs w:val="21"/>
              </w:rPr>
              <w:fldChar w:fldCharType="separate"/>
            </w:r>
            <w:r w:rsidR="00154A3B" w:rsidRPr="00154A3B">
              <w:rPr>
                <w:rFonts w:ascii="Times New Roman" w:hAnsi="Times New Roman" w:cs="Times New Roman"/>
                <w:color w:val="0000FF"/>
                <w:sz w:val="21"/>
                <w:vertAlign w:val="superscript"/>
              </w:rPr>
              <w:t>42</w:t>
            </w:r>
            <w:r w:rsidR="00A80A40" w:rsidRPr="00154A3B">
              <w:rPr>
                <w:rFonts w:ascii="Times New Roman" w:hAnsi="Times New Roman"/>
                <w:color w:val="0000FF"/>
                <w:sz w:val="21"/>
                <w:szCs w:val="21"/>
              </w:rPr>
              <w:fldChar w:fldCharType="end"/>
            </w:r>
            <w:r w:rsidR="00203865">
              <w:rPr>
                <w:rFonts w:ascii="Times New Roman" w:hAnsi="Times New Roman" w:hint="eastAsia"/>
                <w:sz w:val="21"/>
                <w:szCs w:val="21"/>
              </w:rPr>
              <w:t>.</w:t>
            </w:r>
          </w:p>
        </w:tc>
      </w:tr>
    </w:tbl>
    <w:p w14:paraId="6590038D" w14:textId="77777777" w:rsidR="00ED32D3" w:rsidRDefault="00F13C42">
      <w:pPr>
        <w:autoSpaceDE w:val="0"/>
        <w:autoSpaceDN w:val="0"/>
        <w:adjustRightInd w:val="0"/>
        <w:spacing w:line="240" w:lineRule="exact"/>
        <w:jc w:val="both"/>
        <w:rPr>
          <w:rFonts w:ascii="Times New Roman" w:hAnsi="Times New Roman" w:cs="Times New Roman"/>
          <w:sz w:val="21"/>
          <w:szCs w:val="21"/>
        </w:rPr>
      </w:pPr>
      <w:bookmarkStart w:id="4" w:name="_Hlk115096873"/>
      <w:bookmarkEnd w:id="3"/>
      <w:r>
        <w:rPr>
          <w:rFonts w:ascii="Times New Roman" w:hAnsi="Times New Roman" w:cs="Times New Roman"/>
          <w:bCs/>
          <w:sz w:val="21"/>
          <w:szCs w:val="21"/>
        </w:rPr>
        <w:t xml:space="preserve">Notes: </w:t>
      </w:r>
      <w:r>
        <w:rPr>
          <w:rFonts w:ascii="Times New Roman" w:hAnsi="Times New Roman" w:cs="Times New Roman"/>
          <w:sz w:val="21"/>
          <w:szCs w:val="21"/>
        </w:rPr>
        <w:t>* “L” and “C” denote the landscape- and class-level, respectively. The name of each class-level metric is distinguished by the abbreviation of the corresponding LULC type (i.e., cropland (cl), woodlands (wl), and water bodies (wb)). For example, PLAND_cl is the percentage of landscape comprising cropland.</w:t>
      </w:r>
      <w:bookmarkEnd w:id="4"/>
    </w:p>
    <w:p w14:paraId="60E51C66" w14:textId="77777777" w:rsidR="00ED32D3" w:rsidRDefault="00ED32D3">
      <w:pPr>
        <w:autoSpaceDE w:val="0"/>
        <w:autoSpaceDN w:val="0"/>
        <w:adjustRightInd w:val="0"/>
        <w:spacing w:line="240" w:lineRule="exact"/>
        <w:jc w:val="both"/>
        <w:rPr>
          <w:rFonts w:ascii="Times New Roman" w:eastAsia="楷体" w:hAnsi="Times New Roman" w:cs="Times New Roman"/>
        </w:rPr>
      </w:pPr>
    </w:p>
    <w:p w14:paraId="25701C55" w14:textId="77777777" w:rsidR="008B42CF" w:rsidRDefault="008B42CF">
      <w:pPr>
        <w:autoSpaceDE w:val="0"/>
        <w:autoSpaceDN w:val="0"/>
        <w:adjustRightInd w:val="0"/>
        <w:spacing w:line="240" w:lineRule="exact"/>
        <w:jc w:val="both"/>
        <w:rPr>
          <w:rFonts w:ascii="Times New Roman" w:eastAsia="楷体" w:hAnsi="Times New Roman" w:cs="Times New Roman"/>
        </w:rPr>
      </w:pPr>
    </w:p>
    <w:p w14:paraId="79D50D48" w14:textId="36C8F5D6" w:rsidR="008B42CF" w:rsidRDefault="008B42CF" w:rsidP="008B42CF">
      <w:pPr>
        <w:spacing w:beforeLines="50" w:before="163" w:afterLines="50" w:after="163" w:line="480" w:lineRule="auto"/>
        <w:jc w:val="both"/>
        <w:outlineLvl w:val="0"/>
        <w:rPr>
          <w:rFonts w:ascii="Times New Roman" w:hAnsi="Times New Roman" w:cs="Times New Roman"/>
          <w:b/>
          <w:bCs/>
          <w:sz w:val="28"/>
          <w:szCs w:val="32"/>
        </w:rPr>
      </w:pPr>
      <w:r>
        <w:rPr>
          <w:rFonts w:ascii="Times New Roman" w:hAnsi="Times New Roman" w:cs="Times New Roman"/>
          <w:b/>
          <w:bCs/>
          <w:sz w:val="28"/>
          <w:szCs w:val="32"/>
        </w:rPr>
        <w:lastRenderedPageBreak/>
        <w:t xml:space="preserve">Appendix </w:t>
      </w:r>
      <w:r>
        <w:rPr>
          <w:rFonts w:ascii="Times New Roman" w:hAnsi="Times New Roman" w:cs="Times New Roman" w:hint="eastAsia"/>
          <w:b/>
          <w:bCs/>
          <w:sz w:val="28"/>
          <w:szCs w:val="32"/>
        </w:rPr>
        <w:t>C</w:t>
      </w:r>
      <w:r>
        <w:rPr>
          <w:rFonts w:ascii="Times New Roman" w:hAnsi="Times New Roman" w:cs="Times New Roman"/>
          <w:b/>
          <w:bCs/>
          <w:sz w:val="28"/>
          <w:szCs w:val="32"/>
        </w:rPr>
        <w:t xml:space="preserve">. </w:t>
      </w:r>
      <w:r w:rsidR="005E26F8" w:rsidRPr="005E26F8">
        <w:rPr>
          <w:rFonts w:ascii="Times New Roman" w:hAnsi="Times New Roman" w:cs="Times New Roman"/>
          <w:b/>
          <w:bCs/>
          <w:sz w:val="28"/>
          <w:szCs w:val="32"/>
        </w:rPr>
        <w:t>Spatial patterns of regression coefficients in estimating to</w:t>
      </w:r>
      <w:r w:rsidR="007B5B01">
        <w:rPr>
          <w:rFonts w:ascii="Times New Roman" w:hAnsi="Times New Roman" w:cs="Times New Roman" w:hint="eastAsia"/>
          <w:b/>
          <w:bCs/>
          <w:sz w:val="28"/>
          <w:szCs w:val="32"/>
        </w:rPr>
        <w:t xml:space="preserve"> </w:t>
      </w:r>
      <w:r w:rsidR="005E26F8" w:rsidRPr="005E26F8">
        <w:rPr>
          <w:rFonts w:ascii="Times New Roman" w:hAnsi="Times New Roman" w:cs="Times New Roman"/>
          <w:b/>
          <w:bCs/>
          <w:sz w:val="28"/>
          <w:szCs w:val="32"/>
        </w:rPr>
        <w:t>the five of low model fit</w:t>
      </w:r>
      <w:r w:rsidR="007B5B01">
        <w:rPr>
          <w:rFonts w:ascii="Times New Roman" w:hAnsi="Times New Roman" w:cs="Times New Roman" w:hint="eastAsia"/>
          <w:b/>
          <w:bCs/>
          <w:sz w:val="28"/>
          <w:szCs w:val="32"/>
        </w:rPr>
        <w:t>.</w:t>
      </w:r>
      <w:r w:rsidR="00C424AF">
        <w:rPr>
          <w:rFonts w:ascii="Times New Roman" w:hAnsi="Times New Roman" w:cs="Times New Roman" w:hint="eastAsia"/>
          <w:b/>
          <w:bCs/>
          <w:sz w:val="28"/>
          <w:szCs w:val="32"/>
        </w:rPr>
        <w:t xml:space="preserve"> </w:t>
      </w:r>
    </w:p>
    <w:p w14:paraId="3B7809CA" w14:textId="5418066E" w:rsidR="007B5B01" w:rsidRDefault="008F71E0" w:rsidP="008F71E0">
      <w:pPr>
        <w:jc w:val="center"/>
        <w:rPr>
          <w:rFonts w:ascii="Times New Roman" w:hAnsi="Times New Roman" w:cs="Times New Roman"/>
          <w:lang w:bidi="en-US"/>
        </w:rPr>
      </w:pPr>
      <w:r>
        <w:rPr>
          <w:rFonts w:ascii="Times New Roman" w:hAnsi="Times New Roman" w:cs="Times New Roman"/>
          <w:noProof/>
          <w:lang w:bidi="en-US"/>
        </w:rPr>
        <w:lastRenderedPageBreak/>
        <w:drawing>
          <wp:inline distT="0" distB="0" distL="0" distR="0" wp14:anchorId="38BB806E" wp14:editId="149C3B98">
            <wp:extent cx="5676900" cy="8541099"/>
            <wp:effectExtent l="0" t="0" r="0" b="0"/>
            <wp:docPr id="964579034"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579034" name="图片 1" descr="图示&#10;&#10;描述已自动生成"/>
                    <pic:cNvPicPr/>
                  </pic:nvPicPr>
                  <pic:blipFill rotWithShape="1">
                    <a:blip r:embed="rId54">
                      <a:extLst>
                        <a:ext uri="{28A0092B-C50C-407E-A947-70E740481C1C}">
                          <a14:useLocalDpi xmlns:a14="http://schemas.microsoft.com/office/drawing/2010/main" val="0"/>
                        </a:ext>
                      </a:extLst>
                    </a:blip>
                    <a:srcRect r="7514" b="3629"/>
                    <a:stretch/>
                  </pic:blipFill>
                  <pic:spPr bwMode="auto">
                    <a:xfrm>
                      <a:off x="0" y="0"/>
                      <a:ext cx="5677318" cy="8541728"/>
                    </a:xfrm>
                    <a:prstGeom prst="rect">
                      <a:avLst/>
                    </a:prstGeom>
                    <a:ln>
                      <a:noFill/>
                    </a:ln>
                    <a:extLst>
                      <a:ext uri="{53640926-AAD7-44D8-BBD7-CCE9431645EC}">
                        <a14:shadowObscured xmlns:a14="http://schemas.microsoft.com/office/drawing/2010/main"/>
                      </a:ext>
                    </a:extLst>
                  </pic:spPr>
                </pic:pic>
              </a:graphicData>
            </a:graphic>
          </wp:inline>
        </w:drawing>
      </w:r>
    </w:p>
    <w:p w14:paraId="071C53D1" w14:textId="0FD86762" w:rsidR="007B5B01" w:rsidRDefault="007B5B01" w:rsidP="007B5B01">
      <w:pPr>
        <w:pStyle w:val="MDPI17abstract"/>
        <w:ind w:firstLine="361"/>
        <w:rPr>
          <w:rFonts w:ascii="Times New Roman" w:eastAsiaTheme="minorEastAsia" w:hAnsi="Times New Roman"/>
          <w:bCs/>
          <w:sz w:val="21"/>
          <w:szCs w:val="21"/>
          <w:lang w:eastAsia="zh-CN"/>
        </w:rPr>
      </w:pPr>
      <w:r>
        <w:rPr>
          <w:rFonts w:ascii="Times New Roman" w:hAnsi="Times New Roman"/>
          <w:b/>
          <w:bCs/>
        </w:rPr>
        <w:t xml:space="preserve">Fig. </w:t>
      </w:r>
      <w:r>
        <w:rPr>
          <w:rFonts w:ascii="Times New Roman" w:eastAsiaTheme="minorEastAsia" w:hAnsi="Times New Roman" w:hint="eastAsia"/>
          <w:b/>
          <w:bCs/>
          <w:lang w:eastAsia="zh-CN"/>
        </w:rPr>
        <w:t>S 1</w:t>
      </w:r>
      <w:r>
        <w:rPr>
          <w:rFonts w:ascii="Times New Roman" w:hAnsi="Times New Roman"/>
          <w:b/>
          <w:bCs/>
        </w:rPr>
        <w:t>.</w:t>
      </w:r>
      <w:r>
        <w:rPr>
          <w:rFonts w:ascii="Times New Roman" w:hAnsi="Times New Roman"/>
        </w:rPr>
        <w:t xml:space="preserve"> </w:t>
      </w:r>
      <w:r>
        <w:rPr>
          <w:rFonts w:ascii="Times New Roman" w:eastAsiaTheme="minorEastAsia" w:hAnsi="Times New Roman"/>
          <w:bCs/>
          <w:sz w:val="21"/>
          <w:szCs w:val="21"/>
          <w:lang w:eastAsia="zh-CN"/>
        </w:rPr>
        <w:t xml:space="preserve">Spatial patterns of regression coefficients in estimating </w:t>
      </w:r>
      <w:r w:rsidR="00C824EF" w:rsidRPr="00C824EF">
        <w:rPr>
          <w:rFonts w:ascii="Times New Roman" w:eastAsiaTheme="minorEastAsia" w:hAnsi="Times New Roman"/>
          <w:bCs/>
          <w:sz w:val="21"/>
          <w:szCs w:val="21"/>
          <w:lang w:eastAsia="zh-CN"/>
        </w:rPr>
        <w:t>CS-FS</w:t>
      </w:r>
      <w:r>
        <w:rPr>
          <w:rFonts w:ascii="Times New Roman" w:eastAsiaTheme="minorEastAsia" w:hAnsi="Times New Roman"/>
          <w:bCs/>
          <w:sz w:val="21"/>
          <w:szCs w:val="21"/>
          <w:lang w:eastAsia="zh-CN"/>
        </w:rPr>
        <w:t xml:space="preserve"> in 1990, 2000, 2010, and 2020.</w:t>
      </w:r>
    </w:p>
    <w:p w14:paraId="469BE02C" w14:textId="12A0C9EC" w:rsidR="00C12D59" w:rsidRDefault="008F71E0" w:rsidP="008F71E0">
      <w:pPr>
        <w:jc w:val="center"/>
        <w:rPr>
          <w:rFonts w:ascii="Times New Roman" w:hAnsi="Times New Roman" w:cs="Times New Roman"/>
          <w:lang w:bidi="en-US"/>
        </w:rPr>
      </w:pPr>
      <w:r>
        <w:rPr>
          <w:rFonts w:ascii="Times New Roman" w:hAnsi="Times New Roman" w:cs="Times New Roman"/>
          <w:noProof/>
          <w:lang w:bidi="en-US"/>
        </w:rPr>
        <w:lastRenderedPageBreak/>
        <w:drawing>
          <wp:inline distT="0" distB="0" distL="0" distR="0" wp14:anchorId="3D6F1A55" wp14:editId="6A3F2C88">
            <wp:extent cx="5631815" cy="8521002"/>
            <wp:effectExtent l="0" t="0" r="6985" b="0"/>
            <wp:docPr id="499342604" name="图片 2" descr="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342604" name="图片 2" descr="背景图案&#10;&#10;描述已自动生成"/>
                    <pic:cNvPicPr/>
                  </pic:nvPicPr>
                  <pic:blipFill rotWithShape="1">
                    <a:blip r:embed="rId55">
                      <a:extLst>
                        <a:ext uri="{28A0092B-C50C-407E-A947-70E740481C1C}">
                          <a14:useLocalDpi xmlns:a14="http://schemas.microsoft.com/office/drawing/2010/main" val="0"/>
                        </a:ext>
                      </a:extLst>
                    </a:blip>
                    <a:srcRect r="8250" b="3857"/>
                    <a:stretch/>
                  </pic:blipFill>
                  <pic:spPr bwMode="auto">
                    <a:xfrm>
                      <a:off x="0" y="0"/>
                      <a:ext cx="5632101" cy="8521435"/>
                    </a:xfrm>
                    <a:prstGeom prst="rect">
                      <a:avLst/>
                    </a:prstGeom>
                    <a:ln>
                      <a:noFill/>
                    </a:ln>
                    <a:extLst>
                      <a:ext uri="{53640926-AAD7-44D8-BBD7-CCE9431645EC}">
                        <a14:shadowObscured xmlns:a14="http://schemas.microsoft.com/office/drawing/2010/main"/>
                      </a:ext>
                    </a:extLst>
                  </pic:spPr>
                </pic:pic>
              </a:graphicData>
            </a:graphic>
          </wp:inline>
        </w:drawing>
      </w:r>
    </w:p>
    <w:p w14:paraId="64F3CA41" w14:textId="4519094B" w:rsidR="00C12D59" w:rsidRDefault="00C12D59" w:rsidP="00C12D59">
      <w:pPr>
        <w:pStyle w:val="MDPI17abstract"/>
        <w:ind w:firstLine="361"/>
        <w:rPr>
          <w:rFonts w:ascii="Times New Roman" w:eastAsiaTheme="minorEastAsia" w:hAnsi="Times New Roman"/>
          <w:bCs/>
          <w:sz w:val="21"/>
          <w:szCs w:val="21"/>
          <w:lang w:eastAsia="zh-CN"/>
        </w:rPr>
      </w:pPr>
      <w:r>
        <w:rPr>
          <w:rFonts w:ascii="Times New Roman" w:hAnsi="Times New Roman"/>
          <w:b/>
          <w:bCs/>
        </w:rPr>
        <w:t xml:space="preserve">Fig. </w:t>
      </w:r>
      <w:r>
        <w:rPr>
          <w:rFonts w:ascii="Times New Roman" w:eastAsiaTheme="minorEastAsia" w:hAnsi="Times New Roman" w:hint="eastAsia"/>
          <w:b/>
          <w:bCs/>
          <w:lang w:eastAsia="zh-CN"/>
        </w:rPr>
        <w:t xml:space="preserve">S </w:t>
      </w:r>
      <w:r w:rsidR="004A4282">
        <w:rPr>
          <w:rFonts w:ascii="Times New Roman" w:eastAsiaTheme="minorEastAsia" w:hAnsi="Times New Roman" w:hint="eastAsia"/>
          <w:b/>
          <w:bCs/>
          <w:lang w:eastAsia="zh-CN"/>
        </w:rPr>
        <w:t>2</w:t>
      </w:r>
      <w:r>
        <w:rPr>
          <w:rFonts w:ascii="Times New Roman" w:hAnsi="Times New Roman"/>
          <w:b/>
          <w:bCs/>
        </w:rPr>
        <w:t>.</w:t>
      </w:r>
      <w:r>
        <w:rPr>
          <w:rFonts w:ascii="Times New Roman" w:hAnsi="Times New Roman"/>
        </w:rPr>
        <w:t xml:space="preserve"> </w:t>
      </w:r>
      <w:r>
        <w:rPr>
          <w:rFonts w:ascii="Times New Roman" w:eastAsiaTheme="minorEastAsia" w:hAnsi="Times New Roman"/>
          <w:bCs/>
          <w:sz w:val="21"/>
          <w:szCs w:val="21"/>
          <w:lang w:eastAsia="zh-CN"/>
        </w:rPr>
        <w:t xml:space="preserve">Spatial patterns of regression coefficients in estimating </w:t>
      </w:r>
      <w:r w:rsidR="004A4282" w:rsidRPr="004A4282">
        <w:rPr>
          <w:rFonts w:ascii="Times New Roman" w:eastAsiaTheme="minorEastAsia" w:hAnsi="Times New Roman"/>
          <w:bCs/>
          <w:sz w:val="21"/>
          <w:szCs w:val="21"/>
          <w:lang w:eastAsia="zh-CN"/>
        </w:rPr>
        <w:t>CS</w:t>
      </w:r>
      <w:r w:rsidR="004A4282">
        <w:rPr>
          <w:rFonts w:ascii="Times New Roman" w:eastAsiaTheme="minorEastAsia" w:hAnsi="Times New Roman" w:hint="eastAsia"/>
          <w:bCs/>
          <w:sz w:val="21"/>
          <w:szCs w:val="21"/>
          <w:lang w:eastAsia="zh-CN"/>
        </w:rPr>
        <w:t>-</w:t>
      </w:r>
      <w:r w:rsidR="004A4282" w:rsidRPr="004A4282">
        <w:rPr>
          <w:rFonts w:ascii="Times New Roman" w:eastAsiaTheme="minorEastAsia" w:hAnsi="Times New Roman"/>
          <w:bCs/>
          <w:sz w:val="21"/>
          <w:szCs w:val="21"/>
          <w:lang w:eastAsia="zh-CN"/>
        </w:rPr>
        <w:t>WR</w:t>
      </w:r>
      <w:r>
        <w:rPr>
          <w:rFonts w:ascii="Times New Roman" w:eastAsiaTheme="minorEastAsia" w:hAnsi="Times New Roman"/>
          <w:bCs/>
          <w:sz w:val="21"/>
          <w:szCs w:val="21"/>
          <w:lang w:eastAsia="zh-CN"/>
        </w:rPr>
        <w:t xml:space="preserve"> in 1990, 2000, 2010, and 2020.</w:t>
      </w:r>
    </w:p>
    <w:p w14:paraId="0B3B2D85" w14:textId="19D3C2D1" w:rsidR="00C12D59" w:rsidRDefault="008F71E0" w:rsidP="008F71E0">
      <w:pPr>
        <w:jc w:val="center"/>
        <w:rPr>
          <w:rFonts w:ascii="Times New Roman" w:hAnsi="Times New Roman" w:cs="Times New Roman"/>
          <w:lang w:bidi="en-US"/>
        </w:rPr>
      </w:pPr>
      <w:r>
        <w:rPr>
          <w:rFonts w:ascii="Times New Roman" w:hAnsi="Times New Roman" w:cs="Times New Roman"/>
          <w:noProof/>
          <w:lang w:bidi="en-US"/>
        </w:rPr>
        <w:lastRenderedPageBreak/>
        <w:drawing>
          <wp:inline distT="0" distB="0" distL="0" distR="0" wp14:anchorId="6BE57BCD" wp14:editId="45AC11A8">
            <wp:extent cx="5586730" cy="8505929"/>
            <wp:effectExtent l="0" t="0" r="0" b="9525"/>
            <wp:docPr id="1210388979" name="图片 3" descr="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88979" name="图片 3" descr="背景图案&#10;&#10;描述已自动生成"/>
                    <pic:cNvPicPr/>
                  </pic:nvPicPr>
                  <pic:blipFill rotWithShape="1">
                    <a:blip r:embed="rId56">
                      <a:extLst>
                        <a:ext uri="{28A0092B-C50C-407E-A947-70E740481C1C}">
                          <a14:useLocalDpi xmlns:a14="http://schemas.microsoft.com/office/drawing/2010/main" val="0"/>
                        </a:ext>
                      </a:extLst>
                    </a:blip>
                    <a:srcRect r="8987" b="4029"/>
                    <a:stretch/>
                  </pic:blipFill>
                  <pic:spPr bwMode="auto">
                    <a:xfrm>
                      <a:off x="0" y="0"/>
                      <a:ext cx="5586883" cy="8506162"/>
                    </a:xfrm>
                    <a:prstGeom prst="rect">
                      <a:avLst/>
                    </a:prstGeom>
                    <a:ln>
                      <a:noFill/>
                    </a:ln>
                    <a:extLst>
                      <a:ext uri="{53640926-AAD7-44D8-BBD7-CCE9431645EC}">
                        <a14:shadowObscured xmlns:a14="http://schemas.microsoft.com/office/drawing/2010/main"/>
                      </a:ext>
                    </a:extLst>
                  </pic:spPr>
                </pic:pic>
              </a:graphicData>
            </a:graphic>
          </wp:inline>
        </w:drawing>
      </w:r>
    </w:p>
    <w:p w14:paraId="784DF219" w14:textId="5DEDE4D5" w:rsidR="00C12D59" w:rsidRDefault="00C12D59" w:rsidP="00C12D59">
      <w:pPr>
        <w:pStyle w:val="MDPI17abstract"/>
        <w:ind w:firstLine="361"/>
        <w:rPr>
          <w:rFonts w:ascii="Times New Roman" w:eastAsiaTheme="minorEastAsia" w:hAnsi="Times New Roman"/>
          <w:bCs/>
          <w:sz w:val="21"/>
          <w:szCs w:val="21"/>
          <w:lang w:eastAsia="zh-CN"/>
        </w:rPr>
      </w:pPr>
      <w:r>
        <w:rPr>
          <w:rFonts w:ascii="Times New Roman" w:hAnsi="Times New Roman"/>
          <w:b/>
          <w:bCs/>
        </w:rPr>
        <w:t xml:space="preserve">Fig. </w:t>
      </w:r>
      <w:r>
        <w:rPr>
          <w:rFonts w:ascii="Times New Roman" w:eastAsiaTheme="minorEastAsia" w:hAnsi="Times New Roman" w:hint="eastAsia"/>
          <w:b/>
          <w:bCs/>
          <w:lang w:eastAsia="zh-CN"/>
        </w:rPr>
        <w:t xml:space="preserve">S </w:t>
      </w:r>
      <w:r w:rsidR="00762A48">
        <w:rPr>
          <w:rFonts w:ascii="Times New Roman" w:eastAsiaTheme="minorEastAsia" w:hAnsi="Times New Roman" w:hint="eastAsia"/>
          <w:b/>
          <w:bCs/>
          <w:lang w:eastAsia="zh-CN"/>
        </w:rPr>
        <w:t>3</w:t>
      </w:r>
      <w:r>
        <w:rPr>
          <w:rFonts w:ascii="Times New Roman" w:hAnsi="Times New Roman"/>
          <w:b/>
          <w:bCs/>
        </w:rPr>
        <w:t>.</w:t>
      </w:r>
      <w:r>
        <w:rPr>
          <w:rFonts w:ascii="Times New Roman" w:hAnsi="Times New Roman"/>
        </w:rPr>
        <w:t xml:space="preserve"> </w:t>
      </w:r>
      <w:r>
        <w:rPr>
          <w:rFonts w:ascii="Times New Roman" w:eastAsiaTheme="minorEastAsia" w:hAnsi="Times New Roman"/>
          <w:bCs/>
          <w:sz w:val="21"/>
          <w:szCs w:val="21"/>
          <w:lang w:eastAsia="zh-CN"/>
        </w:rPr>
        <w:t xml:space="preserve">Spatial patterns of regression coefficients in estimating </w:t>
      </w:r>
      <w:r w:rsidRPr="00C824EF">
        <w:rPr>
          <w:rFonts w:ascii="Times New Roman" w:eastAsiaTheme="minorEastAsia" w:hAnsi="Times New Roman"/>
          <w:bCs/>
          <w:sz w:val="21"/>
          <w:szCs w:val="21"/>
          <w:lang w:eastAsia="zh-CN"/>
        </w:rPr>
        <w:t>FS</w:t>
      </w:r>
      <w:r w:rsidR="00762A48">
        <w:rPr>
          <w:rFonts w:ascii="Times New Roman" w:eastAsiaTheme="minorEastAsia" w:hAnsi="Times New Roman" w:hint="eastAsia"/>
          <w:bCs/>
          <w:sz w:val="21"/>
          <w:szCs w:val="21"/>
          <w:lang w:eastAsia="zh-CN"/>
        </w:rPr>
        <w:t>-HQ</w:t>
      </w:r>
      <w:r>
        <w:rPr>
          <w:rFonts w:ascii="Times New Roman" w:eastAsiaTheme="minorEastAsia" w:hAnsi="Times New Roman"/>
          <w:bCs/>
          <w:sz w:val="21"/>
          <w:szCs w:val="21"/>
          <w:lang w:eastAsia="zh-CN"/>
        </w:rPr>
        <w:t xml:space="preserve"> in 1990, 2000, 2010, and 2020.</w:t>
      </w:r>
    </w:p>
    <w:p w14:paraId="7AAC17D3" w14:textId="5D6D625E" w:rsidR="00C12D59" w:rsidRDefault="008F71E0" w:rsidP="008F71E0">
      <w:pPr>
        <w:jc w:val="center"/>
        <w:rPr>
          <w:rFonts w:ascii="Times New Roman" w:hAnsi="Times New Roman" w:cs="Times New Roman"/>
          <w:lang w:bidi="en-US"/>
        </w:rPr>
      </w:pPr>
      <w:r>
        <w:rPr>
          <w:rFonts w:ascii="Times New Roman" w:hAnsi="Times New Roman" w:cs="Times New Roman"/>
          <w:noProof/>
          <w:lang w:bidi="en-US"/>
        </w:rPr>
        <w:lastRenderedPageBreak/>
        <w:drawing>
          <wp:inline distT="0" distB="0" distL="0" distR="0" wp14:anchorId="4863856B" wp14:editId="3D791C4B">
            <wp:extent cx="5631815" cy="8531050"/>
            <wp:effectExtent l="0" t="0" r="6985" b="3810"/>
            <wp:docPr id="2095342259" name="图片 4" descr="背景图案&#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342259" name="图片 4" descr="背景图案&#10;&#10;描述已自动生成"/>
                    <pic:cNvPicPr/>
                  </pic:nvPicPr>
                  <pic:blipFill rotWithShape="1">
                    <a:blip r:embed="rId57">
                      <a:extLst>
                        <a:ext uri="{28A0092B-C50C-407E-A947-70E740481C1C}">
                          <a14:useLocalDpi xmlns:a14="http://schemas.microsoft.com/office/drawing/2010/main" val="0"/>
                        </a:ext>
                      </a:extLst>
                    </a:blip>
                    <a:srcRect r="8250" b="3744"/>
                    <a:stretch/>
                  </pic:blipFill>
                  <pic:spPr bwMode="auto">
                    <a:xfrm>
                      <a:off x="0" y="0"/>
                      <a:ext cx="5632101" cy="8531483"/>
                    </a:xfrm>
                    <a:prstGeom prst="rect">
                      <a:avLst/>
                    </a:prstGeom>
                    <a:ln>
                      <a:noFill/>
                    </a:ln>
                    <a:extLst>
                      <a:ext uri="{53640926-AAD7-44D8-BBD7-CCE9431645EC}">
                        <a14:shadowObscured xmlns:a14="http://schemas.microsoft.com/office/drawing/2010/main"/>
                      </a:ext>
                    </a:extLst>
                  </pic:spPr>
                </pic:pic>
              </a:graphicData>
            </a:graphic>
          </wp:inline>
        </w:drawing>
      </w:r>
    </w:p>
    <w:p w14:paraId="371AFF1A" w14:textId="7A1E911A" w:rsidR="00C12D59" w:rsidRDefault="00C12D59" w:rsidP="00C12D59">
      <w:pPr>
        <w:pStyle w:val="MDPI17abstract"/>
        <w:ind w:firstLine="361"/>
        <w:rPr>
          <w:rFonts w:ascii="Times New Roman" w:eastAsiaTheme="minorEastAsia" w:hAnsi="Times New Roman"/>
          <w:bCs/>
          <w:sz w:val="21"/>
          <w:szCs w:val="21"/>
          <w:lang w:eastAsia="zh-CN"/>
        </w:rPr>
      </w:pPr>
      <w:r>
        <w:rPr>
          <w:rFonts w:ascii="Times New Roman" w:hAnsi="Times New Roman"/>
          <w:b/>
          <w:bCs/>
        </w:rPr>
        <w:t xml:space="preserve">Fig. </w:t>
      </w:r>
      <w:r>
        <w:rPr>
          <w:rFonts w:ascii="Times New Roman" w:eastAsiaTheme="minorEastAsia" w:hAnsi="Times New Roman" w:hint="eastAsia"/>
          <w:b/>
          <w:bCs/>
          <w:lang w:eastAsia="zh-CN"/>
        </w:rPr>
        <w:t xml:space="preserve">S </w:t>
      </w:r>
      <w:r w:rsidR="00C94794">
        <w:rPr>
          <w:rFonts w:ascii="Times New Roman" w:eastAsiaTheme="minorEastAsia" w:hAnsi="Times New Roman" w:hint="eastAsia"/>
          <w:b/>
          <w:bCs/>
          <w:lang w:eastAsia="zh-CN"/>
        </w:rPr>
        <w:t>4</w:t>
      </w:r>
      <w:r>
        <w:rPr>
          <w:rFonts w:ascii="Times New Roman" w:hAnsi="Times New Roman"/>
          <w:b/>
          <w:bCs/>
        </w:rPr>
        <w:t>.</w:t>
      </w:r>
      <w:r>
        <w:rPr>
          <w:rFonts w:ascii="Times New Roman" w:hAnsi="Times New Roman"/>
        </w:rPr>
        <w:t xml:space="preserve"> </w:t>
      </w:r>
      <w:r>
        <w:rPr>
          <w:rFonts w:ascii="Times New Roman" w:eastAsiaTheme="minorEastAsia" w:hAnsi="Times New Roman"/>
          <w:bCs/>
          <w:sz w:val="21"/>
          <w:szCs w:val="21"/>
          <w:lang w:eastAsia="zh-CN"/>
        </w:rPr>
        <w:t xml:space="preserve">Spatial patterns of regression coefficients in estimating </w:t>
      </w:r>
      <w:r w:rsidRPr="00C824EF">
        <w:rPr>
          <w:rFonts w:ascii="Times New Roman" w:eastAsiaTheme="minorEastAsia" w:hAnsi="Times New Roman"/>
          <w:bCs/>
          <w:sz w:val="21"/>
          <w:szCs w:val="21"/>
          <w:lang w:eastAsia="zh-CN"/>
        </w:rPr>
        <w:t>FS</w:t>
      </w:r>
      <w:r w:rsidR="00AA4580">
        <w:rPr>
          <w:rFonts w:ascii="Times New Roman" w:eastAsiaTheme="minorEastAsia" w:hAnsi="Times New Roman" w:hint="eastAsia"/>
          <w:bCs/>
          <w:sz w:val="21"/>
          <w:szCs w:val="21"/>
          <w:lang w:eastAsia="zh-CN"/>
        </w:rPr>
        <w:t>-WR</w:t>
      </w:r>
      <w:r>
        <w:rPr>
          <w:rFonts w:ascii="Times New Roman" w:eastAsiaTheme="minorEastAsia" w:hAnsi="Times New Roman"/>
          <w:bCs/>
          <w:sz w:val="21"/>
          <w:szCs w:val="21"/>
          <w:lang w:eastAsia="zh-CN"/>
        </w:rPr>
        <w:t xml:space="preserve"> in 1990, 2000, 2010, and 2020.</w:t>
      </w:r>
    </w:p>
    <w:p w14:paraId="5163231B" w14:textId="301B1DCD" w:rsidR="00C12D59" w:rsidRDefault="008F71E0" w:rsidP="008F71E0">
      <w:pPr>
        <w:jc w:val="center"/>
        <w:rPr>
          <w:rFonts w:ascii="Times New Roman" w:hAnsi="Times New Roman" w:cs="Times New Roman"/>
          <w:lang w:bidi="en-US"/>
        </w:rPr>
      </w:pPr>
      <w:r>
        <w:rPr>
          <w:rFonts w:ascii="Times New Roman" w:hAnsi="Times New Roman" w:cs="Times New Roman"/>
          <w:noProof/>
          <w:lang w:bidi="en-US"/>
        </w:rPr>
        <w:lastRenderedPageBreak/>
        <w:drawing>
          <wp:inline distT="0" distB="0" distL="0" distR="0" wp14:anchorId="1B52FE51" wp14:editId="12F78AE5">
            <wp:extent cx="5641975" cy="8505929"/>
            <wp:effectExtent l="0" t="0" r="0" b="9525"/>
            <wp:docPr id="1995130948" name="图片 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30948" name="图片 5" descr="图示&#10;&#10;描述已自动生成"/>
                    <pic:cNvPicPr/>
                  </pic:nvPicPr>
                  <pic:blipFill rotWithShape="1">
                    <a:blip r:embed="rId58">
                      <a:extLst>
                        <a:ext uri="{28A0092B-C50C-407E-A947-70E740481C1C}">
                          <a14:useLocalDpi xmlns:a14="http://schemas.microsoft.com/office/drawing/2010/main" val="0"/>
                        </a:ext>
                      </a:extLst>
                    </a:blip>
                    <a:srcRect r="8096" b="4029"/>
                    <a:stretch/>
                  </pic:blipFill>
                  <pic:spPr bwMode="auto">
                    <a:xfrm>
                      <a:off x="0" y="0"/>
                      <a:ext cx="5642149" cy="8506191"/>
                    </a:xfrm>
                    <a:prstGeom prst="rect">
                      <a:avLst/>
                    </a:prstGeom>
                    <a:ln>
                      <a:noFill/>
                    </a:ln>
                    <a:extLst>
                      <a:ext uri="{53640926-AAD7-44D8-BBD7-CCE9431645EC}">
                        <a14:shadowObscured xmlns:a14="http://schemas.microsoft.com/office/drawing/2010/main"/>
                      </a:ext>
                    </a:extLst>
                  </pic:spPr>
                </pic:pic>
              </a:graphicData>
            </a:graphic>
          </wp:inline>
        </w:drawing>
      </w:r>
    </w:p>
    <w:p w14:paraId="6346AC15" w14:textId="57FF6433" w:rsidR="00C12D59" w:rsidRDefault="00C12D59" w:rsidP="00C12D59">
      <w:pPr>
        <w:pStyle w:val="MDPI17abstract"/>
        <w:ind w:firstLine="361"/>
        <w:rPr>
          <w:rFonts w:ascii="Times New Roman" w:eastAsiaTheme="minorEastAsia" w:hAnsi="Times New Roman"/>
          <w:bCs/>
          <w:sz w:val="21"/>
          <w:szCs w:val="21"/>
          <w:lang w:eastAsia="zh-CN"/>
        </w:rPr>
      </w:pPr>
      <w:r>
        <w:rPr>
          <w:rFonts w:ascii="Times New Roman" w:hAnsi="Times New Roman"/>
          <w:b/>
          <w:bCs/>
        </w:rPr>
        <w:t xml:space="preserve">Fig. </w:t>
      </w:r>
      <w:r>
        <w:rPr>
          <w:rFonts w:ascii="Times New Roman" w:eastAsiaTheme="minorEastAsia" w:hAnsi="Times New Roman" w:hint="eastAsia"/>
          <w:b/>
          <w:bCs/>
          <w:lang w:eastAsia="zh-CN"/>
        </w:rPr>
        <w:t xml:space="preserve">S </w:t>
      </w:r>
      <w:r w:rsidR="00BE50D7">
        <w:rPr>
          <w:rFonts w:ascii="Times New Roman" w:eastAsiaTheme="minorEastAsia" w:hAnsi="Times New Roman" w:hint="eastAsia"/>
          <w:b/>
          <w:bCs/>
          <w:lang w:eastAsia="zh-CN"/>
        </w:rPr>
        <w:t>5</w:t>
      </w:r>
      <w:r>
        <w:rPr>
          <w:rFonts w:ascii="Times New Roman" w:hAnsi="Times New Roman"/>
          <w:b/>
          <w:bCs/>
        </w:rPr>
        <w:t>.</w:t>
      </w:r>
      <w:r>
        <w:rPr>
          <w:rFonts w:ascii="Times New Roman" w:hAnsi="Times New Roman"/>
        </w:rPr>
        <w:t xml:space="preserve"> </w:t>
      </w:r>
      <w:r>
        <w:rPr>
          <w:rFonts w:ascii="Times New Roman" w:eastAsiaTheme="minorEastAsia" w:hAnsi="Times New Roman"/>
          <w:bCs/>
          <w:sz w:val="21"/>
          <w:szCs w:val="21"/>
          <w:lang w:eastAsia="zh-CN"/>
        </w:rPr>
        <w:t xml:space="preserve">Spatial patterns of regression coefficients in estimating </w:t>
      </w:r>
      <w:r w:rsidR="00BE50D7">
        <w:rPr>
          <w:rFonts w:ascii="Times New Roman" w:eastAsiaTheme="minorEastAsia" w:hAnsi="Times New Roman" w:hint="eastAsia"/>
          <w:bCs/>
          <w:sz w:val="21"/>
          <w:szCs w:val="21"/>
          <w:lang w:eastAsia="zh-CN"/>
        </w:rPr>
        <w:t>HQ</w:t>
      </w:r>
      <w:r w:rsidRPr="00C824EF">
        <w:rPr>
          <w:rFonts w:ascii="Times New Roman" w:eastAsiaTheme="minorEastAsia" w:hAnsi="Times New Roman"/>
          <w:bCs/>
          <w:sz w:val="21"/>
          <w:szCs w:val="21"/>
          <w:lang w:eastAsia="zh-CN"/>
        </w:rPr>
        <w:t>-</w:t>
      </w:r>
      <w:r w:rsidR="00BE50D7">
        <w:rPr>
          <w:rFonts w:ascii="Times New Roman" w:eastAsiaTheme="minorEastAsia" w:hAnsi="Times New Roman" w:hint="eastAsia"/>
          <w:bCs/>
          <w:sz w:val="21"/>
          <w:szCs w:val="21"/>
          <w:lang w:eastAsia="zh-CN"/>
        </w:rPr>
        <w:t>WR</w:t>
      </w:r>
      <w:r>
        <w:rPr>
          <w:rFonts w:ascii="Times New Roman" w:eastAsiaTheme="minorEastAsia" w:hAnsi="Times New Roman"/>
          <w:bCs/>
          <w:sz w:val="21"/>
          <w:szCs w:val="21"/>
          <w:lang w:eastAsia="zh-CN"/>
        </w:rPr>
        <w:t xml:space="preserve"> in 1990, 2000, 2010, and 2020.</w:t>
      </w:r>
    </w:p>
    <w:p w14:paraId="507F6FA3" w14:textId="77777777" w:rsidR="00ED32D3" w:rsidRDefault="00F13C42">
      <w:pPr>
        <w:spacing w:beforeLines="50" w:before="163" w:afterLines="50" w:after="163" w:line="360" w:lineRule="auto"/>
        <w:outlineLvl w:val="0"/>
        <w:rPr>
          <w:rFonts w:ascii="Times New Roman" w:hAnsi="Times New Roman" w:cs="Times New Roman"/>
          <w:b/>
          <w:bCs/>
          <w:sz w:val="28"/>
          <w:szCs w:val="32"/>
        </w:rPr>
      </w:pPr>
      <w:r>
        <w:rPr>
          <w:rFonts w:ascii="Times New Roman" w:hAnsi="Times New Roman" w:cs="Times New Roman"/>
          <w:b/>
          <w:bCs/>
          <w:sz w:val="28"/>
          <w:szCs w:val="32"/>
        </w:rPr>
        <w:lastRenderedPageBreak/>
        <w:t>R</w:t>
      </w:r>
      <w:r>
        <w:rPr>
          <w:rFonts w:ascii="Times New Roman" w:hAnsi="Times New Roman" w:cs="Times New Roman" w:hint="eastAsia"/>
          <w:b/>
          <w:bCs/>
          <w:sz w:val="28"/>
          <w:szCs w:val="32"/>
        </w:rPr>
        <w:t>eferences</w:t>
      </w:r>
    </w:p>
    <w:p w14:paraId="78A738A1" w14:textId="77777777" w:rsidR="00154A3B" w:rsidRPr="00154A3B" w:rsidRDefault="005C4407" w:rsidP="00154A3B">
      <w:pPr>
        <w:pStyle w:val="af4"/>
        <w:rPr>
          <w:rFonts w:ascii="Times New Roman" w:hAnsi="Times New Roman" w:cs="Times New Roman"/>
          <w:sz w:val="21"/>
        </w:rPr>
      </w:pPr>
      <w:r>
        <w:rPr>
          <w:bCs/>
          <w:sz w:val="21"/>
          <w:szCs w:val="21"/>
        </w:rPr>
        <w:fldChar w:fldCharType="begin"/>
      </w:r>
      <w:r w:rsidR="00154A3B">
        <w:rPr>
          <w:rFonts w:hint="eastAsia"/>
          <w:bCs/>
          <w:sz w:val="21"/>
          <w:szCs w:val="21"/>
        </w:rPr>
        <w:instrText xml:space="preserve"> ADDIN ZOTERO_BIBL {"uncited":[],"omitted":[],"custom":[]} CSL_BIBLIOGRAPHY </w:instrText>
      </w:r>
      <w:r>
        <w:rPr>
          <w:bCs/>
          <w:sz w:val="21"/>
          <w:szCs w:val="21"/>
        </w:rPr>
        <w:fldChar w:fldCharType="separate"/>
      </w:r>
      <w:r w:rsidR="00154A3B" w:rsidRPr="00154A3B">
        <w:rPr>
          <w:rFonts w:ascii="Times New Roman" w:hAnsi="Times New Roman" w:cs="Times New Roman"/>
          <w:sz w:val="21"/>
        </w:rPr>
        <w:t>1.</w:t>
      </w:r>
      <w:r w:rsidR="00154A3B" w:rsidRPr="00154A3B">
        <w:rPr>
          <w:rFonts w:ascii="Times New Roman" w:hAnsi="Times New Roman" w:cs="Times New Roman"/>
          <w:sz w:val="21"/>
        </w:rPr>
        <w:tab/>
        <w:t xml:space="preserve">Abera, W. </w:t>
      </w:r>
      <w:r w:rsidR="00154A3B" w:rsidRPr="00154A3B">
        <w:rPr>
          <w:rFonts w:ascii="Times New Roman" w:hAnsi="Times New Roman" w:cs="Times New Roman"/>
          <w:i/>
          <w:iCs/>
          <w:sz w:val="21"/>
        </w:rPr>
        <w:t>et al.</w:t>
      </w:r>
      <w:r w:rsidR="00154A3B" w:rsidRPr="00154A3B">
        <w:rPr>
          <w:rFonts w:ascii="Times New Roman" w:hAnsi="Times New Roman" w:cs="Times New Roman"/>
          <w:sz w:val="21"/>
        </w:rPr>
        <w:t xml:space="preserve"> Impacts of land use and land cover dynamics on ecosystem services in the Yayo coffee forest biosphere reserve, southwestern Ethiopia. </w:t>
      </w:r>
      <w:r w:rsidR="00154A3B" w:rsidRPr="00154A3B">
        <w:rPr>
          <w:rFonts w:ascii="Times New Roman" w:hAnsi="Times New Roman" w:cs="Times New Roman"/>
          <w:i/>
          <w:iCs/>
          <w:sz w:val="21"/>
        </w:rPr>
        <w:t>Ecosystem Services</w:t>
      </w:r>
      <w:r w:rsidR="00154A3B" w:rsidRPr="00154A3B">
        <w:rPr>
          <w:rFonts w:ascii="Times New Roman" w:hAnsi="Times New Roman" w:cs="Times New Roman"/>
          <w:sz w:val="21"/>
        </w:rPr>
        <w:t xml:space="preserve"> </w:t>
      </w:r>
      <w:r w:rsidR="00154A3B" w:rsidRPr="00154A3B">
        <w:rPr>
          <w:rFonts w:ascii="Times New Roman" w:hAnsi="Times New Roman" w:cs="Times New Roman"/>
          <w:b/>
          <w:bCs/>
          <w:sz w:val="21"/>
        </w:rPr>
        <w:t>50</w:t>
      </w:r>
      <w:r w:rsidR="00154A3B" w:rsidRPr="00154A3B">
        <w:rPr>
          <w:rFonts w:ascii="Times New Roman" w:hAnsi="Times New Roman" w:cs="Times New Roman"/>
          <w:sz w:val="21"/>
        </w:rPr>
        <w:t>, 101338 (2021).</w:t>
      </w:r>
    </w:p>
    <w:p w14:paraId="423460A4"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2.</w:t>
      </w:r>
      <w:r w:rsidRPr="00154A3B">
        <w:rPr>
          <w:rFonts w:ascii="Times New Roman" w:hAnsi="Times New Roman" w:cs="Times New Roman"/>
          <w:sz w:val="21"/>
        </w:rPr>
        <w:tab/>
        <w:t xml:space="preserve">Liao, Q., Liu, X. &amp; Xiao, M. Ecological Restoration and Carbon Sequestration Regulation of Mining Areas-A Case Study of Huangshi City. </w:t>
      </w:r>
      <w:r w:rsidRPr="00154A3B">
        <w:rPr>
          <w:rFonts w:ascii="Times New Roman" w:hAnsi="Times New Roman" w:cs="Times New Roman"/>
          <w:i/>
          <w:iCs/>
          <w:sz w:val="21"/>
        </w:rPr>
        <w:t>Int J Environ Res Public Health</w:t>
      </w:r>
      <w:r w:rsidRPr="00154A3B">
        <w:rPr>
          <w:rFonts w:ascii="Times New Roman" w:hAnsi="Times New Roman" w:cs="Times New Roman"/>
          <w:sz w:val="21"/>
        </w:rPr>
        <w:t xml:space="preserve"> </w:t>
      </w:r>
      <w:r w:rsidRPr="00154A3B">
        <w:rPr>
          <w:rFonts w:ascii="Times New Roman" w:hAnsi="Times New Roman" w:cs="Times New Roman"/>
          <w:b/>
          <w:bCs/>
          <w:sz w:val="21"/>
        </w:rPr>
        <w:t>19</w:t>
      </w:r>
      <w:r w:rsidRPr="00154A3B">
        <w:rPr>
          <w:rFonts w:ascii="Times New Roman" w:hAnsi="Times New Roman" w:cs="Times New Roman"/>
          <w:sz w:val="21"/>
        </w:rPr>
        <w:t>, (2022).</w:t>
      </w:r>
    </w:p>
    <w:p w14:paraId="6E6C39A2"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3.</w:t>
      </w:r>
      <w:r w:rsidRPr="00154A3B">
        <w:rPr>
          <w:rFonts w:ascii="Times New Roman" w:hAnsi="Times New Roman" w:cs="Times New Roman"/>
          <w:sz w:val="21"/>
        </w:rPr>
        <w:tab/>
        <w:t xml:space="preserve">Nair, V. D. </w:t>
      </w:r>
      <w:r w:rsidRPr="00154A3B">
        <w:rPr>
          <w:rFonts w:ascii="Times New Roman" w:hAnsi="Times New Roman" w:cs="Times New Roman"/>
          <w:i/>
          <w:iCs/>
          <w:sz w:val="21"/>
        </w:rPr>
        <w:t>et al.</w:t>
      </w:r>
      <w:r w:rsidRPr="00154A3B">
        <w:rPr>
          <w:rFonts w:ascii="Times New Roman" w:hAnsi="Times New Roman" w:cs="Times New Roman"/>
          <w:sz w:val="21"/>
        </w:rPr>
        <w:t xml:space="preserve"> Biochar in the Agroecosystem-Climate-Change-Sustainability Nexus. </w:t>
      </w:r>
      <w:r w:rsidRPr="00154A3B">
        <w:rPr>
          <w:rFonts w:ascii="Times New Roman" w:hAnsi="Times New Roman" w:cs="Times New Roman"/>
          <w:i/>
          <w:iCs/>
          <w:sz w:val="21"/>
        </w:rPr>
        <w:t>Front Plant Sci</w:t>
      </w:r>
      <w:r w:rsidRPr="00154A3B">
        <w:rPr>
          <w:rFonts w:ascii="Times New Roman" w:hAnsi="Times New Roman" w:cs="Times New Roman"/>
          <w:sz w:val="21"/>
        </w:rPr>
        <w:t xml:space="preserve"> </w:t>
      </w:r>
      <w:r w:rsidRPr="00154A3B">
        <w:rPr>
          <w:rFonts w:ascii="Times New Roman" w:hAnsi="Times New Roman" w:cs="Times New Roman"/>
          <w:b/>
          <w:bCs/>
          <w:sz w:val="21"/>
        </w:rPr>
        <w:t>8</w:t>
      </w:r>
      <w:r w:rsidRPr="00154A3B">
        <w:rPr>
          <w:rFonts w:ascii="Times New Roman" w:hAnsi="Times New Roman" w:cs="Times New Roman"/>
          <w:sz w:val="21"/>
        </w:rPr>
        <w:t>, 2051 (2017).</w:t>
      </w:r>
    </w:p>
    <w:p w14:paraId="48EBF5AF"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4.</w:t>
      </w:r>
      <w:r w:rsidRPr="00154A3B">
        <w:rPr>
          <w:rFonts w:ascii="Times New Roman" w:hAnsi="Times New Roman" w:cs="Times New Roman"/>
          <w:sz w:val="21"/>
        </w:rPr>
        <w:tab/>
        <w:t xml:space="preserve">Zhang, P., Tang, J., Sun, W., Yu, Y. &amp; Zhang, W. Differential Effects of Conservational Management on SOC Accumulation in the Grasslands of China. </w:t>
      </w:r>
      <w:r w:rsidRPr="00154A3B">
        <w:rPr>
          <w:rFonts w:ascii="Times New Roman" w:hAnsi="Times New Roman" w:cs="Times New Roman"/>
          <w:i/>
          <w:iCs/>
          <w:sz w:val="21"/>
        </w:rPr>
        <w:t>PLoS One</w:t>
      </w:r>
      <w:r w:rsidRPr="00154A3B">
        <w:rPr>
          <w:rFonts w:ascii="Times New Roman" w:hAnsi="Times New Roman" w:cs="Times New Roman"/>
          <w:sz w:val="21"/>
        </w:rPr>
        <w:t xml:space="preserve"> </w:t>
      </w:r>
      <w:r w:rsidRPr="00154A3B">
        <w:rPr>
          <w:rFonts w:ascii="Times New Roman" w:hAnsi="Times New Roman" w:cs="Times New Roman"/>
          <w:b/>
          <w:bCs/>
          <w:sz w:val="21"/>
        </w:rPr>
        <w:t>10</w:t>
      </w:r>
      <w:r w:rsidRPr="00154A3B">
        <w:rPr>
          <w:rFonts w:ascii="Times New Roman" w:hAnsi="Times New Roman" w:cs="Times New Roman"/>
          <w:sz w:val="21"/>
        </w:rPr>
        <w:t>, e0137280 (2015).</w:t>
      </w:r>
    </w:p>
    <w:p w14:paraId="1F3D21E7"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5.</w:t>
      </w:r>
      <w:r w:rsidRPr="00154A3B">
        <w:rPr>
          <w:rFonts w:ascii="Times New Roman" w:hAnsi="Times New Roman" w:cs="Times New Roman"/>
          <w:sz w:val="21"/>
        </w:rPr>
        <w:tab/>
        <w:t xml:space="preserve">Quiroz Dahik, C. </w:t>
      </w:r>
      <w:r w:rsidRPr="00154A3B">
        <w:rPr>
          <w:rFonts w:ascii="Times New Roman" w:hAnsi="Times New Roman" w:cs="Times New Roman"/>
          <w:i/>
          <w:iCs/>
          <w:sz w:val="21"/>
        </w:rPr>
        <w:t>et al.</w:t>
      </w:r>
      <w:r w:rsidRPr="00154A3B">
        <w:rPr>
          <w:rFonts w:ascii="Times New Roman" w:hAnsi="Times New Roman" w:cs="Times New Roman"/>
          <w:sz w:val="21"/>
        </w:rPr>
        <w:t xml:space="preserve"> Impacts of pine plantations on carbon stocks of páramo sites in southern Ecuador. </w:t>
      </w:r>
      <w:r w:rsidRPr="00154A3B">
        <w:rPr>
          <w:rFonts w:ascii="Times New Roman" w:hAnsi="Times New Roman" w:cs="Times New Roman"/>
          <w:i/>
          <w:iCs/>
          <w:sz w:val="21"/>
        </w:rPr>
        <w:t>Carbon Balance Manag</w:t>
      </w:r>
      <w:r w:rsidRPr="00154A3B">
        <w:rPr>
          <w:rFonts w:ascii="Times New Roman" w:hAnsi="Times New Roman" w:cs="Times New Roman"/>
          <w:sz w:val="21"/>
        </w:rPr>
        <w:t xml:space="preserve"> </w:t>
      </w:r>
      <w:r w:rsidRPr="00154A3B">
        <w:rPr>
          <w:rFonts w:ascii="Times New Roman" w:hAnsi="Times New Roman" w:cs="Times New Roman"/>
          <w:b/>
          <w:bCs/>
          <w:sz w:val="21"/>
        </w:rPr>
        <w:t>16</w:t>
      </w:r>
      <w:r w:rsidRPr="00154A3B">
        <w:rPr>
          <w:rFonts w:ascii="Times New Roman" w:hAnsi="Times New Roman" w:cs="Times New Roman"/>
          <w:sz w:val="21"/>
        </w:rPr>
        <w:t>, 5 (2021).</w:t>
      </w:r>
    </w:p>
    <w:p w14:paraId="074A60E8"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6.</w:t>
      </w:r>
      <w:r w:rsidRPr="00154A3B">
        <w:rPr>
          <w:rFonts w:ascii="Times New Roman" w:hAnsi="Times New Roman" w:cs="Times New Roman"/>
          <w:sz w:val="21"/>
        </w:rPr>
        <w:tab/>
        <w:t xml:space="preserve">Spawn, S. A., Sullivan, C. C., Lark, T. J. &amp; Gibbs, H. K. Harmonized global maps of above and belowground biomass carbon density in the year 2010. </w:t>
      </w:r>
      <w:r w:rsidRPr="00154A3B">
        <w:rPr>
          <w:rFonts w:ascii="Times New Roman" w:hAnsi="Times New Roman" w:cs="Times New Roman"/>
          <w:i/>
          <w:iCs/>
          <w:sz w:val="21"/>
        </w:rPr>
        <w:t>Scientific Data</w:t>
      </w:r>
      <w:r w:rsidRPr="00154A3B">
        <w:rPr>
          <w:rFonts w:ascii="Times New Roman" w:hAnsi="Times New Roman" w:cs="Times New Roman"/>
          <w:sz w:val="21"/>
        </w:rPr>
        <w:t xml:space="preserve"> </w:t>
      </w:r>
      <w:r w:rsidRPr="00154A3B">
        <w:rPr>
          <w:rFonts w:ascii="Times New Roman" w:hAnsi="Times New Roman" w:cs="Times New Roman"/>
          <w:b/>
          <w:bCs/>
          <w:sz w:val="21"/>
        </w:rPr>
        <w:t>7</w:t>
      </w:r>
      <w:r w:rsidRPr="00154A3B">
        <w:rPr>
          <w:rFonts w:ascii="Times New Roman" w:hAnsi="Times New Roman" w:cs="Times New Roman"/>
          <w:sz w:val="21"/>
        </w:rPr>
        <w:t>, 112 (2020).</w:t>
      </w:r>
    </w:p>
    <w:p w14:paraId="4B744A6B"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7.</w:t>
      </w:r>
      <w:r w:rsidRPr="00154A3B">
        <w:rPr>
          <w:rFonts w:ascii="Times New Roman" w:hAnsi="Times New Roman" w:cs="Times New Roman"/>
          <w:sz w:val="21"/>
        </w:rPr>
        <w:tab/>
        <w:t xml:space="preserve">Xu, L., Yu, G. &amp; He, N. Increased soil organic carbon storage in Chinese terrestrial ecosystems from the 1980s to the 2010s. </w:t>
      </w:r>
      <w:r w:rsidRPr="00154A3B">
        <w:rPr>
          <w:rFonts w:ascii="Times New Roman" w:hAnsi="Times New Roman" w:cs="Times New Roman"/>
          <w:i/>
          <w:iCs/>
          <w:sz w:val="21"/>
        </w:rPr>
        <w:t>Journal of Geographical Sciences</w:t>
      </w:r>
      <w:r w:rsidRPr="00154A3B">
        <w:rPr>
          <w:rFonts w:ascii="Times New Roman" w:hAnsi="Times New Roman" w:cs="Times New Roman"/>
          <w:sz w:val="21"/>
        </w:rPr>
        <w:t xml:space="preserve"> </w:t>
      </w:r>
      <w:r w:rsidRPr="00154A3B">
        <w:rPr>
          <w:rFonts w:ascii="Times New Roman" w:hAnsi="Times New Roman" w:cs="Times New Roman"/>
          <w:b/>
          <w:bCs/>
          <w:sz w:val="21"/>
        </w:rPr>
        <w:t>29</w:t>
      </w:r>
      <w:r w:rsidRPr="00154A3B">
        <w:rPr>
          <w:rFonts w:ascii="Times New Roman" w:hAnsi="Times New Roman" w:cs="Times New Roman"/>
          <w:sz w:val="21"/>
        </w:rPr>
        <w:t>, 49–66 (2019).</w:t>
      </w:r>
    </w:p>
    <w:p w14:paraId="4757D62B"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8.</w:t>
      </w:r>
      <w:r w:rsidRPr="00154A3B">
        <w:rPr>
          <w:rFonts w:ascii="Times New Roman" w:hAnsi="Times New Roman" w:cs="Times New Roman"/>
          <w:sz w:val="21"/>
        </w:rPr>
        <w:tab/>
        <w:t xml:space="preserve">Ding, T., Chen, J., Fang, L. &amp; Ji, J. Identifying and optimizing ecological security patterns from the perspective of the water-energy-food nexus. </w:t>
      </w:r>
      <w:r w:rsidRPr="00154A3B">
        <w:rPr>
          <w:rFonts w:ascii="Times New Roman" w:hAnsi="Times New Roman" w:cs="Times New Roman"/>
          <w:i/>
          <w:iCs/>
          <w:sz w:val="21"/>
        </w:rPr>
        <w:t>Journal of Hydrology</w:t>
      </w:r>
      <w:r w:rsidRPr="00154A3B">
        <w:rPr>
          <w:rFonts w:ascii="Times New Roman" w:hAnsi="Times New Roman" w:cs="Times New Roman"/>
          <w:sz w:val="21"/>
        </w:rPr>
        <w:t xml:space="preserve"> </w:t>
      </w:r>
      <w:r w:rsidRPr="00154A3B">
        <w:rPr>
          <w:rFonts w:ascii="Times New Roman" w:hAnsi="Times New Roman" w:cs="Times New Roman"/>
          <w:b/>
          <w:bCs/>
          <w:sz w:val="21"/>
        </w:rPr>
        <w:t>632</w:t>
      </w:r>
      <w:r w:rsidRPr="00154A3B">
        <w:rPr>
          <w:rFonts w:ascii="Times New Roman" w:hAnsi="Times New Roman" w:cs="Times New Roman"/>
          <w:sz w:val="21"/>
        </w:rPr>
        <w:t>, 130912 (2024).</w:t>
      </w:r>
    </w:p>
    <w:p w14:paraId="0FC00DA9"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9.</w:t>
      </w:r>
      <w:r w:rsidRPr="00154A3B">
        <w:rPr>
          <w:rFonts w:ascii="Times New Roman" w:hAnsi="Times New Roman" w:cs="Times New Roman"/>
          <w:sz w:val="21"/>
        </w:rPr>
        <w:tab/>
        <w:t xml:space="preserve">Goldenberg, R. </w:t>
      </w:r>
      <w:r w:rsidRPr="00154A3B">
        <w:rPr>
          <w:rFonts w:ascii="Times New Roman" w:hAnsi="Times New Roman" w:cs="Times New Roman"/>
          <w:i/>
          <w:iCs/>
          <w:sz w:val="21"/>
        </w:rPr>
        <w:t>et al.</w:t>
      </w:r>
      <w:r w:rsidRPr="00154A3B">
        <w:rPr>
          <w:rFonts w:ascii="Times New Roman" w:hAnsi="Times New Roman" w:cs="Times New Roman"/>
          <w:sz w:val="21"/>
        </w:rPr>
        <w:t xml:space="preserve"> Distinction, quantification and mapping of potential and realized supply-demand of flow-dependent ecosystem services. </w:t>
      </w:r>
      <w:r w:rsidRPr="00154A3B">
        <w:rPr>
          <w:rFonts w:ascii="Times New Roman" w:hAnsi="Times New Roman" w:cs="Times New Roman"/>
          <w:i/>
          <w:iCs/>
          <w:sz w:val="21"/>
        </w:rPr>
        <w:t>Science of The Total Environment</w:t>
      </w:r>
      <w:r w:rsidRPr="00154A3B">
        <w:rPr>
          <w:rFonts w:ascii="Times New Roman" w:hAnsi="Times New Roman" w:cs="Times New Roman"/>
          <w:sz w:val="21"/>
        </w:rPr>
        <w:t xml:space="preserve"> </w:t>
      </w:r>
      <w:r w:rsidRPr="00154A3B">
        <w:rPr>
          <w:rFonts w:ascii="Times New Roman" w:hAnsi="Times New Roman" w:cs="Times New Roman"/>
          <w:b/>
          <w:bCs/>
          <w:sz w:val="21"/>
        </w:rPr>
        <w:t>593–594</w:t>
      </w:r>
      <w:r w:rsidRPr="00154A3B">
        <w:rPr>
          <w:rFonts w:ascii="Times New Roman" w:hAnsi="Times New Roman" w:cs="Times New Roman"/>
          <w:sz w:val="21"/>
        </w:rPr>
        <w:t>, 599–609 (2017).</w:t>
      </w:r>
    </w:p>
    <w:p w14:paraId="55D8BE4C"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10.</w:t>
      </w:r>
      <w:r w:rsidRPr="00154A3B">
        <w:rPr>
          <w:rFonts w:ascii="Times New Roman" w:hAnsi="Times New Roman" w:cs="Times New Roman"/>
          <w:sz w:val="21"/>
        </w:rPr>
        <w:tab/>
        <w:t xml:space="preserve">Liu, W. </w:t>
      </w:r>
      <w:r w:rsidRPr="00154A3B">
        <w:rPr>
          <w:rFonts w:ascii="Times New Roman" w:hAnsi="Times New Roman" w:cs="Times New Roman"/>
          <w:i/>
          <w:iCs/>
          <w:sz w:val="21"/>
        </w:rPr>
        <w:t>et al.</w:t>
      </w:r>
      <w:r w:rsidRPr="00154A3B">
        <w:rPr>
          <w:rFonts w:ascii="Times New Roman" w:hAnsi="Times New Roman" w:cs="Times New Roman"/>
          <w:sz w:val="21"/>
        </w:rPr>
        <w:t xml:space="preserve"> The tradeoffs between food supply and demand from the perspective of ecosystem service flows: A case study in the Pearl River Delta, China. </w:t>
      </w:r>
      <w:r w:rsidRPr="00154A3B">
        <w:rPr>
          <w:rFonts w:ascii="Times New Roman" w:hAnsi="Times New Roman" w:cs="Times New Roman"/>
          <w:i/>
          <w:iCs/>
          <w:sz w:val="21"/>
        </w:rPr>
        <w:t>Journal of Environmental Management</w:t>
      </w:r>
      <w:r w:rsidRPr="00154A3B">
        <w:rPr>
          <w:rFonts w:ascii="Times New Roman" w:hAnsi="Times New Roman" w:cs="Times New Roman"/>
          <w:sz w:val="21"/>
        </w:rPr>
        <w:t xml:space="preserve"> </w:t>
      </w:r>
      <w:r w:rsidRPr="00154A3B">
        <w:rPr>
          <w:rFonts w:ascii="Times New Roman" w:hAnsi="Times New Roman" w:cs="Times New Roman"/>
          <w:b/>
          <w:bCs/>
          <w:sz w:val="21"/>
        </w:rPr>
        <w:t>301</w:t>
      </w:r>
      <w:r w:rsidRPr="00154A3B">
        <w:rPr>
          <w:rFonts w:ascii="Times New Roman" w:hAnsi="Times New Roman" w:cs="Times New Roman"/>
          <w:sz w:val="21"/>
        </w:rPr>
        <w:t>, 113814 (2022).</w:t>
      </w:r>
    </w:p>
    <w:p w14:paraId="77094265"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lastRenderedPageBreak/>
        <w:t>11.</w:t>
      </w:r>
      <w:r w:rsidRPr="00154A3B">
        <w:rPr>
          <w:rFonts w:ascii="Times New Roman" w:hAnsi="Times New Roman" w:cs="Times New Roman"/>
          <w:sz w:val="21"/>
        </w:rPr>
        <w:tab/>
        <w:t xml:space="preserve">Chen, J., Wang, Y., Li, F. &amp; Liu, Z. Aquatic ecosystem health assessment of a typical sub-basin of the Liao River based on entropy weights and a fuzzy comprehensive evaluation method. </w:t>
      </w:r>
      <w:r w:rsidRPr="00154A3B">
        <w:rPr>
          <w:rFonts w:ascii="Times New Roman" w:hAnsi="Times New Roman" w:cs="Times New Roman"/>
          <w:i/>
          <w:iCs/>
          <w:sz w:val="21"/>
        </w:rPr>
        <w:t>Sci Rep</w:t>
      </w:r>
      <w:r w:rsidRPr="00154A3B">
        <w:rPr>
          <w:rFonts w:ascii="Times New Roman" w:hAnsi="Times New Roman" w:cs="Times New Roman"/>
          <w:sz w:val="21"/>
        </w:rPr>
        <w:t xml:space="preserve"> </w:t>
      </w:r>
      <w:r w:rsidRPr="00154A3B">
        <w:rPr>
          <w:rFonts w:ascii="Times New Roman" w:hAnsi="Times New Roman" w:cs="Times New Roman"/>
          <w:b/>
          <w:bCs/>
          <w:sz w:val="21"/>
        </w:rPr>
        <w:t>9</w:t>
      </w:r>
      <w:r w:rsidRPr="00154A3B">
        <w:rPr>
          <w:rFonts w:ascii="Times New Roman" w:hAnsi="Times New Roman" w:cs="Times New Roman"/>
          <w:sz w:val="21"/>
        </w:rPr>
        <w:t>, 14045 (2019).</w:t>
      </w:r>
    </w:p>
    <w:p w14:paraId="39452643"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12.</w:t>
      </w:r>
      <w:r w:rsidRPr="00154A3B">
        <w:rPr>
          <w:rFonts w:ascii="Times New Roman" w:hAnsi="Times New Roman" w:cs="Times New Roman"/>
          <w:sz w:val="21"/>
        </w:rPr>
        <w:tab/>
        <w:t xml:space="preserve">Marjamäki, P. H., Contasti, A. L., Coulson, T. N. &amp; McLoughlin, P. D. Local density and group size interacts with age and sex to determine direction and rate of social dispersal in a polygynous mammal. </w:t>
      </w:r>
      <w:r w:rsidRPr="00154A3B">
        <w:rPr>
          <w:rFonts w:ascii="Times New Roman" w:hAnsi="Times New Roman" w:cs="Times New Roman"/>
          <w:i/>
          <w:iCs/>
          <w:sz w:val="21"/>
        </w:rPr>
        <w:t>Ecol Evol</w:t>
      </w:r>
      <w:r w:rsidRPr="00154A3B">
        <w:rPr>
          <w:rFonts w:ascii="Times New Roman" w:hAnsi="Times New Roman" w:cs="Times New Roman"/>
          <w:sz w:val="21"/>
        </w:rPr>
        <w:t xml:space="preserve"> </w:t>
      </w:r>
      <w:r w:rsidRPr="00154A3B">
        <w:rPr>
          <w:rFonts w:ascii="Times New Roman" w:hAnsi="Times New Roman" w:cs="Times New Roman"/>
          <w:b/>
          <w:bCs/>
          <w:sz w:val="21"/>
        </w:rPr>
        <w:t>3</w:t>
      </w:r>
      <w:r w:rsidRPr="00154A3B">
        <w:rPr>
          <w:rFonts w:ascii="Times New Roman" w:hAnsi="Times New Roman" w:cs="Times New Roman"/>
          <w:sz w:val="21"/>
        </w:rPr>
        <w:t>, 3073–3082 (2013).</w:t>
      </w:r>
    </w:p>
    <w:p w14:paraId="2CD99EB3"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13.</w:t>
      </w:r>
      <w:r w:rsidRPr="00154A3B">
        <w:rPr>
          <w:rFonts w:ascii="Times New Roman" w:hAnsi="Times New Roman" w:cs="Times New Roman"/>
          <w:sz w:val="21"/>
        </w:rPr>
        <w:tab/>
        <w:t xml:space="preserve">Liu, S., Liao, Q., Xiao, M., Zhao, D. &amp; Huang, C. Spatial and Temporal Variations of Habitat Quality and Its Response of Landscape Dynamic in the Three Gorges Reservoir Area, China. </w:t>
      </w:r>
      <w:r w:rsidRPr="00154A3B">
        <w:rPr>
          <w:rFonts w:ascii="Times New Roman" w:hAnsi="Times New Roman" w:cs="Times New Roman"/>
          <w:i/>
          <w:iCs/>
          <w:sz w:val="21"/>
        </w:rPr>
        <w:t>Int J Environ Res Public Health</w:t>
      </w:r>
      <w:r w:rsidRPr="00154A3B">
        <w:rPr>
          <w:rFonts w:ascii="Times New Roman" w:hAnsi="Times New Roman" w:cs="Times New Roman"/>
          <w:sz w:val="21"/>
        </w:rPr>
        <w:t xml:space="preserve"> </w:t>
      </w:r>
      <w:r w:rsidRPr="00154A3B">
        <w:rPr>
          <w:rFonts w:ascii="Times New Roman" w:hAnsi="Times New Roman" w:cs="Times New Roman"/>
          <w:b/>
          <w:bCs/>
          <w:sz w:val="21"/>
        </w:rPr>
        <w:t>19</w:t>
      </w:r>
      <w:r w:rsidRPr="00154A3B">
        <w:rPr>
          <w:rFonts w:ascii="Times New Roman" w:hAnsi="Times New Roman" w:cs="Times New Roman"/>
          <w:sz w:val="21"/>
        </w:rPr>
        <w:t>, (2022).</w:t>
      </w:r>
    </w:p>
    <w:p w14:paraId="33AA0202"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14.</w:t>
      </w:r>
      <w:r w:rsidRPr="00154A3B">
        <w:rPr>
          <w:rFonts w:ascii="Times New Roman" w:hAnsi="Times New Roman" w:cs="Times New Roman"/>
          <w:sz w:val="21"/>
        </w:rPr>
        <w:tab/>
        <w:t xml:space="preserve">Wang, H. </w:t>
      </w:r>
      <w:r w:rsidRPr="00154A3B">
        <w:rPr>
          <w:rFonts w:ascii="Times New Roman" w:hAnsi="Times New Roman" w:cs="Times New Roman"/>
          <w:i/>
          <w:iCs/>
          <w:sz w:val="21"/>
        </w:rPr>
        <w:t>et al.</w:t>
      </w:r>
      <w:r w:rsidRPr="00154A3B">
        <w:rPr>
          <w:rFonts w:ascii="Times New Roman" w:hAnsi="Times New Roman" w:cs="Times New Roman"/>
          <w:sz w:val="21"/>
        </w:rPr>
        <w:t xml:space="preserve"> Spatiotemporal dislocation of ecosystem supply and demand services from habitat quality under different development scenarios. </w:t>
      </w:r>
      <w:r w:rsidRPr="00154A3B">
        <w:rPr>
          <w:rFonts w:ascii="Times New Roman" w:hAnsi="Times New Roman" w:cs="Times New Roman"/>
          <w:i/>
          <w:iCs/>
          <w:sz w:val="21"/>
        </w:rPr>
        <w:t>Ecological Indicators</w:t>
      </w:r>
      <w:r w:rsidRPr="00154A3B">
        <w:rPr>
          <w:rFonts w:ascii="Times New Roman" w:hAnsi="Times New Roman" w:cs="Times New Roman"/>
          <w:sz w:val="21"/>
        </w:rPr>
        <w:t xml:space="preserve"> </w:t>
      </w:r>
      <w:r w:rsidRPr="00154A3B">
        <w:rPr>
          <w:rFonts w:ascii="Times New Roman" w:hAnsi="Times New Roman" w:cs="Times New Roman"/>
          <w:b/>
          <w:bCs/>
          <w:sz w:val="21"/>
        </w:rPr>
        <w:t>157</w:t>
      </w:r>
      <w:r w:rsidRPr="00154A3B">
        <w:rPr>
          <w:rFonts w:ascii="Times New Roman" w:hAnsi="Times New Roman" w:cs="Times New Roman"/>
          <w:sz w:val="21"/>
        </w:rPr>
        <w:t>, 111230 (2023).</w:t>
      </w:r>
    </w:p>
    <w:p w14:paraId="1C1BDD6C"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15.</w:t>
      </w:r>
      <w:r w:rsidRPr="00154A3B">
        <w:rPr>
          <w:rFonts w:ascii="Times New Roman" w:hAnsi="Times New Roman" w:cs="Times New Roman"/>
          <w:sz w:val="21"/>
        </w:rPr>
        <w:tab/>
        <w:t xml:space="preserve">Chen, Q., Xu, X., Wu, M., Wen, J. &amp; Zou, J. Assessing the Water Conservation Function Based on the InVEST Model: Taking Poyang Lake Region as an Example. </w:t>
      </w:r>
      <w:r w:rsidRPr="00154A3B">
        <w:rPr>
          <w:rFonts w:ascii="Times New Roman" w:hAnsi="Times New Roman" w:cs="Times New Roman"/>
          <w:i/>
          <w:iCs/>
          <w:sz w:val="21"/>
        </w:rPr>
        <w:t>Land</w:t>
      </w:r>
      <w:r w:rsidRPr="00154A3B">
        <w:rPr>
          <w:rFonts w:ascii="Times New Roman" w:hAnsi="Times New Roman" w:cs="Times New Roman"/>
          <w:sz w:val="21"/>
        </w:rPr>
        <w:t xml:space="preserve"> </w:t>
      </w:r>
      <w:r w:rsidRPr="00154A3B">
        <w:rPr>
          <w:rFonts w:ascii="Times New Roman" w:hAnsi="Times New Roman" w:cs="Times New Roman"/>
          <w:b/>
          <w:bCs/>
          <w:sz w:val="21"/>
        </w:rPr>
        <w:t>11</w:t>
      </w:r>
      <w:r w:rsidRPr="00154A3B">
        <w:rPr>
          <w:rFonts w:ascii="Times New Roman" w:hAnsi="Times New Roman" w:cs="Times New Roman"/>
          <w:sz w:val="21"/>
        </w:rPr>
        <w:t>, (2022).</w:t>
      </w:r>
    </w:p>
    <w:p w14:paraId="740A31C7"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16.</w:t>
      </w:r>
      <w:r w:rsidRPr="00154A3B">
        <w:rPr>
          <w:rFonts w:ascii="Times New Roman" w:hAnsi="Times New Roman" w:cs="Times New Roman"/>
          <w:sz w:val="21"/>
        </w:rPr>
        <w:tab/>
        <w:t xml:space="preserve">Xu, W. </w:t>
      </w:r>
      <w:r w:rsidRPr="00154A3B">
        <w:rPr>
          <w:rFonts w:ascii="Times New Roman" w:hAnsi="Times New Roman" w:cs="Times New Roman"/>
          <w:i/>
          <w:iCs/>
          <w:sz w:val="21"/>
        </w:rPr>
        <w:t>et al.</w:t>
      </w:r>
      <w:r w:rsidRPr="00154A3B">
        <w:rPr>
          <w:rFonts w:ascii="Times New Roman" w:hAnsi="Times New Roman" w:cs="Times New Roman"/>
          <w:sz w:val="21"/>
        </w:rPr>
        <w:t xml:space="preserve"> Strengthening protected areas for biodiversity and ecosystem services in China. </w:t>
      </w:r>
      <w:r w:rsidRPr="00154A3B">
        <w:rPr>
          <w:rFonts w:ascii="Times New Roman" w:hAnsi="Times New Roman" w:cs="Times New Roman"/>
          <w:i/>
          <w:iCs/>
          <w:sz w:val="21"/>
        </w:rPr>
        <w:t>Proc Natl Acad Sci U S A</w:t>
      </w:r>
      <w:r w:rsidRPr="00154A3B">
        <w:rPr>
          <w:rFonts w:ascii="Times New Roman" w:hAnsi="Times New Roman" w:cs="Times New Roman"/>
          <w:sz w:val="21"/>
        </w:rPr>
        <w:t xml:space="preserve"> </w:t>
      </w:r>
      <w:r w:rsidRPr="00154A3B">
        <w:rPr>
          <w:rFonts w:ascii="Times New Roman" w:hAnsi="Times New Roman" w:cs="Times New Roman"/>
          <w:b/>
          <w:bCs/>
          <w:sz w:val="21"/>
        </w:rPr>
        <w:t>114</w:t>
      </w:r>
      <w:r w:rsidRPr="00154A3B">
        <w:rPr>
          <w:rFonts w:ascii="Times New Roman" w:hAnsi="Times New Roman" w:cs="Times New Roman"/>
          <w:sz w:val="21"/>
        </w:rPr>
        <w:t>, 1601–1606 (2017).</w:t>
      </w:r>
    </w:p>
    <w:p w14:paraId="46248C50"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17.</w:t>
      </w:r>
      <w:r w:rsidRPr="00154A3B">
        <w:rPr>
          <w:rFonts w:ascii="Times New Roman" w:hAnsi="Times New Roman" w:cs="Times New Roman"/>
          <w:sz w:val="21"/>
        </w:rPr>
        <w:tab/>
        <w:t xml:space="preserve">Zhang, L. </w:t>
      </w:r>
      <w:r w:rsidRPr="00154A3B">
        <w:rPr>
          <w:rFonts w:ascii="Times New Roman" w:hAnsi="Times New Roman" w:cs="Times New Roman"/>
          <w:i/>
          <w:iCs/>
          <w:sz w:val="21"/>
        </w:rPr>
        <w:t>et al.</w:t>
      </w:r>
      <w:r w:rsidRPr="00154A3B">
        <w:rPr>
          <w:rFonts w:ascii="Times New Roman" w:hAnsi="Times New Roman" w:cs="Times New Roman"/>
          <w:sz w:val="21"/>
        </w:rPr>
        <w:t xml:space="preserve"> A rational function approach for estimating mean annual evapotranspiration. </w:t>
      </w:r>
      <w:r w:rsidRPr="00154A3B">
        <w:rPr>
          <w:rFonts w:ascii="Times New Roman" w:hAnsi="Times New Roman" w:cs="Times New Roman"/>
          <w:i/>
          <w:iCs/>
          <w:sz w:val="21"/>
        </w:rPr>
        <w:t>Water Resources Research</w:t>
      </w:r>
      <w:r w:rsidRPr="00154A3B">
        <w:rPr>
          <w:rFonts w:ascii="Times New Roman" w:hAnsi="Times New Roman" w:cs="Times New Roman"/>
          <w:sz w:val="21"/>
        </w:rPr>
        <w:t xml:space="preserve"> </w:t>
      </w:r>
      <w:r w:rsidRPr="00154A3B">
        <w:rPr>
          <w:rFonts w:ascii="Times New Roman" w:hAnsi="Times New Roman" w:cs="Times New Roman"/>
          <w:b/>
          <w:bCs/>
          <w:sz w:val="21"/>
        </w:rPr>
        <w:t>40</w:t>
      </w:r>
      <w:r w:rsidRPr="00154A3B">
        <w:rPr>
          <w:rFonts w:ascii="Times New Roman" w:hAnsi="Times New Roman" w:cs="Times New Roman"/>
          <w:sz w:val="21"/>
        </w:rPr>
        <w:t>, (2004).</w:t>
      </w:r>
    </w:p>
    <w:p w14:paraId="0327BDFF"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18.</w:t>
      </w:r>
      <w:r w:rsidRPr="00154A3B">
        <w:rPr>
          <w:rFonts w:ascii="Times New Roman" w:hAnsi="Times New Roman" w:cs="Times New Roman"/>
          <w:sz w:val="21"/>
        </w:rPr>
        <w:tab/>
        <w:t xml:space="preserve">Zhang, H. </w:t>
      </w:r>
      <w:r w:rsidRPr="00154A3B">
        <w:rPr>
          <w:rFonts w:ascii="Times New Roman" w:hAnsi="Times New Roman" w:cs="Times New Roman"/>
          <w:i/>
          <w:iCs/>
          <w:sz w:val="21"/>
        </w:rPr>
        <w:t>et al.</w:t>
      </w:r>
      <w:r w:rsidRPr="00154A3B">
        <w:rPr>
          <w:rFonts w:ascii="Times New Roman" w:hAnsi="Times New Roman" w:cs="Times New Roman"/>
          <w:sz w:val="21"/>
        </w:rPr>
        <w:t xml:space="preserve"> Regional Spatial Management Based on Supply-Demand Risk of Ecosystem Services-A Case Study of the Fenghe River Watershed. </w:t>
      </w:r>
      <w:r w:rsidRPr="00154A3B">
        <w:rPr>
          <w:rFonts w:ascii="Times New Roman" w:hAnsi="Times New Roman" w:cs="Times New Roman"/>
          <w:i/>
          <w:iCs/>
          <w:sz w:val="21"/>
        </w:rPr>
        <w:t>Int J Environ Res Public Health</w:t>
      </w:r>
      <w:r w:rsidRPr="00154A3B">
        <w:rPr>
          <w:rFonts w:ascii="Times New Roman" w:hAnsi="Times New Roman" w:cs="Times New Roman"/>
          <w:sz w:val="21"/>
        </w:rPr>
        <w:t xml:space="preserve"> </w:t>
      </w:r>
      <w:r w:rsidRPr="00154A3B">
        <w:rPr>
          <w:rFonts w:ascii="Times New Roman" w:hAnsi="Times New Roman" w:cs="Times New Roman"/>
          <w:b/>
          <w:bCs/>
          <w:sz w:val="21"/>
        </w:rPr>
        <w:t>17</w:t>
      </w:r>
      <w:r w:rsidRPr="00154A3B">
        <w:rPr>
          <w:rFonts w:ascii="Times New Roman" w:hAnsi="Times New Roman" w:cs="Times New Roman"/>
          <w:sz w:val="21"/>
        </w:rPr>
        <w:t>, (2020).</w:t>
      </w:r>
    </w:p>
    <w:p w14:paraId="26B08674"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19.</w:t>
      </w:r>
      <w:r w:rsidRPr="00154A3B">
        <w:rPr>
          <w:rFonts w:ascii="Times New Roman" w:hAnsi="Times New Roman" w:cs="Times New Roman"/>
          <w:sz w:val="21"/>
        </w:rPr>
        <w:tab/>
        <w:t xml:space="preserve">Pan, T., Wu, S. &amp; Liu, Y. Relative Contributions of Land Use and Climate Change to Water Supply Variations over Yellow River Source Area in Tibetan Plateau during the Past Three Decades. </w:t>
      </w:r>
      <w:r w:rsidRPr="00154A3B">
        <w:rPr>
          <w:rFonts w:ascii="Times New Roman" w:hAnsi="Times New Roman" w:cs="Times New Roman"/>
          <w:i/>
          <w:iCs/>
          <w:sz w:val="21"/>
        </w:rPr>
        <w:t>PLoS One</w:t>
      </w:r>
      <w:r w:rsidRPr="00154A3B">
        <w:rPr>
          <w:rFonts w:ascii="Times New Roman" w:hAnsi="Times New Roman" w:cs="Times New Roman"/>
          <w:sz w:val="21"/>
        </w:rPr>
        <w:t xml:space="preserve"> </w:t>
      </w:r>
      <w:r w:rsidRPr="00154A3B">
        <w:rPr>
          <w:rFonts w:ascii="Times New Roman" w:hAnsi="Times New Roman" w:cs="Times New Roman"/>
          <w:b/>
          <w:bCs/>
          <w:sz w:val="21"/>
        </w:rPr>
        <w:t>10</w:t>
      </w:r>
      <w:r w:rsidRPr="00154A3B">
        <w:rPr>
          <w:rFonts w:ascii="Times New Roman" w:hAnsi="Times New Roman" w:cs="Times New Roman"/>
          <w:sz w:val="21"/>
        </w:rPr>
        <w:t>, e0123793 (2015).</w:t>
      </w:r>
    </w:p>
    <w:p w14:paraId="5D22C710"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lastRenderedPageBreak/>
        <w:t>20.</w:t>
      </w:r>
      <w:r w:rsidRPr="00154A3B">
        <w:rPr>
          <w:rFonts w:ascii="Times New Roman" w:hAnsi="Times New Roman" w:cs="Times New Roman"/>
          <w:sz w:val="21"/>
        </w:rPr>
        <w:tab/>
        <w:t xml:space="preserve">Chang, L., Zhao, Z., Jiang, L. &amp; Li, Y. Quantifying the Ecosystem Services of Soda Saline-Alkali Grasslands in Western Jilin Province, NE China. </w:t>
      </w:r>
      <w:r w:rsidRPr="00154A3B">
        <w:rPr>
          <w:rFonts w:ascii="Times New Roman" w:hAnsi="Times New Roman" w:cs="Times New Roman"/>
          <w:i/>
          <w:iCs/>
          <w:sz w:val="21"/>
        </w:rPr>
        <w:t>Int J Environ Res Public Health</w:t>
      </w:r>
      <w:r w:rsidRPr="00154A3B">
        <w:rPr>
          <w:rFonts w:ascii="Times New Roman" w:hAnsi="Times New Roman" w:cs="Times New Roman"/>
          <w:sz w:val="21"/>
        </w:rPr>
        <w:t xml:space="preserve"> </w:t>
      </w:r>
      <w:r w:rsidRPr="00154A3B">
        <w:rPr>
          <w:rFonts w:ascii="Times New Roman" w:hAnsi="Times New Roman" w:cs="Times New Roman"/>
          <w:b/>
          <w:bCs/>
          <w:sz w:val="21"/>
        </w:rPr>
        <w:t>19</w:t>
      </w:r>
      <w:r w:rsidRPr="00154A3B">
        <w:rPr>
          <w:rFonts w:ascii="Times New Roman" w:hAnsi="Times New Roman" w:cs="Times New Roman"/>
          <w:sz w:val="21"/>
        </w:rPr>
        <w:t>, (2022).</w:t>
      </w:r>
    </w:p>
    <w:p w14:paraId="1A3BA720"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21.</w:t>
      </w:r>
      <w:r w:rsidRPr="00154A3B">
        <w:rPr>
          <w:rFonts w:ascii="Times New Roman" w:hAnsi="Times New Roman" w:cs="Times New Roman"/>
          <w:sz w:val="21"/>
        </w:rPr>
        <w:tab/>
        <w:t xml:space="preserve">Wu, D., Zou, C., Cao, W., Xiao, T. &amp; Gong, G. Ecosystem services changes between 2000 and 2015 in the Loess Plateau, China: A response to ecological restoration. </w:t>
      </w:r>
      <w:r w:rsidRPr="00154A3B">
        <w:rPr>
          <w:rFonts w:ascii="Times New Roman" w:hAnsi="Times New Roman" w:cs="Times New Roman"/>
          <w:i/>
          <w:iCs/>
          <w:sz w:val="21"/>
        </w:rPr>
        <w:t>PLoS One</w:t>
      </w:r>
      <w:r w:rsidRPr="00154A3B">
        <w:rPr>
          <w:rFonts w:ascii="Times New Roman" w:hAnsi="Times New Roman" w:cs="Times New Roman"/>
          <w:sz w:val="21"/>
        </w:rPr>
        <w:t xml:space="preserve"> </w:t>
      </w:r>
      <w:r w:rsidRPr="00154A3B">
        <w:rPr>
          <w:rFonts w:ascii="Times New Roman" w:hAnsi="Times New Roman" w:cs="Times New Roman"/>
          <w:b/>
          <w:bCs/>
          <w:sz w:val="21"/>
        </w:rPr>
        <w:t>14</w:t>
      </w:r>
      <w:r w:rsidRPr="00154A3B">
        <w:rPr>
          <w:rFonts w:ascii="Times New Roman" w:hAnsi="Times New Roman" w:cs="Times New Roman"/>
          <w:sz w:val="21"/>
        </w:rPr>
        <w:t>, e0209483 (2019).</w:t>
      </w:r>
    </w:p>
    <w:p w14:paraId="7D874931"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22.</w:t>
      </w:r>
      <w:r w:rsidRPr="00154A3B">
        <w:rPr>
          <w:rFonts w:ascii="Times New Roman" w:hAnsi="Times New Roman" w:cs="Times New Roman"/>
          <w:sz w:val="21"/>
        </w:rPr>
        <w:tab/>
        <w:t xml:space="preserve">Yi, Y. </w:t>
      </w:r>
      <w:r w:rsidRPr="00154A3B">
        <w:rPr>
          <w:rFonts w:ascii="Times New Roman" w:hAnsi="Times New Roman" w:cs="Times New Roman"/>
          <w:i/>
          <w:iCs/>
          <w:sz w:val="21"/>
        </w:rPr>
        <w:t>et al.</w:t>
      </w:r>
      <w:r w:rsidRPr="00154A3B">
        <w:rPr>
          <w:rFonts w:ascii="Times New Roman" w:hAnsi="Times New Roman" w:cs="Times New Roman"/>
          <w:sz w:val="21"/>
        </w:rPr>
        <w:t xml:space="preserve"> Spatio-Temporal Evolution, Prediction and Optimization of LUCC Based on CA-Markov and InVEST Models: A Case Study of Mentougou District, Beijing. </w:t>
      </w:r>
      <w:r w:rsidRPr="00154A3B">
        <w:rPr>
          <w:rFonts w:ascii="Times New Roman" w:hAnsi="Times New Roman" w:cs="Times New Roman"/>
          <w:i/>
          <w:iCs/>
          <w:sz w:val="21"/>
        </w:rPr>
        <w:t>Int J Environ Res Public Health</w:t>
      </w:r>
      <w:r w:rsidRPr="00154A3B">
        <w:rPr>
          <w:rFonts w:ascii="Times New Roman" w:hAnsi="Times New Roman" w:cs="Times New Roman"/>
          <w:sz w:val="21"/>
        </w:rPr>
        <w:t xml:space="preserve"> </w:t>
      </w:r>
      <w:r w:rsidRPr="00154A3B">
        <w:rPr>
          <w:rFonts w:ascii="Times New Roman" w:hAnsi="Times New Roman" w:cs="Times New Roman"/>
          <w:b/>
          <w:bCs/>
          <w:sz w:val="21"/>
        </w:rPr>
        <w:t>19</w:t>
      </w:r>
      <w:r w:rsidRPr="00154A3B">
        <w:rPr>
          <w:rFonts w:ascii="Times New Roman" w:hAnsi="Times New Roman" w:cs="Times New Roman"/>
          <w:sz w:val="21"/>
        </w:rPr>
        <w:t>, (2022).</w:t>
      </w:r>
    </w:p>
    <w:p w14:paraId="4A0FE372"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23.</w:t>
      </w:r>
      <w:r w:rsidRPr="00154A3B">
        <w:rPr>
          <w:rFonts w:ascii="Times New Roman" w:hAnsi="Times New Roman" w:cs="Times New Roman"/>
          <w:sz w:val="21"/>
        </w:rPr>
        <w:tab/>
        <w:t xml:space="preserve">Hua, L., He, X., Yuan, Y. &amp; Nan, H. Assessment of runoff and sediment yields using the AnnAGNPS model in a Three-Gorge watershed of China. </w:t>
      </w:r>
      <w:r w:rsidRPr="00154A3B">
        <w:rPr>
          <w:rFonts w:ascii="Times New Roman" w:hAnsi="Times New Roman" w:cs="Times New Roman"/>
          <w:i/>
          <w:iCs/>
          <w:sz w:val="21"/>
        </w:rPr>
        <w:t>Int J Environ Res Public Health</w:t>
      </w:r>
      <w:r w:rsidRPr="00154A3B">
        <w:rPr>
          <w:rFonts w:ascii="Times New Roman" w:hAnsi="Times New Roman" w:cs="Times New Roman"/>
          <w:sz w:val="21"/>
        </w:rPr>
        <w:t xml:space="preserve"> </w:t>
      </w:r>
      <w:r w:rsidRPr="00154A3B">
        <w:rPr>
          <w:rFonts w:ascii="Times New Roman" w:hAnsi="Times New Roman" w:cs="Times New Roman"/>
          <w:b/>
          <w:bCs/>
          <w:sz w:val="21"/>
        </w:rPr>
        <w:t>9</w:t>
      </w:r>
      <w:r w:rsidRPr="00154A3B">
        <w:rPr>
          <w:rFonts w:ascii="Times New Roman" w:hAnsi="Times New Roman" w:cs="Times New Roman"/>
          <w:sz w:val="21"/>
        </w:rPr>
        <w:t>, 1887–1907 (2012).</w:t>
      </w:r>
    </w:p>
    <w:p w14:paraId="5E9575FD"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24.</w:t>
      </w:r>
      <w:r w:rsidRPr="00154A3B">
        <w:rPr>
          <w:rFonts w:ascii="Times New Roman" w:hAnsi="Times New Roman" w:cs="Times New Roman"/>
          <w:sz w:val="21"/>
        </w:rPr>
        <w:tab/>
        <w:t xml:space="preserve">Delevaux, J. M. S. </w:t>
      </w:r>
      <w:r w:rsidRPr="00154A3B">
        <w:rPr>
          <w:rFonts w:ascii="Times New Roman" w:hAnsi="Times New Roman" w:cs="Times New Roman"/>
          <w:i/>
          <w:iCs/>
          <w:sz w:val="21"/>
        </w:rPr>
        <w:t>et al.</w:t>
      </w:r>
      <w:r w:rsidRPr="00154A3B">
        <w:rPr>
          <w:rFonts w:ascii="Times New Roman" w:hAnsi="Times New Roman" w:cs="Times New Roman"/>
          <w:sz w:val="21"/>
        </w:rPr>
        <w:t xml:space="preserve"> Scenario planning with linked land-sea models inform where forest conservation actions will promote coral reef resilience. </w:t>
      </w:r>
      <w:r w:rsidRPr="00154A3B">
        <w:rPr>
          <w:rFonts w:ascii="Times New Roman" w:hAnsi="Times New Roman" w:cs="Times New Roman"/>
          <w:i/>
          <w:iCs/>
          <w:sz w:val="21"/>
        </w:rPr>
        <w:t>Sci Rep</w:t>
      </w:r>
      <w:r w:rsidRPr="00154A3B">
        <w:rPr>
          <w:rFonts w:ascii="Times New Roman" w:hAnsi="Times New Roman" w:cs="Times New Roman"/>
          <w:sz w:val="21"/>
        </w:rPr>
        <w:t xml:space="preserve"> </w:t>
      </w:r>
      <w:r w:rsidRPr="00154A3B">
        <w:rPr>
          <w:rFonts w:ascii="Times New Roman" w:hAnsi="Times New Roman" w:cs="Times New Roman"/>
          <w:b/>
          <w:bCs/>
          <w:sz w:val="21"/>
        </w:rPr>
        <w:t>8</w:t>
      </w:r>
      <w:r w:rsidRPr="00154A3B">
        <w:rPr>
          <w:rFonts w:ascii="Times New Roman" w:hAnsi="Times New Roman" w:cs="Times New Roman"/>
          <w:sz w:val="21"/>
        </w:rPr>
        <w:t>, 12465 (2018).</w:t>
      </w:r>
    </w:p>
    <w:p w14:paraId="26DC4221"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25.</w:t>
      </w:r>
      <w:r w:rsidRPr="00154A3B">
        <w:rPr>
          <w:rFonts w:ascii="Times New Roman" w:hAnsi="Times New Roman" w:cs="Times New Roman"/>
          <w:sz w:val="21"/>
        </w:rPr>
        <w:tab/>
        <w:t xml:space="preserve">Hemrová, L., Cervenková, Z. &amp; Münzbergová, Z. The effects of large herbivores on the landscape dynamics of a perennial herb. </w:t>
      </w:r>
      <w:r w:rsidRPr="00154A3B">
        <w:rPr>
          <w:rFonts w:ascii="Times New Roman" w:hAnsi="Times New Roman" w:cs="Times New Roman"/>
          <w:i/>
          <w:iCs/>
          <w:sz w:val="21"/>
        </w:rPr>
        <w:t>Ann Bot</w:t>
      </w:r>
      <w:r w:rsidRPr="00154A3B">
        <w:rPr>
          <w:rFonts w:ascii="Times New Roman" w:hAnsi="Times New Roman" w:cs="Times New Roman"/>
          <w:sz w:val="21"/>
        </w:rPr>
        <w:t xml:space="preserve"> </w:t>
      </w:r>
      <w:r w:rsidRPr="00154A3B">
        <w:rPr>
          <w:rFonts w:ascii="Times New Roman" w:hAnsi="Times New Roman" w:cs="Times New Roman"/>
          <w:b/>
          <w:bCs/>
          <w:sz w:val="21"/>
        </w:rPr>
        <w:t>110</w:t>
      </w:r>
      <w:r w:rsidRPr="00154A3B">
        <w:rPr>
          <w:rFonts w:ascii="Times New Roman" w:hAnsi="Times New Roman" w:cs="Times New Roman"/>
          <w:sz w:val="21"/>
        </w:rPr>
        <w:t>, 1411–1421 (2012).</w:t>
      </w:r>
    </w:p>
    <w:p w14:paraId="6AE1AFF2"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26.</w:t>
      </w:r>
      <w:r w:rsidRPr="00154A3B">
        <w:rPr>
          <w:rFonts w:ascii="Times New Roman" w:hAnsi="Times New Roman" w:cs="Times New Roman"/>
          <w:sz w:val="21"/>
        </w:rPr>
        <w:tab/>
        <w:t xml:space="preserve">Liang, L. &amp; Gong, P. Urban and air pollution: a multi-city study of long-term effects of urban landscape patterns on air quality trends. </w:t>
      </w:r>
      <w:r w:rsidRPr="00154A3B">
        <w:rPr>
          <w:rFonts w:ascii="Times New Roman" w:hAnsi="Times New Roman" w:cs="Times New Roman"/>
          <w:i/>
          <w:iCs/>
          <w:sz w:val="21"/>
        </w:rPr>
        <w:t>Sci Rep</w:t>
      </w:r>
      <w:r w:rsidRPr="00154A3B">
        <w:rPr>
          <w:rFonts w:ascii="Times New Roman" w:hAnsi="Times New Roman" w:cs="Times New Roman"/>
          <w:sz w:val="21"/>
        </w:rPr>
        <w:t xml:space="preserve"> </w:t>
      </w:r>
      <w:r w:rsidRPr="00154A3B">
        <w:rPr>
          <w:rFonts w:ascii="Times New Roman" w:hAnsi="Times New Roman" w:cs="Times New Roman"/>
          <w:b/>
          <w:bCs/>
          <w:sz w:val="21"/>
        </w:rPr>
        <w:t>10</w:t>
      </w:r>
      <w:r w:rsidRPr="00154A3B">
        <w:rPr>
          <w:rFonts w:ascii="Times New Roman" w:hAnsi="Times New Roman" w:cs="Times New Roman"/>
          <w:sz w:val="21"/>
        </w:rPr>
        <w:t>, 18618 (2020).</w:t>
      </w:r>
    </w:p>
    <w:p w14:paraId="6F27CD73"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27.</w:t>
      </w:r>
      <w:r w:rsidRPr="00154A3B">
        <w:rPr>
          <w:rFonts w:ascii="Times New Roman" w:hAnsi="Times New Roman" w:cs="Times New Roman"/>
          <w:sz w:val="21"/>
        </w:rPr>
        <w:tab/>
        <w:t xml:space="preserve">Shen, Y.-S. &amp; Lung, S.-C. C. Mediation pathways and effects of green structures on respiratory mortality via reducing air pollution. </w:t>
      </w:r>
      <w:r w:rsidRPr="00154A3B">
        <w:rPr>
          <w:rFonts w:ascii="Times New Roman" w:hAnsi="Times New Roman" w:cs="Times New Roman"/>
          <w:i/>
          <w:iCs/>
          <w:sz w:val="21"/>
        </w:rPr>
        <w:t>Sci Rep</w:t>
      </w:r>
      <w:r w:rsidRPr="00154A3B">
        <w:rPr>
          <w:rFonts w:ascii="Times New Roman" w:hAnsi="Times New Roman" w:cs="Times New Roman"/>
          <w:sz w:val="21"/>
        </w:rPr>
        <w:t xml:space="preserve"> </w:t>
      </w:r>
      <w:r w:rsidRPr="00154A3B">
        <w:rPr>
          <w:rFonts w:ascii="Times New Roman" w:hAnsi="Times New Roman" w:cs="Times New Roman"/>
          <w:b/>
          <w:bCs/>
          <w:sz w:val="21"/>
        </w:rPr>
        <w:t>7</w:t>
      </w:r>
      <w:r w:rsidRPr="00154A3B">
        <w:rPr>
          <w:rFonts w:ascii="Times New Roman" w:hAnsi="Times New Roman" w:cs="Times New Roman"/>
          <w:sz w:val="21"/>
        </w:rPr>
        <w:t>, 42854 (2017).</w:t>
      </w:r>
    </w:p>
    <w:p w14:paraId="65019C67"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28.</w:t>
      </w:r>
      <w:r w:rsidRPr="00154A3B">
        <w:rPr>
          <w:rFonts w:ascii="Times New Roman" w:hAnsi="Times New Roman" w:cs="Times New Roman"/>
          <w:sz w:val="21"/>
        </w:rPr>
        <w:tab/>
        <w:t xml:space="preserve">Wu, J., Xie, W., Li, W. &amp; Li, J. Effects of Urban Landscape Pattern on PM2.5 Pollution--A Beijing Case Study. </w:t>
      </w:r>
      <w:r w:rsidRPr="00154A3B">
        <w:rPr>
          <w:rFonts w:ascii="Times New Roman" w:hAnsi="Times New Roman" w:cs="Times New Roman"/>
          <w:i/>
          <w:iCs/>
          <w:sz w:val="21"/>
        </w:rPr>
        <w:t>PLoS One</w:t>
      </w:r>
      <w:r w:rsidRPr="00154A3B">
        <w:rPr>
          <w:rFonts w:ascii="Times New Roman" w:hAnsi="Times New Roman" w:cs="Times New Roman"/>
          <w:sz w:val="21"/>
        </w:rPr>
        <w:t xml:space="preserve"> </w:t>
      </w:r>
      <w:r w:rsidRPr="00154A3B">
        <w:rPr>
          <w:rFonts w:ascii="Times New Roman" w:hAnsi="Times New Roman" w:cs="Times New Roman"/>
          <w:b/>
          <w:bCs/>
          <w:sz w:val="21"/>
        </w:rPr>
        <w:t>10</w:t>
      </w:r>
      <w:r w:rsidRPr="00154A3B">
        <w:rPr>
          <w:rFonts w:ascii="Times New Roman" w:hAnsi="Times New Roman" w:cs="Times New Roman"/>
          <w:sz w:val="21"/>
        </w:rPr>
        <w:t>, e0142449 (2015).</w:t>
      </w:r>
    </w:p>
    <w:p w14:paraId="09D9FD5A"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29.</w:t>
      </w:r>
      <w:r w:rsidRPr="00154A3B">
        <w:rPr>
          <w:rFonts w:ascii="Times New Roman" w:hAnsi="Times New Roman" w:cs="Times New Roman"/>
          <w:sz w:val="21"/>
        </w:rPr>
        <w:tab/>
        <w:t xml:space="preserve">Bombieri, G. </w:t>
      </w:r>
      <w:r w:rsidRPr="00154A3B">
        <w:rPr>
          <w:rFonts w:ascii="Times New Roman" w:hAnsi="Times New Roman" w:cs="Times New Roman"/>
          <w:i/>
          <w:iCs/>
          <w:sz w:val="21"/>
        </w:rPr>
        <w:t>et al.</w:t>
      </w:r>
      <w:r w:rsidRPr="00154A3B">
        <w:rPr>
          <w:rFonts w:ascii="Times New Roman" w:hAnsi="Times New Roman" w:cs="Times New Roman"/>
          <w:sz w:val="21"/>
        </w:rPr>
        <w:t xml:space="preserve"> Patterns of wild carnivore attacks on humans in urban areas. </w:t>
      </w:r>
      <w:r w:rsidRPr="00154A3B">
        <w:rPr>
          <w:rFonts w:ascii="Times New Roman" w:hAnsi="Times New Roman" w:cs="Times New Roman"/>
          <w:i/>
          <w:iCs/>
          <w:sz w:val="21"/>
        </w:rPr>
        <w:t>Sci Rep</w:t>
      </w:r>
      <w:r w:rsidRPr="00154A3B">
        <w:rPr>
          <w:rFonts w:ascii="Times New Roman" w:hAnsi="Times New Roman" w:cs="Times New Roman"/>
          <w:sz w:val="21"/>
        </w:rPr>
        <w:t xml:space="preserve"> </w:t>
      </w:r>
      <w:r w:rsidRPr="00154A3B">
        <w:rPr>
          <w:rFonts w:ascii="Times New Roman" w:hAnsi="Times New Roman" w:cs="Times New Roman"/>
          <w:b/>
          <w:bCs/>
          <w:sz w:val="21"/>
        </w:rPr>
        <w:t>8</w:t>
      </w:r>
      <w:r w:rsidRPr="00154A3B">
        <w:rPr>
          <w:rFonts w:ascii="Times New Roman" w:hAnsi="Times New Roman" w:cs="Times New Roman"/>
          <w:sz w:val="21"/>
        </w:rPr>
        <w:t>, 17728 (2018).</w:t>
      </w:r>
    </w:p>
    <w:p w14:paraId="0AD928AF"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30.</w:t>
      </w:r>
      <w:r w:rsidRPr="00154A3B">
        <w:rPr>
          <w:rFonts w:ascii="Times New Roman" w:hAnsi="Times New Roman" w:cs="Times New Roman"/>
          <w:sz w:val="21"/>
        </w:rPr>
        <w:tab/>
        <w:t xml:space="preserve">Muhammed, A. &amp; Elias, E. Class and landscape level habitat fragmentation analysis in the Bale mountains national park, southeastern Ethiopia. </w:t>
      </w:r>
      <w:r w:rsidRPr="00154A3B">
        <w:rPr>
          <w:rFonts w:ascii="Times New Roman" w:hAnsi="Times New Roman" w:cs="Times New Roman"/>
          <w:i/>
          <w:iCs/>
          <w:sz w:val="21"/>
        </w:rPr>
        <w:t>Heliyon</w:t>
      </w:r>
      <w:r w:rsidRPr="00154A3B">
        <w:rPr>
          <w:rFonts w:ascii="Times New Roman" w:hAnsi="Times New Roman" w:cs="Times New Roman"/>
          <w:sz w:val="21"/>
        </w:rPr>
        <w:t xml:space="preserve"> </w:t>
      </w:r>
      <w:r w:rsidRPr="00154A3B">
        <w:rPr>
          <w:rFonts w:ascii="Times New Roman" w:hAnsi="Times New Roman" w:cs="Times New Roman"/>
          <w:b/>
          <w:bCs/>
          <w:sz w:val="21"/>
        </w:rPr>
        <w:t>7</w:t>
      </w:r>
      <w:r w:rsidRPr="00154A3B">
        <w:rPr>
          <w:rFonts w:ascii="Times New Roman" w:hAnsi="Times New Roman" w:cs="Times New Roman"/>
          <w:sz w:val="21"/>
        </w:rPr>
        <w:t>, e07642 (2021).</w:t>
      </w:r>
    </w:p>
    <w:p w14:paraId="47FA83E3"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lastRenderedPageBreak/>
        <w:t>31.</w:t>
      </w:r>
      <w:r w:rsidRPr="00154A3B">
        <w:rPr>
          <w:rFonts w:ascii="Times New Roman" w:hAnsi="Times New Roman" w:cs="Times New Roman"/>
          <w:sz w:val="21"/>
        </w:rPr>
        <w:tab/>
        <w:t xml:space="preserve">Yan, F. Large-Scale Marsh Loss Reconstructed from Satellite Data in the Small Sanjiang Plain since 1965: Process, Pattern and Driving Force. </w:t>
      </w:r>
      <w:r w:rsidRPr="00154A3B">
        <w:rPr>
          <w:rFonts w:ascii="Times New Roman" w:hAnsi="Times New Roman" w:cs="Times New Roman"/>
          <w:i/>
          <w:iCs/>
          <w:sz w:val="21"/>
        </w:rPr>
        <w:t>Sensors (Basel)</w:t>
      </w:r>
      <w:r w:rsidRPr="00154A3B">
        <w:rPr>
          <w:rFonts w:ascii="Times New Roman" w:hAnsi="Times New Roman" w:cs="Times New Roman"/>
          <w:sz w:val="21"/>
        </w:rPr>
        <w:t xml:space="preserve"> </w:t>
      </w:r>
      <w:r w:rsidRPr="00154A3B">
        <w:rPr>
          <w:rFonts w:ascii="Times New Roman" w:hAnsi="Times New Roman" w:cs="Times New Roman"/>
          <w:b/>
          <w:bCs/>
          <w:sz w:val="21"/>
        </w:rPr>
        <w:t>20</w:t>
      </w:r>
      <w:r w:rsidRPr="00154A3B">
        <w:rPr>
          <w:rFonts w:ascii="Times New Roman" w:hAnsi="Times New Roman" w:cs="Times New Roman"/>
          <w:sz w:val="21"/>
        </w:rPr>
        <w:t>, (2020).</w:t>
      </w:r>
    </w:p>
    <w:p w14:paraId="70A26BC9"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32.</w:t>
      </w:r>
      <w:r w:rsidRPr="00154A3B">
        <w:rPr>
          <w:rFonts w:ascii="Times New Roman" w:hAnsi="Times New Roman" w:cs="Times New Roman"/>
          <w:sz w:val="21"/>
        </w:rPr>
        <w:tab/>
        <w:t xml:space="preserve">Li, C., Zhang, H., Hao, Y. &amp; Zhang, M. Characterizing the heterogeneous correlations between the landscape patterns and seasonal variations of total nitrogen and total phosphorus in a peri-urban  watershed. </w:t>
      </w:r>
      <w:r w:rsidRPr="00154A3B">
        <w:rPr>
          <w:rFonts w:ascii="Times New Roman" w:hAnsi="Times New Roman" w:cs="Times New Roman"/>
          <w:i/>
          <w:iCs/>
          <w:sz w:val="21"/>
        </w:rPr>
        <w:t>Environ Sci Pollut Res Int</w:t>
      </w:r>
      <w:r w:rsidRPr="00154A3B">
        <w:rPr>
          <w:rFonts w:ascii="Times New Roman" w:hAnsi="Times New Roman" w:cs="Times New Roman"/>
          <w:sz w:val="21"/>
        </w:rPr>
        <w:t xml:space="preserve"> </w:t>
      </w:r>
      <w:r w:rsidRPr="00154A3B">
        <w:rPr>
          <w:rFonts w:ascii="Times New Roman" w:hAnsi="Times New Roman" w:cs="Times New Roman"/>
          <w:b/>
          <w:bCs/>
          <w:sz w:val="21"/>
        </w:rPr>
        <w:t>27</w:t>
      </w:r>
      <w:r w:rsidRPr="00154A3B">
        <w:rPr>
          <w:rFonts w:ascii="Times New Roman" w:hAnsi="Times New Roman" w:cs="Times New Roman"/>
          <w:sz w:val="21"/>
        </w:rPr>
        <w:t>, 34067–34077 (2020).</w:t>
      </w:r>
    </w:p>
    <w:p w14:paraId="220DF36F"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33.</w:t>
      </w:r>
      <w:r w:rsidRPr="00154A3B">
        <w:rPr>
          <w:rFonts w:ascii="Times New Roman" w:hAnsi="Times New Roman" w:cs="Times New Roman"/>
          <w:sz w:val="21"/>
        </w:rPr>
        <w:tab/>
        <w:t xml:space="preserve">Liang, L. &amp; Gong, P. Urban and air pollution: a multi-city study of long-term effects of urban landscape patterns on air quality trends. </w:t>
      </w:r>
      <w:r w:rsidRPr="00154A3B">
        <w:rPr>
          <w:rFonts w:ascii="Times New Roman" w:hAnsi="Times New Roman" w:cs="Times New Roman"/>
          <w:i/>
          <w:iCs/>
          <w:sz w:val="21"/>
        </w:rPr>
        <w:t>Sci Rep</w:t>
      </w:r>
      <w:r w:rsidRPr="00154A3B">
        <w:rPr>
          <w:rFonts w:ascii="Times New Roman" w:hAnsi="Times New Roman" w:cs="Times New Roman"/>
          <w:sz w:val="21"/>
        </w:rPr>
        <w:t xml:space="preserve"> </w:t>
      </w:r>
      <w:r w:rsidRPr="00154A3B">
        <w:rPr>
          <w:rFonts w:ascii="Times New Roman" w:hAnsi="Times New Roman" w:cs="Times New Roman"/>
          <w:b/>
          <w:bCs/>
          <w:sz w:val="21"/>
        </w:rPr>
        <w:t>10</w:t>
      </w:r>
      <w:r w:rsidRPr="00154A3B">
        <w:rPr>
          <w:rFonts w:ascii="Times New Roman" w:hAnsi="Times New Roman" w:cs="Times New Roman"/>
          <w:sz w:val="21"/>
        </w:rPr>
        <w:t>, 18618 (2020).</w:t>
      </w:r>
    </w:p>
    <w:p w14:paraId="0C40B515"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34.</w:t>
      </w:r>
      <w:r w:rsidRPr="00154A3B">
        <w:rPr>
          <w:rFonts w:ascii="Times New Roman" w:hAnsi="Times New Roman" w:cs="Times New Roman"/>
          <w:sz w:val="21"/>
        </w:rPr>
        <w:tab/>
        <w:t xml:space="preserve">Gribben, P. E. </w:t>
      </w:r>
      <w:r w:rsidRPr="00154A3B">
        <w:rPr>
          <w:rFonts w:ascii="Times New Roman" w:hAnsi="Times New Roman" w:cs="Times New Roman"/>
          <w:i/>
          <w:iCs/>
          <w:sz w:val="21"/>
        </w:rPr>
        <w:t>et al.</w:t>
      </w:r>
      <w:r w:rsidRPr="00154A3B">
        <w:rPr>
          <w:rFonts w:ascii="Times New Roman" w:hAnsi="Times New Roman" w:cs="Times New Roman"/>
          <w:sz w:val="21"/>
        </w:rPr>
        <w:t xml:space="preserve"> Microbial communities in marine sediments modify success of an invasive macrophyte. </w:t>
      </w:r>
      <w:r w:rsidRPr="00154A3B">
        <w:rPr>
          <w:rFonts w:ascii="Times New Roman" w:hAnsi="Times New Roman" w:cs="Times New Roman"/>
          <w:i/>
          <w:iCs/>
          <w:sz w:val="21"/>
        </w:rPr>
        <w:t>Sci Rep</w:t>
      </w:r>
      <w:r w:rsidRPr="00154A3B">
        <w:rPr>
          <w:rFonts w:ascii="Times New Roman" w:hAnsi="Times New Roman" w:cs="Times New Roman"/>
          <w:sz w:val="21"/>
        </w:rPr>
        <w:t xml:space="preserve"> </w:t>
      </w:r>
      <w:r w:rsidRPr="00154A3B">
        <w:rPr>
          <w:rFonts w:ascii="Times New Roman" w:hAnsi="Times New Roman" w:cs="Times New Roman"/>
          <w:b/>
          <w:bCs/>
          <w:sz w:val="21"/>
        </w:rPr>
        <w:t>7</w:t>
      </w:r>
      <w:r w:rsidRPr="00154A3B">
        <w:rPr>
          <w:rFonts w:ascii="Times New Roman" w:hAnsi="Times New Roman" w:cs="Times New Roman"/>
          <w:sz w:val="21"/>
        </w:rPr>
        <w:t>, 9845 (2017).</w:t>
      </w:r>
    </w:p>
    <w:p w14:paraId="296F8C3F"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35.</w:t>
      </w:r>
      <w:r w:rsidRPr="00154A3B">
        <w:rPr>
          <w:rFonts w:ascii="Times New Roman" w:hAnsi="Times New Roman" w:cs="Times New Roman"/>
          <w:sz w:val="21"/>
        </w:rPr>
        <w:tab/>
        <w:t xml:space="preserve">Su, Z., Li, X., Zhou, W. &amp; Ouyang, Z. Effect of landscape pattern on insect species density within urban green spaces in Beijing, China. </w:t>
      </w:r>
      <w:r w:rsidRPr="00154A3B">
        <w:rPr>
          <w:rFonts w:ascii="Times New Roman" w:hAnsi="Times New Roman" w:cs="Times New Roman"/>
          <w:i/>
          <w:iCs/>
          <w:sz w:val="21"/>
        </w:rPr>
        <w:t>PLoS One</w:t>
      </w:r>
      <w:r w:rsidRPr="00154A3B">
        <w:rPr>
          <w:rFonts w:ascii="Times New Roman" w:hAnsi="Times New Roman" w:cs="Times New Roman"/>
          <w:sz w:val="21"/>
        </w:rPr>
        <w:t xml:space="preserve"> </w:t>
      </w:r>
      <w:r w:rsidRPr="00154A3B">
        <w:rPr>
          <w:rFonts w:ascii="Times New Roman" w:hAnsi="Times New Roman" w:cs="Times New Roman"/>
          <w:b/>
          <w:bCs/>
          <w:sz w:val="21"/>
        </w:rPr>
        <w:t>10</w:t>
      </w:r>
      <w:r w:rsidRPr="00154A3B">
        <w:rPr>
          <w:rFonts w:ascii="Times New Roman" w:hAnsi="Times New Roman" w:cs="Times New Roman"/>
          <w:sz w:val="21"/>
        </w:rPr>
        <w:t>, e0119276 (2015).</w:t>
      </w:r>
    </w:p>
    <w:p w14:paraId="37640768"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36.</w:t>
      </w:r>
      <w:r w:rsidRPr="00154A3B">
        <w:rPr>
          <w:rFonts w:ascii="Times New Roman" w:hAnsi="Times New Roman" w:cs="Times New Roman"/>
          <w:sz w:val="21"/>
        </w:rPr>
        <w:tab/>
        <w:t xml:space="preserve">Hämäläinen, S., Fey, K. &amp; Selonen, V. The effect of landscape structure on dispersal distances of the Eurasian red squirrel. </w:t>
      </w:r>
      <w:r w:rsidRPr="00154A3B">
        <w:rPr>
          <w:rFonts w:ascii="Times New Roman" w:hAnsi="Times New Roman" w:cs="Times New Roman"/>
          <w:i/>
          <w:iCs/>
          <w:sz w:val="21"/>
        </w:rPr>
        <w:t>Ecol Evol</w:t>
      </w:r>
      <w:r w:rsidRPr="00154A3B">
        <w:rPr>
          <w:rFonts w:ascii="Times New Roman" w:hAnsi="Times New Roman" w:cs="Times New Roman"/>
          <w:sz w:val="21"/>
        </w:rPr>
        <w:t xml:space="preserve"> </w:t>
      </w:r>
      <w:r w:rsidRPr="00154A3B">
        <w:rPr>
          <w:rFonts w:ascii="Times New Roman" w:hAnsi="Times New Roman" w:cs="Times New Roman"/>
          <w:b/>
          <w:bCs/>
          <w:sz w:val="21"/>
        </w:rPr>
        <w:t>9</w:t>
      </w:r>
      <w:r w:rsidRPr="00154A3B">
        <w:rPr>
          <w:rFonts w:ascii="Times New Roman" w:hAnsi="Times New Roman" w:cs="Times New Roman"/>
          <w:sz w:val="21"/>
        </w:rPr>
        <w:t>, 1173–1181 (2019).</w:t>
      </w:r>
    </w:p>
    <w:p w14:paraId="137CF54E"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37.</w:t>
      </w:r>
      <w:r w:rsidRPr="00154A3B">
        <w:rPr>
          <w:rFonts w:ascii="Times New Roman" w:hAnsi="Times New Roman" w:cs="Times New Roman"/>
          <w:sz w:val="21"/>
        </w:rPr>
        <w:tab/>
        <w:t xml:space="preserve">Roffler, G. H., Pilgrim, K. L., Zarn, K. E., Schwartz, M. K. &amp; Levi, T. Variation in adult and pup wolf diets at natal den sites is influenced by forest composition and configuration. </w:t>
      </w:r>
      <w:r w:rsidRPr="00154A3B">
        <w:rPr>
          <w:rFonts w:ascii="Times New Roman" w:hAnsi="Times New Roman" w:cs="Times New Roman"/>
          <w:i/>
          <w:iCs/>
          <w:sz w:val="21"/>
        </w:rPr>
        <w:t>Ecol Evol</w:t>
      </w:r>
      <w:r w:rsidRPr="00154A3B">
        <w:rPr>
          <w:rFonts w:ascii="Times New Roman" w:hAnsi="Times New Roman" w:cs="Times New Roman"/>
          <w:sz w:val="21"/>
        </w:rPr>
        <w:t xml:space="preserve"> </w:t>
      </w:r>
      <w:r w:rsidRPr="00154A3B">
        <w:rPr>
          <w:rFonts w:ascii="Times New Roman" w:hAnsi="Times New Roman" w:cs="Times New Roman"/>
          <w:b/>
          <w:bCs/>
          <w:sz w:val="21"/>
        </w:rPr>
        <w:t>13</w:t>
      </w:r>
      <w:r w:rsidRPr="00154A3B">
        <w:rPr>
          <w:rFonts w:ascii="Times New Roman" w:hAnsi="Times New Roman" w:cs="Times New Roman"/>
          <w:sz w:val="21"/>
        </w:rPr>
        <w:t>, e9648 (2023).</w:t>
      </w:r>
    </w:p>
    <w:p w14:paraId="3BDB609E"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38.</w:t>
      </w:r>
      <w:r w:rsidRPr="00154A3B">
        <w:rPr>
          <w:rFonts w:ascii="Times New Roman" w:hAnsi="Times New Roman" w:cs="Times New Roman"/>
          <w:sz w:val="21"/>
        </w:rPr>
        <w:tab/>
        <w:t xml:space="preserve">Liang, L. &amp; Gong, P. Urban and air pollution: a multi-city study of long-term effects of urban landscape patterns on air quality trends. </w:t>
      </w:r>
      <w:r w:rsidRPr="00154A3B">
        <w:rPr>
          <w:rFonts w:ascii="Times New Roman" w:hAnsi="Times New Roman" w:cs="Times New Roman"/>
          <w:i/>
          <w:iCs/>
          <w:sz w:val="21"/>
        </w:rPr>
        <w:t>Sci Rep</w:t>
      </w:r>
      <w:r w:rsidRPr="00154A3B">
        <w:rPr>
          <w:rFonts w:ascii="Times New Roman" w:hAnsi="Times New Roman" w:cs="Times New Roman"/>
          <w:sz w:val="21"/>
        </w:rPr>
        <w:t xml:space="preserve"> </w:t>
      </w:r>
      <w:r w:rsidRPr="00154A3B">
        <w:rPr>
          <w:rFonts w:ascii="Times New Roman" w:hAnsi="Times New Roman" w:cs="Times New Roman"/>
          <w:b/>
          <w:bCs/>
          <w:sz w:val="21"/>
        </w:rPr>
        <w:t>10</w:t>
      </w:r>
      <w:r w:rsidRPr="00154A3B">
        <w:rPr>
          <w:rFonts w:ascii="Times New Roman" w:hAnsi="Times New Roman" w:cs="Times New Roman"/>
          <w:sz w:val="21"/>
        </w:rPr>
        <w:t>, 18618 (2020).</w:t>
      </w:r>
    </w:p>
    <w:p w14:paraId="6A165879"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39.</w:t>
      </w:r>
      <w:r w:rsidRPr="00154A3B">
        <w:rPr>
          <w:rFonts w:ascii="Times New Roman" w:hAnsi="Times New Roman" w:cs="Times New Roman"/>
          <w:sz w:val="21"/>
        </w:rPr>
        <w:tab/>
        <w:t xml:space="preserve">Wu, J. </w:t>
      </w:r>
      <w:r w:rsidRPr="00154A3B">
        <w:rPr>
          <w:rFonts w:ascii="Times New Roman" w:hAnsi="Times New Roman" w:cs="Times New Roman"/>
          <w:i/>
          <w:iCs/>
          <w:sz w:val="21"/>
        </w:rPr>
        <w:t>et al.</w:t>
      </w:r>
      <w:r w:rsidRPr="00154A3B">
        <w:rPr>
          <w:rFonts w:ascii="Times New Roman" w:hAnsi="Times New Roman" w:cs="Times New Roman"/>
          <w:sz w:val="21"/>
        </w:rPr>
        <w:t xml:space="preserve"> Spatial Heterogeneity and Attribution Analysis of Urban Thermal Comfort in China from 2000 to 2020. </w:t>
      </w:r>
      <w:r w:rsidRPr="00154A3B">
        <w:rPr>
          <w:rFonts w:ascii="Times New Roman" w:hAnsi="Times New Roman" w:cs="Times New Roman"/>
          <w:i/>
          <w:iCs/>
          <w:sz w:val="21"/>
        </w:rPr>
        <w:t>Int J Environ Res Public Health</w:t>
      </w:r>
      <w:r w:rsidRPr="00154A3B">
        <w:rPr>
          <w:rFonts w:ascii="Times New Roman" w:hAnsi="Times New Roman" w:cs="Times New Roman"/>
          <w:sz w:val="21"/>
        </w:rPr>
        <w:t xml:space="preserve"> </w:t>
      </w:r>
      <w:r w:rsidRPr="00154A3B">
        <w:rPr>
          <w:rFonts w:ascii="Times New Roman" w:hAnsi="Times New Roman" w:cs="Times New Roman"/>
          <w:b/>
          <w:bCs/>
          <w:sz w:val="21"/>
        </w:rPr>
        <w:t>19</w:t>
      </w:r>
      <w:r w:rsidRPr="00154A3B">
        <w:rPr>
          <w:rFonts w:ascii="Times New Roman" w:hAnsi="Times New Roman" w:cs="Times New Roman"/>
          <w:sz w:val="21"/>
        </w:rPr>
        <w:t>, (2022).</w:t>
      </w:r>
    </w:p>
    <w:p w14:paraId="764D1A4E"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40.</w:t>
      </w:r>
      <w:r w:rsidRPr="00154A3B">
        <w:rPr>
          <w:rFonts w:ascii="Times New Roman" w:hAnsi="Times New Roman" w:cs="Times New Roman"/>
          <w:sz w:val="21"/>
        </w:rPr>
        <w:tab/>
        <w:t xml:space="preserve">Hooven, N. D., Springer, M. T., Nielsen, C. K. &amp; Schauber, E. M. Influence of natal habitat preference on habitat selection during extra-home range movements in a large ungulate. </w:t>
      </w:r>
      <w:r w:rsidRPr="00154A3B">
        <w:rPr>
          <w:rFonts w:ascii="Times New Roman" w:hAnsi="Times New Roman" w:cs="Times New Roman"/>
          <w:i/>
          <w:iCs/>
          <w:sz w:val="21"/>
        </w:rPr>
        <w:t>Ecol Evol</w:t>
      </w:r>
      <w:r w:rsidRPr="00154A3B">
        <w:rPr>
          <w:rFonts w:ascii="Times New Roman" w:hAnsi="Times New Roman" w:cs="Times New Roman"/>
          <w:sz w:val="21"/>
        </w:rPr>
        <w:t xml:space="preserve"> </w:t>
      </w:r>
      <w:r w:rsidRPr="00154A3B">
        <w:rPr>
          <w:rFonts w:ascii="Times New Roman" w:hAnsi="Times New Roman" w:cs="Times New Roman"/>
          <w:b/>
          <w:bCs/>
          <w:sz w:val="21"/>
        </w:rPr>
        <w:t>13</w:t>
      </w:r>
      <w:r w:rsidRPr="00154A3B">
        <w:rPr>
          <w:rFonts w:ascii="Times New Roman" w:hAnsi="Times New Roman" w:cs="Times New Roman"/>
          <w:sz w:val="21"/>
        </w:rPr>
        <w:t>, e9794 (2023).</w:t>
      </w:r>
    </w:p>
    <w:p w14:paraId="06F72850"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lastRenderedPageBreak/>
        <w:t>41.</w:t>
      </w:r>
      <w:r w:rsidRPr="00154A3B">
        <w:rPr>
          <w:rFonts w:ascii="Times New Roman" w:hAnsi="Times New Roman" w:cs="Times New Roman"/>
          <w:sz w:val="21"/>
        </w:rPr>
        <w:tab/>
        <w:t xml:space="preserve">Roffler, G. H., Pilgrim, K. L., Zarn, K. E., Schwartz, M. K. &amp; Levi, T. Variation in adult and pup wolf diets at natal den sites is influenced by forest composition and configuration. </w:t>
      </w:r>
      <w:r w:rsidRPr="00154A3B">
        <w:rPr>
          <w:rFonts w:ascii="Times New Roman" w:hAnsi="Times New Roman" w:cs="Times New Roman"/>
          <w:i/>
          <w:iCs/>
          <w:sz w:val="21"/>
        </w:rPr>
        <w:t>Ecol Evol</w:t>
      </w:r>
      <w:r w:rsidRPr="00154A3B">
        <w:rPr>
          <w:rFonts w:ascii="Times New Roman" w:hAnsi="Times New Roman" w:cs="Times New Roman"/>
          <w:sz w:val="21"/>
        </w:rPr>
        <w:t xml:space="preserve"> </w:t>
      </w:r>
      <w:r w:rsidRPr="00154A3B">
        <w:rPr>
          <w:rFonts w:ascii="Times New Roman" w:hAnsi="Times New Roman" w:cs="Times New Roman"/>
          <w:b/>
          <w:bCs/>
          <w:sz w:val="21"/>
        </w:rPr>
        <w:t>13</w:t>
      </w:r>
      <w:r w:rsidRPr="00154A3B">
        <w:rPr>
          <w:rFonts w:ascii="Times New Roman" w:hAnsi="Times New Roman" w:cs="Times New Roman"/>
          <w:sz w:val="21"/>
        </w:rPr>
        <w:t>, e9648 (2023).</w:t>
      </w:r>
    </w:p>
    <w:p w14:paraId="52D22FD9" w14:textId="77777777" w:rsidR="00154A3B" w:rsidRPr="00154A3B" w:rsidRDefault="00154A3B" w:rsidP="00154A3B">
      <w:pPr>
        <w:pStyle w:val="af4"/>
        <w:rPr>
          <w:rFonts w:ascii="Times New Roman" w:hAnsi="Times New Roman" w:cs="Times New Roman"/>
          <w:sz w:val="21"/>
        </w:rPr>
      </w:pPr>
      <w:r w:rsidRPr="00154A3B">
        <w:rPr>
          <w:rFonts w:ascii="Times New Roman" w:hAnsi="Times New Roman" w:cs="Times New Roman"/>
          <w:sz w:val="21"/>
        </w:rPr>
        <w:t>42.</w:t>
      </w:r>
      <w:r w:rsidRPr="00154A3B">
        <w:rPr>
          <w:rFonts w:ascii="Times New Roman" w:hAnsi="Times New Roman" w:cs="Times New Roman"/>
          <w:sz w:val="21"/>
        </w:rPr>
        <w:tab/>
        <w:t xml:space="preserve">Xu, S., Li, S.-L., Zhong, J. &amp; Li, C. Spatial scale effects of the variable relationships between landscape pattern and water quality: Example from an agricultural karst river basin, Southwestern China. </w:t>
      </w:r>
      <w:r w:rsidRPr="00154A3B">
        <w:rPr>
          <w:rFonts w:ascii="Times New Roman" w:hAnsi="Times New Roman" w:cs="Times New Roman"/>
          <w:i/>
          <w:iCs/>
          <w:sz w:val="21"/>
        </w:rPr>
        <w:t>Agriculture, Ecosystems &amp; Environment</w:t>
      </w:r>
      <w:r w:rsidRPr="00154A3B">
        <w:rPr>
          <w:rFonts w:ascii="Times New Roman" w:hAnsi="Times New Roman" w:cs="Times New Roman"/>
          <w:sz w:val="21"/>
        </w:rPr>
        <w:t xml:space="preserve"> </w:t>
      </w:r>
      <w:r w:rsidRPr="00154A3B">
        <w:rPr>
          <w:rFonts w:ascii="Times New Roman" w:hAnsi="Times New Roman" w:cs="Times New Roman"/>
          <w:b/>
          <w:bCs/>
          <w:sz w:val="21"/>
        </w:rPr>
        <w:t>300</w:t>
      </w:r>
      <w:r w:rsidRPr="00154A3B">
        <w:rPr>
          <w:rFonts w:ascii="Times New Roman" w:hAnsi="Times New Roman" w:cs="Times New Roman"/>
          <w:sz w:val="21"/>
        </w:rPr>
        <w:t>, 106999 (2020).</w:t>
      </w:r>
    </w:p>
    <w:p w14:paraId="2B5FAD8A" w14:textId="79AED7E8" w:rsidR="00ED32D3" w:rsidRPr="005C4407" w:rsidRDefault="005C4407" w:rsidP="005C4407">
      <w:pPr>
        <w:spacing w:line="360" w:lineRule="auto"/>
        <w:jc w:val="both"/>
        <w:rPr>
          <w:rFonts w:ascii="Times New Roman" w:hAnsi="Times New Roman" w:cs="Times New Roman"/>
          <w:bCs/>
          <w:sz w:val="21"/>
          <w:szCs w:val="21"/>
        </w:rPr>
      </w:pPr>
      <w:r>
        <w:rPr>
          <w:rFonts w:ascii="Times New Roman" w:hAnsi="Times New Roman" w:cs="Times New Roman"/>
          <w:bCs/>
          <w:sz w:val="21"/>
          <w:szCs w:val="21"/>
        </w:rPr>
        <w:fldChar w:fldCharType="end"/>
      </w:r>
    </w:p>
    <w:sectPr w:rsidR="00ED32D3" w:rsidRPr="005C4407">
      <w:footerReference w:type="default" r:id="rId59"/>
      <w:pgSz w:w="11906" w:h="16838"/>
      <w:pgMar w:top="1440" w:right="1080" w:bottom="1440" w:left="1080"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33145E" w14:textId="77777777" w:rsidR="005549A2" w:rsidRDefault="005549A2">
      <w:pPr>
        <w:rPr>
          <w:rFonts w:hint="eastAsia"/>
        </w:rPr>
      </w:pPr>
      <w:r>
        <w:separator/>
      </w:r>
    </w:p>
  </w:endnote>
  <w:endnote w:type="continuationSeparator" w:id="0">
    <w:p w14:paraId="5B155C72" w14:textId="77777777" w:rsidR="005549A2" w:rsidRDefault="005549A2">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楷体">
    <w:panose1 w:val="02010609060101010101"/>
    <w:charset w:val="86"/>
    <w:family w:val="modern"/>
    <w:pitch w:val="fixed"/>
    <w:sig w:usb0="800002BF" w:usb1="38CF7CFA" w:usb2="00000016" w:usb3="00000000" w:csb0="00040001" w:csb1="00000000"/>
  </w:font>
  <w:font w:name="Symbol">
    <w:panose1 w:val="05050102010706020507"/>
    <w:charset w:val="02"/>
    <w:family w:val="roman"/>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rPr>
      <w:id w:val="-1537961307"/>
    </w:sdtPr>
    <w:sdtEndPr/>
    <w:sdtContent>
      <w:p w14:paraId="0281FA09" w14:textId="77777777" w:rsidR="00ED32D3" w:rsidRDefault="00F13C42">
        <w:pPr>
          <w:pStyle w:val="a7"/>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Pr>
            <w:rFonts w:ascii="Times New Roman" w:hAnsi="Times New Roman" w:cs="Times New Roman"/>
            <w:lang w:val="zh-CN"/>
          </w:rPr>
          <w:t>20</w:t>
        </w:r>
        <w:r>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A857DB" w14:textId="77777777" w:rsidR="005549A2" w:rsidRDefault="005549A2">
      <w:pPr>
        <w:rPr>
          <w:rFonts w:hint="eastAsia"/>
        </w:rPr>
      </w:pPr>
      <w:r>
        <w:separator/>
      </w:r>
    </w:p>
  </w:footnote>
  <w:footnote w:type="continuationSeparator" w:id="0">
    <w:p w14:paraId="36E254C5" w14:textId="77777777" w:rsidR="005549A2" w:rsidRDefault="005549A2">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161B91"/>
    <w:multiLevelType w:val="multilevel"/>
    <w:tmpl w:val="0E161B91"/>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16cid:durableId="3153792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hdrShapeDefaults>
    <o:shapedefaults v:ext="edit" spidmax="1024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c2NDW2AJEWFkaGSjpKwanFxZn5eSAFhoa1AKSEd44tAAAA"/>
    <w:docVar w:name="commondata" w:val="eyJoZGlkIjoiZDM2NGU2ZjRkMTk5MDQxNWQ2ZjY1MDA3MzI3NzEzNTQifQ=="/>
    <w:docVar w:name="EN.InstantFormat" w:val="&lt;ENInstantFormat&gt;&lt;Enabled&gt;1&lt;/Enabled&gt;&lt;ScanUnformatted&gt;1&lt;/ScanUnformatted&gt;&lt;ScanChanges&gt;1&lt;/ScanChanges&gt;&lt;Suspended&gt;0&lt;/Suspended&gt;&lt;/ENInstantFormat&gt;"/>
    <w:docVar w:name="NE.Ref{03060B53-BB90-4A5A-B0CE-DA7A644C3BFD}" w:val=" ADDIN NE.Ref.{03060B53-BB90-4A5A-B0CE-DA7A644C3BFD}&lt;Citation&gt;&lt;Group&gt;&lt;References&gt;&lt;Item&gt;&lt;ID&gt;1195&lt;/ID&gt;&lt;UID&gt;{50790B5B-7C68-4005-8D61-B95B61F182A6}&lt;/UID&gt;&lt;Title&gt;Impacts of Landscape Patterns on Ecosystem Services Value: A Multiscale Buffer Gradient Analysis Approach&lt;/Title&gt;&lt;Template&gt;Journal Article&lt;/Template&gt;&lt;Star&gt;1&lt;/Star&gt;&lt;Tag&gt;0&lt;/Tag&gt;&lt;Author&gt;Chen, Wanxu; Zeng, Jie; Chu, Yumei; Liang, Jiale&lt;/Author&gt;&lt;Year&gt;2021&lt;/Year&gt;&lt;Details&gt;&lt;_accessed&gt;64056062&lt;/_accessed&gt;&lt;_collection_scope&gt;SCIE;EI&lt;/_collection_scope&gt;&lt;_created&gt;64050804&lt;/_created&gt;&lt;_date&gt;63898560&lt;/_date&gt;&lt;_db_updated&gt;CrossRef&lt;/_db_updated&gt;&lt;_doi&gt;10.3390/rs13132551&lt;/_doi&gt;&lt;_impact_factor&gt;   4.848&lt;/_impact_factor&gt;&lt;_isbn&gt;2072-4292&lt;/_isbn&gt;&lt;_issue&gt;13&lt;/_issue&gt;&lt;_journal&gt;Remote Sensing&lt;/_journal&gt;&lt;_modified&gt;64056062&lt;/_modified&gt;&lt;_pages&gt;2551&lt;/_pages&gt;&lt;_tertiary_title&gt;Remote Sensing&lt;/_tertiary_title&gt;&lt;_url&gt;https://www.mdpi.com/2072-4292/13/13/2551_x000d__x000a_https://www.mdpi.com/2072-4292/13/13/2551/pdf&lt;/_url&gt;&lt;_volume&gt;13&lt;/_volume&gt;&lt;/Details&gt;&lt;Extra&gt;&lt;DBUID&gt;{F96A950B-833F-4880-A151-76DA2D6A2879}&lt;/DBUID&gt;&lt;/Extra&gt;&lt;/Item&gt;&lt;/References&gt;&lt;/Group&gt;&lt;/Citation&gt;_x000a_"/>
    <w:docVar w:name="NE.Ref{0426AE27-2453-400E-A6EE-224509C6E8DC}" w:val=" ADDIN NE.Ref.{0426AE27-2453-400E-A6EE-224509C6E8DC}&lt;Citation&gt;&lt;Group&gt;&lt;References&gt;&lt;Item&gt;&lt;ID&gt;1228&lt;/ID&gt;&lt;UID&gt;{BD1B26A4-EA37-4A82-94D6-E96770962455}&lt;/UID&gt;&lt;Title&gt;汶川县生态系统服务对景观格局及其变化的响应&lt;/Title&gt;&lt;Template&gt;Journal Article&lt;/Template&gt;&lt;Star&gt;0&lt;/Star&gt;&lt;Tag&gt;0&lt;/Tag&gt;&lt;Author&gt;徐建英; 樊斐斐; 刘焱序; 陈吉星; 魏建瑛&lt;/Author&gt;&lt;Year&gt;2020&lt;/Year&gt;&lt;Details&gt;&lt;_accessed&gt;64066162&lt;/_accessed&gt;&lt;_author_aff&gt;首都师范大学资源环境与旅游学院;北京师范大学地理科学学部地表过程与资源生态国家重点实验室;&lt;/_author_aff&gt;&lt;_collection_scope&gt;CSCD;PKU&lt;/_collection_scope&gt;&lt;_created&gt;64056126&lt;/_created&gt;&lt;_date&gt;63407520&lt;/_date&gt;&lt;_db_updated&gt;CNKI - Reference&lt;/_db_updated&gt;&lt;_issue&gt;14&lt;/_issue&gt;&lt;_journal&gt;生态学报&lt;/_journal&gt;&lt;_keywords&gt;生态系统服务;景观格局指数;动态变化;汶川&lt;/_keywords&gt;&lt;_language&gt;Chinese&lt;/_language&gt;&lt;_modified&gt;64066162&lt;/_modified&gt;&lt;_pages&gt;4724-4736&lt;/_pages&gt;&lt;_url&gt;https://kns.cnki.net/kcms/detail/detail.aspx?FileName=STXB202014003&amp;amp;DbName=CJFQ2020&lt;/_url&gt;&lt;_volume&gt;40&lt;/_volume&gt;&lt;_translated_author&gt;Xu, Jianying;Fan, Feifei;Liu, Yanxu;Chen, Jixing;Wei, Jianying&lt;/_translated_author&gt;&lt;/Details&gt;&lt;Extra&gt;&lt;DBUID&gt;{F96A950B-833F-4880-A151-76DA2D6A2879}&lt;/DBUID&gt;&lt;/Extra&gt;&lt;/Item&gt;&lt;/References&gt;&lt;/Group&gt;&lt;/Citation&gt;_x000a_"/>
    <w:docVar w:name="NE.Ref{05895F98-BE98-4FAD-9A57-09E2A71DA87C}" w:val=" ADDIN NE.Ref.{05895F98-BE98-4FAD-9A57-09E2A71DA87C}&lt;Citation&gt;&lt;Group&gt;&lt;References&gt;&lt;Item&gt;&lt;ID&gt;1247&lt;/ID&gt;&lt;UID&gt;{EDAB1E22-29DE-4DD7-8ED4-69CF7065C7DA}&lt;/UID&gt;&lt;Title&gt;景观空间异质性对生态系统服务形成与供给的影响&lt;/Title&gt;&lt;Template&gt;Journal Article&lt;/Template&gt;&lt;Star&gt;0&lt;/Star&gt;&lt;Tag&gt;0&lt;/Tag&gt;&lt;Author&gt;刘绿怡; 卞子亓; 丁圣彦&lt;/Author&gt;&lt;Year&gt;2018&lt;/Year&gt;&lt;Details&gt;&lt;_language&gt;Chinese&lt;/_language&gt;&lt;_created&gt;64066552&lt;/_created&gt;&lt;_modified&gt;64066552&lt;/_modified&gt;&lt;_url&gt;https://kns.cnki.net/kcms/detail/detail.aspx?FileName=STXB201818005&amp;amp;DbName=CJFQ2018&lt;/_url&gt;&lt;_journal&gt;生态学报&lt;/_journal&gt;&lt;_volume&gt;38&lt;/_volume&gt;&lt;_issue&gt;18&lt;/_issue&gt;&lt;_pages&gt;6412-6421&lt;/_pages&gt;&lt;_date&gt;62444160&lt;/_date&gt;&lt;_keywords&gt;生态系统服务;景观空间异质性;景观组成;景观构型&lt;/_keywords&gt;&lt;_author_aff&gt;河南大学黄河中下游数字地理技术教育部重点实验室;河南大学环境与规划学院;&lt;/_author_aff&gt;&lt;_accessed&gt;64066552&lt;/_accessed&gt;&lt;_db_updated&gt;CNKI - Reference&lt;/_db_updated&gt;&lt;_collection_scope&gt;CSCD;PKU&lt;/_collection_scope&gt;&lt;_translated_author&gt;Liu, Lu yi;Bian, Ziqi;Ding, Shengyan&lt;/_translated_author&gt;&lt;/Details&gt;&lt;Extra&gt;&lt;DBUID&gt;{F96A950B-833F-4880-A151-76DA2D6A2879}&lt;/DBUID&gt;&lt;/Extra&gt;&lt;/Item&gt;&lt;/References&gt;&lt;/Group&gt;&lt;/Citation&gt;_x000a_"/>
    <w:docVar w:name="NE.Ref{0AAD4432-DEC9-470B-ABFE-CC61F28FCC21}" w:val=" ADDIN NE.Ref.{0AAD4432-DEC9-470B-ABFE-CC61F28FCC21}&lt;Citation&gt;&lt;Group&gt;&lt;References&gt;&lt;Item&gt;&lt;ID&gt;1518&lt;/ID&gt;&lt;UID&gt;{E38473E2-C73A-45D3-8204-5E8E0004CC25}&lt;/UID&gt;&lt;Title&gt;Check-in behaviour and spatio-temporal vibrancy: An exploratory analysis in Shenzhen, China&lt;/Title&gt;&lt;Template&gt;Journal Article&lt;/Template&gt;&lt;Star&gt;1&lt;/Star&gt;&lt;Tag&gt;5&lt;/Tag&gt;&lt;Author&gt;Wu, Chao; Ye, Xinyue; Ren, Fu; Du, Qingyun&lt;/Author&gt;&lt;Year&gt;2018&lt;/Year&gt;&lt;Details&gt;&lt;_doi&gt;10.1016/j.cities.2018.01.017&lt;/_doi&gt;&lt;_created&gt;64152568&lt;/_created&gt;&lt;_modified&gt;64152569&lt;/_modified&gt;&lt;_url&gt;https://linkinghub.elsevier.com/retrieve/pii/S0264275117303438_x000d__x000a_https://api.elsevier.com/content/article/PII:S0264275117303438?httpAccept=text/xml&lt;/_url&gt;&lt;_journal&gt;Cities&lt;/_journal&gt;&lt;_volume&gt;77&lt;/_volume&gt;&lt;_pages&gt;104-116&lt;/_pages&gt;&lt;_tertiary_title&gt;Cities&lt;/_tertiary_title&gt;&lt;_isbn&gt;02642751&lt;/_isbn&gt;&lt;_accessed&gt;64152568&lt;/_accessed&gt;&lt;_db_updated&gt;CrossRef&lt;/_db_updated&gt;&lt;_impact_factor&gt;   5.835&lt;/_impact_factor&gt;&lt;_collection_scope&gt;SSCI&lt;/_collection_scope&gt;&lt;/Details&gt;&lt;Extra&gt;&lt;DBUID&gt;{F96A950B-833F-4880-A151-76DA2D6A2879}&lt;/DBUID&gt;&lt;/Extra&gt;&lt;/Item&gt;&lt;/References&gt;&lt;/Group&gt;&lt;Group&gt;&lt;References&gt;&lt;Item&gt;&lt;ID&gt;1517&lt;/ID&gt;&lt;UID&gt;{F5CB1BEA-B37C-405D-818B-EB8EA862D41E}&lt;/UID&gt;&lt;Title&gt;Determinants of haze pollution: An analysis from the perspective of spatiotemporal heterogeneity&lt;/Title&gt;&lt;Template&gt;Journal Article&lt;/Template&gt;&lt;Star&gt;1&lt;/Star&gt;&lt;Tag&gt;5&lt;/Tag&gt;&lt;Author&gt;Dong, Feng; Zhang, Shengnan; Long, Ruyin; Zhang, Xiaoyun; Sun, Ziyuan&lt;/Author&gt;&lt;Year&gt;2019&lt;/Year&gt;&lt;Details&gt;&lt;_doi&gt;10.1016/j.jclepro.2019.03.105&lt;/_doi&gt;&lt;_created&gt;64152568&lt;/_created&gt;&lt;_modified&gt;64152569&lt;/_modified&gt;&lt;_url&gt;https://linkinghub.elsevier.com/retrieve/pii/S0959652619307966_x000d__x000a_https://api.elsevier.com/content/article/PII:S0959652619307966?httpAccept=text/xml&lt;/_url&gt;&lt;_journal&gt;Journal of Cleaner Production&lt;/_journal&gt;&lt;_volume&gt;222&lt;/_volume&gt;&lt;_pages&gt;768-783&lt;/_pages&gt;&lt;_tertiary_title&gt;Journal of Cleaner Production&lt;/_tertiary_title&gt;&lt;_isbn&gt;09596526&lt;/_isbn&gt;&lt;_accessed&gt;64152568&lt;/_accessed&gt;&lt;_db_updated&gt;CrossRef&lt;/_db_updated&gt;&lt;_impact_factor&gt;   9.297&lt;/_impact_factor&gt;&lt;_collection_scope&gt;SCIE;EI&lt;/_collection_scope&gt;&lt;/Details&gt;&lt;Extra&gt;&lt;DBUID&gt;{F96A950B-833F-4880-A151-76DA2D6A2879}&lt;/DBUID&gt;&lt;/Extra&gt;&lt;/Item&gt;&lt;/References&gt;&lt;/Group&gt;&lt;Group&gt;&lt;References&gt;&lt;Item&gt;&lt;ID&gt;1522&lt;/ID&gt;&lt;UID&gt;{956A63CA-71B3-4135-900A-1FD4AD98864E}&lt;/UID&gt;&lt;Title&gt;Coupling coordination degree measurement and spatiotemporal heterogeneity between economic development and ecological environment ----Empirical evidence from tropical and subtropical regions of China&lt;/Title&gt;&lt;Template&gt;Journal Article&lt;/Template&gt;&lt;Star&gt;1&lt;/Star&gt;&lt;Tag&gt;5&lt;/Tag&gt;&lt;Author&gt;Shi, Tao; Yang, Shenyan; Zhang, Wei; Zhou, Qian&lt;/Author&gt;&lt;Year&gt;2020&lt;/Year&gt;&lt;Details&gt;&lt;_doi&gt;10.1016/j.jclepro.2019.118739&lt;/_doi&gt;&lt;_created&gt;64152571&lt;/_created&gt;&lt;_modified&gt;64152571&lt;/_modified&gt;&lt;_url&gt;https://linkinghub.elsevier.com/retrieve/pii/S0959652619336091_x000d__x000a_https://api.elsevier.com/content/article/PII:S0959652619336091?httpAccept=text/xml&lt;/_url&gt;&lt;_journal&gt;Journal of Cleaner Production&lt;/_journal&gt;&lt;_volume&gt;244&lt;/_volume&gt;&lt;_pages&gt;118739&lt;/_pages&gt;&lt;_tertiary_title&gt;Journal of Cleaner Production&lt;/_tertiary_title&gt;&lt;_isbn&gt;09596526&lt;/_isbn&gt;&lt;_accessed&gt;64152571&lt;/_accessed&gt;&lt;_db_updated&gt;CrossRef&lt;/_db_updated&gt;&lt;_impact_factor&gt;   9.297&lt;/_impact_factor&gt;&lt;_collection_scope&gt;SCIE;EI&lt;/_collection_scope&gt;&lt;/Details&gt;&lt;Extra&gt;&lt;DBUID&gt;{F96A950B-833F-4880-A151-76DA2D6A2879}&lt;/DBUID&gt;&lt;/Extra&gt;&lt;/Item&gt;&lt;/References&gt;&lt;/Group&gt;&lt;/Citation&gt;_x000a_"/>
    <w:docVar w:name="NE.Ref{0AE4A94E-1BED-4BB7-B5FF-8C10607CEF19}" w:val=" ADDIN NE.Ref.{0AE4A94E-1BED-4BB7-B5FF-8C10607CEF19}&lt;Citation&gt;&lt;Group&gt;&lt;References&gt;&lt;Item&gt;&lt;ID&gt;1522&lt;/ID&gt;&lt;UID&gt;{956A63CA-71B3-4135-900A-1FD4AD98864E}&lt;/UID&gt;&lt;Title&gt;Coupling coordination degree measurement and spatiotemporal heterogeneity between economic development and ecological environment ----Empirical evidence from tropical and subtropical regions of China&lt;/Title&gt;&lt;Template&gt;Journal Article&lt;/Template&gt;&lt;Star&gt;1&lt;/Star&gt;&lt;Tag&gt;5&lt;/Tag&gt;&lt;Author&gt;Shi, Tao; Yang, Shenyan; Zhang, Wei; Zhou, Qian&lt;/Author&gt;&lt;Year&gt;2020&lt;/Year&gt;&lt;Details&gt;&lt;_doi&gt;10.1016/j.jclepro.2019.118739&lt;/_doi&gt;&lt;_created&gt;64152571&lt;/_created&gt;&lt;_modified&gt;64152571&lt;/_modified&gt;&lt;_url&gt;https://linkinghub.elsevier.com/retrieve/pii/S0959652619336091_x000d__x000a_https://api.elsevier.com/content/article/PII:S0959652619336091?httpAccept=text/xml&lt;/_url&gt;&lt;_journal&gt;Journal of Cleaner Production&lt;/_journal&gt;&lt;_volume&gt;244&lt;/_volume&gt;&lt;_pages&gt;118739&lt;/_pages&gt;&lt;_tertiary_title&gt;Journal of Cleaner Production&lt;/_tertiary_title&gt;&lt;_isbn&gt;09596526&lt;/_isbn&gt;&lt;_accessed&gt;64152571&lt;/_accessed&gt;&lt;_db_updated&gt;CrossRef&lt;/_db_updated&gt;&lt;_impact_factor&gt;   9.297&lt;/_impact_factor&gt;&lt;_collection_scope&gt;SCIE;EI&lt;/_collection_scope&gt;&lt;/Details&gt;&lt;Extra&gt;&lt;DBUID&gt;{F96A950B-833F-4880-A151-76DA2D6A2879}&lt;/DBUID&gt;&lt;/Extra&gt;&lt;/Item&gt;&lt;/References&gt;&lt;/Group&gt;&lt;Group&gt;&lt;References&gt;&lt;Item&gt;&lt;ID&gt;1516&lt;/ID&gt;&lt;UID&gt;{4D6E68AB-9932-4FCC-915D-1591360C39D2}&lt;/UID&gt;&lt;Title&gt;Modeling the spatio-temporal heterogeneity in the PM10-PM2.5 relationship&lt;/Title&gt;&lt;Template&gt;Journal Article&lt;/Template&gt;&lt;Star&gt;1&lt;/Star&gt;&lt;Tag&gt;5&lt;/Tag&gt;&lt;Author&gt;Chu, Hone-Jay; Huang, Bo; Lin, Chuan-Yao&lt;/Author&gt;&lt;Year&gt;2015&lt;/Year&gt;&lt;Details&gt;&lt;_doi&gt;10.1016/j.atmosenv.2014.11.062&lt;/_doi&gt;&lt;_created&gt;64152568&lt;/_created&gt;&lt;_modified&gt;64152569&lt;/_modified&gt;&lt;_url&gt;https://linkinghub.elsevier.com/retrieve/pii/S1352231014009340_x000d__x000a_https://api.elsevier.com/content/article/PII:S1352231014009340?httpAccept=text/plain&lt;/_url&gt;&lt;_journal&gt;Atmospheric Environment&lt;/_journal&gt;&lt;_volume&gt;102&lt;/_volume&gt;&lt;_pages&gt;176-182&lt;/_pages&gt;&lt;_tertiary_title&gt;Atmospheric Environment&lt;/_tertiary_title&gt;&lt;_isbn&gt;13522310&lt;/_isbn&gt;&lt;_accessed&gt;64152568&lt;/_accessed&gt;&lt;_db_updated&gt;CrossRef&lt;/_db_updated&gt;&lt;_impact_factor&gt;   4.798&lt;/_impact_factor&gt;&lt;_collection_scope&gt;SCI;SCIE;EI&lt;/_collection_scope&gt;&lt;/Details&gt;&lt;Extra&gt;&lt;DBUID&gt;{F96A950B-833F-4880-A151-76DA2D6A2879}&lt;/DBUID&gt;&lt;/Extra&gt;&lt;/Item&gt;&lt;/References&gt;&lt;/Group&gt;&lt;/Citation&gt;_x000a_"/>
    <w:docVar w:name="NE.Ref{0AF980A3-9069-4708-9017-582946BA7520}" w:val=" ADDIN NE.Ref.{0AF980A3-9069-4708-9017-582946BA7520}&lt;Citation&gt;&lt;Group&gt;&lt;References&gt;&lt;Item&gt;&lt;ID&gt;1516&lt;/ID&gt;&lt;UID&gt;{4D6E68AB-9932-4FCC-915D-1591360C39D2}&lt;/UID&gt;&lt;Title&gt;Modeling the spatio-temporal heterogeneity in the PM10-PM2.5 relationship&lt;/Title&gt;&lt;Template&gt;Journal Article&lt;/Template&gt;&lt;Star&gt;1&lt;/Star&gt;&lt;Tag&gt;5&lt;/Tag&gt;&lt;Author&gt;Chu, Hone-Jay; Huang, Bo; Lin, Chuan-Yao&lt;/Author&gt;&lt;Year&gt;2015&lt;/Year&gt;&lt;Details&gt;&lt;_doi&gt;10.1016/j.atmosenv.2014.11.062&lt;/_doi&gt;&lt;_created&gt;64152568&lt;/_created&gt;&lt;_modified&gt;64152569&lt;/_modified&gt;&lt;_url&gt;https://linkinghub.elsevier.com/retrieve/pii/S1352231014009340_x000d__x000a_https://api.elsevier.com/content/article/PII:S1352231014009340?httpAccept=text/plain&lt;/_url&gt;&lt;_journal&gt;Atmospheric Environment&lt;/_journal&gt;&lt;_volume&gt;102&lt;/_volume&gt;&lt;_pages&gt;176-182&lt;/_pages&gt;&lt;_tertiary_title&gt;Atmospheric Environment&lt;/_tertiary_title&gt;&lt;_isbn&gt;13522310&lt;/_isbn&gt;&lt;_accessed&gt;64152568&lt;/_accessed&gt;&lt;_db_updated&gt;CrossRef&lt;/_db_updated&gt;&lt;_impact_factor&gt;   4.798&lt;/_impact_factor&gt;&lt;_collection_scope&gt;SCI;SCIE;EI&lt;/_collection_scope&gt;&lt;/Details&gt;&lt;Extra&gt;&lt;DBUID&gt;{F96A950B-833F-4880-A151-76DA2D6A2879}&lt;/DBUID&gt;&lt;/Extra&gt;&lt;/Item&gt;&lt;/References&gt;&lt;/Group&gt;&lt;Group&gt;&lt;References&gt;&lt;Item&gt;&lt;ID&gt;1517&lt;/ID&gt;&lt;UID&gt;{F5CB1BEA-B37C-405D-818B-EB8EA862D41E}&lt;/UID&gt;&lt;Title&gt;Determinants of haze pollution: An analysis from the perspective of spatiotemporal heterogeneity&lt;/Title&gt;&lt;Template&gt;Journal Article&lt;/Template&gt;&lt;Star&gt;1&lt;/Star&gt;&lt;Tag&gt;5&lt;/Tag&gt;&lt;Author&gt;Dong, Feng; Zhang, Shengnan; Long, Ruyin; Zhang, Xiaoyun; Sun, Ziyuan&lt;/Author&gt;&lt;Year&gt;2019&lt;/Year&gt;&lt;Details&gt;&lt;_doi&gt;10.1016/j.jclepro.2019.03.105&lt;/_doi&gt;&lt;_created&gt;64152568&lt;/_created&gt;&lt;_modified&gt;64152569&lt;/_modified&gt;&lt;_url&gt;https://linkinghub.elsevier.com/retrieve/pii/S0959652619307966_x000d__x000a_https://api.elsevier.com/content/article/PII:S0959652619307966?httpAccept=text/xml&lt;/_url&gt;&lt;_journal&gt;Journal of Cleaner Production&lt;/_journal&gt;&lt;_volume&gt;222&lt;/_volume&gt;&lt;_pages&gt;768-783&lt;/_pages&gt;&lt;_tertiary_title&gt;Journal of Cleaner Production&lt;/_tertiary_title&gt;&lt;_isbn&gt;09596526&lt;/_isbn&gt;&lt;_accessed&gt;64152568&lt;/_accessed&gt;&lt;_db_updated&gt;CrossRef&lt;/_db_updated&gt;&lt;_impact_factor&gt;   9.297&lt;/_impact_factor&gt;&lt;_collection_scope&gt;SCIE;EI&lt;/_collection_scope&gt;&lt;/Details&gt;&lt;Extra&gt;&lt;DBUID&gt;{F96A950B-833F-4880-A151-76DA2D6A2879}&lt;/DBUID&gt;&lt;/Extra&gt;&lt;/Item&gt;&lt;/References&gt;&lt;/Group&gt;&lt;/Citation&gt;_x000a_"/>
    <w:docVar w:name="NE.Ref{0B8B3757-10ED-4F59-8039-72B9DAFFBBCA}" w:val=" ADDIN NE.Ref.{0B8B3757-10ED-4F59-8039-72B9DAFFBBCA}&lt;Citation&gt;&lt;Group&gt;&lt;References&gt;&lt;Item&gt;&lt;ID&gt;955&lt;/ID&gt;&lt;UID&gt;{37FA53C5-D8A0-4AFB-8FB8-03C2CF24CCB5}&lt;/UID&gt;&lt;Title&gt;土地利用变化与生态系统服务:概念、方法与进展&lt;/Title&gt;&lt;Template&gt;Journal Article&lt;/Template&gt;&lt;Star&gt;0&lt;/Star&gt;&lt;Tag&gt;0&lt;/Tag&gt;&lt;Author&gt;傅伯杰; 张立伟&lt;/Author&gt;&lt;Year&gt;2014&lt;/Year&gt;&lt;Details&gt;&lt;_accessed&gt;63992707&lt;/_accessed&gt;&lt;_author_aff&gt;中国科学院生态环境研究中心城市与区域生态国家重点实验室;&lt;/_author_aff&gt;&lt;_cited_count&gt;483&lt;/_cited_count&gt;&lt;_collection_scope&gt;CSCD;CSSCI-C;PKU&lt;/_collection_scope&gt;&lt;_created&gt;63992707&lt;/_created&gt;&lt;_date&gt;60108480&lt;/_date&gt;&lt;_db_updated&gt;CNKI - Reference&lt;/_db_updated&gt;&lt;_issue&gt;04&lt;/_issue&gt;&lt;_journal&gt;地理科学进展&lt;/_journal&gt;&lt;_keywords&gt;土地利用;生态系统服务;生态过程;生态系统服务集成与优化;生态系统管理&lt;/_keywords&gt;&lt;_language&gt;Chinese&lt;/_language&gt;&lt;_modified&gt;63992707&lt;/_modified&gt;&lt;_pages&gt;441-446&lt;/_pages&gt;&lt;_url&gt;https://kns.cnki.net/kcms/detail/detail.aspx?FileName=DLKJ201404001&amp;amp;DbName=CJFQ2014&lt;/_url&gt;&lt;_volume&gt;33&lt;/_volume&gt;&lt;_translated_author&gt;Fu, Bojie;Zhang, Liwei&lt;/_translated_author&gt;&lt;/Details&gt;&lt;Extra&gt;&lt;DBUID&gt;{F96A950B-833F-4880-A151-76DA2D6A2879}&lt;/DBUID&gt;&lt;/Extra&gt;&lt;/Item&gt;&lt;/References&gt;&lt;/Group&gt;&lt;/Citation&gt;_x000a_"/>
    <w:docVar w:name="NE.Ref{0D4B04D4-A9D0-47FC-A4EC-EFFF7D101AE3}" w:val=" ADDIN NE.Ref.{0D4B04D4-A9D0-47FC-A4EC-EFFF7D101AE3}&lt;Citation&gt;&lt;Group&gt;&lt;References&gt;&lt;Item&gt;&lt;ID&gt;1550&lt;/ID&gt;&lt;UID&gt;{9E21856E-3FBF-4F83-A1A3-4150EE9715D3}&lt;/UID&gt;&lt;Title&gt;Spatial Bayesian belief networks as a planning decision tool for mapping ecosystem services trade-offs on forested landscapes&lt;/Title&gt;&lt;Template&gt;Journal Article&lt;/Template&gt;&lt;Star&gt;1&lt;/Star&gt;&lt;Tag&gt;5&lt;/Tag&gt;&lt;Author&gt;Gonzalez-Redin, Julen; Luque, Sandra; Poggio, Laura; Smith, Ron; Gimona, Alessandro&lt;/Author&gt;&lt;Year&gt;2016&lt;/Year&gt;&lt;Details&gt;&lt;_accessed&gt;64173435&lt;/_accessed&gt;&lt;_collection_scope&gt;SCI;SCIE&lt;/_collection_scope&gt;&lt;_created&gt;64173435&lt;/_created&gt;&lt;_db_updated&gt;CrossRef&lt;/_db_updated&gt;&lt;_doi&gt;10.1016/j.envres.2015.11.009&lt;/_doi&gt;&lt;_impact_factor&gt;   6.498&lt;/_impact_factor&gt;&lt;_isbn&gt;00139351&lt;/_isbn&gt;&lt;_journal&gt;Environmental Research&lt;/_journal&gt;&lt;_modified&gt;64173446&lt;/_modified&gt;&lt;_pages&gt;15-26&lt;/_pages&gt;&lt;_tertiary_title&gt;Environmental Research&lt;/_tertiary_title&gt;&lt;_url&gt;https://linkinghub.elsevier.com/retrieve/pii/S0013935115301377_x000d__x000a_https://api.elsevier.com/content/article/PII:S0013935115301377?httpAccept=text/xml&lt;/_url&gt;&lt;_volume&gt;144&lt;/_volume&gt;&lt;/Details&gt;&lt;Extra&gt;&lt;DBUID&gt;{F96A950B-833F-4880-A151-76DA2D6A2879}&lt;/DBUID&gt;&lt;/Extra&gt;&lt;/Item&gt;&lt;/References&gt;&lt;/Group&gt;&lt;/Citation&gt;_x000a_"/>
    <w:docVar w:name="NE.Ref{104CFC16-9C7D-4295-8ECD-1FD6A611EE46}" w:val=" ADDIN NE.Ref.{104CFC16-9C7D-4295-8ECD-1FD6A611EE46}&lt;Citation&gt;&lt;Group&gt;&lt;References&gt;&lt;Item&gt;&lt;ID&gt;1277&lt;/ID&gt;&lt;UID&gt;{F7164E71-1019-48CB-8354-8E80806377E7}&lt;/UID&gt;&lt;Title&gt;Indices of landscape pattern&lt;/Title&gt;&lt;Template&gt;Journal Article&lt;/Template&gt;&lt;Star&gt;0&lt;/Star&gt;&lt;Tag&gt;0&lt;/Tag&gt;&lt;Author/&gt;&lt;Year&gt;0&lt;/Year&gt;&lt;Details&gt;&lt;_created&gt;64073876&lt;/_created&gt;&lt;_modified&gt;64073876&lt;/_modified&gt;&lt;/Details&gt;&lt;Extra&gt;&lt;DBUID&gt;{F96A950B-833F-4880-A151-76DA2D6A2879}&lt;/DBUID&gt;&lt;/Extra&gt;&lt;/Item&gt;&lt;/References&gt;&lt;/Group&gt;&lt;/Citation&gt;_x000a_"/>
    <w:docVar w:name="NE.Ref{12DBD07A-166E-4629-A0E8-05FA68F34DC7}" w:val=" ADDIN NE.Ref.{12DBD07A-166E-4629-A0E8-05FA68F34DC7}&lt;Citation&gt;&lt;Group&gt;&lt;References&gt;&lt;Item&gt;&lt;ID&gt;1522&lt;/ID&gt;&lt;UID&gt;{956A63CA-71B3-4135-900A-1FD4AD98864E}&lt;/UID&gt;&lt;Title&gt;Coupling coordination degree measurement and spatiotemporal heterogeneity between economic development and ecological environment ----Empirical evidence from tropical and subtropical regions of China&lt;/Title&gt;&lt;Template&gt;Journal Article&lt;/Template&gt;&lt;Star&gt;1&lt;/Star&gt;&lt;Tag&gt;5&lt;/Tag&gt;&lt;Author&gt;Shi, Tao; Yang, Shenyan; Zhang, Wei; Zhou, Qian&lt;/Author&gt;&lt;Year&gt;2020&lt;/Year&gt;&lt;Details&gt;&lt;_doi&gt;10.1016/j.jclepro.2019.118739&lt;/_doi&gt;&lt;_created&gt;64152571&lt;/_created&gt;&lt;_modified&gt;64152571&lt;/_modified&gt;&lt;_url&gt;https://linkinghub.elsevier.com/retrieve/pii/S0959652619336091_x000d__x000a_https://api.elsevier.com/content/article/PII:S0959652619336091?httpAccept=text/xml&lt;/_url&gt;&lt;_journal&gt;Journal of Cleaner Production&lt;/_journal&gt;&lt;_volume&gt;244&lt;/_volume&gt;&lt;_pages&gt;118739&lt;/_pages&gt;&lt;_tertiary_title&gt;Journal of Cleaner Production&lt;/_tertiary_title&gt;&lt;_isbn&gt;09596526&lt;/_isbn&gt;&lt;_accessed&gt;64152571&lt;/_accessed&gt;&lt;_db_updated&gt;CrossRef&lt;/_db_updated&gt;&lt;_impact_factor&gt;   9.297&lt;/_impact_factor&gt;&lt;_collection_scope&gt;SCIE;EI&lt;/_collection_scope&gt;&lt;/Details&gt;&lt;Extra&gt;&lt;DBUID&gt;{F96A950B-833F-4880-A151-76DA2D6A2879}&lt;/DBUID&gt;&lt;/Extra&gt;&lt;/Item&gt;&lt;/References&gt;&lt;/Group&gt;&lt;/Citation&gt;_x000a_"/>
    <w:docVar w:name="NE.Ref{1694C3F7-D749-447B-A267-4B379D926DC0}" w:val=" ADDIN NE.Ref.{1694C3F7-D749-447B-A267-4B379D926DC0}&lt;Citation&gt;&lt;Group&gt;&lt;References&gt;&lt;Item&gt;&lt;ID&gt;1461&lt;/ID&gt;&lt;UID&gt;{411F5C0E-608B-4AFB-ABF4-BC1DAE918D33}&lt;/UID&gt;&lt;Title&gt;中国建设用地扩张对景观格局演化的影响&lt;/Title&gt;&lt;Template&gt;Journal Article&lt;/Template&gt;&lt;Star&gt;0&lt;/Star&gt;&lt;Tag&gt;0&lt;/Tag&gt;&lt;Author&gt;李广东; 戚伟&lt;/Author&gt;&lt;Year&gt;2019&lt;/Year&gt;&lt;Details&gt;&lt;_accessed&gt;64109897&lt;/_accessed&gt;&lt;_author_aff&gt;中国科学院地理科学与资源研究所中国科学院区域可持续发展分析与模拟重点实验室;中国科学院大学资源与环境学院;&lt;/_author_aff&gt;&lt;_cited_count&gt;31&lt;/_cited_count&gt;&lt;_collection_scope&gt;CSCD;CSSCI-C;PKU;EI&lt;/_collection_scope&gt;&lt;_created&gt;64109897&lt;/_created&gt;&lt;_date&gt;63093600&lt;/_date&gt;&lt;_db_updated&gt;CNKI - Reference&lt;/_db_updated&gt;&lt;_issue&gt;12&lt;/_issue&gt;&lt;_journal&gt;地理学报&lt;/_journal&gt;&lt;_keywords&gt;建设用地扩张;景观格局;影响机制;空间计量模型;时空异质性;中国&lt;/_keywords&gt;&lt;_language&gt;Chinese&lt;/_language&gt;&lt;_modified&gt;64109897&lt;/_modified&gt;&lt;_pages&gt;2572-2591&lt;/_pages&gt;&lt;_url&gt;https://kns.cnki.net/kcms/detail/detail.aspx?FileName=DLXB201912012&amp;amp;DbName=CJFQ2019&lt;/_url&gt;&lt;_volume&gt;74&lt;/_volume&gt;&lt;_translated_author&gt;Li, Guangdong;Qi, Wei&lt;/_translated_author&gt;&lt;/Details&gt;&lt;Extra&gt;&lt;DBUID&gt;{F96A950B-833F-4880-A151-76DA2D6A2879}&lt;/DBUID&gt;&lt;/Extra&gt;&lt;/Item&gt;&lt;/References&gt;&lt;/Group&gt;&lt;Group&gt;&lt;References&gt;&lt;Item&gt;&lt;ID&gt;1473&lt;/ID&gt;&lt;UID&gt;{CEA3DE28-3105-45E7-8302-06A81AA3A465}&lt;/UID&gt;&lt;Title&gt;Spatio-temporal dynamics and evolution of land use change and landscape pattern in response to rapid urbanization&lt;/Title&gt;&lt;Template&gt;Journal Article&lt;/Template&gt;&lt;Star&gt;0&lt;/Star&gt;&lt;Tag&gt;5&lt;/Tag&gt;&lt;Author&gt;Deng, Jin S; Wang, Ke; Hong, Yang; Qi, Jia G&lt;/Author&gt;&lt;Year&gt;2009&lt;/Year&gt;&lt;Details&gt;&lt;_doi&gt;10.1016/j.landurbplan.2009.05.001&lt;/_doi&gt;&lt;_created&gt;64110899&lt;/_created&gt;&lt;_modified&gt;64110899&lt;/_modified&gt;&lt;_url&gt;https://linkinghub.elsevier.com/retrieve/pii/S0169204609000814_x000d__x000a_https://api.elsevier.com/content/article/PII:S0169204609000814?httpAccept=text/xml&lt;/_url&gt;&lt;_journal&gt;Landscape and Urban Planning&lt;/_journal&gt;&lt;_volume&gt;92&lt;/_volume&gt;&lt;_issue&gt;3-4&lt;/_issue&gt;&lt;_pages&gt;187-198&lt;/_pages&gt;&lt;_tertiary_title&gt;Landscape and Urban Planning&lt;/_tertiary_title&gt;&lt;_isbn&gt;01692046&lt;/_isbn&gt;&lt;_accessed&gt;64110899&lt;/_accessed&gt;&lt;_db_updated&gt;CrossRef&lt;/_db_updated&gt;&lt;_impact_factor&gt;   6.142&lt;/_impact_factor&gt;&lt;_collection_scope&gt;SCIE;SSCI;EI&lt;/_collection_scope&gt;&lt;/Details&gt;&lt;Extra&gt;&lt;DBUID&gt;{F96A950B-833F-4880-A151-76DA2D6A2879}&lt;/DBUID&gt;&lt;/Extra&gt;&lt;/Item&gt;&lt;/References&gt;&lt;/Group&gt;&lt;Group&gt;&lt;References&gt;&lt;Item&gt;&lt;ID&gt;1283&lt;/ID&gt;&lt;UID&gt;{96CB0B84-BA0E-41B6-B6A2-EDC2D4E47487}&lt;/UID&gt;&lt;Title&gt;Multi-scale analysis of spatially varying relationships between agricultural landscape patterns and urbanization using geographically weighted regression&lt;/Title&gt;&lt;Template&gt;Journal Article&lt;/Template&gt;&lt;Star&gt;1&lt;/Star&gt;&lt;Tag&gt;0&lt;/Tag&gt;&lt;Author&gt;Su, Shiliang; Xiao, Rui; Zhang, Yuan&lt;/Author&gt;&lt;Year&gt;2012&lt;/Year&gt;&lt;Details&gt;&lt;_accessed&gt;64093614&lt;/_accessed&gt;&lt;_collection_scope&gt;SSCI&lt;/_collection_scope&gt;&lt;_created&gt;64093614&lt;/_created&gt;&lt;_db_updated&gt;CrossRef&lt;/_db_updated&gt;&lt;_doi&gt;10.1016/j.apgeog.2011.06.005&lt;/_doi&gt;&lt;_impact_factor&gt;   4.240&lt;/_impact_factor&gt;&lt;_isbn&gt;01436228&lt;/_isbn&gt;&lt;_issue&gt;2&lt;/_issue&gt;&lt;_journal&gt;Applied Geography&lt;/_journal&gt;&lt;_modified&gt;64093614&lt;/_modified&gt;&lt;_pages&gt;360-375&lt;/_pages&gt;&lt;_tertiary_title&gt;Applied Geography&lt;/_tertiary_title&gt;&lt;_url&gt;https://linkinghub.elsevier.com/retrieve/pii/S0143622811001214_x000d__x000a_https://api.elsevier.com/content/article/PII:S0143622811001214?httpAccept=text/xml&lt;/_url&gt;&lt;_volume&gt;32&lt;/_volume&gt;&lt;/Details&gt;&lt;Extra&gt;&lt;DBUID&gt;{F96A950B-833F-4880-A151-76DA2D6A2879}&lt;/DBUID&gt;&lt;/Extra&gt;&lt;/Item&gt;&lt;/References&gt;&lt;/Group&gt;&lt;/Citation&gt;_x000a_"/>
    <w:docVar w:name="NE.Ref{18010017-3BAA-4D48-B820-82D4B952A983}" w:val=" ADDIN NE.Ref.{18010017-3BAA-4D48-B820-82D4B952A983}&lt;Citation&gt;&lt;Group&gt;&lt;References&gt;&lt;Item&gt;&lt;ID&gt;1523&lt;/ID&gt;&lt;UID&gt;{29B1E7CE-4E48-4F31-B481-E477DE8CDA0F}&lt;/UID&gt;&lt;Title&gt;The problem of pattern and scale in ecology: what have we learned in 20 years?&lt;/Title&gt;&lt;Template&gt;Journal Article&lt;/Template&gt;&lt;Star&gt;0&lt;/Star&gt;&lt;Tag&gt;0&lt;/Tag&gt;&lt;Author&gt;Chave, Jérôme&lt;/Author&gt;&lt;Year&gt;2013&lt;/Year&gt;&lt;Details&gt;&lt;_doi&gt;10.1111/ele.12048&lt;/_doi&gt;&lt;_created&gt;64152729&lt;/_created&gt;&lt;_modified&gt;64152729&lt;/_modified&gt;&lt;_url&gt;https://onlinelibrary.wiley.com/doi/10.1111/ele.12048_x000d__x000a_http://onlinelibrary.wiley.com/wol1/doi/10.1111/ele.12048/fullpdf&lt;/_url&gt;&lt;_journal&gt;Ecology Letters&lt;/_journal&gt;&lt;_volume&gt;16&lt;/_volume&gt;&lt;_pages&gt;4-16&lt;/_pages&gt;&lt;_tertiary_title&gt;Ecol Lett&lt;/_tertiary_title&gt;&lt;_accessed&gt;64152729&lt;/_accessed&gt;&lt;_db_updated&gt;CrossRef&lt;/_db_updated&gt;&lt;_impact_factor&gt;   9.492&lt;/_impact_factor&gt;&lt;_collection_scope&gt;SCI;SCIE&lt;/_collection_scope&gt;&lt;/Details&gt;&lt;Extra&gt;&lt;DBUID&gt;{F96A950B-833F-4880-A151-76DA2D6A2879}&lt;/DBUID&gt;&lt;/Extra&gt;&lt;/Item&gt;&lt;/References&gt;&lt;/Group&gt;&lt;/Citation&gt;_x000a_"/>
    <w:docVar w:name="NE.Ref{1BBD4832-C1BC-41DD-BC30-713D221C1DF1}" w:val=" ADDIN NE.Ref.{1BBD4832-C1BC-41DD-BC30-713D221C1DF1}&lt;Citation&gt;&lt;Group&gt;&lt;References&gt;&lt;Item&gt;&lt;ID&gt;1517&lt;/ID&gt;&lt;UID&gt;{F5CB1BEA-B37C-405D-818B-EB8EA862D41E}&lt;/UID&gt;&lt;Title&gt;Determinants of haze pollution: An analysis from the perspective of spatiotemporal heterogeneity&lt;/Title&gt;&lt;Template&gt;Journal Article&lt;/Template&gt;&lt;Star&gt;1&lt;/Star&gt;&lt;Tag&gt;5&lt;/Tag&gt;&lt;Author&gt;Dong, Feng; Zhang, Shengnan; Long, Ruyin; Zhang, Xiaoyun; Sun, Ziyuan&lt;/Author&gt;&lt;Year&gt;2019&lt;/Year&gt;&lt;Details&gt;&lt;_doi&gt;10.1016/j.jclepro.2019.03.105&lt;/_doi&gt;&lt;_created&gt;64152568&lt;/_created&gt;&lt;_modified&gt;64152569&lt;/_modified&gt;&lt;_url&gt;https://linkinghub.elsevier.com/retrieve/pii/S0959652619307966_x000d__x000a_https://api.elsevier.com/content/article/PII:S0959652619307966?httpAccept=text/xml&lt;/_url&gt;&lt;_journal&gt;Journal of Cleaner Production&lt;/_journal&gt;&lt;_volume&gt;222&lt;/_volume&gt;&lt;_pages&gt;768-783&lt;/_pages&gt;&lt;_tertiary_title&gt;Journal of Cleaner Production&lt;/_tertiary_title&gt;&lt;_isbn&gt;09596526&lt;/_isbn&gt;&lt;_accessed&gt;64152568&lt;/_accessed&gt;&lt;_db_updated&gt;CrossRef&lt;/_db_updated&gt;&lt;_impact_factor&gt;   9.297&lt;/_impact_factor&gt;&lt;_collection_scope&gt;SCIE;EI&lt;/_collection_scope&gt;&lt;/Details&gt;&lt;Extra&gt;&lt;DBUID&gt;{F96A950B-833F-4880-A151-76DA2D6A2879}&lt;/DBUID&gt;&lt;/Extra&gt;&lt;/Item&gt;&lt;/References&gt;&lt;/Group&gt;&lt;/Citation&gt;_x000a_"/>
    <w:docVar w:name="NE.Ref{1BE32122-3213-4FFC-B166-2BBDADCC1716}" w:val=" ADDIN NE.Ref.{1BE32122-3213-4FFC-B166-2BBDADCC1716}&lt;Citation&gt;&lt;Group&gt;&lt;References&gt;&lt;Item&gt;&lt;ID&gt;1525&lt;/ID&gt;&lt;UID&gt;{4434A4B5-D759-4111-A767-3321151E9B67}&lt;/UID&gt;&lt;Title&gt;Assessment of the effects of forest land use strategies on the provision of ecosystem services at regional scale&lt;/Title&gt;&lt;Template&gt;Journal Article&lt;/Template&gt;&lt;Star&gt;1&lt;/Star&gt;&lt;Tag&gt;5&lt;/Tag&gt;&lt;Author&gt;Fürst, Christine; Frank, Susanne; Witt, Anke; Koschke, Lars; Makeschin, Franz&lt;/Author&gt;&lt;Year&gt;2013&lt;/Year&gt;&lt;Details&gt;&lt;_doi&gt;10.1016/j.jenvman.2012.09.020&lt;/_doi&gt;&lt;_created&gt;64164140&lt;/_created&gt;&lt;_modified&gt;64164140&lt;/_modified&gt;&lt;_url&gt;https://linkinghub.elsevier.com/retrieve/pii/S0301479712004793_x000d__x000a_https://api.elsevier.com/content/article/PII:S0301479712004793?httpAccept=text/xml&lt;/_url&gt;&lt;_journal&gt;Journal of Environmental Management&lt;/_journal&gt;&lt;_volume&gt;127&lt;/_volume&gt;&lt;_pages&gt;S96-S116&lt;/_pages&gt;&lt;_tertiary_title&gt;Journal of Environmental Management&lt;/_tertiary_title&gt;&lt;_isbn&gt;03014797&lt;/_isbn&gt;&lt;_accessed&gt;64164140&lt;/_accessed&gt;&lt;_db_updated&gt;CrossRef&lt;/_db_updated&gt;&lt;_impact_factor&gt;   6.789&lt;/_impact_factor&gt;&lt;_collection_scope&gt;SCI;SCIE&lt;/_collection_scope&gt;&lt;/Details&gt;&lt;Extra&gt;&lt;DBUID&gt;{F96A950B-833F-4880-A151-76DA2D6A2879}&lt;/DBUID&gt;&lt;/Extra&gt;&lt;/Item&gt;&lt;/References&gt;&lt;/Group&gt;&lt;/Citation&gt;_x000a_"/>
    <w:docVar w:name="NE.Ref{1EB71946-D7B1-4D72-B15C-BF3F4F1696B3}" w:val=" ADDIN NE.Ref.{1EB71946-D7B1-4D72-B15C-BF3F4F1696B3}&lt;Citation&gt;&lt;Group&gt;&lt;References&gt;&lt;Item&gt;&lt;ID&gt;1294&lt;/ID&gt;&lt;UID&gt;{49C40BBB-FA03-4DA5-B886-65EE42FED203}&lt;/UID&gt;&lt;Title&gt;Quantifying landscape pattern and ecosystem service value changes in four rapidly urbanizing hill stations of Southeast Asia&lt;/Title&gt;&lt;Template&gt;Journal Article&lt;/Template&gt;&lt;Star&gt;1&lt;/Star&gt;&lt;Tag&gt;0&lt;/Tag&gt;&lt;Author&gt;Estoque, Ronald C; Murayama, Yuji&lt;/Author&gt;&lt;Year&gt;2016&lt;/Year&gt;&lt;Details&gt;&lt;_accessed&gt;64095643&lt;/_accessed&gt;&lt;_collection_scope&gt;SCIE&lt;/_collection_scope&gt;&lt;_created&gt;64095643&lt;/_created&gt;&lt;_db_updated&gt;CrossRef&lt;/_db_updated&gt;&lt;_doi&gt;10.1007/s10980-016-0341-6&lt;/_doi&gt;&lt;_impact_factor&gt;   3.848&lt;/_impact_factor&gt;&lt;_isbn&gt;0921-2973&lt;/_isbn&gt;&lt;_issue&gt;7&lt;/_issue&gt;&lt;_journal&gt;Landscape Ecology&lt;/_journal&gt;&lt;_modified&gt;64095643&lt;/_modified&gt;&lt;_pages&gt;1481-1507&lt;/_pages&gt;&lt;_tertiary_title&gt;Landscape Ecol&lt;/_tertiary_title&gt;&lt;_url&gt;http://link.springer.com/10.1007/s10980-016-0341-6_x000d__x000a_http://link.springer.com/content/pdf/10.1007/s10980-016-0341-6&lt;/_url&gt;&lt;_volume&gt;31&lt;/_volume&gt;&lt;/Details&gt;&lt;Extra&gt;&lt;DBUID&gt;{F96A950B-833F-4880-A151-76DA2D6A2879}&lt;/DBUID&gt;&lt;/Extra&gt;&lt;/Item&gt;&lt;/References&gt;&lt;/Group&gt;&lt;/Citation&gt;_x000a_"/>
    <w:docVar w:name="NE.Ref{2184C304-EF79-4385-8D04-E377213532E2}" w:val=" ADDIN NE.Ref.{2184C304-EF79-4385-8D04-E377213532E2}&lt;Citation&gt;&lt;Group&gt;&lt;References&gt;&lt;Item&gt;&lt;ID&gt;1517&lt;/ID&gt;&lt;UID&gt;{F5CB1BEA-B37C-405D-818B-EB8EA862D41E}&lt;/UID&gt;&lt;Title&gt;Determinants of haze pollution: An analysis from the perspective of spatiotemporal heterogeneity&lt;/Title&gt;&lt;Template&gt;Journal Article&lt;/Template&gt;&lt;Star&gt;1&lt;/Star&gt;&lt;Tag&gt;5&lt;/Tag&gt;&lt;Author&gt;Dong, Feng; Zhang, Shengnan; Long, Ruyin; Zhang, Xiaoyun; Sun, Ziyuan&lt;/Author&gt;&lt;Year&gt;2019&lt;/Year&gt;&lt;Details&gt;&lt;_doi&gt;10.1016/j.jclepro.2019.03.105&lt;/_doi&gt;&lt;_created&gt;64152568&lt;/_created&gt;&lt;_modified&gt;64152569&lt;/_modified&gt;&lt;_url&gt;https://linkinghub.elsevier.com/retrieve/pii/S0959652619307966_x000d__x000a_https://api.elsevier.com/content/article/PII:S0959652619307966?httpAccept=text/xml&lt;/_url&gt;&lt;_journal&gt;Journal of Cleaner Production&lt;/_journal&gt;&lt;_volume&gt;222&lt;/_volume&gt;&lt;_pages&gt;768-783&lt;/_pages&gt;&lt;_tertiary_title&gt;Journal of Cleaner Production&lt;/_tertiary_title&gt;&lt;_isbn&gt;09596526&lt;/_isbn&gt;&lt;_accessed&gt;64152568&lt;/_accessed&gt;&lt;_db_updated&gt;CrossRef&lt;/_db_updated&gt;&lt;_impact_factor&gt;   9.297&lt;/_impact_factor&gt;&lt;_collection_scope&gt;SCIE;EI&lt;/_collection_scope&gt;&lt;/Details&gt;&lt;Extra&gt;&lt;DBUID&gt;{F96A950B-833F-4880-A151-76DA2D6A2879}&lt;/DBUID&gt;&lt;/Extra&gt;&lt;/Item&gt;&lt;/References&gt;&lt;/Group&gt;&lt;/Citation&gt;_x000a_"/>
    <w:docVar w:name="NE.Ref{227430F1-E7A2-43DC-A12A-ABFEE23594D2}" w:val=" ADDIN NE.Ref.{227430F1-E7A2-43DC-A12A-ABFEE23594D2}&lt;Citation&gt;&lt;Group&gt;&lt;References&gt;&lt;Item&gt;&lt;ID&gt;1231&lt;/ID&gt;&lt;UID&gt;{E4399E98-3506-4C06-99DA-DF756644578D}&lt;/UID&gt;&lt;Title&gt;赣南地区景观格局变化及其对生态系统服务价值的影响&lt;/Title&gt;&lt;Template&gt;Journal Article&lt;/Template&gt;&lt;Star&gt;1&lt;/Star&gt;&lt;Tag&gt;0&lt;/Tag&gt;&lt;Author&gt;郑博福; 黄琼瑶; 陶林; 谢泽阳; 艾彪; 朱元皓; 朱锦奇&lt;/Author&gt;&lt;Year&gt;2021&lt;/Year&gt;&lt;Details&gt;&lt;_accessed&gt;64066161&lt;/_accessed&gt;&lt;_author_aff&gt;南昌大学资源环境与化工学院鄱阳湖环境与资源利用教育部重点实验室;江西生态文明研究院;江西省吉安环境监测中心;&lt;/_author_aff&gt;&lt;_collection_scope&gt;CSCD;PKU&lt;/_collection_scope&gt;&lt;_created&gt;64056126&lt;/_created&gt;&lt;_date&gt;63840960&lt;/_date&gt;&lt;_db_updated&gt;CNKI - Reference&lt;/_db_updated&gt;&lt;_issue&gt;15&lt;/_issue&gt;&lt;_journal&gt;生态学报&lt;/_journal&gt;&lt;_keywords&gt;生态系统服务价值;景观格局;人类干扰;赣南地区&lt;/_keywords&gt;&lt;_language&gt;Chinese&lt;/_language&gt;&lt;_modified&gt;64095336&lt;/_modified&gt;&lt;_pages&gt;5940-5949&lt;/_pages&gt;&lt;_url&gt;https://kns.cnki.net/kcms/detail/detail.aspx?FileName=STXB202115004&amp;amp;DbName=CJFQ2021&lt;/_url&gt;&lt;_volume&gt;41&lt;/_volume&gt;&lt;_translated_author&gt;Zheng, Bofu;Huang, Qiongyao;Tao, Lin;Xie, Zeyang;Ai, Biao;Zhu, Yuanhao;Zhu, Jinqi&lt;/_translated_author&gt;&lt;/Details&gt;&lt;Extra&gt;&lt;DBUID&gt;{F96A950B-833F-4880-A151-76DA2D6A2879}&lt;/DBUID&gt;&lt;/Extra&gt;&lt;/Item&gt;&lt;/References&gt;&lt;/Group&gt;&lt;/Citation&gt;_x000a_"/>
    <w:docVar w:name="NE.Ref{233F849B-CED5-4ACC-8311-29600201DC1B}" w:val=" ADDIN NE.Ref.{233F849B-CED5-4ACC-8311-29600201DC1B}&lt;Citation&gt;&lt;Group&gt;&lt;References&gt;&lt;Item&gt;&lt;ID&gt;1538&lt;/ID&gt;&lt;UID&gt;{D06FE1A4-2BC0-4D59-9F1C-D8CB3B70A221}&lt;/UID&gt;&lt;Title&gt;Effects of landscape configuration on mapping ecosystem service capacity: a review of evidence and a case study in Scotland&lt;/Title&gt;&lt;Template&gt;Journal Article&lt;/Template&gt;&lt;Star&gt;1&lt;/Star&gt;&lt;Tag&gt;5&lt;/Tag&gt;&lt;Author&gt;Verhagen, Willem; Van Teeffelen, Astrid J A; Baggio Compagnucci, Andrea; Poggio, Laura; Gimona, Alessandro; Verburg, Peter H&lt;/Author&gt;&lt;Year&gt;2016&lt;/Year&gt;&lt;Details&gt;&lt;_accessed&gt;64164714&lt;/_accessed&gt;&lt;_collection_scope&gt;SCIE&lt;/_collection_scope&gt;&lt;_created&gt;64164714&lt;/_created&gt;&lt;_db_updated&gt;CrossRef&lt;/_db_updated&gt;&lt;_doi&gt;10.1007/s10980-016-0345-2&lt;/_doi&gt;&lt;_impact_factor&gt;   3.848&lt;/_impact_factor&gt;&lt;_isbn&gt;0921-2973&lt;/_isbn&gt;&lt;_issue&gt;7&lt;/_issue&gt;&lt;_journal&gt;Landscape Ecology&lt;/_journal&gt;&lt;_modified&gt;64164714&lt;/_modified&gt;&lt;_pages&gt;1457-1479&lt;/_pages&gt;&lt;_tertiary_title&gt;Landscape Ecol&lt;/_tertiary_title&gt;&lt;_url&gt;http://link.springer.com/10.1007/s10980-016-0345-2_x000d__x000a_http://link.springer.com/content/pdf/10.1007/s10980-016-0345-2&lt;/_url&gt;&lt;_volume&gt;31&lt;/_volume&gt;&lt;/Details&gt;&lt;Extra&gt;&lt;DBUID&gt;{F96A950B-833F-4880-A151-76DA2D6A2879}&lt;/DBUID&gt;&lt;/Extra&gt;&lt;/Item&gt;&lt;/References&gt;&lt;/Group&gt;&lt;/Citation&gt;_x000a_"/>
    <w:docVar w:name="NE.Ref{250B1464-A52B-46E6-A791-28F053B197D9}" w:val=" ADDIN NE.Ref.{250B1464-A52B-46E6-A791-28F053B197D9}&lt;Citation&gt;&lt;Group&gt;&lt;References&gt;&lt;Item&gt;&lt;ID&gt;1524&lt;/ID&gt;&lt;UID&gt;{83405FFB-7871-4A17-946C-DEE0BF5B4F95}&lt;/UID&gt;&lt;Title&gt;Mapping changes in the value of ecosystem services in the Yangtze River Middle Reaches Megalopolis, China&lt;/Title&gt;&lt;Template&gt;Journal Article&lt;/Template&gt;&lt;Star&gt;0&lt;/Star&gt;&lt;Tag&gt;0&lt;/Tag&gt;&lt;Author&gt;Zhang, Guanshi; Zheng, Duo; Xie, Long; Zhang, Xiu; Wu, Hongjuan; Li, Sen&lt;/Author&gt;&lt;Year&gt;2021&lt;/Year&gt;&lt;Details&gt;&lt;_doi&gt;10.1016/j.ecoser.2021.101252&lt;/_doi&gt;&lt;_created&gt;64160513&lt;/_created&gt;&lt;_modified&gt;64160513&lt;/_modified&gt;&lt;_url&gt;https://linkinghub.elsevier.com/retrieve/pii/S2212041621000103_x000d__x000a_https://api.elsevier.com/content/article/PII:S2212041621000103?httpAccept=text/xml&lt;/_url&gt;&lt;_journal&gt;Ecosystem Services&lt;/_journal&gt;&lt;_volume&gt;48&lt;/_volume&gt;&lt;_pages&gt;101252&lt;/_pages&gt;&lt;_tertiary_title&gt;Ecosystem Services&lt;/_tertiary_title&gt;&lt;_isbn&gt;22120416&lt;/_isbn&gt;&lt;_accessed&gt;64160513&lt;/_accessed&gt;&lt;_db_updated&gt;CrossRef&lt;/_db_updated&gt;&lt;_impact_factor&gt;   5.454&lt;/_impact_factor&gt;&lt;_collection_scope&gt;SCIE;SSCI&lt;/_collection_scope&gt;&lt;/Details&gt;&lt;Extra&gt;&lt;DBUID&gt;{F96A950B-833F-4880-A151-76DA2D6A2879}&lt;/DBUID&gt;&lt;/Extra&gt;&lt;/Item&gt;&lt;/References&gt;&lt;/Group&gt;&lt;/Citation&gt;_x000a_"/>
    <w:docVar w:name="NE.Ref{250E7E34-9AFD-424C-AA44-B0E1060D7513}" w:val=" ADDIN NE.Ref.{250E7E34-9AFD-424C-AA44-B0E1060D7513}&lt;Citation&gt;&lt;Group&gt;&lt;References&gt;&lt;Item&gt;&lt;ID&gt;1244&lt;/ID&gt;&lt;UID&gt;{153DD546-6A6E-46BA-AEE4-E5801A5EF9DD}&lt;/UID&gt;&lt;Title&gt;景观生态学的核心:生态学系统的时空异质性&lt;/Title&gt;&lt;Template&gt;Journal Article&lt;/Template&gt;&lt;Star&gt;0&lt;/Star&gt;&lt;Tag&gt;0&lt;/Tag&gt;&lt;Author&gt;邱扬张金屯郑凤英&lt;/Author&gt;&lt;Year&gt;2000&lt;/Year&gt;&lt;Details&gt;&lt;_language&gt;Chinese&lt;/_language&gt;&lt;_created&gt;64066534&lt;/_created&gt;&lt;_modified&gt;64066534&lt;/_modified&gt;&lt;_url&gt;https://kns.cnki.net/kcms/detail/detail.aspx?FileName=STXZ200002008&amp;amp;DbName=CJFQ2000&lt;/_url&gt;&lt;_journal&gt;生态学杂志&lt;/_journal&gt;&lt;_issue&gt;02&lt;/_issue&gt;&lt;_pages&gt;42-49&lt;/_pages&gt;&lt;_date&gt;52740000&lt;/_date&gt;&lt;_keywords&gt;landscape ecology; spatial and temporal heterogeneity; spatial mosaic; flux   in landscape; hierarchy and scale; human influence.&lt;/_keywords&gt;&lt;_author_aff&gt;中国科学院生态环境研究中心!北京100085,山西大学黄土高原研究所!太原030006,山西大学黄土高原研究所!太原030006&lt;/_author_aff&gt;&lt;_accessed&gt;64066534&lt;/_accessed&gt;&lt;_db_updated&gt;CNKI - Reference&lt;/_db_updated&gt;&lt;_collection_scope&gt;CSCD;PKU&lt;/_collection_scope&gt;&lt;_translated_author&gt;Qiu, Yangzhangjintunzhengfengying&lt;/_translated_author&gt;&lt;/Details&gt;&lt;Extra&gt;&lt;DBUID&gt;{F96A950B-833F-4880-A151-76DA2D6A2879}&lt;/DBUID&gt;&lt;/Extra&gt;&lt;/Item&gt;&lt;/References&gt;&lt;/Group&gt;&lt;/Citation&gt;_x000a_"/>
    <w:docVar w:name="NE.Ref{27336933-5548-4F3B-9C86-D802F883BA58}" w:val=" ADDIN NE.Ref.{27336933-5548-4F3B-9C86-D802F883BA58}&lt;Citation&gt;&lt;Group&gt;&lt;References&gt;&lt;Item&gt;&lt;ID&gt;1200&lt;/ID&gt;&lt;UID&gt;{0A404C60-C3E7-46FB-95DF-E82A0757DFD3}&lt;/UID&gt;&lt;Title&gt;Landscape sustainability science: ecosystem services and human well-being in changing landscapes&lt;/Title&gt;&lt;Template&gt;Journal Article&lt;/Template&gt;&lt;Star&gt;0&lt;/Star&gt;&lt;Tag&gt;0&lt;/Tag&gt;&lt;Author&gt;Wu, Jianguo&lt;/Author&gt;&lt;Year&gt;2013&lt;/Year&gt;&lt;Details&gt;&lt;_accessed&gt;64056074&lt;/_accessed&gt;&lt;_collection_scope&gt;SCIE&lt;/_collection_scope&gt;&lt;_created&gt;64055266&lt;/_created&gt;&lt;_db_updated&gt;CrossRef&lt;/_db_updated&gt;&lt;_doi&gt;10.1007/s10980-013-9894-9&lt;/_doi&gt;&lt;_impact_factor&gt;   3.848&lt;/_impact_factor&gt;&lt;_isbn&gt;0921-2973&lt;/_isbn&gt;&lt;_issue&gt;6&lt;/_issue&gt;&lt;_journal&gt;Landscape Ecology&lt;/_journal&gt;&lt;_modified&gt;64056074&lt;/_modified&gt;&lt;_pages&gt;999-1023&lt;/_pages&gt;&lt;_tertiary_title&gt;Landscape Ecol&lt;/_tertiary_title&gt;&lt;_url&gt;http://link.springer.com/10.1007/s10980-013-9894-9_x000d__x000a_http://link.springer.com/content/pdf/10.1007/s10980-013-9894-9&lt;/_url&gt;&lt;_volume&gt;28&lt;/_volume&gt;&lt;/Details&gt;&lt;Extra&gt;&lt;DBUID&gt;{F96A950B-833F-4880-A151-76DA2D6A2879}&lt;/DBUID&gt;&lt;/Extra&gt;&lt;/Item&gt;&lt;/References&gt;&lt;/Group&gt;&lt;Group&gt;&lt;References&gt;&lt;Item&gt;&lt;ID&gt;1296&lt;/ID&gt;&lt;UID&gt;{DA61DD7E-3AED-40A4-B1F9-08AC6030517D}&lt;/UID&gt;&lt;Title&gt;Landscape pattern and ecosystem service value changes: Implications for environmental sustainability planning for the rapidly urbanizing summer capital of the Philippines&lt;/Title&gt;&lt;Template&gt;Journal Article&lt;/Template&gt;&lt;Star&gt;0&lt;/Star&gt;&lt;Tag&gt;0&lt;/Tag&gt;&lt;Author&gt;Estoque, Ronald C; Murayama, Yuji&lt;/Author&gt;&lt;Year&gt;2013&lt;/Year&gt;&lt;Details&gt;&lt;_accessed&gt;64095643&lt;/_accessed&gt;&lt;_collection_scope&gt;SCIE;SSCI;EI&lt;/_collection_scope&gt;&lt;_created&gt;64095643&lt;/_created&gt;&lt;_db_updated&gt;CrossRef&lt;/_db_updated&gt;&lt;_doi&gt;10.1016/j.landurbplan.2013.04.008&lt;/_doi&gt;&lt;_impact_factor&gt;   6.142&lt;/_impact_factor&gt;&lt;_isbn&gt;01692046&lt;/_isbn&gt;&lt;_journal&gt;Landscape and Urban Planning&lt;/_journal&gt;&lt;_modified&gt;64095643&lt;/_modified&gt;&lt;_pages&gt;60-72&lt;/_pages&gt;&lt;_tertiary_title&gt;Landscape and Urban Planning&lt;/_tertiary_title&gt;&lt;_url&gt;https://linkinghub.elsevier.com/retrieve/pii/S0169204613000777_x000d__x000a_https://api.elsevier.com/content/article/PII:S0169204613000777?httpAccept=text/xml&lt;/_url&gt;&lt;_volume&gt;116&lt;/_volume&gt;&lt;/Details&gt;&lt;Extra&gt;&lt;DBUID&gt;{F96A950B-833F-4880-A151-76DA2D6A2879}&lt;/DBUID&gt;&lt;/Extra&gt;&lt;/Item&gt;&lt;/References&gt;&lt;/Group&gt;&lt;Group&gt;&lt;References&gt;&lt;Item&gt;&lt;ID&gt;1190&lt;/ID&gt;&lt;UID&gt;{FDC8FDF6-43B6-4424-8C3F-3014C659905D}&lt;/UID&gt;&lt;Title&gt;Landscape structure affects the provision of multiple ecosystem services&lt;/Title&gt;&lt;Template&gt;Journal Article&lt;/Template&gt;&lt;Star&gt;1&lt;/Star&gt;&lt;Tag&gt;0&lt;/Tag&gt;&lt;Author&gt;Lamy, T; Liss, K N; Gonzalez, A; Bennett, E M&lt;/Author&gt;&lt;Year&gt;2016&lt;/Year&gt;&lt;Details&gt;&lt;_accessed&gt;64056073&lt;/_accessed&gt;&lt;_collection_scope&gt;EI&lt;/_collection_scope&gt;&lt;_created&gt;64050804&lt;/_created&gt;&lt;_date&gt;61009920&lt;/_date&gt;&lt;_date_display&gt;2016&lt;/_date_display&gt;&lt;_db_updated&gt;PKU Search&lt;/_db_updated&gt;&lt;_doi&gt;10.1088/1748-9326/11/12/124017&lt;/_doi&gt;&lt;_impact_factor&gt;   6.793&lt;/_impact_factor&gt;&lt;_isbn&gt;1748-9326&lt;/_isbn&gt;&lt;_issue&gt;12&lt;/_issue&gt;&lt;_journal&gt;Environmental research letters&lt;/_journal&gt;&lt;_keywords&gt;ecosystem service modeling; ecosystem services; land use change; landscape composition; landscape configuration; landscape management&lt;/_keywords&gt;&lt;_modified&gt;64056073&lt;/_modified&gt;&lt;_number&gt;1&lt;/_number&gt;&lt;_ori_publication&gt;IOP Publishing&lt;/_ori_publication&gt;&lt;_pages&gt;124017&lt;/_pages&gt;&lt;_url&gt;https://go.exlibris.link/QdJjmclg&lt;/_url&gt;&lt;_volume&gt;11&lt;/_volume&gt;&lt;/Details&gt;&lt;Extra&gt;&lt;DBUID&gt;{F96A950B-833F-4880-A151-76DA2D6A2879}&lt;/DBUID&gt;&lt;/Extra&gt;&lt;/Item&gt;&lt;/References&gt;&lt;/Group&gt;&lt;Group&gt;&lt;References&gt;&lt;Item&gt;&lt;ID&gt;1187&lt;/ID&gt;&lt;UID&gt;{148E17F1-042D-4B40-9488-39F285FFDF8B}&lt;/UID&gt;&lt;Title&gt;Linking ecosystem services, urban form and green space configuration using multivariate landscape metric analysis&lt;/Title&gt;&lt;Template&gt;Journal Article&lt;/Template&gt;&lt;Star&gt;1&lt;/Star&gt;&lt;Tag&gt;0&lt;/Tag&gt;&lt;Author&gt;Grafius, Darren R; Corstanje, Ron; Harris, Jim A&lt;/Author&gt;&lt;Year&gt;2018&lt;/Year&gt;&lt;Details&gt;&lt;_accessed&gt;64056072&lt;/_accessed&gt;&lt;_collection_scope&gt;SCIE&lt;/_collection_scope&gt;&lt;_created&gt;64050804&lt;/_created&gt;&lt;_db_updated&gt;CrossRef&lt;/_db_updated&gt;&lt;_doi&gt;10.1007/s10980-018-0618-z&lt;/_doi&gt;&lt;_impact_factor&gt;   3.848&lt;/_impact_factor&gt;&lt;_isbn&gt;0921-2973&lt;/_isbn&gt;&lt;_issue&gt;4&lt;/_issue&gt;&lt;_journal&gt;Landscape Ecology&lt;/_journal&gt;&lt;_modified&gt;64162725&lt;/_modified&gt;&lt;_pages&gt;557-573&lt;/_pages&gt;&lt;_tertiary_title&gt;Landscape Ecol&lt;/_tertiary_title&gt;&lt;_url&gt;http://link.springer.com/10.1007/s10980-018-0618-z_x000d__x000a_http://link.springer.com/content/pdf/10.1007/s10980-018-0618-z.pdf&lt;/_url&gt;&lt;_volume&gt;33&lt;/_volume&gt;&lt;/Details&gt;&lt;Extra&gt;&lt;DBUID&gt;{F96A950B-833F-4880-A151-76DA2D6A2879}&lt;/DBUID&gt;&lt;/Extra&gt;&lt;/Item&gt;&lt;/References&gt;&lt;/Group&gt;&lt;/Citation&gt;_x000a_"/>
    <w:docVar w:name="NE.Ref{28145204-0643-4BF3-A0C0-F2C7871EC2ED}" w:val=" ADDIN NE.Ref.{28145204-0643-4BF3-A0C0-F2C7871EC2ED}&lt;Citation&gt;&lt;Group&gt;&lt;References&gt;&lt;Item&gt;&lt;ID&gt;1187&lt;/ID&gt;&lt;UID&gt;{148E17F1-042D-4B40-9488-39F285FFDF8B}&lt;/UID&gt;&lt;Title&gt;Linking ecosystem services, urban form and green space configuration using multivariate landscape metric analysis&lt;/Title&gt;&lt;Template&gt;Journal Article&lt;/Template&gt;&lt;Star&gt;1&lt;/Star&gt;&lt;Tag&gt;0&lt;/Tag&gt;&lt;Author&gt;Grafius, Darren R; Corstanje, Ron; Harris, Jim A&lt;/Author&gt;&lt;Year&gt;2018&lt;/Year&gt;&lt;Details&gt;&lt;_accessed&gt;64056072&lt;/_accessed&gt;&lt;_collection_scope&gt;SCIE&lt;/_collection_scope&gt;&lt;_created&gt;64050804&lt;/_created&gt;&lt;_db_updated&gt;CrossRef&lt;/_db_updated&gt;&lt;_doi&gt;10.1007/s10980-018-0618-z&lt;/_doi&gt;&lt;_impact_factor&gt;   3.848&lt;/_impact_factor&gt;&lt;_isbn&gt;0921-2973&lt;/_isbn&gt;&lt;_issue&gt;4&lt;/_issue&gt;&lt;_journal&gt;Landscape Ecology&lt;/_journal&gt;&lt;_modified&gt;64162725&lt;/_modified&gt;&lt;_pages&gt;557-573&lt;/_pages&gt;&lt;_tertiary_title&gt;Landscape Ecol&lt;/_tertiary_title&gt;&lt;_url&gt;http://link.springer.com/10.1007/s10980-018-0618-z_x000d__x000a_http://link.springer.com/content/pdf/10.1007/s10980-018-0618-z.pdf&lt;/_url&gt;&lt;_volume&gt;33&lt;/_volume&gt;&lt;/Details&gt;&lt;Extra&gt;&lt;DBUID&gt;{F96A950B-833F-4880-A151-76DA2D6A2879}&lt;/DBUID&gt;&lt;/Extra&gt;&lt;/Item&gt;&lt;/References&gt;&lt;/Group&gt;&lt;/Citation&gt;_x000a_"/>
    <w:docVar w:name="NE.Ref{291D3A0A-085D-4C1E-BDE7-81659365152D}" w:val=" ADDIN NE.Ref.{291D3A0A-085D-4C1E-BDE7-81659365152D}&lt;Citation&gt;&lt;Group&gt;&lt;References&gt;&lt;Item&gt;&lt;ID&gt;1518&lt;/ID&gt;&lt;UID&gt;{E38473E2-C73A-45D3-8204-5E8E0004CC25}&lt;/UID&gt;&lt;Title&gt;Check-in behaviour and spatio-temporal vibrancy: An exploratory analysis in Shenzhen, China&lt;/Title&gt;&lt;Template&gt;Journal Article&lt;/Template&gt;&lt;Star&gt;1&lt;/Star&gt;&lt;Tag&gt;5&lt;/Tag&gt;&lt;Author&gt;Wu, Chao; Ye, Xinyue; Ren, Fu; Du, Qingyun&lt;/Author&gt;&lt;Year&gt;2018&lt;/Year&gt;&lt;Details&gt;&lt;_doi&gt;10.1016/j.cities.2018.01.017&lt;/_doi&gt;&lt;_created&gt;64152568&lt;/_created&gt;&lt;_modified&gt;64152569&lt;/_modified&gt;&lt;_url&gt;https://linkinghub.elsevier.com/retrieve/pii/S0264275117303438_x000d__x000a_https://api.elsevier.com/content/article/PII:S0264275117303438?httpAccept=text/xml&lt;/_url&gt;&lt;_journal&gt;Cities&lt;/_journal&gt;&lt;_volume&gt;77&lt;/_volume&gt;&lt;_pages&gt;104-116&lt;/_pages&gt;&lt;_tertiary_title&gt;Cities&lt;/_tertiary_title&gt;&lt;_isbn&gt;02642751&lt;/_isbn&gt;&lt;_accessed&gt;64152568&lt;/_accessed&gt;&lt;_db_updated&gt;CrossRef&lt;/_db_updated&gt;&lt;_impact_factor&gt;   5.835&lt;/_impact_factor&gt;&lt;_collection_scope&gt;SSCI&lt;/_collection_scope&gt;&lt;/Details&gt;&lt;Extra&gt;&lt;DBUID&gt;{F96A950B-833F-4880-A151-76DA2D6A2879}&lt;/DBUID&gt;&lt;/Extra&gt;&lt;/Item&gt;&lt;/References&gt;&lt;/Group&gt;&lt;/Citation&gt;_x000a_"/>
    <w:docVar w:name="NE.Ref{29A53559-60B3-47A0-AEF9-D8D5D517AEAA}" w:val=" ADDIN NE.Ref.{29A53559-60B3-47A0-AEF9-D8D5D517AEAA}&lt;Citation&gt;&lt;Group&gt;&lt;References&gt;&lt;Item&gt;&lt;ID&gt;1534&lt;/ID&gt;&lt;UID&gt;{6B743E9A-7E47-47FB-9C79-2963EF6812AB}&lt;/UID&gt;&lt;Title&gt;Assessment of landscape composition and configuration via spatial metrics combination: conceptual framework proposal and method improvement&lt;/Title&gt;&lt;Template&gt;Journal Article&lt;/Template&gt;&lt;Star&gt;1&lt;/Star&gt;&lt;Tag&gt;5&lt;/Tag&gt;&lt;Author&gt;Machado, Rui; Godinho, Sérgio; Pirnat, Janez; Neves, Nuno; Santos, Pedro&lt;/Author&gt;&lt;Year&gt;2018&lt;/Year&gt;&lt;Details&gt;&lt;_accessed&gt;64164707&lt;/_accessed&gt;&lt;_collection_scope&gt;SSCI&lt;/_collection_scope&gt;&lt;_created&gt;64164707&lt;/_created&gt;&lt;_date&gt;62062560&lt;/_date&gt;&lt;_date_display&gt;2018&lt;/_date_display&gt;&lt;_db_updated&gt;PKU Search&lt;/_db_updated&gt;&lt;_doi&gt;10.1080/01426397.2017.1336757&lt;/_doi&gt;&lt;_impact_factor&gt;   2.055&lt;/_impact_factor&gt;&lt;_isbn&gt;0142-6397&lt;/_isbn&gt;&lt;_issue&gt;5&lt;/_issue&gt;&lt;_journal&gt;Landscape research&lt;/_journal&gt;&lt;_modified&gt;64164708&lt;/_modified&gt;&lt;_number&gt;1&lt;/_number&gt;&lt;_pages&gt;652-664&lt;/_pages&gt;&lt;_url&gt;https://go.exlibris.link/LhyMkGf2&lt;/_url&gt;&lt;_volume&gt;43&lt;/_volume&gt;&lt;/Details&gt;&lt;Extra&gt;&lt;DBUID&gt;{F96A950B-833F-4880-A151-76DA2D6A2879}&lt;/DBUID&gt;&lt;/Extra&gt;&lt;/Item&gt;&lt;/References&gt;&lt;/Group&gt;&lt;/Citation&gt;_x000a_"/>
    <w:docVar w:name="NE.Ref{2B3D4A80-470D-43B2-A049-5D49AC026EA4}" w:val=" ADDIN NE.Ref.{2B3D4A80-470D-43B2-A049-5D49AC026EA4}&lt;Citation&gt;&lt;Group&gt;&lt;References&gt;&lt;Item&gt;&lt;ID&gt;1187&lt;/ID&gt;&lt;UID&gt;{148E17F1-042D-4B40-9488-39F285FFDF8B}&lt;/UID&gt;&lt;Title&gt;Linking ecosystem services, urban form and green space configuration using multivariate landscape metric analysis&lt;/Title&gt;&lt;Template&gt;Journal Article&lt;/Template&gt;&lt;Star&gt;1&lt;/Star&gt;&lt;Tag&gt;0&lt;/Tag&gt;&lt;Author&gt;Grafius, Darren R; Corstanje, Ron; Harris, Jim A&lt;/Author&gt;&lt;Year&gt;2018&lt;/Year&gt;&lt;Details&gt;&lt;_accessed&gt;64056072&lt;/_accessed&gt;&lt;_collection_scope&gt;SCIE&lt;/_collection_scope&gt;&lt;_created&gt;64050804&lt;/_created&gt;&lt;_db_updated&gt;CrossRef&lt;/_db_updated&gt;&lt;_doi&gt;10.1007/s10980-018-0618-z&lt;/_doi&gt;&lt;_impact_factor&gt;   3.848&lt;/_impact_factor&gt;&lt;_isbn&gt;0921-2973&lt;/_isbn&gt;&lt;_issue&gt;4&lt;/_issue&gt;&lt;_journal&gt;Landscape Ecology&lt;/_journal&gt;&lt;_modified&gt;64162725&lt;/_modified&gt;&lt;_pages&gt;557-573&lt;/_pages&gt;&lt;_tertiary_title&gt;Landscape Ecol&lt;/_tertiary_title&gt;&lt;_url&gt;http://link.springer.com/10.1007/s10980-018-0618-z_x000d__x000a_http://link.springer.com/content/pdf/10.1007/s10980-018-0618-z.pdf&lt;/_url&gt;&lt;_volume&gt;33&lt;/_volume&gt;&lt;/Details&gt;&lt;Extra&gt;&lt;DBUID&gt;{F96A950B-833F-4880-A151-76DA2D6A2879}&lt;/DBUID&gt;&lt;/Extra&gt;&lt;/Item&gt;&lt;/References&gt;&lt;/Group&gt;&lt;/Citation&gt;_x000a_"/>
    <w:docVar w:name="NE.Ref{2CEDDD29-BF08-4EF6-BAA8-6ED0F3C5DCFB}" w:val=" ADDIN NE.Ref.{2CEDDD29-BF08-4EF6-BAA8-6ED0F3C5DCFB}&lt;Citation&gt;&lt;Group&gt;&lt;References&gt;&lt;Item&gt;&lt;ID&gt;1545&lt;/ID&gt;&lt;UID&gt;{CF9181A4-B827-48FA-8A94-C9F0DD56B688}&lt;/UID&gt;&lt;Title&gt;The influence of landscape composition and configuration on crop yield resilience&lt;/Title&gt;&lt;Template&gt;Journal Article&lt;/Template&gt;&lt;Star&gt;1&lt;/Star&gt;&lt;Tag&gt;5&lt;/Tag&gt;&lt;Author&gt;Redhead, John W; Oliver, Tom H; Woodcock, Ben A; Pywell, Richard F&lt;/Author&gt;&lt;Year&gt;2020&lt;/Year&gt;&lt;Details&gt;&lt;_doi&gt;10.1111/1365-2664.13722&lt;/_doi&gt;&lt;_created&gt;64171936&lt;/_created&gt;&lt;_modified&gt;64171937&lt;/_modified&gt;&lt;_url&gt;https://onlinelibrary.wiley.com/doi/10.1111/1365-2664.13722_x000d__x000a_https://onlinelibrary.wiley.com/doi/pdf/10.1111/1365-2664.13722&lt;/_url&gt;&lt;_journal&gt;Journal of Applied Ecology&lt;/_journal&gt;&lt;_volume&gt;57&lt;/_volume&gt;&lt;_issue&gt;11&lt;/_issue&gt;&lt;_pages&gt;2180-2190&lt;/_pages&gt;&lt;_tertiary_title&gt;J Appl Ecol&lt;/_tertiary_title&gt;&lt;_isbn&gt;0021-8901&lt;/_isbn&gt;&lt;_accessed&gt;64171936&lt;/_accessed&gt;&lt;_db_updated&gt;CrossRef&lt;/_db_updated&gt;&lt;_impact_factor&gt;   6.528&lt;/_impact_factor&gt;&lt;_collection_scope&gt;SCI;SCIE&lt;/_collection_scope&gt;&lt;/Details&gt;&lt;Extra&gt;&lt;DBUID&gt;{F96A950B-833F-4880-A151-76DA2D6A2879}&lt;/DBUID&gt;&lt;/Extra&gt;&lt;/Item&gt;&lt;/References&gt;&lt;/Group&gt;&lt;/Citation&gt;_x000a_"/>
    <w:docVar w:name="NE.Ref{3854589F-128F-431D-A97E-9C19B7F42A2B}" w:val=" ADDIN NE.Ref.{3854589F-128F-431D-A97E-9C19B7F42A2B}&lt;Citation&gt;&lt;Group&gt;&lt;References&gt;&lt;Item&gt;&lt;ID&gt;1549&lt;/ID&gt;&lt;UID&gt;{DC7BC964-6831-4A5D-BCAA-E993A827EA85}&lt;/UID&gt;&lt;Title&gt;生态系统服务权衡与集成方法_傅伯杰&lt;/Title&gt;&lt;Template&gt;Journal Article&lt;/Template&gt;&lt;Star&gt;1&lt;/Star&gt;&lt;Tag&gt;0&lt;/Tag&gt;&lt;Author/&gt;&lt;Year&gt;0&lt;/Year&gt;&lt;Details&gt;&lt;_created&gt;64173045&lt;/_created&gt;&lt;_modified&gt;64173045&lt;/_modified&gt;&lt;/Details&gt;&lt;Extra&gt;&lt;DBUID&gt;{F96A950B-833F-4880-A151-76DA2D6A2879}&lt;/DBUID&gt;&lt;/Extra&gt;&lt;/Item&gt;&lt;/References&gt;&lt;/Group&gt;&lt;/Citation&gt;_x000a_"/>
    <w:docVar w:name="NE.Ref{398E4D23-77EA-48EE-A647-2DC56E3466D1}" w:val=" ADDIN NE.Ref.{398E4D23-77EA-48EE-A647-2DC56E3466D1}&lt;Citation&gt;&lt;Group&gt;&lt;References&gt;&lt;Item&gt;&lt;ID&gt;1201&lt;/ID&gt;&lt;UID&gt;{EADA07E5-9F03-4379-A163-77D450378982}&lt;/UID&gt;&lt;Title&gt;Ecosystem services in peri-urban landscapes: The effects of agricultural landscape change on ecosystem services in Taiwan&amp;apos;s western coastal plain&lt;/Title&gt;&lt;Template&gt;Journal Article&lt;/Template&gt;&lt;Star&gt;0&lt;/Star&gt;&lt;Tag&gt;0&lt;/Tag&gt;&lt;Author&gt;Lee, Ying-Chieh; Ahern, Jack; Yeh, Chia-Tsung&lt;/Author&gt;&lt;Year&gt;2015&lt;/Year&gt;&lt;Details&gt;&lt;_accessed&gt;64056073&lt;/_accessed&gt;&lt;_collection_scope&gt;SCIE;SSCI;EI&lt;/_collection_scope&gt;&lt;_created&gt;64055266&lt;/_created&gt;&lt;_db_updated&gt;CrossRef&lt;/_db_updated&gt;&lt;_doi&gt;10.1016/j.landurbplan.2015.02.023&lt;/_doi&gt;&lt;_impact_factor&gt;   6.142&lt;/_impact_factor&gt;&lt;_isbn&gt;01692046&lt;/_isbn&gt;&lt;_journal&gt;Landscape and Urban Planning&lt;/_journal&gt;&lt;_modified&gt;64056073&lt;/_modified&gt;&lt;_pages&gt;137-148&lt;/_pages&gt;&lt;_tertiary_title&gt;Landscape and Urban Planning&lt;/_tertiary_title&gt;&lt;_url&gt;https://linkinghub.elsevier.com/retrieve/pii/S0169204615000596_x000d__x000a_https://api.elsevier.com/content/article/PII:S0169204615000596?httpAccept=text/xml&lt;/_url&gt;&lt;_volume&gt;139&lt;/_volume&gt;&lt;/Details&gt;&lt;Extra&gt;&lt;DBUID&gt;{F96A950B-833F-4880-A151-76DA2D6A2879}&lt;/DBUID&gt;&lt;/Extra&gt;&lt;/Item&gt;&lt;/References&gt;&lt;/Group&gt;&lt;/Citation&gt;_x000a_"/>
    <w:docVar w:name="NE.Ref{39BD9DEB-DF3E-4B2C-B2CB-F5F2324A709C}" w:val=" ADDIN NE.Ref.{39BD9DEB-DF3E-4B2C-B2CB-F5F2324A709C}&lt;Citation&gt;&lt;Group&gt;&lt;References&gt;&lt;Item&gt;&lt;ID&gt;1535&lt;/ID&gt;&lt;UID&gt;{C6CAF4C5-9F0D-4223-A299-59382FE610FE}&lt;/UID&gt;&lt;Title&gt;Landscape composition and configuration in the central highlands of Ethiopia&lt;/Title&gt;&lt;Template&gt;Journal Article&lt;/Template&gt;&lt;Star&gt;1&lt;/Star&gt;&lt;Tag&gt;5&lt;/Tag&gt;&lt;Author&gt;Tolessa, Terefe; Senbeta, Feyera; Kidane, Moges&lt;/Author&gt;&lt;Year&gt;2016&lt;/Year&gt;&lt;Details&gt;&lt;_accessed&gt;64164707&lt;/_accessed&gt;&lt;_collection_scope&gt;SCIE&lt;/_collection_scope&gt;&lt;_created&gt;64164707&lt;/_created&gt;&lt;_db_updated&gt;CrossRef&lt;/_db_updated&gt;&lt;_doi&gt;10.1002/ece3.2477&lt;/_doi&gt;&lt;_impact_factor&gt;   2.912&lt;/_impact_factor&gt;&lt;_isbn&gt;2045-7758&lt;/_isbn&gt;&lt;_issue&gt;20&lt;/_issue&gt;&lt;_journal&gt;Ecology and Evolution&lt;/_journal&gt;&lt;_modified&gt;64164708&lt;/_modified&gt;&lt;_pages&gt;7409-7421&lt;/_pages&gt;&lt;_tertiary_title&gt;Ecol Evol&lt;/_tertiary_title&gt;&lt;_url&gt;https://onlinelibrary.wiley.com/doi/10.1002/ece3.2477_x000d__x000a_https://onlinelibrary.wiley.com/doi/pdf/10.1002/ece3.2477&lt;/_url&gt;&lt;_volume&gt;6&lt;/_volume&gt;&lt;/Details&gt;&lt;Extra&gt;&lt;DBUID&gt;{F96A950B-833F-4880-A151-76DA2D6A2879}&lt;/DBUID&gt;&lt;/Extra&gt;&lt;/Item&gt;&lt;/References&gt;&lt;/Group&gt;&lt;/Citation&gt;_x000a_"/>
    <w:docVar w:name="NE.Ref{39CBB1EA-2877-4BDF-87E8-7AE4682474C3}" w:val=" ADDIN NE.Ref.{39CBB1EA-2877-4BDF-87E8-7AE4682474C3}&lt;Citation&gt;&lt;Group&gt;&lt;References&gt;&lt;Item&gt;&lt;ID&gt;1517&lt;/ID&gt;&lt;UID&gt;{F5CB1BEA-B37C-405D-818B-EB8EA862D41E}&lt;/UID&gt;&lt;Title&gt;Determinants of haze pollution: An analysis from the perspective of spatiotemporal heterogeneity&lt;/Title&gt;&lt;Template&gt;Journal Article&lt;/Template&gt;&lt;Star&gt;1&lt;/Star&gt;&lt;Tag&gt;5&lt;/Tag&gt;&lt;Author&gt;Dong, Feng; Zhang, Shengnan; Long, Ruyin; Zhang, Xiaoyun; Sun, Ziyuan&lt;/Author&gt;&lt;Year&gt;2019&lt;/Year&gt;&lt;Details&gt;&lt;_doi&gt;10.1016/j.jclepro.2019.03.105&lt;/_doi&gt;&lt;_created&gt;64152568&lt;/_created&gt;&lt;_modified&gt;64152569&lt;/_modified&gt;&lt;_url&gt;https://linkinghub.elsevier.com/retrieve/pii/S0959652619307966_x000d__x000a_https://api.elsevier.com/content/article/PII:S0959652619307966?httpAccept=text/xml&lt;/_url&gt;&lt;_journal&gt;Journal of Cleaner Production&lt;/_journal&gt;&lt;_volume&gt;222&lt;/_volume&gt;&lt;_pages&gt;768-783&lt;/_pages&gt;&lt;_tertiary_title&gt;Journal of Cleaner Production&lt;/_tertiary_title&gt;&lt;_isbn&gt;09596526&lt;/_isbn&gt;&lt;_accessed&gt;64152568&lt;/_accessed&gt;&lt;_db_updated&gt;CrossRef&lt;/_db_updated&gt;&lt;_impact_factor&gt;   9.297&lt;/_impact_factor&gt;&lt;_collection_scope&gt;SCIE;EI&lt;/_collection_scope&gt;&lt;/Details&gt;&lt;Extra&gt;&lt;DBUID&gt;{F96A950B-833F-4880-A151-76DA2D6A2879}&lt;/DBUID&gt;&lt;/Extra&gt;&lt;/Item&gt;&lt;/References&gt;&lt;/Group&gt;&lt;/Citation&gt;_x000a_"/>
    <w:docVar w:name="NE.Ref{3EE27730-330C-4A92-A530-CB7A0994E76C}" w:val=" ADDIN NE.Ref.{3EE27730-330C-4A92-A530-CB7A0994E76C}&lt;Citation&gt;&lt;Group&gt;&lt;References&gt;&lt;Item&gt;&lt;ID&gt;1228&lt;/ID&gt;&lt;UID&gt;{BD1B26A4-EA37-4A82-94D6-E96770962455}&lt;/UID&gt;&lt;Title&gt;汶川县生态系统服务对景观格局及其变化的响应&lt;/Title&gt;&lt;Template&gt;Journal Article&lt;/Template&gt;&lt;Star&gt;0&lt;/Star&gt;&lt;Tag&gt;0&lt;/Tag&gt;&lt;Author&gt;徐建英; 樊斐斐; 刘焱序; 陈吉星; 魏建瑛&lt;/Author&gt;&lt;Year&gt;2020&lt;/Year&gt;&lt;Details&gt;&lt;_accessed&gt;64066162&lt;/_accessed&gt;&lt;_author_aff&gt;首都师范大学资源环境与旅游学院;北京师范大学地理科学学部地表过程与资源生态国家重点实验室;&lt;/_author_aff&gt;&lt;_collection_scope&gt;CSCD;PKU&lt;/_collection_scope&gt;&lt;_created&gt;64056126&lt;/_created&gt;&lt;_date&gt;63407520&lt;/_date&gt;&lt;_db_updated&gt;CNKI - Reference&lt;/_db_updated&gt;&lt;_issue&gt;14&lt;/_issue&gt;&lt;_journal&gt;生态学报&lt;/_journal&gt;&lt;_keywords&gt;生态系统服务;景观格局指数;动态变化;汶川&lt;/_keywords&gt;&lt;_language&gt;Chinese&lt;/_language&gt;&lt;_modified&gt;64066162&lt;/_modified&gt;&lt;_pages&gt;4724-4736&lt;/_pages&gt;&lt;_url&gt;https://kns.cnki.net/kcms/detail/detail.aspx?FileName=STXB202014003&amp;amp;DbName=CJFQ2020&lt;/_url&gt;&lt;_volume&gt;40&lt;/_volume&gt;&lt;_translated_author&gt;Xu, Jianying;Fan, Feifei;Liu, Yanxu;Chen, Jixing;Wei, Jianying&lt;/_translated_author&gt;&lt;/Details&gt;&lt;Extra&gt;&lt;DBUID&gt;{F96A950B-833F-4880-A151-76DA2D6A2879}&lt;/DBUID&gt;&lt;/Extra&gt;&lt;/Item&gt;&lt;/References&gt;&lt;/Group&gt;&lt;/Citation&gt;_x000a_"/>
    <w:docVar w:name="NE.Ref{3EEAA734-CC51-4378-96DD-B68927723930}" w:val=" ADDIN NE.Ref.{3EEAA734-CC51-4378-96DD-B68927723930}&lt;Citation&gt;&lt;Group&gt;&lt;References&gt;&lt;Item&gt;&lt;ID&gt;1205&lt;/ID&gt;&lt;UID&gt;{58083F07-9E63-4D63-B76B-CFA1617E3D20}&lt;/UID&gt;&lt;Title&gt;The spatial characteristics and relationships between landscape pattern and ecosystem service value along an urban-rural gradient in Xi’an city, China&lt;/Title&gt;&lt;Template&gt;Journal Article&lt;/Template&gt;&lt;Star&gt;1&lt;/Star&gt;&lt;Tag&gt;0&lt;/Tag&gt;&lt;Author&gt;Hou, Lei; Wu, Faqi; Xie, Xinli&lt;/Author&gt;&lt;Year&gt;2020&lt;/Year&gt;&lt;Details&gt;&lt;_accessed&gt;64065513&lt;/_accessed&gt;&lt;_collection_scope&gt;SCIE;EI&lt;/_collection_scope&gt;&lt;_created&gt;64055266&lt;/_created&gt;&lt;_db_updated&gt;CrossRef&lt;/_db_updated&gt;&lt;_doi&gt;10.1016/j.ecolind.2019.105720&lt;/_doi&gt;&lt;_impact_factor&gt;   4.958&lt;/_impact_factor&gt;&lt;_isbn&gt;1470160X&lt;/_isbn&gt;&lt;_journal&gt;Ecological Indicators&lt;/_journal&gt;&lt;_modified&gt;64065513&lt;/_modified&gt;&lt;_pages&gt;105720&lt;/_pages&gt;&lt;_tertiary_title&gt;Ecological Indicators&lt;/_tertiary_title&gt;&lt;_url&gt;https://linkinghub.elsevier.com/retrieve/pii/S1470160X19307137_x000d__x000a_https://api.elsevier.com/content/article/PII:S1470160X19307137?httpAccept=text/xml&lt;/_url&gt;&lt;_volume&gt;108&lt;/_volume&gt;&lt;/Details&gt;&lt;Extra&gt;&lt;DBUID&gt;{F96A950B-833F-4880-A151-76DA2D6A2879}&lt;/DBUID&gt;&lt;/Extra&gt;&lt;/Item&gt;&lt;/References&gt;&lt;/Group&gt;&lt;/Citation&gt;_x000a_"/>
    <w:docVar w:name="NE.Ref{41DAA7BC-91FE-46FC-8FBE-05171FAE5CBF}" w:val=" ADDIN NE.Ref.{41DAA7BC-91FE-46FC-8FBE-05171FAE5CBF}&lt;Citation&gt;&lt;Group&gt;&lt;References&gt;&lt;Item&gt;&lt;ID&gt;1296&lt;/ID&gt;&lt;UID&gt;{DA61DD7E-3AED-40A4-B1F9-08AC6030517D}&lt;/UID&gt;&lt;Title&gt;Landscape pattern and ecosystem service value changes: Implications for environmental sustainability planning for the rapidly urbanizing summer capital of the Philippines&lt;/Title&gt;&lt;Template&gt;Journal Article&lt;/Template&gt;&lt;Star&gt;0&lt;/Star&gt;&lt;Tag&gt;0&lt;/Tag&gt;&lt;Author&gt;Estoque, Ronald C; Murayama, Yuji&lt;/Author&gt;&lt;Year&gt;2013&lt;/Year&gt;&lt;Details&gt;&lt;_accessed&gt;64095643&lt;/_accessed&gt;&lt;_collection_scope&gt;SCIE;SSCI;EI&lt;/_collection_scope&gt;&lt;_created&gt;64095643&lt;/_created&gt;&lt;_db_updated&gt;CrossRef&lt;/_db_updated&gt;&lt;_doi&gt;10.1016/j.landurbplan.2013.04.008&lt;/_doi&gt;&lt;_impact_factor&gt;   6.142&lt;/_impact_factor&gt;&lt;_isbn&gt;01692046&lt;/_isbn&gt;&lt;_journal&gt;Landscape and Urban Planning&lt;/_journal&gt;&lt;_modified&gt;64095643&lt;/_modified&gt;&lt;_pages&gt;60-72&lt;/_pages&gt;&lt;_tertiary_title&gt;Landscape and Urban Planning&lt;/_tertiary_title&gt;&lt;_url&gt;https://linkinghub.elsevier.com/retrieve/pii/S0169204613000777_x000d__x000a_https://api.elsevier.com/content/article/PII:S0169204613000777?httpAccept=text/xml&lt;/_url&gt;&lt;_volume&gt;116&lt;/_volume&gt;&lt;/Details&gt;&lt;Extra&gt;&lt;DBUID&gt;{F96A950B-833F-4880-A151-76DA2D6A2879}&lt;/DBUID&gt;&lt;/Extra&gt;&lt;/Item&gt;&lt;/References&gt;&lt;/Group&gt;&lt;/Citation&gt;_x000a_"/>
    <w:docVar w:name="NE.Ref{4258DAEC-D8C8-46F8-85B3-C587E8FA69C2}" w:val=" ADDIN NE.Ref.{4258DAEC-D8C8-46F8-85B3-C587E8FA69C2}&lt;Citation&gt;&lt;Group&gt;&lt;References&gt;&lt;Item&gt;&lt;ID&gt;1195&lt;/ID&gt;&lt;UID&gt;{50790B5B-7C68-4005-8D61-B95B61F182A6}&lt;/UID&gt;&lt;Title&gt;Impacts of Landscape Patterns on Ecosystem Services Value: A Multiscale Buffer Gradient Analysis Approach&lt;/Title&gt;&lt;Template&gt;Journal Article&lt;/Template&gt;&lt;Star&gt;1&lt;/Star&gt;&lt;Tag&gt;0&lt;/Tag&gt;&lt;Author&gt;Chen, Wanxu; Zeng, Jie; Chu, Yumei; Liang, Jiale&lt;/Author&gt;&lt;Year&gt;2021&lt;/Year&gt;&lt;Details&gt;&lt;_accessed&gt;64056062&lt;/_accessed&gt;&lt;_collection_scope&gt;SCIE;EI&lt;/_collection_scope&gt;&lt;_created&gt;64050804&lt;/_created&gt;&lt;_date&gt;63898560&lt;/_date&gt;&lt;_db_updated&gt;CrossRef&lt;/_db_updated&gt;&lt;_doi&gt;10.3390/rs13132551&lt;/_doi&gt;&lt;_impact_factor&gt;   4.848&lt;/_impact_factor&gt;&lt;_isbn&gt;2072-4292&lt;/_isbn&gt;&lt;_issue&gt;13&lt;/_issue&gt;&lt;_journal&gt;Remote Sensing&lt;/_journal&gt;&lt;_modified&gt;64056062&lt;/_modified&gt;&lt;_pages&gt;2551&lt;/_pages&gt;&lt;_tertiary_title&gt;Remote Sensing&lt;/_tertiary_title&gt;&lt;_url&gt;https://www.mdpi.com/2072-4292/13/13/2551_x000d__x000a_https://www.mdpi.com/2072-4292/13/13/2551/pdf&lt;/_url&gt;&lt;_volume&gt;13&lt;/_volume&gt;&lt;/Details&gt;&lt;Extra&gt;&lt;DBUID&gt;{F96A950B-833F-4880-A151-76DA2D6A2879}&lt;/DBUID&gt;&lt;/Extra&gt;&lt;/Item&gt;&lt;/References&gt;&lt;/Group&gt;&lt;/Citation&gt;_x000a_"/>
    <w:docVar w:name="NE.Ref{428D4D1E-8DCA-464D-8BD7-96B5ACBEE825}" w:val=" ADDIN NE.Ref.{428D4D1E-8DCA-464D-8BD7-96B5ACBEE825}&lt;Citation&gt;&lt;Group&gt;&lt;References&gt;&lt;Item&gt;&lt;ID&gt;1519&lt;/ID&gt;&lt;UID&gt;{FAB8CB75-9574-4120-B306-746363BD4BB8}&lt;/UID&gt;&lt;Title&gt;The effect of urbanization on environmental pollution in rapidly developing urban agglomerations&lt;/Title&gt;&lt;Template&gt;Journal Article&lt;/Template&gt;&lt;Star&gt;1&lt;/Star&gt;&lt;Tag&gt;5&lt;/Tag&gt;&lt;Author&gt;Liang, Longwu; Wang, Zhenbo; Li, Jiaxin&lt;/Author&gt;&lt;Year&gt;2019&lt;/Year&gt;&lt;Details&gt;&lt;_accessed&gt;64152568&lt;/_accessed&gt;&lt;_collection_scope&gt;SCIE;EI&lt;/_collection_scope&gt;&lt;_created&gt;64152568&lt;/_created&gt;&lt;_db_updated&gt;CrossRef&lt;/_db_updated&gt;&lt;_doi&gt;10.1016/j.jclepro.2019.117649&lt;/_doi&gt;&lt;_impact_factor&gt;   9.297&lt;/_impact_factor&gt;&lt;_isbn&gt;09596526&lt;/_isbn&gt;&lt;_journal&gt;Journal of Cleaner Production&lt;/_journal&gt;&lt;_modified&gt;64152569&lt;/_modified&gt;&lt;_pages&gt;117649&lt;/_pages&gt;&lt;_tertiary_title&gt;Journal of Cleaner Production&lt;/_tertiary_title&gt;&lt;_url&gt;https://linkinghub.elsevier.com/retrieve/pii/S0959652619324990_x000d__x000a_https://api.elsevier.com/content/article/PII:S0959652619324990?httpAccept=text/xml&lt;/_url&gt;&lt;_volume&gt;237&lt;/_volume&gt;&lt;/Details&gt;&lt;Extra&gt;&lt;DBUID&gt;{F96A950B-833F-4880-A151-76DA2D6A2879}&lt;/DBUID&gt;&lt;/Extra&gt;&lt;/Item&gt;&lt;/References&gt;&lt;/Group&gt;&lt;/Citation&gt;_x000a_"/>
    <w:docVar w:name="NE.Ref{437271D8-6AFB-489A-B669-5523FB3921E1}" w:val=" ADDIN NE.Ref.{437271D8-6AFB-489A-B669-5523FB3921E1}&lt;Citation&gt;&lt;Group&gt;&lt;References&gt;&lt;Item&gt;&lt;ID&gt;1228&lt;/ID&gt;&lt;UID&gt;{BD1B26A4-EA37-4A82-94D6-E96770962455}&lt;/UID&gt;&lt;Title&gt;汶川县生态系统服务对景观格局及其变化的响应&lt;/Title&gt;&lt;Template&gt;Journal Article&lt;/Template&gt;&lt;Star&gt;0&lt;/Star&gt;&lt;Tag&gt;0&lt;/Tag&gt;&lt;Author&gt;徐建英; 樊斐斐; 刘焱序; 陈吉星; 魏建瑛&lt;/Author&gt;&lt;Year&gt;2020&lt;/Year&gt;&lt;Details&gt;&lt;_accessed&gt;64066162&lt;/_accessed&gt;&lt;_author_aff&gt;首都师范大学资源环境与旅游学院;北京师范大学地理科学学部地表过程与资源生态国家重点实验室;&lt;/_author_aff&gt;&lt;_collection_scope&gt;CSCD;PKU&lt;/_collection_scope&gt;&lt;_created&gt;64056126&lt;/_created&gt;&lt;_date&gt;63407520&lt;/_date&gt;&lt;_db_updated&gt;CNKI - Reference&lt;/_db_updated&gt;&lt;_issue&gt;14&lt;/_issue&gt;&lt;_journal&gt;生态学报&lt;/_journal&gt;&lt;_keywords&gt;生态系统服务;景观格局指数;动态变化;汶川&lt;/_keywords&gt;&lt;_language&gt;Chinese&lt;/_language&gt;&lt;_modified&gt;64066162&lt;/_modified&gt;&lt;_pages&gt;4724-4736&lt;/_pages&gt;&lt;_url&gt;https://kns.cnki.net/kcms/detail/detail.aspx?FileName=STXB202014003&amp;amp;DbName=CJFQ2020&lt;/_url&gt;&lt;_volume&gt;40&lt;/_volume&gt;&lt;_translated_author&gt;Xu, Jianying;Fan, Feifei;Liu, Yanxu;Chen, Jixing;Wei, Jianying&lt;/_translated_author&gt;&lt;/Details&gt;&lt;Extra&gt;&lt;DBUID&gt;{F96A950B-833F-4880-A151-76DA2D6A2879}&lt;/DBUID&gt;&lt;/Extra&gt;&lt;/Item&gt;&lt;/References&gt;&lt;/Group&gt;&lt;/Citation&gt;_x000a_"/>
    <w:docVar w:name="NE.Ref{43FCCE01-0914-4A92-9BD0-7D5540652413}" w:val=" ADDIN NE.Ref.{43FCCE01-0914-4A92-9BD0-7D5540652413}&lt;Citation&gt;&lt;Group&gt;&lt;References&gt;&lt;Item&gt;&lt;ID&gt;1541&lt;/ID&gt;&lt;UID&gt;{B379A348-CBB8-40AA-850B-A704208D5F49}&lt;/UID&gt;&lt;Title&gt;Optimizing intermediate ecosystem services in agriculture using rules based on landscape composition and configuration indices&lt;/Title&gt;&lt;Template&gt;Journal Article&lt;/Template&gt;&lt;Star&gt;1&lt;/Star&gt;&lt;Tag&gt;5&lt;/Tag&gt;&lt;Author&gt;Cong, Rong-Gang; Ekroos, Johan; Smith, Henrik G; Brady, Mark V&lt;/Author&gt;&lt;Year&gt;2016&lt;/Year&gt;&lt;Details&gt;&lt;_doi&gt;10.1016/j.ecolecon.2016.05.006&lt;/_doi&gt;&lt;_created&gt;64164714&lt;/_created&gt;&lt;_modified&gt;64164714&lt;/_modified&gt;&lt;_url&gt;https://linkinghub.elsevier.com/retrieve/pii/S0921800916305845_x000d__x000a_https://dul.usage.elsevier.com/doi/&lt;/_url&gt;&lt;_journal&gt;Ecological Economics&lt;/_journal&gt;&lt;_volume&gt;128&lt;/_volume&gt;&lt;_pages&gt;214-223&lt;/_pages&gt;&lt;_tertiary_title&gt;Ecological Economics&lt;/_tertiary_title&gt;&lt;_isbn&gt;09218009&lt;/_isbn&gt;&lt;_accessed&gt;64164714&lt;/_accessed&gt;&lt;_db_updated&gt;CrossRef&lt;/_db_updated&gt;&lt;_impact_factor&gt;   5.389&lt;/_impact_factor&gt;&lt;_collection_scope&gt;SCI;SCIE;SSCI&lt;/_collection_scope&gt;&lt;/Details&gt;&lt;Extra&gt;&lt;DBUID&gt;{F96A950B-833F-4880-A151-76DA2D6A2879}&lt;/DBUID&gt;&lt;/Extra&gt;&lt;/Item&gt;&lt;/References&gt;&lt;/Group&gt;&lt;/Citation&gt;_x000a_"/>
    <w:docVar w:name="NE.Ref{44B447DB-BA24-4D41-B9B1-73AC518785B6}" w:val=" ADDIN NE.Ref.{44B447DB-BA24-4D41-B9B1-73AC518785B6}&lt;Citation&gt;&lt;Group&gt;&lt;References&gt;&lt;Item&gt;&lt;ID&gt;1535&lt;/ID&gt;&lt;UID&gt;{C6CAF4C5-9F0D-4223-A299-59382FE610FE}&lt;/UID&gt;&lt;Title&gt;Landscape composition and configuration in the central highlands of Ethiopia&lt;/Title&gt;&lt;Template&gt;Journal Article&lt;/Template&gt;&lt;Star&gt;1&lt;/Star&gt;&lt;Tag&gt;5&lt;/Tag&gt;&lt;Author&gt;Tolessa, Terefe; Senbeta, Feyera; Kidane, Moges&lt;/Author&gt;&lt;Year&gt;2016&lt;/Year&gt;&lt;Details&gt;&lt;_accessed&gt;64164707&lt;/_accessed&gt;&lt;_collection_scope&gt;SCIE&lt;/_collection_scope&gt;&lt;_created&gt;64164707&lt;/_created&gt;&lt;_db_updated&gt;CrossRef&lt;/_db_updated&gt;&lt;_doi&gt;10.1002/ece3.2477&lt;/_doi&gt;&lt;_impact_factor&gt;   2.912&lt;/_impact_factor&gt;&lt;_isbn&gt;2045-7758&lt;/_isbn&gt;&lt;_issue&gt;20&lt;/_issue&gt;&lt;_journal&gt;Ecology and Evolution&lt;/_journal&gt;&lt;_modified&gt;64164708&lt;/_modified&gt;&lt;_pages&gt;7409-7421&lt;/_pages&gt;&lt;_tertiary_title&gt;Ecol Evol&lt;/_tertiary_title&gt;&lt;_url&gt;https://onlinelibrary.wiley.com/doi/10.1002/ece3.2477_x000d__x000a_https://onlinelibrary.wiley.com/doi/pdf/10.1002/ece3.2477&lt;/_url&gt;&lt;_volume&gt;6&lt;/_volume&gt;&lt;/Details&gt;&lt;Extra&gt;&lt;DBUID&gt;{F96A950B-833F-4880-A151-76DA2D6A2879}&lt;/DBUID&gt;&lt;/Extra&gt;&lt;/Item&gt;&lt;/References&gt;&lt;/Group&gt;&lt;Group&gt;&lt;References&gt;&lt;Item&gt;&lt;ID&gt;1294&lt;/ID&gt;&lt;UID&gt;{49C40BBB-FA03-4DA5-B886-65EE42FED203}&lt;/UID&gt;&lt;Title&gt;Quantifying landscape pattern and ecosystem service value changes in four rapidly urbanizing hill stations of Southeast Asia&lt;/Title&gt;&lt;Template&gt;Journal Article&lt;/Template&gt;&lt;Star&gt;1&lt;/Star&gt;&lt;Tag&gt;0&lt;/Tag&gt;&lt;Author&gt;Estoque, Ronald C; Murayama, Yuji&lt;/Author&gt;&lt;Year&gt;2016&lt;/Year&gt;&lt;Details&gt;&lt;_accessed&gt;64095643&lt;/_accessed&gt;&lt;_collection_scope&gt;SCIE&lt;/_collection_scope&gt;&lt;_created&gt;64095643&lt;/_created&gt;&lt;_db_updated&gt;CrossRef&lt;/_db_updated&gt;&lt;_doi&gt;10.1007/s10980-016-0341-6&lt;/_doi&gt;&lt;_impact_factor&gt;   3.848&lt;/_impact_factor&gt;&lt;_isbn&gt;0921-2973&lt;/_isbn&gt;&lt;_issue&gt;7&lt;/_issue&gt;&lt;_journal&gt;Landscape Ecology&lt;/_journal&gt;&lt;_modified&gt;64095643&lt;/_modified&gt;&lt;_pages&gt;1481-1507&lt;/_pages&gt;&lt;_tertiary_title&gt;Landscape Ecol&lt;/_tertiary_title&gt;&lt;_url&gt;http://link.springer.com/10.1007/s10980-016-0341-6_x000d__x000a_http://link.springer.com/content/pdf/10.1007/s10980-016-0341-6&lt;/_url&gt;&lt;_volume&gt;31&lt;/_volume&gt;&lt;/Details&gt;&lt;Extra&gt;&lt;DBUID&gt;{F96A950B-833F-4880-A151-76DA2D6A2879}&lt;/DBUID&gt;&lt;/Extra&gt;&lt;/Item&gt;&lt;/References&gt;&lt;/Group&gt;&lt;/Citation&gt;_x000a_"/>
    <w:docVar w:name="NE.Ref{471D7040-DCC6-4EA6-97E6-03467D2F9A24}" w:val=" ADDIN NE.Ref.{471D7040-DCC6-4EA6-97E6-03467D2F9A24}&lt;Citation&gt;&lt;Group&gt;&lt;References&gt;&lt;Item&gt;&lt;ID&gt;1133&lt;/ID&gt;&lt;UID&gt;{D1EF790B-0A3F-4489-94AC-756F36AC7ADD}&lt;/UID&gt;&lt;Title&gt;基于单位面积价值当量因子的生态系统服务价值化方法改进&lt;/Title&gt;&lt;Template&gt;Journal Article&lt;/Template&gt;&lt;Star&gt;0&lt;/Star&gt;&lt;Tag&gt;0&lt;/Tag&gt;&lt;Author&gt;谢高地; 张彩霞; 张雷明; 陈文辉; 李士美&lt;/Author&gt;&lt;Year&gt;2015&lt;/Year&gt;&lt;Details&gt;&lt;_accessed&gt;64030272&lt;/_accessed&gt;&lt;_author_aff&gt;中国科学院地理科学与资源研究所;浙江农林大学信息工程学院;青岛农业大学园林与林学院;&lt;/_author_aff&gt;&lt;_collection_scope&gt;CSCD;CSSCI-C;PKU&lt;/_collection_scope&gt;&lt;_created&gt;64030272&lt;/_created&gt;&lt;_date&gt;60809760&lt;/_date&gt;&lt;_db_updated&gt;CNKI - Reference&lt;/_db_updated&gt;&lt;_issue&gt;08&lt;/_issue&gt;&lt;_journal&gt;自然资源学报&lt;/_journal&gt;&lt;_keywords&gt;生态系统服务;价值方法;价值当量因子;动态评估&lt;/_keywords&gt;&lt;_language&gt;Chinese&lt;/_language&gt;&lt;_modified&gt;64030272&lt;/_modified&gt;&lt;_pages&gt;1243-1254&lt;/_pages&gt;&lt;_url&gt;https://kns.cnki.net/kcms/detail/detail.aspx?FileName=ZRZX201508001&amp;amp;DbName=CJFQ2015&lt;/_url&gt;&lt;_volume&gt;30&lt;/_volume&gt;&lt;_translated_author&gt;Xie, Gaodi;Zhang, Caixia;Zhang, Leiming;Chen, Wenhui;Li, Shimei&lt;/_translated_author&gt;&lt;/Details&gt;&lt;Extra&gt;&lt;DBUID&gt;{F96A950B-833F-4880-A151-76DA2D6A2879}&lt;/DBUID&gt;&lt;/Extra&gt;&lt;/Item&gt;&lt;/References&gt;&lt;/Group&gt;&lt;Group&gt;&lt;References&gt;&lt;Item&gt;&lt;ID&gt;1217&lt;/ID&gt;&lt;UID&gt;{E4455066-8047-4239-978A-C5C7FB5E2E27}&lt;/UID&gt;&lt;Title&gt;Dynamic changes in the value of China’s ecosystem services&lt;/Title&gt;&lt;Template&gt;Journal Article&lt;/Template&gt;&lt;Star&gt;1&lt;/Star&gt;&lt;Tag&gt;0&lt;/Tag&gt;&lt;Author&gt;Xie, Gaodi; Zhang, Caixia; Zhen, Lin; Zhang, Leiming&lt;/Author&gt;&lt;Year&gt;2017&lt;/Year&gt;&lt;Details&gt;&lt;_accessed&gt;64056100&lt;/_accessed&gt;&lt;_collection_scope&gt;SCIE;SSCI&lt;/_collection_scope&gt;&lt;_created&gt;64056100&lt;/_created&gt;&lt;_db_updated&gt;CrossRef&lt;/_db_updated&gt;&lt;_doi&gt;10.1016/j.ecoser.2017.06.010&lt;/_doi&gt;&lt;_impact_factor&gt;   5.454&lt;/_impact_factor&gt;&lt;_isbn&gt;22120416&lt;/_isbn&gt;&lt;_journal&gt;Ecosystem Services&lt;/_journal&gt;&lt;_modified&gt;64115713&lt;/_modified&gt;&lt;_pages&gt;146-154&lt;/_pages&gt;&lt;_tertiary_title&gt;Ecosystem Services&lt;/_tertiary_title&gt;&lt;_url&gt;https://linkinghub.elsevier.com/retrieve/pii/S2212041616301188_x000d__x000a_https://api.elsevier.com/content/article/PII:S2212041616301188?httpAccept=text/xml&lt;/_url&gt;&lt;_volume&gt;26&lt;/_volume&gt;&lt;/Details&gt;&lt;Extra&gt;&lt;DBUID&gt;{F96A950B-833F-4880-A151-76DA2D6A2879}&lt;/DBUID&gt;&lt;/Extra&gt;&lt;/Item&gt;&lt;/References&gt;&lt;/Group&gt;&lt;Group&gt;&lt;References&gt;&lt;Item&gt;&lt;ID&gt;1504&lt;/ID&gt;&lt;UID&gt;{6C1564D9-812B-48C5-9B8D-FA46DBABCB9E}&lt;/UID&gt;&lt;Title&gt;基于城市化的浙江省湾区经济带碳排放时空分布特征及影响因素分析&lt;/Title&gt;&lt;Template&gt;Journal Article&lt;/Template&gt;&lt;Star&gt;0&lt;/Star&gt;&lt;Tag&gt;0&lt;/Tag&gt;&lt;Author&gt;沈杨; 汪聪聪; 高超; 丁镭&lt;/Author&gt;&lt;Year&gt;2020&lt;/Year&gt;&lt;Details&gt;&lt;_accessed&gt;64137053&lt;/_accessed&gt;&lt;_author_aff&gt;宁波职业技术学院商贸外语学院;宁波大学地理与空间信息技术系;&lt;/_author_aff&gt;&lt;_cited_count&gt;6&lt;/_cited_count&gt;&lt;_collection_scope&gt;CSCD;CSSCI-C;PKU&lt;/_collection_scope&gt;&lt;_created&gt;64137053&lt;/_created&gt;&lt;_date&gt;63201600&lt;/_date&gt;&lt;_db_updated&gt;CNKI - Reference&lt;/_db_updated&gt;&lt;_issue&gt;02&lt;/_issue&gt;&lt;_journal&gt;自然资源学报&lt;/_journal&gt;&lt;_keywords&gt;城市化;碳排放;GTWR模型;湾区经济带&lt;/_keywords&gt;&lt;_language&gt;Chinese&lt;/_language&gt;&lt;_modified&gt;64137053&lt;/_modified&gt;&lt;_pages&gt;329-342&lt;/_pages&gt;&lt;_url&gt;https://kns.cnki.net/kcms/detail/detail.aspx?FileName=ZRZX202002007&amp;amp;DbName=DKFX2020&lt;/_url&gt;&lt;_volume&gt;35&lt;/_volume&gt;&lt;_translated_author&gt;Shen, Yang;Wang, Congcong;Gao, Chao;Ding, Lei&lt;/_translated_author&gt;&lt;/Details&gt;&lt;Extra&gt;&lt;DBUID&gt;{F96A950B-833F-4880-A151-76DA2D6A2879}&lt;/DBUID&gt;&lt;/Extra&gt;&lt;/Item&gt;&lt;/References&gt;&lt;/Group&gt;&lt;/Citation&gt;_x000a_"/>
    <w:docVar w:name="NE.Ref{48A3FBA1-94D7-4627-93F4-5728C4FC79BB}" w:val=" ADDIN NE.Ref.{48A3FBA1-94D7-4627-93F4-5728C4FC79BB}&lt;Citation&gt;&lt;Group&gt;&lt;References&gt;&lt;Item&gt;&lt;ID&gt;1483&lt;/ID&gt;&lt;UID&gt;{247694BA-1BAC-4B49-8EE1-0C940D0A3B63}&lt;/UID&gt;&lt;Title&gt;Identifying the Impact of Landscape Pattern on Ecosystem Services in the Middle Reaches of the Yangtze River Urban Agglomerations, China&lt;/Title&gt;&lt;Template&gt;Journal Article&lt;/Template&gt;&lt;Star&gt;0&lt;/Star&gt;&lt;Tag&gt;0&lt;/Tag&gt;&lt;Author&gt;Liu, Luwen; Chen, Xingrong; Chen, Wanxu; Ye, Xinyue&lt;/Author&gt;&lt;Year&gt;2020&lt;/Year&gt;&lt;Details&gt;&lt;_accessed&gt;64113763&lt;/_accessed&gt;&lt;_collection_scope&gt;SCIE;SSCI&lt;/_collection_scope&gt;&lt;_created&gt;64113763&lt;/_created&gt;&lt;_date&gt;63394560&lt;/_date&gt;&lt;_db_updated&gt;CrossRef&lt;/_db_updated&gt;&lt;_doi&gt;10.3390/ijerph17145063&lt;/_doi&gt;&lt;_impact_factor&gt;   3.390&lt;/_impact_factor&gt;&lt;_isbn&gt;1660-4601&lt;/_isbn&gt;&lt;_issue&gt;14&lt;/_issue&gt;&lt;_journal&gt;International Journal of Environmental Research and Public Health&lt;/_journal&gt;&lt;_modified&gt;64113763&lt;/_modified&gt;&lt;_pages&gt;5063&lt;/_pages&gt;&lt;_tertiary_title&gt;IJERPH&lt;/_tertiary_title&gt;&lt;_url&gt;https://www.mdpi.com/1660-4601/17/14/5063_x000d__x000a_https://www.mdpi.com/1660-4601/17/14/5063/pdf&lt;/_url&gt;&lt;_volume&gt;17&lt;/_volume&gt;&lt;/Details&gt;&lt;Extra&gt;&lt;DBUID&gt;{F96A950B-833F-4880-A151-76DA2D6A2879}&lt;/DBUID&gt;&lt;/Extra&gt;&lt;/Item&gt;&lt;/References&gt;&lt;/Group&gt;&lt;/Citation&gt;_x000a_"/>
    <w:docVar w:name="NE.Ref{494DB639-9538-4044-9EF5-92212D1C5B48}" w:val=" ADDIN NE.Ref.{494DB639-9538-4044-9EF5-92212D1C5B48}&lt;Citation&gt;&lt;Group&gt;&lt;References&gt;&lt;Item&gt;&lt;ID&gt;1549&lt;/ID&gt;&lt;UID&gt;{DC7BC964-6831-4A5D-BCAA-E993A827EA85}&lt;/UID&gt;&lt;Title&gt;生态系统服务权衡与集成方法_傅伯杰&lt;/Title&gt;&lt;Template&gt;Journal Article&lt;/Template&gt;&lt;Star&gt;1&lt;/Star&gt;&lt;Tag&gt;0&lt;/Tag&gt;&lt;Author/&gt;&lt;Year&gt;0&lt;/Year&gt;&lt;Details&gt;&lt;_created&gt;64173045&lt;/_created&gt;&lt;_modified&gt;64173045&lt;/_modified&gt;&lt;/Details&gt;&lt;Extra&gt;&lt;DBUID&gt;{F96A950B-833F-4880-A151-76DA2D6A2879}&lt;/DBUID&gt;&lt;/Extra&gt;&lt;/Item&gt;&lt;/References&gt;&lt;/Group&gt;&lt;/Citation&gt;_x000a_"/>
    <w:docVar w:name="NE.Ref{496732C1-290A-4272-B5C9-5B294DEF5C07}" w:val=" ADDIN NE.Ref.{496732C1-290A-4272-B5C9-5B294DEF5C07}&lt;Citation&gt;&lt;Group&gt;&lt;References&gt;&lt;Item&gt;&lt;ID&gt;1518&lt;/ID&gt;&lt;UID&gt;{E38473E2-C73A-45D3-8204-5E8E0004CC25}&lt;/UID&gt;&lt;Title&gt;Check-in behaviour and spatio-temporal vibrancy: An exploratory analysis in Shenzhen, China&lt;/Title&gt;&lt;Template&gt;Journal Article&lt;/Template&gt;&lt;Star&gt;1&lt;/Star&gt;&lt;Tag&gt;5&lt;/Tag&gt;&lt;Author&gt;Wu, Chao; Ye, Xinyue; Ren, Fu; Du, Qingyun&lt;/Author&gt;&lt;Year&gt;2018&lt;/Year&gt;&lt;Details&gt;&lt;_doi&gt;10.1016/j.cities.2018.01.017&lt;/_doi&gt;&lt;_created&gt;64152568&lt;/_created&gt;&lt;_modified&gt;64152569&lt;/_modified&gt;&lt;_url&gt;https://linkinghub.elsevier.com/retrieve/pii/S0264275117303438_x000d__x000a_https://api.elsevier.com/content/article/PII:S0264275117303438?httpAccept=text/xml&lt;/_url&gt;&lt;_journal&gt;Cities&lt;/_journal&gt;&lt;_volume&gt;77&lt;/_volume&gt;&lt;_pages&gt;104-116&lt;/_pages&gt;&lt;_tertiary_title&gt;Cities&lt;/_tertiary_title&gt;&lt;_isbn&gt;02642751&lt;/_isbn&gt;&lt;_accessed&gt;64152568&lt;/_accessed&gt;&lt;_db_updated&gt;CrossRef&lt;/_db_updated&gt;&lt;_impact_factor&gt;   5.835&lt;/_impact_factor&gt;&lt;_collection_scope&gt;SSCI&lt;/_collection_scope&gt;&lt;/Details&gt;&lt;Extra&gt;&lt;DBUID&gt;{F96A950B-833F-4880-A151-76DA2D6A2879}&lt;/DBUID&gt;&lt;/Extra&gt;&lt;/Item&gt;&lt;/References&gt;&lt;/Group&gt;&lt;/Citation&gt;_x000a_"/>
    <w:docVar w:name="NE.Ref{49E58879-1D0C-4C62-A6E7-85034CC283F6}" w:val=" ADDIN NE.Ref.{49E58879-1D0C-4C62-A6E7-85034CC283F6}&lt;Citation&gt;&lt;Group&gt;&lt;References&gt;&lt;Item&gt;&lt;ID&gt;1520&lt;/ID&gt;&lt;UID&gt;{26009FE3-BF42-43AE-AD77-AE055AC230BA}&lt;/UID&gt;&lt;Title&gt;Spatiotemporal effects of climate factors on childhood hand, foot, and mouth disease: a case study using mixed geographically and temporally weighted regression models&lt;/Title&gt;&lt;Template&gt;Journal Article&lt;/Template&gt;&lt;Star&gt;1&lt;/Star&gt;&lt;Tag&gt;5&lt;/Tag&gt;&lt;Author&gt;Hong, Zhimin; Mei, Changlin; Wang, Huhu; Du, Wala&lt;/Author&gt;&lt;Year&gt;2021&lt;/Year&gt;&lt;Details&gt;&lt;_created&gt;64152568&lt;/_created&gt;&lt;_modified&gt;64152569&lt;/_modified&gt;&lt;_url&gt;https://go.exlibris.link/Hg2d4CKh&lt;/_url&gt;&lt;_journal&gt;International journal of geographical information science : IJGIS&lt;/_journal&gt;&lt;_volume&gt;35&lt;/_volume&gt;&lt;_issue&gt;8&lt;/_issue&gt;&lt;_number&gt;1&lt;/_number&gt;&lt;_pages&gt;1611-1633&lt;/_pages&gt;&lt;_doi&gt;10.1080/13658816.2021.1882681&lt;/_doi&gt;&lt;_date_display&gt;2021&lt;/_date_display&gt;&lt;_date&gt;63640800&lt;/_date&gt;&lt;_isbn&gt;1365-8816&lt;/_isbn&gt;&lt;_ori_publication&gt;Taylor &amp;amp; Francis&lt;/_ori_publication&gt;&lt;_keywords&gt;bootstrap test; climate factor; foot; geographically and temporally weighted regression; Hand; mouth disease; spatiotemporal heterogeneity&lt;/_keywords&gt;&lt;_accessed&gt;64152568&lt;/_accessed&gt;&lt;_db_updated&gt;PKU Search&lt;/_db_updated&gt;&lt;_impact_factor&gt;   4.186&lt;/_impact_factor&gt;&lt;/Details&gt;&lt;Extra&gt;&lt;DBUID&gt;{F96A950B-833F-4880-A151-76DA2D6A2879}&lt;/DBUID&gt;&lt;/Extra&gt;&lt;/Item&gt;&lt;/References&gt;&lt;/Group&gt;&lt;/Citation&gt;_x000a_"/>
    <w:docVar w:name="NE.Ref{49EBCE3C-D45E-48F6-AB34-DB22D25CFF7A}" w:val=" ADDIN NE.Ref.{49EBCE3C-D45E-48F6-AB34-DB22D25CFF7A}&lt;Citation&gt;&lt;Group&gt;&lt;References&gt;&lt;Item&gt;&lt;ID&gt;1204&lt;/ID&gt;&lt;UID&gt;{5903BB77-ECD5-4933-9769-294B530A549D}&lt;/UID&gt;&lt;Title&gt;Assessing highway&amp;apos;s impacts on landscape patterns and ecosystem services: A case study in Puli Township, Taiwan&lt;/Title&gt;&lt;Template&gt;Journal Article&lt;/Template&gt;&lt;Star&gt;0&lt;/Star&gt;&lt;Tag&gt;0&lt;/Tag&gt;&lt;Author&gt;Wu, Chen-Fa; Lin, Yu-Pin; Chiang, Li-Chi; Huang, Tao&lt;/Author&gt;&lt;Year&gt;2014&lt;/Year&gt;&lt;Details&gt;&lt;_accessed&gt;64056073&lt;/_accessed&gt;&lt;_collection_scope&gt;SCIE;SSCI;EI&lt;/_collection_scope&gt;&lt;_created&gt;64055266&lt;/_created&gt;&lt;_db_updated&gt;CrossRef&lt;/_db_updated&gt;&lt;_doi&gt;10.1016/j.landurbplan.2014.04.020&lt;/_doi&gt;&lt;_impact_factor&gt;   6.142&lt;/_impact_factor&gt;&lt;_isbn&gt;01692046&lt;/_isbn&gt;&lt;_journal&gt;Landscape and Urban Planning&lt;/_journal&gt;&lt;_modified&gt;64056073&lt;/_modified&gt;&lt;_pages&gt;60-71&lt;/_pages&gt;&lt;_tertiary_title&gt;Landscape and Urban Planning&lt;/_tertiary_title&gt;&lt;_url&gt;https://linkinghub.elsevier.com/retrieve/pii/S0169204614001121_x000d__x000a_https://api.elsevier.com/content/article/PII:S0169204614001121?httpAccept=text/xml&lt;/_url&gt;&lt;_volume&gt;128&lt;/_volume&gt;&lt;/Details&gt;&lt;Extra&gt;&lt;DBUID&gt;{F96A950B-833F-4880-A151-76DA2D6A2879}&lt;/DBUID&gt;&lt;/Extra&gt;&lt;/Item&gt;&lt;/References&gt;&lt;/Group&gt;&lt;/Citation&gt;_x000a_"/>
    <w:docVar w:name="NE.Ref{4B340B8E-BB15-401A-B3BE-C7EB7AA4E6EC}" w:val=" ADDIN NE.Ref.{4B340B8E-BB15-401A-B3BE-C7EB7AA4E6EC}&lt;Citation&gt;&lt;Group&gt;&lt;References&gt;&lt;Item&gt;&lt;ID&gt;1538&lt;/ID&gt;&lt;UID&gt;{D06FE1A4-2BC0-4D59-9F1C-D8CB3B70A221}&lt;/UID&gt;&lt;Title&gt;Effects of landscape configuration on mapping ecosystem service capacity: a review of evidence and a case study in Scotland&lt;/Title&gt;&lt;Template&gt;Journal Article&lt;/Template&gt;&lt;Star&gt;1&lt;/Star&gt;&lt;Tag&gt;5&lt;/Tag&gt;&lt;Author&gt;Verhagen, Willem; Van Teeffelen, Astrid J A; Baggio Compagnucci, Andrea; Poggio, Laura; Gimona, Alessandro; Verburg, Peter H&lt;/Author&gt;&lt;Year&gt;2016&lt;/Year&gt;&lt;Details&gt;&lt;_doi&gt;10.1007/s10980-016-0345-2&lt;/_doi&gt;&lt;_created&gt;64164714&lt;/_created&gt;&lt;_modified&gt;64164714&lt;/_modified&gt;&lt;_url&gt;http://link.springer.com/10.1007/s10980-016-0345-2_x000d__x000a_http://link.springer.com/content/pdf/10.1007/s10980-016-0345-2&lt;/_url&gt;&lt;_journal&gt;Landscape Ecology&lt;/_journal&gt;&lt;_volume&gt;31&lt;/_volume&gt;&lt;_issue&gt;7&lt;/_issue&gt;&lt;_pages&gt;1457-1479&lt;/_pages&gt;&lt;_tertiary_title&gt;Landscape Ecol&lt;/_tertiary_title&gt;&lt;_isbn&gt;0921-2973&lt;/_isbn&gt;&lt;_accessed&gt;64164714&lt;/_accessed&gt;&lt;_db_updated&gt;CrossRef&lt;/_db_updated&gt;&lt;_impact_factor&gt;   3.848&lt;/_impact_factor&gt;&lt;_collection_scope&gt;SCIE&lt;/_collection_scope&gt;&lt;/Details&gt;&lt;Extra&gt;&lt;DBUID&gt;{F96A950B-833F-4880-A151-76DA2D6A2879}&lt;/DBUID&gt;&lt;/Extra&gt;&lt;/Item&gt;&lt;/References&gt;&lt;/Group&gt;&lt;/Citation&gt;_x000a_"/>
    <w:docVar w:name="NE.Ref{4DB9D972-9612-4E0F-B45D-0D398EFFBC66}" w:val=" ADDIN NE.Ref.{4DB9D972-9612-4E0F-B45D-0D398EFFBC66}&lt;Citation&gt;&lt;Group&gt;&lt;References&gt;&lt;Item&gt;&lt;ID&gt;1221&lt;/ID&gt;&lt;UID&gt;{91FDACDD-398D-4F13-B430-7599155E26C0}&lt;/UID&gt;&lt;Title&gt;土地利用及景观格局演变对生态系统服务价值的影响&lt;/Title&gt;&lt;Template&gt;Journal Article&lt;/Template&gt;&lt;Star&gt;0&lt;/Star&gt;&lt;Tag&gt;0&lt;/Tag&gt;&lt;Author&gt;王航; 秦奋; 朱筠; 张传才&lt;/Author&gt;&lt;Year&gt;2017&lt;/Year&gt;&lt;Details&gt;&lt;_accessed&gt;64056127&lt;/_accessed&gt;&lt;_author_aff&gt;黄河中下游数字地理技术教育部重点实验室;河南大学环境与规划学院;韩山师范学院旅游管理与烹饪学院;&lt;/_author_aff&gt;&lt;_collection_scope&gt;CSCD;PKU&lt;/_collection_scope&gt;&lt;_created&gt;64056126&lt;/_created&gt;&lt;_date&gt;61613280&lt;/_date&gt;&lt;_db_updated&gt;CNKI - Reference&lt;/_db_updated&gt;&lt;_issue&gt;04&lt;/_issue&gt;&lt;_journal&gt;生态学报&lt;/_journal&gt;&lt;_keywords&gt;生态系统服务价值;土地利用变化;景观格局;时空分异;淮河上游&lt;/_keywords&gt;&lt;_language&gt;Chinese&lt;/_language&gt;&lt;_modified&gt;64056127&lt;/_modified&gt;&lt;_pages&gt;1286-1296&lt;/_pages&gt;&lt;_url&gt;https://kns.cnki.net/kcms/detail/detail.aspx?FileName=STXB201704024&amp;amp;DbName=CJFQ2017&lt;/_url&gt;&lt;_volume&gt;37&lt;/_volume&gt;&lt;_translated_author&gt;Wang, Hang;Qin, Fen;Zhu, Yun;Zhang, Chuancai&lt;/_translated_author&gt;&lt;/Details&gt;&lt;Extra&gt;&lt;DBUID&gt;{F96A950B-833F-4880-A151-76DA2D6A2879}&lt;/DBUID&gt;&lt;/Extra&gt;&lt;/Item&gt;&lt;/References&gt;&lt;/Group&gt;&lt;Group&gt;&lt;References&gt;&lt;Item&gt;&lt;ID&gt;1481&lt;/ID&gt;&lt;UID&gt;{7B050D2F-7B46-4B61-9F60-68D3E822350F}&lt;/UID&gt;&lt;Title&gt;基于动态当量的乐山市生态系统服务价值时空演变及驱动力研究&lt;/Title&gt;&lt;Template&gt;Journal Article&lt;/Template&gt;&lt;Star&gt;0&lt;/Star&gt;&lt;Tag&gt;0&lt;/Tag&gt;&lt;Author&gt;王若思; 潘洪义; 刘翊涵; 唐玉萍; 张之凤; 马红菊&lt;/Author&gt;&lt;Year&gt;2022&lt;/Year&gt;&lt;Details&gt;&lt;_language&gt;Chinese&lt;/_language&gt;&lt;_created&gt;64112956&lt;/_created&gt;&lt;_modified&gt;64112956&lt;/_modified&gt;&lt;_url&gt;https://kns.cnki.net/kcms/detail/detail.aspx?FileName=STXB2021081500O&amp;amp;DbName=CAPJ2022&lt;/_url&gt;&lt;_journal&gt;生态学报&lt;/_journal&gt;&lt;_issue&gt;01&lt;/_issue&gt;&lt;_pages&gt;1-14&lt;/_pages&gt;&lt;_date&gt;63967680&lt;/_date&gt;&lt;_keywords&gt;动态当量;生态系统服务价值;时空演变;地理探测器;驱动因子;乐山市&lt;/_keywords&gt;&lt;_author_aff&gt;四川师范大学西南土地资源评价与监测教育部重点实验室;四川师范大学地理与资源科学学院;四川省水产学校;&lt;/_author_aff&gt;&lt;_accessed&gt;64112956&lt;/_accessed&gt;&lt;_db_updated&gt;CNKI - Reference&lt;/_db_updated&gt;&lt;_collection_scope&gt;CSCD;PKU&lt;/_collection_scope&gt;&lt;_translated_author&gt;Wang, Ruosi;Pan, Hongyi;Liu, Yihan;Tang, Yuping;Zhang, Zhifeng;Ma, Hongju&lt;/_translated_author&gt;&lt;/Details&gt;&lt;Extra&gt;&lt;DBUID&gt;{F96A950B-833F-4880-A151-76DA2D6A2879}&lt;/DBUID&gt;&lt;/Extra&gt;&lt;/Item&gt;&lt;/References&gt;&lt;/Group&gt;&lt;/Citation&gt;_x000a_"/>
    <w:docVar w:name="NE.Ref{4EEF3BD9-BEDF-4D02-952C-4D18E4E9190C}" w:val=" ADDIN NE.Ref.{4EEF3BD9-BEDF-4D02-952C-4D18E4E9190C}&lt;Citation&gt;&lt;Group&gt;&lt;References&gt;&lt;Item&gt;&lt;ID&gt;1518&lt;/ID&gt;&lt;UID&gt;{E38473E2-C73A-45D3-8204-5E8E0004CC25}&lt;/UID&gt;&lt;Title&gt;Check-in behaviour and spatio-temporal vibrancy: An exploratory analysis in Shenzhen, China&lt;/Title&gt;&lt;Template&gt;Journal Article&lt;/Template&gt;&lt;Star&gt;1&lt;/Star&gt;&lt;Tag&gt;5&lt;/Tag&gt;&lt;Author&gt;Wu, Chao; Ye, Xinyue; Ren, Fu; Du, Qingyun&lt;/Author&gt;&lt;Year&gt;2018&lt;/Year&gt;&lt;Details&gt;&lt;_doi&gt;10.1016/j.cities.2018.01.017&lt;/_doi&gt;&lt;_created&gt;64152568&lt;/_created&gt;&lt;_modified&gt;64152569&lt;/_modified&gt;&lt;_url&gt;https://linkinghub.elsevier.com/retrieve/pii/S0264275117303438_x000d__x000a_https://api.elsevier.com/content/article/PII:S0264275117303438?httpAccept=text/xml&lt;/_url&gt;&lt;_journal&gt;Cities&lt;/_journal&gt;&lt;_volume&gt;77&lt;/_volume&gt;&lt;_pages&gt;104-116&lt;/_pages&gt;&lt;_tertiary_title&gt;Cities&lt;/_tertiary_title&gt;&lt;_isbn&gt;02642751&lt;/_isbn&gt;&lt;_accessed&gt;64152568&lt;/_accessed&gt;&lt;_db_updated&gt;CrossRef&lt;/_db_updated&gt;&lt;_impact_factor&gt;   5.835&lt;/_impact_factor&gt;&lt;_collection_scope&gt;SSCI&lt;/_collection_scope&gt;&lt;/Details&gt;&lt;Extra&gt;&lt;DBUID&gt;{F96A950B-833F-4880-A151-76DA2D6A2879}&lt;/DBUID&gt;&lt;/Extra&gt;&lt;/Item&gt;&lt;/References&gt;&lt;/Group&gt;&lt;Group&gt;&lt;References&gt;&lt;Item&gt;&lt;ID&gt;1519&lt;/ID&gt;&lt;UID&gt;{FAB8CB75-9574-4120-B306-746363BD4BB8}&lt;/UID&gt;&lt;Title&gt;The effect of urbanization on environmental pollution in rapidly developing urban agglomerations&lt;/Title&gt;&lt;Template&gt;Journal Article&lt;/Template&gt;&lt;Star&gt;1&lt;/Star&gt;&lt;Tag&gt;5&lt;/Tag&gt;&lt;Author&gt;Liang, Longwu; Wang, Zhenbo; Li, Jiaxin&lt;/Author&gt;&lt;Year&gt;2019&lt;/Year&gt;&lt;Details&gt;&lt;_accessed&gt;64152568&lt;/_accessed&gt;&lt;_collection_scope&gt;SCIE;EI&lt;/_collection_scope&gt;&lt;_created&gt;64152568&lt;/_created&gt;&lt;_db_updated&gt;CrossRef&lt;/_db_updated&gt;&lt;_doi&gt;10.1016/j.jclepro.2019.117649&lt;/_doi&gt;&lt;_impact_factor&gt;   9.297&lt;/_impact_factor&gt;&lt;_isbn&gt;09596526&lt;/_isbn&gt;&lt;_journal&gt;Journal of Cleaner Production&lt;/_journal&gt;&lt;_modified&gt;64152569&lt;/_modified&gt;&lt;_pages&gt;117649&lt;/_pages&gt;&lt;_tertiary_title&gt;Journal of Cleaner Production&lt;/_tertiary_title&gt;&lt;_url&gt;https://linkinghub.elsevier.com/retrieve/pii/S0959652619324990_x000d__x000a_https://api.elsevier.com/content/article/PII:S0959652619324990?httpAccept=text/xml&lt;/_url&gt;&lt;_volume&gt;237&lt;/_volume&gt;&lt;/Details&gt;&lt;Extra&gt;&lt;DBUID&gt;{F96A950B-833F-4880-A151-76DA2D6A2879}&lt;/DBUID&gt;&lt;/Extra&gt;&lt;/Item&gt;&lt;/References&gt;&lt;/Group&gt;&lt;/Citation&gt;_x000a_"/>
    <w:docVar w:name="NE.Ref{503CFBF4-08C2-4BA6-87F6-9280C7415F28}" w:val=" ADDIN NE.Ref.{503CFBF4-08C2-4BA6-87F6-9280C7415F28}&lt;Citation&gt;&lt;Group&gt;&lt;References&gt;&lt;Item&gt;&lt;ID&gt;1520&lt;/ID&gt;&lt;UID&gt;{26009FE3-BF42-43AE-AD77-AE055AC230BA}&lt;/UID&gt;&lt;Title&gt;Spatiotemporal effects of climate factors on childhood hand, foot, and mouth disease: a case study using mixed geographically and temporally weighted regression models&lt;/Title&gt;&lt;Template&gt;Journal Article&lt;/Template&gt;&lt;Star&gt;1&lt;/Star&gt;&lt;Tag&gt;5&lt;/Tag&gt;&lt;Author&gt;Hong, Zhimin; Mei, Changlin; Wang, Huhu; Du, Wala&lt;/Author&gt;&lt;Year&gt;2021&lt;/Year&gt;&lt;Details&gt;&lt;_created&gt;64152568&lt;/_created&gt;&lt;_modified&gt;64152569&lt;/_modified&gt;&lt;_url&gt;https://go.exlibris.link/Hg2d4CKh&lt;/_url&gt;&lt;_journal&gt;International journal of geographical information science : IJGIS&lt;/_journal&gt;&lt;_volume&gt;35&lt;/_volume&gt;&lt;_issue&gt;8&lt;/_issue&gt;&lt;_number&gt;1&lt;/_number&gt;&lt;_pages&gt;1611-1633&lt;/_pages&gt;&lt;_doi&gt;10.1080/13658816.2021.1882681&lt;/_doi&gt;&lt;_date_display&gt;2021&lt;/_date_display&gt;&lt;_date&gt;63640800&lt;/_date&gt;&lt;_isbn&gt;1365-8816&lt;/_isbn&gt;&lt;_ori_publication&gt;Taylor &amp;amp; Francis&lt;/_ori_publication&gt;&lt;_keywords&gt;bootstrap test; climate factor; foot; geographically and temporally weighted regression; Hand; mouth disease; spatiotemporal heterogeneity&lt;/_keywords&gt;&lt;_accessed&gt;64152568&lt;/_accessed&gt;&lt;_db_updated&gt;PKU Search&lt;/_db_updated&gt;&lt;_impact_factor&gt;   4.186&lt;/_impact_factor&gt;&lt;/Details&gt;&lt;Extra&gt;&lt;DBUID&gt;{F96A950B-833F-4880-A151-76DA2D6A2879}&lt;/DBUID&gt;&lt;/Extra&gt;&lt;/Item&gt;&lt;/References&gt;&lt;/Group&gt;&lt;/Citation&gt;_x000a_"/>
    <w:docVar w:name="NE.Ref{553E4D83-86D2-4EA9-830F-21FC33C65B05}" w:val=" ADDIN NE.Ref.{553E4D83-86D2-4EA9-830F-21FC33C65B05}&lt;Citation&gt;&lt;Group&gt;&lt;References&gt;&lt;Item&gt;&lt;ID&gt;1518&lt;/ID&gt;&lt;UID&gt;{E38473E2-C73A-45D3-8204-5E8E0004CC25}&lt;/UID&gt;&lt;Title&gt;Check-in behaviour and spatio-temporal vibrancy: An exploratory analysis in Shenzhen, China&lt;/Title&gt;&lt;Template&gt;Journal Article&lt;/Template&gt;&lt;Star&gt;1&lt;/Star&gt;&lt;Tag&gt;5&lt;/Tag&gt;&lt;Author&gt;Wu, Chao; Ye, Xinyue; Ren, Fu; Du, Qingyun&lt;/Author&gt;&lt;Year&gt;2018&lt;/Year&gt;&lt;Details&gt;&lt;_doi&gt;10.1016/j.cities.2018.01.017&lt;/_doi&gt;&lt;_created&gt;64152568&lt;/_created&gt;&lt;_modified&gt;64152569&lt;/_modified&gt;&lt;_url&gt;https://linkinghub.elsevier.com/retrieve/pii/S0264275117303438_x000d__x000a_https://api.elsevier.com/content/article/PII:S0264275117303438?httpAccept=text/xml&lt;/_url&gt;&lt;_journal&gt;Cities&lt;/_journal&gt;&lt;_volume&gt;77&lt;/_volume&gt;&lt;_pages&gt;104-116&lt;/_pages&gt;&lt;_tertiary_title&gt;Cities&lt;/_tertiary_title&gt;&lt;_isbn&gt;02642751&lt;/_isbn&gt;&lt;_accessed&gt;64152568&lt;/_accessed&gt;&lt;_db_updated&gt;CrossRef&lt;/_db_updated&gt;&lt;_impact_factor&gt;   5.835&lt;/_impact_factor&gt;&lt;_collection_scope&gt;SSCI&lt;/_collection_scope&gt;&lt;/Details&gt;&lt;Extra&gt;&lt;DBUID&gt;{F96A950B-833F-4880-A151-76DA2D6A2879}&lt;/DBUID&gt;&lt;/Extra&gt;&lt;/Item&gt;&lt;/References&gt;&lt;/Group&gt;&lt;/Citation&gt;_x000a_"/>
    <w:docVar w:name="NE.Ref{5658FC49-F5E8-452E-AB4D-DD102F70E7ED}" w:val=" ADDIN NE.Ref.{5658FC49-F5E8-452E-AB4D-DD102F70E7ED}&lt;Citation&gt;&lt;Group&gt;&lt;References&gt;&lt;Item&gt;&lt;ID&gt;1516&lt;/ID&gt;&lt;UID&gt;{4D6E68AB-9932-4FCC-915D-1591360C39D2}&lt;/UID&gt;&lt;Title&gt;Modeling the spatio-temporal heterogeneity in the PM10-PM2.5 relationship&lt;/Title&gt;&lt;Template&gt;Journal Article&lt;/Template&gt;&lt;Star&gt;1&lt;/Star&gt;&lt;Tag&gt;5&lt;/Tag&gt;&lt;Author&gt;Chu, Hone-Jay; Huang, Bo; Lin, Chuan-Yao&lt;/Author&gt;&lt;Year&gt;2015&lt;/Year&gt;&lt;Details&gt;&lt;_doi&gt;10.1016/j.atmosenv.2014.11.062&lt;/_doi&gt;&lt;_created&gt;64152568&lt;/_created&gt;&lt;_modified&gt;64152569&lt;/_modified&gt;&lt;_url&gt;https://linkinghub.elsevier.com/retrieve/pii/S1352231014009340_x000d__x000a_https://api.elsevier.com/content/article/PII:S1352231014009340?httpAccept=text/plain&lt;/_url&gt;&lt;_journal&gt;Atmospheric Environment&lt;/_journal&gt;&lt;_volume&gt;102&lt;/_volume&gt;&lt;_pages&gt;176-182&lt;/_pages&gt;&lt;_tertiary_title&gt;Atmospheric Environment&lt;/_tertiary_title&gt;&lt;_isbn&gt;13522310&lt;/_isbn&gt;&lt;_accessed&gt;64152568&lt;/_accessed&gt;&lt;_db_updated&gt;CrossRef&lt;/_db_updated&gt;&lt;_impact_factor&gt;   4.798&lt;/_impact_factor&gt;&lt;_collection_scope&gt;SCI;SCIE;EI&lt;/_collection_scope&gt;&lt;/Details&gt;&lt;Extra&gt;&lt;DBUID&gt;{F96A950B-833F-4880-A151-76DA2D6A2879}&lt;/DBUID&gt;&lt;/Extra&gt;&lt;/Item&gt;&lt;/References&gt;&lt;/Group&gt;&lt;/Citation&gt;_x000a_"/>
    <w:docVar w:name="NE.Ref{59212C34-3E8F-410C-8DA9-9A099CB4E7E1}" w:val=" ADDIN NE.Ref.{59212C34-3E8F-410C-8DA9-9A099CB4E7E1}&lt;Citation&gt;&lt;Group&gt;&lt;References&gt;&lt;Item&gt;&lt;ID&gt;1201&lt;/ID&gt;&lt;UID&gt;{EADA07E5-9F03-4379-A163-77D450378982}&lt;/UID&gt;&lt;Title&gt;Ecosystem services in peri-urban landscapes: The effects of agricultural landscape change on ecosystem services in Taiwan&amp;apos;s western coastal plain&lt;/Title&gt;&lt;Template&gt;Journal Article&lt;/Template&gt;&lt;Star&gt;0&lt;/Star&gt;&lt;Tag&gt;0&lt;/Tag&gt;&lt;Author&gt;Lee, Ying-Chieh; Ahern, Jack; Yeh, Chia-Tsung&lt;/Author&gt;&lt;Year&gt;2015&lt;/Year&gt;&lt;Details&gt;&lt;_accessed&gt;64056073&lt;/_accessed&gt;&lt;_collection_scope&gt;SCIE;SSCI;EI&lt;/_collection_scope&gt;&lt;_created&gt;64055266&lt;/_created&gt;&lt;_db_updated&gt;CrossRef&lt;/_db_updated&gt;&lt;_doi&gt;10.1016/j.landurbplan.2015.02.023&lt;/_doi&gt;&lt;_impact_factor&gt;   6.142&lt;/_impact_factor&gt;&lt;_isbn&gt;01692046&lt;/_isbn&gt;&lt;_journal&gt;Landscape and Urban Planning&lt;/_journal&gt;&lt;_modified&gt;64056073&lt;/_modified&gt;&lt;_pages&gt;137-148&lt;/_pages&gt;&lt;_tertiary_title&gt;Landscape and Urban Planning&lt;/_tertiary_title&gt;&lt;_url&gt;https://linkinghub.elsevier.com/retrieve/pii/S0169204615000596_x000d__x000a_https://api.elsevier.com/content/article/PII:S0169204615000596?httpAccept=text/xml&lt;/_url&gt;&lt;_volume&gt;139&lt;/_volume&gt;&lt;/Details&gt;&lt;Extra&gt;&lt;DBUID&gt;{F96A950B-833F-4880-A151-76DA2D6A2879}&lt;/DBUID&gt;&lt;/Extra&gt;&lt;/Item&gt;&lt;/References&gt;&lt;/Group&gt;&lt;/Citation&gt;_x000a_"/>
    <w:docVar w:name="NE.Ref{5C0E8DBF-BFBB-4D56-8D28-8C4346B36127}" w:val=" ADDIN NE.Ref.{5C0E8DBF-BFBB-4D56-8D28-8C4346B36127}&lt;Citation&gt;&lt;Group&gt;&lt;References&gt;&lt;Item&gt;&lt;ID&gt;1514&lt;/ID&gt;&lt;UID&gt;{8F420C78-5386-4407-82A1-B3EEDBA16308}&lt;/UID&gt;&lt;Title&gt;Quantifying spatial non-stationarity in the relationship between landscape structure and the provision of ecosystem services: An example in the New Zealand hill country&lt;/Title&gt;&lt;Template&gt;Journal Article&lt;/Template&gt;&lt;Star&gt;1&lt;/Star&gt;&lt;Tag&gt;5&lt;/Tag&gt;&lt;Author&gt;Tran, Duy X; Pearson, Diane; Palmer, Alan; Lowry, John; Gray, David; Dominati, Estelle J&lt;/Author&gt;&lt;Year&gt;2022&lt;/Year&gt;&lt;Details&gt;&lt;_doi&gt;10.1016/j.scitotenv.2021.152126&lt;/_doi&gt;&lt;_created&gt;64151140&lt;/_created&gt;&lt;_modified&gt;64151140&lt;/_modified&gt;&lt;_url&gt;https://linkinghub.elsevier.com/retrieve/pii/S0048969721072028_x000d__x000a_https://api.elsevier.com/content/article/PII:S0048969721072028?httpAccept=text/xml&lt;/_url&gt;&lt;_journal&gt;Science of The Total Environment&lt;/_journal&gt;&lt;_volume&gt;808&lt;/_volume&gt;&lt;_pages&gt;152126&lt;/_pages&gt;&lt;_tertiary_title&gt;Science of The Total Environment&lt;/_tertiary_title&gt;&lt;_isbn&gt;00489697&lt;/_isbn&gt;&lt;_accessed&gt;64151140&lt;/_accessed&gt;&lt;_db_updated&gt;CrossRef&lt;/_db_updated&gt;&lt;_impact_factor&gt;   7.963&lt;/_impact_factor&gt;&lt;_collection_scope&gt;SCI;SCIE;EI&lt;/_collection_scope&gt;&lt;/Details&gt;&lt;Extra&gt;&lt;DBUID&gt;{F96A950B-833F-4880-A151-76DA2D6A2879}&lt;/DBUID&gt;&lt;/Extra&gt;&lt;/Item&gt;&lt;/References&gt;&lt;/Group&gt;&lt;/Citation&gt;_x000a_"/>
    <w:docVar w:name="NE.Ref{5F1AE76F-E527-40C2-9C73-A5BB6DA47786}" w:val=" ADDIN NE.Ref.{5F1AE76F-E527-40C2-9C73-A5BB6DA47786}&lt;Citation&gt;&lt;Group&gt;&lt;References&gt;&lt;Item&gt;&lt;ID&gt;1461&lt;/ID&gt;&lt;UID&gt;{411F5C0E-608B-4AFB-ABF4-BC1DAE918D33}&lt;/UID&gt;&lt;Title&gt;中国建设用地扩张对景观格局演化的影响&lt;/Title&gt;&lt;Template&gt;Journal Article&lt;/Template&gt;&lt;Star&gt;0&lt;/Star&gt;&lt;Tag&gt;0&lt;/Tag&gt;&lt;Author&gt;李广东; 戚伟&lt;/Author&gt;&lt;Year&gt;2019&lt;/Year&gt;&lt;Details&gt;&lt;_accessed&gt;64109897&lt;/_accessed&gt;&lt;_author_aff&gt;中国科学院地理科学与资源研究所中国科学院区域可持续发展分析与模拟重点实验室;中国科学院大学资源与环境学院;&lt;/_author_aff&gt;&lt;_cited_count&gt;31&lt;/_cited_count&gt;&lt;_collection_scope&gt;CSCD;CSSCI-C;PKU;EI&lt;/_collection_scope&gt;&lt;_created&gt;64109897&lt;/_created&gt;&lt;_date&gt;63093600&lt;/_date&gt;&lt;_db_updated&gt;CNKI - Reference&lt;/_db_updated&gt;&lt;_issue&gt;12&lt;/_issue&gt;&lt;_journal&gt;地理学报&lt;/_journal&gt;&lt;_keywords&gt;建设用地扩张;景观格局;影响机制;空间计量模型;时空异质性;中国&lt;/_keywords&gt;&lt;_language&gt;Chinese&lt;/_language&gt;&lt;_modified&gt;64109897&lt;/_modified&gt;&lt;_pages&gt;2572-2591&lt;/_pages&gt;&lt;_url&gt;https://kns.cnki.net/kcms/detail/detail.aspx?FileName=DLXB201912012&amp;amp;DbName=CJFQ2019&lt;/_url&gt;&lt;_volume&gt;74&lt;/_volume&gt;&lt;_translated_author&gt;Li, Guangdong;Qi, Wei&lt;/_translated_author&gt;&lt;/Details&gt;&lt;Extra&gt;&lt;DBUID&gt;{F96A950B-833F-4880-A151-76DA2D6A2879}&lt;/DBUID&gt;&lt;/Extra&gt;&lt;/Item&gt;&lt;/References&gt;&lt;/Group&gt;&lt;/Citation&gt;_x000a_"/>
    <w:docVar w:name="NE.Ref{6013A3E2-5625-42E0-8A39-7C02F269A19D}" w:val=" ADDIN NE.Ref.{6013A3E2-5625-42E0-8A39-7C02F269A19D}&lt;Citation&gt;&lt;Group&gt;&lt;References&gt;&lt;Item&gt;&lt;ID&gt;1228&lt;/ID&gt;&lt;UID&gt;{BD1B26A4-EA37-4A82-94D6-E96770962455}&lt;/UID&gt;&lt;Title&gt;汶川县生态系统服务对景观格局及其变化的响应&lt;/Title&gt;&lt;Template&gt;Journal Article&lt;/Template&gt;&lt;Star&gt;0&lt;/Star&gt;&lt;Tag&gt;0&lt;/Tag&gt;&lt;Author&gt;徐建英; 樊斐斐; 刘焱序; 陈吉星; 魏建瑛&lt;/Author&gt;&lt;Year&gt;2020&lt;/Year&gt;&lt;Details&gt;&lt;_accessed&gt;64066162&lt;/_accessed&gt;&lt;_author_aff&gt;首都师范大学资源环境与旅游学院;北京师范大学地理科学学部地表过程与资源生态国家重点实验室;&lt;/_author_aff&gt;&lt;_collection_scope&gt;CSCD;PKU&lt;/_collection_scope&gt;&lt;_created&gt;64056126&lt;/_created&gt;&lt;_date&gt;63407520&lt;/_date&gt;&lt;_db_updated&gt;CNKI - Reference&lt;/_db_updated&gt;&lt;_issue&gt;14&lt;/_issue&gt;&lt;_journal&gt;生态学报&lt;/_journal&gt;&lt;_keywords&gt;生态系统服务;景观格局指数;动态变化;汶川&lt;/_keywords&gt;&lt;_language&gt;Chinese&lt;/_language&gt;&lt;_modified&gt;64066162&lt;/_modified&gt;&lt;_pages&gt;4724-4736&lt;/_pages&gt;&lt;_url&gt;https://kns.cnki.net/kcms/detail/detail.aspx?FileName=STXB202014003&amp;amp;DbName=CJFQ2020&lt;/_url&gt;&lt;_volume&gt;40&lt;/_volume&gt;&lt;_translated_author&gt;Xu, Jianying;Fan, Feifei;Liu, Yanxu;Chen, Jixing;Wei, Jianying&lt;/_translated_author&gt;&lt;/Details&gt;&lt;Extra&gt;&lt;DBUID&gt;{F96A950B-833F-4880-A151-76DA2D6A2879}&lt;/DBUID&gt;&lt;/Extra&gt;&lt;/Item&gt;&lt;/References&gt;&lt;/Group&gt;&lt;/Citation&gt;_x000a_"/>
    <w:docVar w:name="NE.Ref{66032446-8CF9-47F5-941E-97E7A3009EA3}" w:val=" ADDIN NE.Ref.{66032446-8CF9-47F5-941E-97E7A3009EA3}&lt;Citation&gt;&lt;Group&gt;&lt;References&gt;&lt;Item&gt;&lt;ID&gt;1215&lt;/ID&gt;&lt;UID&gt;{65BC2BDB-9DE1-46FD-A504-53F5B171D290}&lt;/UID&gt;&lt;Title&gt;Impact of landscape pattern changes on hydrological ecosystem services in the Beressa watershed of the Blue Nile Basin in Ethiopia&lt;/Title&gt;&lt;Template&gt;Journal Article&lt;/Template&gt;&lt;Star&gt;1&lt;/Star&gt;&lt;Tag&gt;0&lt;/Tag&gt;&lt;Author&gt;Yohannes, Hamere; Soromessa, Teshome; Argaw, Mekuria; Dewan, Ashraf&lt;/Author&gt;&lt;Year&gt;2021&lt;/Year&gt;&lt;Details&gt;&lt;_accessed&gt;64056064&lt;/_accessed&gt;&lt;_collection_scope&gt;SCI;SCIE;EI&lt;/_collection_scope&gt;&lt;_created&gt;64055266&lt;/_created&gt;&lt;_db_updated&gt;CrossRef&lt;/_db_updated&gt;&lt;_doi&gt;10.1016/j.scitotenv.2021.148559&lt;/_doi&gt;&lt;_impact_factor&gt;   7.963&lt;/_impact_factor&gt;&lt;_isbn&gt;00489697&lt;/_isbn&gt;&lt;_journal&gt;Science of The Total Environment&lt;/_journal&gt;&lt;_modified&gt;64139717&lt;/_modified&gt;&lt;_pages&gt;148559&lt;/_pages&gt;&lt;_tertiary_title&gt;Science of The Total Environment&lt;/_tertiary_title&gt;&lt;_url&gt;https://linkinghub.elsevier.com/retrieve/pii/S0048969721036317_x000d__x000a_https://api.elsevier.com/content/article/PII:S0048969721036317?httpAccept=text/xml&lt;/_url&gt;&lt;_volume&gt;793&lt;/_volume&gt;&lt;/Details&gt;&lt;Extra&gt;&lt;DBUID&gt;{F96A950B-833F-4880-A151-76DA2D6A2879}&lt;/DBUID&gt;&lt;/Extra&gt;&lt;/Item&gt;&lt;/References&gt;&lt;/Group&gt;&lt;/Citation&gt;_x000a_"/>
    <w:docVar w:name="NE.Ref{69DA5119-6A58-42BB-9846-E028D94E5BD7}" w:val=" ADDIN NE.Ref.{69DA5119-6A58-42BB-9846-E028D94E5BD7}&lt;Citation&gt;&lt;Group&gt;&lt;References&gt;&lt;Item&gt;&lt;ID&gt;1517&lt;/ID&gt;&lt;UID&gt;{F5CB1BEA-B37C-405D-818B-EB8EA862D41E}&lt;/UID&gt;&lt;Title&gt;Determinants of haze pollution: An analysis from the perspective of spatiotemporal heterogeneity&lt;/Title&gt;&lt;Template&gt;Journal Article&lt;/Template&gt;&lt;Star&gt;1&lt;/Star&gt;&lt;Tag&gt;5&lt;/Tag&gt;&lt;Author&gt;Dong, Feng; Zhang, Shengnan; Long, Ruyin; Zhang, Xiaoyun; Sun, Ziyuan&lt;/Author&gt;&lt;Year&gt;2019&lt;/Year&gt;&lt;Details&gt;&lt;_doi&gt;10.1016/j.jclepro.2019.03.105&lt;/_doi&gt;&lt;_created&gt;64152568&lt;/_created&gt;&lt;_modified&gt;64152569&lt;/_modified&gt;&lt;_url&gt;https://linkinghub.elsevier.com/retrieve/pii/S0959652619307966_x000d__x000a_https://api.elsevier.com/content/article/PII:S0959652619307966?httpAccept=text/xml&lt;/_url&gt;&lt;_journal&gt;Journal of Cleaner Production&lt;/_journal&gt;&lt;_volume&gt;222&lt;/_volume&gt;&lt;_pages&gt;768-783&lt;/_pages&gt;&lt;_tertiary_title&gt;Journal of Cleaner Production&lt;/_tertiary_title&gt;&lt;_isbn&gt;09596526&lt;/_isbn&gt;&lt;_accessed&gt;64152568&lt;/_accessed&gt;&lt;_db_updated&gt;CrossRef&lt;/_db_updated&gt;&lt;_impact_factor&gt;   9.297&lt;/_impact_factor&gt;&lt;_collection_scope&gt;SCIE;EI&lt;/_collection_scope&gt;&lt;/Details&gt;&lt;Extra&gt;&lt;DBUID&gt;{F96A950B-833F-4880-A151-76DA2D6A2879}&lt;/DBUID&gt;&lt;/Extra&gt;&lt;/Item&gt;&lt;/References&gt;&lt;/Group&gt;&lt;/Citation&gt;_x000a_"/>
    <w:docVar w:name="NE.Ref{6A361D5C-E219-494B-AE43-1507C62A6853}" w:val=" ADDIN NE.Ref.{6A361D5C-E219-494B-AE43-1507C62A6853}&lt;Citation&gt;&lt;Group&gt;&lt;References&gt;&lt;Item&gt;&lt;ID&gt;1187&lt;/ID&gt;&lt;UID&gt;{148E17F1-042D-4B40-9488-39F285FFDF8B}&lt;/UID&gt;&lt;Title&gt;Linking ecosystem services, urban form and green space configuration using multivariate landscape metric analysis&lt;/Title&gt;&lt;Template&gt;Journal Article&lt;/Template&gt;&lt;Star&gt;1&lt;/Star&gt;&lt;Tag&gt;0&lt;/Tag&gt;&lt;Author&gt;Grafius, Darren R; Corstanje, Ron; Harris, Jim A&lt;/Author&gt;&lt;Year&gt;2018&lt;/Year&gt;&lt;Details&gt;&lt;_accessed&gt;64056072&lt;/_accessed&gt;&lt;_collection_scope&gt;SCIE&lt;/_collection_scope&gt;&lt;_created&gt;64050804&lt;/_created&gt;&lt;_db_updated&gt;CrossRef&lt;/_db_updated&gt;&lt;_doi&gt;10.1007/s10980-018-0618-z&lt;/_doi&gt;&lt;_impact_factor&gt;   3.848&lt;/_impact_factor&gt;&lt;_isbn&gt;0921-2973&lt;/_isbn&gt;&lt;_issue&gt;4&lt;/_issue&gt;&lt;_journal&gt;Landscape Ecology&lt;/_journal&gt;&lt;_modified&gt;64162725&lt;/_modified&gt;&lt;_pages&gt;557-573&lt;/_pages&gt;&lt;_tertiary_title&gt;Landscape Ecol&lt;/_tertiary_title&gt;&lt;_url&gt;http://link.springer.com/10.1007/s10980-018-0618-z_x000d__x000a_http://link.springer.com/content/pdf/10.1007/s10980-018-0618-z.pdf&lt;/_url&gt;&lt;_volume&gt;33&lt;/_volume&gt;&lt;/Details&gt;&lt;Extra&gt;&lt;DBUID&gt;{F96A950B-833F-4880-A151-76DA2D6A2879}&lt;/DBUID&gt;&lt;/Extra&gt;&lt;/Item&gt;&lt;/References&gt;&lt;/Group&gt;&lt;/Citation&gt;_x000a_"/>
    <w:docVar w:name="NE.Ref{6BC3D5D1-EAAD-42A5-8CA8-6CF45D035B04}" w:val=" ADDIN NE.Ref.{6BC3D5D1-EAAD-42A5-8CA8-6CF45D035B04}&lt;Citation&gt;&lt;Group&gt;&lt;References&gt;&lt;Item&gt;&lt;ID&gt;1539&lt;/ID&gt;&lt;UID&gt;{D7CBB3F9-C288-40BC-8CF4-B11A082044E6}&lt;/UID&gt;&lt;Title&gt;Understanding the importance of landscape configuration on ecosystem service bundles at a high resolution in urban landscapes in the UK&lt;/Title&gt;&lt;Template&gt;Journal Article&lt;/Template&gt;&lt;Star&gt;1&lt;/Star&gt;&lt;Tag&gt;5&lt;/Tag&gt;&lt;Author&gt;Karimi, James D; Corstanje, Ron; Harris, Jim A&lt;/Author&gt;&lt;Year&gt;2021&lt;/Year&gt;&lt;Details&gt;&lt;_accessed&gt;64164714&lt;/_accessed&gt;&lt;_collection_scope&gt;SCIE&lt;/_collection_scope&gt;&lt;_created&gt;64164714&lt;/_created&gt;&lt;_db_updated&gt;CrossRef&lt;/_db_updated&gt;&lt;_doi&gt;10.1007/s10980-021-01200-2&lt;/_doi&gt;&lt;_impact_factor&gt;   3.848&lt;/_impact_factor&gt;&lt;_isbn&gt;0921-2973&lt;/_isbn&gt;&lt;_issue&gt;7&lt;/_issue&gt;&lt;_journal&gt;Landscape Ecology&lt;/_journal&gt;&lt;_modified&gt;64164714&lt;/_modified&gt;&lt;_pages&gt;2007-2024&lt;/_pages&gt;&lt;_tertiary_title&gt;Landscape Ecol&lt;/_tertiary_title&gt;&lt;_url&gt;https://link.springer.com/10.1007/s10980-021-01200-2_x000d__x000a_https://link.springer.com/content/pdf/10.1007/s10980-021-01200-2.pdf&lt;/_url&gt;&lt;_volume&gt;36&lt;/_volume&gt;&lt;/Details&gt;&lt;Extra&gt;&lt;DBUID&gt;{F96A950B-833F-4880-A151-76DA2D6A2879}&lt;/DBUID&gt;&lt;/Extra&gt;&lt;/Item&gt;&lt;/References&gt;&lt;/Group&gt;&lt;/Citation&gt;_x000a_"/>
    <w:docVar w:name="NE.Ref{6BDDBD88-4B22-4752-9FB0-7BF145659242}" w:val=" ADDIN NE.Ref.{6BDDBD88-4B22-4752-9FB0-7BF145659242}&lt;Citation&gt;&lt;Group&gt;&lt;References&gt;&lt;Item&gt;&lt;ID&gt;1517&lt;/ID&gt;&lt;UID&gt;{F5CB1BEA-B37C-405D-818B-EB8EA862D41E}&lt;/UID&gt;&lt;Title&gt;Determinants of haze pollution: An analysis from the perspective of spatiotemporal heterogeneity&lt;/Title&gt;&lt;Template&gt;Journal Article&lt;/Template&gt;&lt;Star&gt;1&lt;/Star&gt;&lt;Tag&gt;5&lt;/Tag&gt;&lt;Author&gt;Dong, Feng; Zhang, Shengnan; Long, Ruyin; Zhang, Xiaoyun; Sun, Ziyuan&lt;/Author&gt;&lt;Year&gt;2019&lt;/Year&gt;&lt;Details&gt;&lt;_doi&gt;10.1016/j.jclepro.2019.03.105&lt;/_doi&gt;&lt;_created&gt;64152568&lt;/_created&gt;&lt;_modified&gt;64152569&lt;/_modified&gt;&lt;_url&gt;https://linkinghub.elsevier.com/retrieve/pii/S0959652619307966_x000d__x000a_https://api.elsevier.com/content/article/PII:S0959652619307966?httpAccept=text/xml&lt;/_url&gt;&lt;_journal&gt;Journal of Cleaner Production&lt;/_journal&gt;&lt;_volume&gt;222&lt;/_volume&gt;&lt;_pages&gt;768-783&lt;/_pages&gt;&lt;_tertiary_title&gt;Journal of Cleaner Production&lt;/_tertiary_title&gt;&lt;_isbn&gt;09596526&lt;/_isbn&gt;&lt;_accessed&gt;64152568&lt;/_accessed&gt;&lt;_db_updated&gt;CrossRef&lt;/_db_updated&gt;&lt;_impact_factor&gt;   9.297&lt;/_impact_factor&gt;&lt;_collection_scope&gt;SCIE;EI&lt;/_collection_scope&gt;&lt;/Details&gt;&lt;Extra&gt;&lt;DBUID&gt;{F96A950B-833F-4880-A151-76DA2D6A2879}&lt;/DBUID&gt;&lt;/Extra&gt;&lt;/Item&gt;&lt;/References&gt;&lt;/Group&gt;&lt;/Citation&gt;_x000a_"/>
    <w:docVar w:name="NE.Ref{6CA17869-BE1F-49CE-A7E8-202B1805FCD4}" w:val=" ADDIN NE.Ref.{6CA17869-BE1F-49CE-A7E8-202B1805FCD4}&lt;Citation&gt;&lt;Group&gt;&lt;References&gt;&lt;Item&gt;&lt;ID&gt;1195&lt;/ID&gt;&lt;UID&gt;{50790B5B-7C68-4005-8D61-B95B61F182A6}&lt;/UID&gt;&lt;Title&gt;Impacts of Landscape Patterns on Ecosystem Services Value: A Multiscale Buffer Gradient Analysis Approach&lt;/Title&gt;&lt;Template&gt;Journal Article&lt;/Template&gt;&lt;Star&gt;1&lt;/Star&gt;&lt;Tag&gt;0&lt;/Tag&gt;&lt;Author&gt;Chen, Wanxu; Zeng, Jie; Chu, Yumei; Liang, Jiale&lt;/Author&gt;&lt;Year&gt;2021&lt;/Year&gt;&lt;Details&gt;&lt;_accessed&gt;64056062&lt;/_accessed&gt;&lt;_collection_scope&gt;SCIE;EI&lt;/_collection_scope&gt;&lt;_created&gt;64050804&lt;/_created&gt;&lt;_date&gt;63898560&lt;/_date&gt;&lt;_db_updated&gt;CrossRef&lt;/_db_updated&gt;&lt;_doi&gt;10.3390/rs13132551&lt;/_doi&gt;&lt;_impact_factor&gt;   4.848&lt;/_impact_factor&gt;&lt;_isbn&gt;2072-4292&lt;/_isbn&gt;&lt;_issue&gt;13&lt;/_issue&gt;&lt;_journal&gt;Remote Sensing&lt;/_journal&gt;&lt;_modified&gt;64056062&lt;/_modified&gt;&lt;_pages&gt;2551&lt;/_pages&gt;&lt;_tertiary_title&gt;Remote Sensing&lt;/_tertiary_title&gt;&lt;_url&gt;https://www.mdpi.com/2072-4292/13/13/2551_x000d__x000a_https://www.mdpi.com/2072-4292/13/13/2551/pdf&lt;/_url&gt;&lt;_volume&gt;13&lt;/_volume&gt;&lt;/Details&gt;&lt;Extra&gt;&lt;DBUID&gt;{F96A950B-833F-4880-A151-76DA2D6A2879}&lt;/DBUID&gt;&lt;/Extra&gt;&lt;/Item&gt;&lt;/References&gt;&lt;/Group&gt;&lt;/Citation&gt;_x000a_"/>
    <w:docVar w:name="NE.Ref{6CC8ACA7-9534-408B-AE78-0D6B4DC35967}" w:val=" ADDIN NE.Ref.{6CC8ACA7-9534-408B-AE78-0D6B4DC35967}&lt;Citation&gt;&lt;Group&gt;&lt;References&gt;&lt;Item&gt;&lt;ID&gt;1294&lt;/ID&gt;&lt;UID&gt;{49C40BBB-FA03-4DA5-B886-65EE42FED203}&lt;/UID&gt;&lt;Title&gt;Quantifying landscape pattern and ecosystem service value changes in four rapidly urbanizing hill stations of Southeast Asia&lt;/Title&gt;&lt;Template&gt;Journal Article&lt;/Template&gt;&lt;Star&gt;1&lt;/Star&gt;&lt;Tag&gt;0&lt;/Tag&gt;&lt;Author&gt;Estoque, Ronald C; Murayama, Yuji&lt;/Author&gt;&lt;Year&gt;2016&lt;/Year&gt;&lt;Details&gt;&lt;_accessed&gt;64095643&lt;/_accessed&gt;&lt;_collection_scope&gt;SCIE&lt;/_collection_scope&gt;&lt;_created&gt;64095643&lt;/_created&gt;&lt;_db_updated&gt;CrossRef&lt;/_db_updated&gt;&lt;_doi&gt;10.1007/s10980-016-0341-6&lt;/_doi&gt;&lt;_impact_factor&gt;   3.848&lt;/_impact_factor&gt;&lt;_isbn&gt;0921-2973&lt;/_isbn&gt;&lt;_issue&gt;7&lt;/_issue&gt;&lt;_journal&gt;Landscape Ecology&lt;/_journal&gt;&lt;_modified&gt;64095643&lt;/_modified&gt;&lt;_pages&gt;1481-1507&lt;/_pages&gt;&lt;_tertiary_title&gt;Landscape Ecol&lt;/_tertiary_title&gt;&lt;_url&gt;http://link.springer.com/10.1007/s10980-016-0341-6_x000d__x000a_http://link.springer.com/content/pdf/10.1007/s10980-016-0341-6&lt;/_url&gt;&lt;_volume&gt;31&lt;/_volume&gt;&lt;/Details&gt;&lt;Extra&gt;&lt;DBUID&gt;{F96A950B-833F-4880-A151-76DA2D6A2879}&lt;/DBUID&gt;&lt;/Extra&gt;&lt;/Item&gt;&lt;/References&gt;&lt;/Group&gt;&lt;/Citation&gt;_x000a_"/>
    <w:docVar w:name="NE.Ref{6D4F00D9-FCF1-458E-82DC-9E8D151F233F}" w:val=" ADDIN NE.Ref.{6D4F00D9-FCF1-458E-82DC-9E8D151F233F}&lt;Citation&gt;&lt;Group&gt;&lt;References&gt;&lt;Item&gt;&lt;ID&gt;1536&lt;/ID&gt;&lt;UID&gt;{48EA58FF-BF3E-47DF-940D-1DB3304A32D1}&lt;/UID&gt;&lt;Title&gt;Impact of landscape composition and configuration on forest specialist and generalist bird species in the fragmented Lacandona rainforest, Mexico&lt;/Title&gt;&lt;Template&gt;Journal Article&lt;/Template&gt;&lt;Star&gt;1&lt;/Star&gt;&lt;Tag&gt;5&lt;/Tag&gt;&lt;Author&gt;Carrara, Emilia; Arroyo-Rodríguez, Víctor; Vega-Rivera, Jorge H; Schondube, Jorge E; de Freitas, Sandra M; Fahrig, Lenore&lt;/Author&gt;&lt;Year&gt;2015&lt;/Year&gt;&lt;Details&gt;&lt;_accessed&gt;64164708&lt;/_accessed&gt;&lt;_collection_scope&gt;SCI;SCIE&lt;/_collection_scope&gt;&lt;_created&gt;64164707&lt;/_created&gt;&lt;_db_updated&gt;CrossRef&lt;/_db_updated&gt;&lt;_doi&gt;10.1016/j.biocon.2015.01.014&lt;/_doi&gt;&lt;_impact_factor&gt;   5.990&lt;/_impact_factor&gt;&lt;_isbn&gt;00063207&lt;/_isbn&gt;&lt;_journal&gt;Biological Conservation&lt;/_journal&gt;&lt;_modified&gt;64164708&lt;/_modified&gt;&lt;_pages&gt;117-126&lt;/_pages&gt;&lt;_tertiary_title&gt;Biological Conservation&lt;/_tertiary_title&gt;&lt;_url&gt;https://linkinghub.elsevier.com/retrieve/pii/S000632071500035X_x000d__x000a_https://api.elsevier.com/content/article/PII:S000632071500035X?httpAccept=text/xml&lt;/_url&gt;&lt;_volume&gt;184&lt;/_volume&gt;&lt;/Details&gt;&lt;Extra&gt;&lt;DBUID&gt;{F96A950B-833F-4880-A151-76DA2D6A2879}&lt;/DBUID&gt;&lt;/Extra&gt;&lt;/Item&gt;&lt;/References&gt;&lt;/Group&gt;&lt;/Citation&gt;_x000a_"/>
    <w:docVar w:name="NE.Ref{6D59E3BE-3C8D-470D-9AE7-DB2D3BED189F}" w:val=" ADDIN NE.Ref.{6D59E3BE-3C8D-470D-9AE7-DB2D3BED189F}&lt;Citation&gt;&lt;Group&gt;&lt;References&gt;&lt;Item&gt;&lt;ID&gt;1294&lt;/ID&gt;&lt;UID&gt;{49C40BBB-FA03-4DA5-B886-65EE42FED203}&lt;/UID&gt;&lt;Title&gt;Quantifying landscape pattern and ecosystem service value changes in four rapidly urbanizing hill stations of Southeast Asia&lt;/Title&gt;&lt;Template&gt;Journal Article&lt;/Template&gt;&lt;Star&gt;1&lt;/Star&gt;&lt;Tag&gt;0&lt;/Tag&gt;&lt;Author&gt;Estoque, Ronald C; Murayama, Yuji&lt;/Author&gt;&lt;Year&gt;2016&lt;/Year&gt;&lt;Details&gt;&lt;_accessed&gt;64095643&lt;/_accessed&gt;&lt;_collection_scope&gt;SCIE&lt;/_collection_scope&gt;&lt;_created&gt;64095643&lt;/_created&gt;&lt;_db_updated&gt;CrossRef&lt;/_db_updated&gt;&lt;_doi&gt;10.1007/s10980-016-0341-6&lt;/_doi&gt;&lt;_impact_factor&gt;   3.848&lt;/_impact_factor&gt;&lt;_isbn&gt;0921-2973&lt;/_isbn&gt;&lt;_issue&gt;7&lt;/_issue&gt;&lt;_journal&gt;Landscape Ecology&lt;/_journal&gt;&lt;_modified&gt;64095643&lt;/_modified&gt;&lt;_pages&gt;1481-1507&lt;/_pages&gt;&lt;_tertiary_title&gt;Landscape Ecol&lt;/_tertiary_title&gt;&lt;_url&gt;http://link.springer.com/10.1007/s10980-016-0341-6_x000d__x000a_http://link.springer.com/content/pdf/10.1007/s10980-016-0341-6&lt;/_url&gt;&lt;_volume&gt;31&lt;/_volume&gt;&lt;/Details&gt;&lt;Extra&gt;&lt;DBUID&gt;{F96A950B-833F-4880-A151-76DA2D6A2879}&lt;/DBUID&gt;&lt;/Extra&gt;&lt;/Item&gt;&lt;/References&gt;&lt;/Group&gt;&lt;/Citation&gt;_x000a_"/>
    <w:docVar w:name="NE.Ref{70C7F906-2492-4A4C-A729-3AD5BCB9450D}" w:val=" ADDIN NE.Ref.{70C7F906-2492-4A4C-A729-3AD5BCB9450D}&lt;Citation&gt;&lt;Group&gt;&lt;References&gt;&lt;Item&gt;&lt;ID&gt;1295&lt;/ID&gt;&lt;UID&gt;{28000D8A-5CED-4E9A-83C3-9FBBC8B64C50}&lt;/UID&gt;&lt;Title&gt;Impacts of changes in climate and landscape pattern on ecosystem services&lt;/Title&gt;&lt;Template&gt;Journal Article&lt;/Template&gt;&lt;Star&gt;1&lt;/Star&gt;&lt;Tag&gt;0&lt;/Tag&gt;&lt;Author&gt;Hao, Ruifang; Yu, Deyong; Liu, Yupeng; Liu, Yang; Qiao, Jianmin; Wang, Xue; Du, Jinshen&lt;/Author&gt;&lt;Year&gt;2017&lt;/Year&gt;&lt;Details&gt;&lt;_accessed&gt;64095643&lt;/_accessed&gt;&lt;_collection_scope&gt;SCI;SCIE;EI&lt;/_collection_scope&gt;&lt;_created&gt;64095643&lt;/_created&gt;&lt;_db_updated&gt;CrossRef&lt;/_db_updated&gt;&lt;_doi&gt;10.1016/j.scitotenv.2016.11.036&lt;/_doi&gt;&lt;_impact_factor&gt;   7.963&lt;/_impact_factor&gt;&lt;_isbn&gt;00489697&lt;/_isbn&gt;&lt;_journal&gt;Science of The Total Environment&lt;/_journal&gt;&lt;_modified&gt;64095643&lt;/_modified&gt;&lt;_pages&gt;718-728&lt;/_pages&gt;&lt;_tertiary_title&gt;Science of The Total Environment&lt;/_tertiary_title&gt;&lt;_url&gt;https://linkinghub.elsevier.com/retrieve/pii/S0048969716324676_x000d__x000a_https://dul.usage.elsevier.com/doi/&lt;/_url&gt;&lt;_volume&gt;579&lt;/_volume&gt;&lt;/Details&gt;&lt;Extra&gt;&lt;DBUID&gt;{F96A950B-833F-4880-A151-76DA2D6A2879}&lt;/DBUID&gt;&lt;/Extra&gt;&lt;/Item&gt;&lt;/References&gt;&lt;/Group&gt;&lt;/Citation&gt;_x000a_"/>
    <w:docVar w:name="NE.Ref{72F3E3D2-5BD6-458D-BD84-BD6A5B6492A5}" w:val=" ADDIN NE.Ref.{72F3E3D2-5BD6-458D-BD84-BD6A5B6492A5}&lt;Citation&gt;&lt;Group&gt;&lt;References&gt;&lt;Item&gt;&lt;ID&gt;1236&lt;/ID&gt;&lt;UID&gt;{D7E3485F-DDBC-4DE1-AA1B-8CB0DE134756}&lt;/UID&gt;&lt;Title&gt;On the importance of non-linear relationships between landscape patterns and the sustainable provision of ecosystem services&lt;/Title&gt;&lt;Template&gt;Journal Article&lt;/Template&gt;&lt;Star&gt;1&lt;/Star&gt;&lt;Tag&gt;0&lt;/Tag&gt;&lt;Author&gt;Grêt-Regamey, Adrienne; Rabe, Sven-Erik; Crespo, Ricardo; Lautenbach, Sven; Ryffel, Andrea; Schlup, Barbara&lt;/Author&gt;&lt;Year&gt;2014&lt;/Year&gt;&lt;Details&gt;&lt;_accessed&gt;64065473&lt;/_accessed&gt;&lt;_collection_scope&gt;SCIE&lt;/_collection_scope&gt;&lt;_created&gt;64065473&lt;/_created&gt;&lt;_db_updated&gt;CrossRef&lt;/_db_updated&gt;&lt;_doi&gt;10.1007/s10980-013-9957-y&lt;/_doi&gt;&lt;_impact_factor&gt;   3.848&lt;/_impact_factor&gt;&lt;_isbn&gt;0921-2973&lt;/_isbn&gt;&lt;_issue&gt;2&lt;/_issue&gt;&lt;_journal&gt;Landscape Ecology&lt;/_journal&gt;&lt;_modified&gt;64149797&lt;/_modified&gt;&lt;_pages&gt;201-212&lt;/_pages&gt;&lt;_tertiary_title&gt;Landscape Ecol&lt;/_tertiary_title&gt;&lt;_url&gt;http://link.springer.com/10.1007/s10980-013-9957-y_x000d__x000a_http://link.springer.com/content/pdf/10.1007/s10980-013-9957-y&lt;/_url&gt;&lt;_volume&gt;29&lt;/_volume&gt;&lt;/Details&gt;&lt;Extra&gt;&lt;DBUID&gt;{F96A950B-833F-4880-A151-76DA2D6A2879}&lt;/DBUID&gt;&lt;/Extra&gt;&lt;/Item&gt;&lt;/References&gt;&lt;/Group&gt;&lt;/Citation&gt;_x000a_"/>
    <w:docVar w:name="NE.Ref{756F4D26-F5CC-4B4E-81C8-3C63356C4474}" w:val=" ADDIN NE.Ref.{756F4D26-F5CC-4B4E-81C8-3C63356C4474}&lt;Citation&gt;&lt;Group&gt;&lt;References&gt;&lt;Item&gt;&lt;ID&gt;1532&lt;/ID&gt;&lt;UID&gt;{B842C4A8-8933-481D-A6A5-B699782D1F05}&lt;/UID&gt;&lt;Title&gt;Evaluating the effectiveness of landscape configuration metrics from landscape composition metrics&lt;/Title&gt;&lt;Template&gt;Journal Article&lt;/Template&gt;&lt;Star&gt;1&lt;/Star&gt;&lt;Tag&gt;5&lt;/Tag&gt;&lt;Author&gt;Wei, Xiaojian; Xiao, Zhanchun; Li, Qingling; Li, Peiling; Xiang, Chao&lt;/Author&gt;&lt;Year&gt;2017&lt;/Year&gt;&lt;Details&gt;&lt;_accessed&gt;64164707&lt;/_accessed&gt;&lt;_collection_scope&gt;SCIE&lt;/_collection_scope&gt;&lt;_created&gt;64164707&lt;/_created&gt;&lt;_db_updated&gt;CrossRef&lt;/_db_updated&gt;&lt;_doi&gt;10.1007/s11355-016-0314-6&lt;/_doi&gt;&lt;_impact_factor&gt;   1.813&lt;/_impact_factor&gt;&lt;_isbn&gt;1860-1871&lt;/_isbn&gt;&lt;_issue&gt;1&lt;/_issue&gt;&lt;_journal&gt;Landscape and Ecological Engineering&lt;/_journal&gt;&lt;_modified&gt;64164708&lt;/_modified&gt;&lt;_pages&gt;169-181&lt;/_pages&gt;&lt;_tertiary_title&gt;Landscape Ecol Eng&lt;/_tertiary_title&gt;&lt;_url&gt;http://link.springer.com/10.1007/s11355-016-0314-6_x000d__x000a_http://link.springer.com/content/pdf/10.1007/s11355-016-0314-6.pdf&lt;/_url&gt;&lt;_volume&gt;13&lt;/_volume&gt;&lt;/Details&gt;&lt;Extra&gt;&lt;DBUID&gt;{F96A950B-833F-4880-A151-76DA2D6A2879}&lt;/DBUID&gt;&lt;/Extra&gt;&lt;/Item&gt;&lt;/References&gt;&lt;/Group&gt;&lt;/Citation&gt;_x000a_"/>
    <w:docVar w:name="NE.Ref{75C325AC-81F7-4E79-957D-FA3F58F1D585}" w:val=" ADDIN NE.Ref.{75C325AC-81F7-4E79-957D-FA3F58F1D585}&lt;Citation&gt;&lt;Group&gt;&lt;References&gt;&lt;Item&gt;&lt;ID&gt;1252&lt;/ID&gt;&lt;UID&gt;{37F067FA-086F-4722-B062-EFC56F2D308F}&lt;/UID&gt;&lt;Title&gt;Impacts of changes in climate and landscape pattern on ecosystem services&lt;/Title&gt;&lt;Template&gt;Journal Article&lt;/Template&gt;&lt;Star&gt;0&lt;/Star&gt;&lt;Tag&gt;0&lt;/Tag&gt;&lt;Author&gt;Hao, Ruifang; Yu, Deyong; Liu, Yupeng; Liu, Yang; Qiao, Jianmin; Wang, Xue; Du, Jinshen&lt;/Author&gt;&lt;Year&gt;2017&lt;/Year&gt;&lt;Details&gt;&lt;_accessed&gt;64066807&lt;/_accessed&gt;&lt;_collection_scope&gt;SCI;SCIE;EI&lt;/_collection_scope&gt;&lt;_created&gt;64066807&lt;/_created&gt;&lt;_db_updated&gt;CrossRef&lt;/_db_updated&gt;&lt;_doi&gt;10.1016/j.scitotenv.2016.11.036&lt;/_doi&gt;&lt;_impact_factor&gt;   7.963&lt;/_impact_factor&gt;&lt;_isbn&gt;00489697&lt;/_isbn&gt;&lt;_journal&gt;Science of The Total Environment&lt;/_journal&gt;&lt;_modified&gt;64066807&lt;/_modified&gt;&lt;_pages&gt;718-728&lt;/_pages&gt;&lt;_tertiary_title&gt;Science of The Total Environment&lt;/_tertiary_title&gt;&lt;_url&gt;https://linkinghub.elsevier.com/retrieve/pii/S0048969716324676_x000d__x000a_https://dul.usage.elsevier.com/doi/&lt;/_url&gt;&lt;_volume&gt;579&lt;/_volume&gt;&lt;/Details&gt;&lt;Extra&gt;&lt;DBUID&gt;{F96A950B-833F-4880-A151-76DA2D6A2879}&lt;/DBUID&gt;&lt;/Extra&gt;&lt;/Item&gt;&lt;/References&gt;&lt;/Group&gt;&lt;/Citation&gt;_x000a_"/>
    <w:docVar w:name="NE.Ref{7DC4292C-3E45-448B-899F-4E64810033D0}" w:val=" ADDIN NE.Ref.{7DC4292C-3E45-448B-899F-4E64810033D0}&lt;Citation&gt;&lt;Group&gt;&lt;References&gt;&lt;Item&gt;&lt;ID&gt;1481&lt;/ID&gt;&lt;UID&gt;{7B050D2F-7B46-4B61-9F60-68D3E822350F}&lt;/UID&gt;&lt;Title&gt;基于动态当量的乐山市生态系统服务价值时空演变及驱动力研究&lt;/Title&gt;&lt;Template&gt;Journal Article&lt;/Template&gt;&lt;Star&gt;0&lt;/Star&gt;&lt;Tag&gt;0&lt;/Tag&gt;&lt;Author&gt;王若思; 潘洪义; 刘翊涵; 唐玉萍; 张之凤; 马红菊&lt;/Author&gt;&lt;Year&gt;2022&lt;/Year&gt;&lt;Details&gt;&lt;_language&gt;Chinese&lt;/_language&gt;&lt;_created&gt;64112956&lt;/_created&gt;&lt;_modified&gt;64112956&lt;/_modified&gt;&lt;_url&gt;https://kns.cnki.net/kcms/detail/detail.aspx?FileName=STXB2021081500O&amp;amp;DbName=CAPJ2022&lt;/_url&gt;&lt;_journal&gt;生态学报&lt;/_journal&gt;&lt;_issue&gt;01&lt;/_issue&gt;&lt;_pages&gt;1-14&lt;/_pages&gt;&lt;_date&gt;63967680&lt;/_date&gt;&lt;_keywords&gt;动态当量;生态系统服务价值;时空演变;地理探测器;驱动因子;乐山市&lt;/_keywords&gt;&lt;_author_aff&gt;四川师范大学西南土地资源评价与监测教育部重点实验室;四川师范大学地理与资源科学学院;四川省水产学校;&lt;/_author_aff&gt;&lt;_accessed&gt;64112956&lt;/_accessed&gt;&lt;_db_updated&gt;CNKI - Reference&lt;/_db_updated&gt;&lt;_collection_scope&gt;CSCD;PKU&lt;/_collection_scope&gt;&lt;_translated_author&gt;Wang, Ruosi;Pan, Hongyi;Liu, Yihan;Tang, Yuping;Zhang, Zhifeng;Ma, Hongju&lt;/_translated_author&gt;&lt;/Details&gt;&lt;Extra&gt;&lt;DBUID&gt;{F96A950B-833F-4880-A151-76DA2D6A2879}&lt;/DBUID&gt;&lt;/Extra&gt;&lt;/Item&gt;&lt;/References&gt;&lt;/Group&gt;&lt;/Citation&gt;_x000a_"/>
    <w:docVar w:name="NE.Ref{7ED9002D-43C4-4B09-8BC2-194197CDD8AA}" w:val=" ADDIN NE.Ref.{7ED9002D-43C4-4B09-8BC2-194197CDD8AA}&lt;Citation&gt;&lt;Group&gt;&lt;References&gt;&lt;Item&gt;&lt;ID&gt;1225&lt;/ID&gt;&lt;UID&gt;{AD930FB4-3B98-4C5F-AC42-9C55DAEE7E3B}&lt;/UID&gt;&lt;Title&gt;生态系统服务与景观格局集成研究综述&lt;/Title&gt;&lt;Template&gt;Journal Article&lt;/Template&gt;&lt;Star&gt;0&lt;/Star&gt;&lt;Tag&gt;0&lt;/Tag&gt;&lt;Author&gt;梁友嘉; 刘丽珺&lt;/Author&gt;&lt;Year&gt;2018&lt;/Year&gt;&lt;Details&gt;&lt;_accessed&gt;64065506&lt;/_accessed&gt;&lt;_author_aff&gt;武汉理工大学资源与环境工程学院;武汉理工大学航运学院;&lt;/_author_aff&gt;&lt;_collection_scope&gt;CSCD;PKU&lt;/_collection_scope&gt;&lt;_created&gt;64056126&lt;/_created&gt;&lt;_date&gt;62334720&lt;/_date&gt;&lt;_db_updated&gt;CNKI - Reference&lt;/_db_updated&gt;&lt;_issue&gt;20&lt;/_issue&gt;&lt;_journal&gt;生态学报&lt;/_journal&gt;&lt;_keywords&gt;生态系统服务;景观格局;集成建模;决策支持&lt;/_keywords&gt;&lt;_language&gt;Chinese&lt;/_language&gt;&lt;_modified&gt;64065506&lt;/_modified&gt;&lt;_pages&gt;7159-7167&lt;/_pages&gt;&lt;_url&gt;https://kns.cnki.net/kcms/detail/detail.aspx?FileName=STXB201820002&amp;amp;DbName=CJFQ2018&lt;/_url&gt;&lt;_volume&gt;38&lt;/_volume&gt;&lt;_translated_author&gt;Liang, Youjia;Liu, Lijun&lt;/_translated_author&gt;&lt;/Details&gt;&lt;Extra&gt;&lt;DBUID&gt;{F96A950B-833F-4880-A151-76DA2D6A2879}&lt;/DBUID&gt;&lt;/Extra&gt;&lt;/Item&gt;&lt;/References&gt;&lt;/Group&gt;&lt;/Citation&gt;_x000a_"/>
    <w:docVar w:name="NE.Ref{7FAA7E60-067E-40F7-9F65-95049B38E3D2}" w:val=" ADDIN NE.Ref.{7FAA7E60-067E-40F7-9F65-95049B38E3D2}&lt;Citation&gt;&lt;Group&gt;&lt;References&gt;&lt;Item&gt;&lt;ID&gt;1517&lt;/ID&gt;&lt;UID&gt;{F5CB1BEA-B37C-405D-818B-EB8EA862D41E}&lt;/UID&gt;&lt;Title&gt;Determinants of haze pollution: An analysis from the perspective of spatiotemporal heterogeneity&lt;/Title&gt;&lt;Template&gt;Journal Article&lt;/Template&gt;&lt;Star&gt;1&lt;/Star&gt;&lt;Tag&gt;5&lt;/Tag&gt;&lt;Author&gt;Dong, Feng; Zhang, Shengnan; Long, Ruyin; Zhang, Xiaoyun; Sun, Ziyuan&lt;/Author&gt;&lt;Year&gt;2019&lt;/Year&gt;&lt;Details&gt;&lt;_doi&gt;10.1016/j.jclepro.2019.03.105&lt;/_doi&gt;&lt;_created&gt;64152568&lt;/_created&gt;&lt;_modified&gt;64152569&lt;/_modified&gt;&lt;_url&gt;https://linkinghub.elsevier.com/retrieve/pii/S0959652619307966_x000d__x000a_https://api.elsevier.com/content/article/PII:S0959652619307966?httpAccept=text/xml&lt;/_url&gt;&lt;_journal&gt;Journal of Cleaner Production&lt;/_journal&gt;&lt;_volume&gt;222&lt;/_volume&gt;&lt;_pages&gt;768-783&lt;/_pages&gt;&lt;_tertiary_title&gt;Journal of Cleaner Production&lt;/_tertiary_title&gt;&lt;_isbn&gt;09596526&lt;/_isbn&gt;&lt;_accessed&gt;64152568&lt;/_accessed&gt;&lt;_db_updated&gt;CrossRef&lt;/_db_updated&gt;&lt;_impact_factor&gt;   9.297&lt;/_impact_factor&gt;&lt;_collection_scope&gt;SCIE;EI&lt;/_collection_scope&gt;&lt;/Details&gt;&lt;Extra&gt;&lt;DBUID&gt;{F96A950B-833F-4880-A151-76DA2D6A2879}&lt;/DBUID&gt;&lt;/Extra&gt;&lt;/Item&gt;&lt;/References&gt;&lt;/Group&gt;&lt;/Citation&gt;_x000a_"/>
    <w:docVar w:name="NE.Ref{8140E6C1-34E5-4817-994C-7B419DC7F7CB}" w:val=" ADDIN NE.Ref.{8140E6C1-34E5-4817-994C-7B419DC7F7CB}&lt;Citation&gt;&lt;Group&gt;&lt;References&gt;&lt;Item&gt;&lt;ID&gt;1190&lt;/ID&gt;&lt;UID&gt;{FDC8FDF6-43B6-4424-8C3F-3014C659905D}&lt;/UID&gt;&lt;Title&gt;Landscape structure affects the provision of multiple ecosystem services&lt;/Title&gt;&lt;Template&gt;Journal Article&lt;/Template&gt;&lt;Star&gt;1&lt;/Star&gt;&lt;Tag&gt;0&lt;/Tag&gt;&lt;Author&gt;Lamy, T; Liss, K N; Gonzalez, A; Bennett, E M&lt;/Author&gt;&lt;Year&gt;2016&lt;/Year&gt;&lt;Details&gt;&lt;_accessed&gt;64056073&lt;/_accessed&gt;&lt;_collection_scope&gt;EI&lt;/_collection_scope&gt;&lt;_created&gt;64050804&lt;/_created&gt;&lt;_date&gt;61009920&lt;/_date&gt;&lt;_date_display&gt;2016&lt;/_date_display&gt;&lt;_db_updated&gt;PKU Search&lt;/_db_updated&gt;&lt;_doi&gt;10.1088/1748-9326/11/12/124017&lt;/_doi&gt;&lt;_impact_factor&gt;   6.793&lt;/_impact_factor&gt;&lt;_isbn&gt;1748-9326&lt;/_isbn&gt;&lt;_issue&gt;12&lt;/_issue&gt;&lt;_journal&gt;Environmental research letters&lt;/_journal&gt;&lt;_keywords&gt;ecosystem service modeling; ecosystem services; land use change; landscape composition; landscape configuration; landscape management&lt;/_keywords&gt;&lt;_modified&gt;64056073&lt;/_modified&gt;&lt;_number&gt;1&lt;/_number&gt;&lt;_ori_publication&gt;IOP Publishing&lt;/_ori_publication&gt;&lt;_pages&gt;124017&lt;/_pages&gt;&lt;_url&gt;https://go.exlibris.link/QdJjmclg&lt;/_url&gt;&lt;_volume&gt;11&lt;/_volume&gt;&lt;/Details&gt;&lt;Extra&gt;&lt;DBUID&gt;{F96A950B-833F-4880-A151-76DA2D6A2879}&lt;/DBUID&gt;&lt;/Extra&gt;&lt;/Item&gt;&lt;/References&gt;&lt;/Group&gt;&lt;/Citation&gt;_x000a_"/>
    <w:docVar w:name="NE.Ref{83081074-E725-4244-93B0-88AEE0374549}" w:val=" ADDIN NE.Ref.{83081074-E725-4244-93B0-88AEE0374549}&lt;Citation&gt;&lt;Group&gt;&lt;References&gt;&lt;Item&gt;&lt;ID&gt;1539&lt;/ID&gt;&lt;UID&gt;{D7CBB3F9-C288-40BC-8CF4-B11A082044E6}&lt;/UID&gt;&lt;Title&gt;Understanding the importance of landscape configuration on ecosystem service bundles at a high resolution in urban landscapes in the UK&lt;/Title&gt;&lt;Template&gt;Journal Article&lt;/Template&gt;&lt;Star&gt;1&lt;/Star&gt;&lt;Tag&gt;5&lt;/Tag&gt;&lt;Author&gt;Karimi, James D; Corstanje, Ron; Harris, Jim A&lt;/Author&gt;&lt;Year&gt;2021&lt;/Year&gt;&lt;Details&gt;&lt;_accessed&gt;64164714&lt;/_accessed&gt;&lt;_collection_scope&gt;SCIE&lt;/_collection_scope&gt;&lt;_created&gt;64164714&lt;/_created&gt;&lt;_db_updated&gt;CrossRef&lt;/_db_updated&gt;&lt;_doi&gt;10.1007/s10980-021-01200-2&lt;/_doi&gt;&lt;_impact_factor&gt;   3.848&lt;/_impact_factor&gt;&lt;_isbn&gt;0921-2973&lt;/_isbn&gt;&lt;_issue&gt;7&lt;/_issue&gt;&lt;_journal&gt;Landscape Ecology&lt;/_journal&gt;&lt;_modified&gt;64164714&lt;/_modified&gt;&lt;_pages&gt;2007-2024&lt;/_pages&gt;&lt;_tertiary_title&gt;Landscape Ecol&lt;/_tertiary_title&gt;&lt;_url&gt;https://link.springer.com/10.1007/s10980-021-01200-2_x000d__x000a_https://link.springer.com/content/pdf/10.1007/s10980-021-01200-2.pdf&lt;/_url&gt;&lt;_volume&gt;36&lt;/_volume&gt;&lt;/Details&gt;&lt;Extra&gt;&lt;DBUID&gt;{F96A950B-833F-4880-A151-76DA2D6A2879}&lt;/DBUID&gt;&lt;/Extra&gt;&lt;/Item&gt;&lt;/References&gt;&lt;/Group&gt;&lt;/Citation&gt;_x000a_"/>
    <w:docVar w:name="NE.Ref{8780BD64-6813-4144-AFDA-721FAD883B86}" w:val=" ADDIN NE.Ref.{8780BD64-6813-4144-AFDA-721FAD883B86}&lt;Citation&gt;&lt;Group&gt;&lt;References&gt;&lt;Item&gt;&lt;ID&gt;1218&lt;/ID&gt;&lt;UID&gt;{7C43A16A-D173-49E4-9B99-347806D782E7}&lt;/UID&gt;&lt;Title&gt;景观格局与生态过程的关系及其对生态系统服务的影响&lt;/Title&gt;&lt;Template&gt;Journal Article&lt;/Template&gt;&lt;Star&gt;1&lt;/Star&gt;&lt;Tag&gt;0&lt;/Tag&gt;&lt;Author&gt;苏常红; 傅伯杰&lt;/Author&gt;&lt;Year&gt;2012&lt;/Year&gt;&lt;Details&gt;&lt;_accessed&gt;64056126&lt;/_accessed&gt;&lt;_author_aff&gt;中国科学院生态环境研究中心城市与区域生态国家重点实验室;中国科学院;&lt;/_author_aff&gt;&lt;_created&gt;64056126&lt;/_created&gt;&lt;_date&gt;59335200&lt;/_date&gt;&lt;_db_updated&gt;CNKI - Reference&lt;/_db_updated&gt;&lt;_issue&gt;05&lt;/_issue&gt;&lt;_journal&gt;自然杂志&lt;/_journal&gt;&lt;_keywords&gt;景观格局;生态过程;生态系统服务;耦合;影响&lt;/_keywords&gt;&lt;_language&gt;Chinese&lt;/_language&gt;&lt;_modified&gt;64056163&lt;/_modified&gt;&lt;_pages&gt;277-283&lt;/_pages&gt;&lt;_url&gt;https://kns.cnki.net/kcms/detail/detail.aspx?FileName=ZRZZ201205007&amp;amp;DbName=CJFQ2012&lt;/_url&gt;&lt;_volume&gt;34&lt;/_volume&gt;&lt;_translated_author&gt;Su, Changhong;Fu, Bojie&lt;/_translated_author&gt;&lt;/Details&gt;&lt;Extra&gt;&lt;DBUID&gt;{F96A950B-833F-4880-A151-76DA2D6A2879}&lt;/DBUID&gt;&lt;/Extra&gt;&lt;/Item&gt;&lt;/References&gt;&lt;/Group&gt;&lt;/Citation&gt;_x000a_"/>
    <w:docVar w:name="NE.Ref{88FA5ADE-02B9-486C-96A9-01F23E013BBD}" w:val=" ADDIN NE.Ref.{88FA5ADE-02B9-486C-96A9-01F23E013BBD}&lt;Citation&gt;&lt;Group&gt;&lt;References&gt;&lt;Item&gt;&lt;ID&gt;1538&lt;/ID&gt;&lt;UID&gt;{D06FE1A4-2BC0-4D59-9F1C-D8CB3B70A221}&lt;/UID&gt;&lt;Title&gt;Effects of landscape configuration on mapping ecosystem service capacity: a review of evidence and a case study in Scotland&lt;/Title&gt;&lt;Template&gt;Journal Article&lt;/Template&gt;&lt;Star&gt;1&lt;/Star&gt;&lt;Tag&gt;5&lt;/Tag&gt;&lt;Author&gt;Verhagen, Willem; Van Teeffelen, Astrid J A; Baggio Compagnucci, Andrea; Poggio, Laura; Gimona, Alessandro; Verburg, Peter H&lt;/Author&gt;&lt;Year&gt;2016&lt;/Year&gt;&lt;Details&gt;&lt;_accessed&gt;64164714&lt;/_accessed&gt;&lt;_collection_scope&gt;SCIE&lt;/_collection_scope&gt;&lt;_created&gt;64164714&lt;/_created&gt;&lt;_db_updated&gt;CrossRef&lt;/_db_updated&gt;&lt;_doi&gt;10.1007/s10980-016-0345-2&lt;/_doi&gt;&lt;_impact_factor&gt;   3.848&lt;/_impact_factor&gt;&lt;_isbn&gt;0921-2973&lt;/_isbn&gt;&lt;_issue&gt;7&lt;/_issue&gt;&lt;_journal&gt;Landscape Ecology&lt;/_journal&gt;&lt;_modified&gt;64164714&lt;/_modified&gt;&lt;_pages&gt;1457-1479&lt;/_pages&gt;&lt;_tertiary_title&gt;Landscape Ecol&lt;/_tertiary_title&gt;&lt;_url&gt;http://link.springer.com/10.1007/s10980-016-0345-2_x000d__x000a_http://link.springer.com/content/pdf/10.1007/s10980-016-0345-2&lt;/_url&gt;&lt;_volume&gt;31&lt;/_volume&gt;&lt;/Details&gt;&lt;Extra&gt;&lt;DBUID&gt;{F96A950B-833F-4880-A151-76DA2D6A2879}&lt;/DBUID&gt;&lt;/Extra&gt;&lt;/Item&gt;&lt;/References&gt;&lt;/Group&gt;&lt;/Citation&gt;_x000a_"/>
    <w:docVar w:name="NE.Ref{8A4D5821-23C1-4CC3-9F72-DD237974079C}" w:val=" ADDIN NE.Ref.{8A4D5821-23C1-4CC3-9F72-DD237974079C}&lt;Citation&gt;&lt;Group&gt;&lt;References&gt;&lt;Item&gt;&lt;ID&gt;1293&lt;/ID&gt;&lt;UID&gt;{46869A50-3C90-45F0-B940-5878E2477908}&lt;/UID&gt;&lt;Title&gt;Impact of landscape patterns on ecological vulnerability and ecosystem service values: An empirical analysis of Yancheng Nature Reserve in China&lt;/Title&gt;&lt;Template&gt;Journal Article&lt;/Template&gt;&lt;Star&gt;1&lt;/Star&gt;&lt;Tag&gt;0&lt;/Tag&gt;&lt;Author&gt;Zang, Zheng; Zou, Xinqing; Zuo, Ping; Song, Qiaochu; Wang, Chenglong; Wang, Junjie&lt;/Author&gt;&lt;Year&gt;2017&lt;/Year&gt;&lt;Details&gt;&lt;_accessed&gt;64095643&lt;/_accessed&gt;&lt;_collection_scope&gt;SCIE;EI&lt;/_collection_scope&gt;&lt;_created&gt;64095643&lt;/_created&gt;&lt;_db_updated&gt;CrossRef&lt;/_db_updated&gt;&lt;_doi&gt;10.1016/j.ecolind.2016.08.019&lt;/_doi&gt;&lt;_impact_factor&gt;   4.958&lt;/_impact_factor&gt;&lt;_isbn&gt;1470160X&lt;/_isbn&gt;&lt;_journal&gt;Ecological Indicators&lt;/_journal&gt;&lt;_modified&gt;64095643&lt;/_modified&gt;&lt;_pages&gt;142-152&lt;/_pages&gt;&lt;_tertiary_title&gt;Ecological Indicators&lt;/_tertiary_title&gt;&lt;_url&gt;https://linkinghub.elsevier.com/retrieve/pii/S1470160X16304800_x000d__x000a_https://api.elsevier.com/content/article/PII:S1470160X16304800?httpAccept=text/xml&lt;/_url&gt;&lt;_volume&gt;72&lt;/_volume&gt;&lt;/Details&gt;&lt;Extra&gt;&lt;DBUID&gt;{F96A950B-833F-4880-A151-76DA2D6A2879}&lt;/DBUID&gt;&lt;/Extra&gt;&lt;/Item&gt;&lt;/References&gt;&lt;/Group&gt;&lt;/Citation&gt;_x000a_"/>
    <w:docVar w:name="NE.Ref{8A84E5EE-3179-4D1F-8459-1FF8C454BA87}" w:val=" ADDIN NE.Ref.{8A84E5EE-3179-4D1F-8459-1FF8C454BA87}&lt;Citation&gt;&lt;Group&gt;&lt;References&gt;&lt;Item&gt;&lt;ID&gt;1218&lt;/ID&gt;&lt;UID&gt;{7C43A16A-D173-49E4-9B99-347806D782E7}&lt;/UID&gt;&lt;Title&gt;景观格局与生态过程的关系及其对生态系统服务的影响&lt;/Title&gt;&lt;Template&gt;Journal Article&lt;/Template&gt;&lt;Star&gt;1&lt;/Star&gt;&lt;Tag&gt;0&lt;/Tag&gt;&lt;Author&gt;苏常红; 傅伯杰&lt;/Author&gt;&lt;Year&gt;2012&lt;/Year&gt;&lt;Details&gt;&lt;_accessed&gt;64056126&lt;/_accessed&gt;&lt;_author_aff&gt;中国科学院生态环境研究中心城市与区域生态国家重点实验室;中国科学院;&lt;/_author_aff&gt;&lt;_created&gt;64056126&lt;/_created&gt;&lt;_date&gt;59335200&lt;/_date&gt;&lt;_db_updated&gt;CNKI - Reference&lt;/_db_updated&gt;&lt;_issue&gt;05&lt;/_issue&gt;&lt;_journal&gt;自然杂志&lt;/_journal&gt;&lt;_keywords&gt;景观格局;生态过程;生态系统服务;耦合;影响&lt;/_keywords&gt;&lt;_language&gt;Chinese&lt;/_language&gt;&lt;_modified&gt;64056163&lt;/_modified&gt;&lt;_pages&gt;277-283&lt;/_pages&gt;&lt;_url&gt;https://kns.cnki.net/kcms/detail/detail.aspx?FileName=ZRZZ201205007&amp;amp;DbName=CJFQ2012&lt;/_url&gt;&lt;_volume&gt;34&lt;/_volume&gt;&lt;_translated_author&gt;Su, Changhong;Fu, Bojie&lt;/_translated_author&gt;&lt;/Details&gt;&lt;Extra&gt;&lt;DBUID&gt;{F96A950B-833F-4880-A151-76DA2D6A2879}&lt;/DBUID&gt;&lt;/Extra&gt;&lt;/Item&gt;&lt;/References&gt;&lt;/Group&gt;&lt;/Citation&gt;_x000a_"/>
    <w:docVar w:name="NE.Ref{8B77C6F1-6D2B-49CF-9290-AB8D7B9FC31B}" w:val=" ADDIN NE.Ref.{8B77C6F1-6D2B-49CF-9290-AB8D7B9FC31B}&lt;Citation&gt;&lt;Group&gt;&lt;References&gt;&lt;Item&gt;&lt;ID&gt;1201&lt;/ID&gt;&lt;UID&gt;{EADA07E5-9F03-4379-A163-77D450378982}&lt;/UID&gt;&lt;Title&gt;Ecosystem services in peri-urban landscapes: The effects of agricultural landscape change on ecosystem services in Taiwan&amp;apos;s western coastal plain&lt;/Title&gt;&lt;Template&gt;Journal Article&lt;/Template&gt;&lt;Star&gt;0&lt;/Star&gt;&lt;Tag&gt;0&lt;/Tag&gt;&lt;Author&gt;Lee, Ying-Chieh; Ahern, Jack; Yeh, Chia-Tsung&lt;/Author&gt;&lt;Year&gt;2015&lt;/Year&gt;&lt;Details&gt;&lt;_accessed&gt;64056073&lt;/_accessed&gt;&lt;_collection_scope&gt;SCIE;SSCI;EI&lt;/_collection_scope&gt;&lt;_created&gt;64055266&lt;/_created&gt;&lt;_db_updated&gt;CrossRef&lt;/_db_updated&gt;&lt;_doi&gt;10.1016/j.landurbplan.2015.02.023&lt;/_doi&gt;&lt;_impact_factor&gt;   6.142&lt;/_impact_factor&gt;&lt;_isbn&gt;01692046&lt;/_isbn&gt;&lt;_journal&gt;Landscape and Urban Planning&lt;/_journal&gt;&lt;_modified&gt;64056073&lt;/_modified&gt;&lt;_pages&gt;137-148&lt;/_pages&gt;&lt;_tertiary_title&gt;Landscape and Urban Planning&lt;/_tertiary_title&gt;&lt;_url&gt;https://linkinghub.elsevier.com/retrieve/pii/S0169204615000596_x000d__x000a_https://api.elsevier.com/content/article/PII:S0169204615000596?httpAccept=text/xml&lt;/_url&gt;&lt;_volume&gt;139&lt;/_volume&gt;&lt;/Details&gt;&lt;Extra&gt;&lt;DBUID&gt;{F96A950B-833F-4880-A151-76DA2D6A2879}&lt;/DBUID&gt;&lt;/Extra&gt;&lt;/Item&gt;&lt;/References&gt;&lt;/Group&gt;&lt;/Citation&gt;_x000a_"/>
    <w:docVar w:name="NE.Ref{8E1EC381-2898-40E4-9B68-599F0A20BEAB}" w:val=" ADDIN NE.Ref.{8E1EC381-2898-40E4-9B68-599F0A20BEAB}&lt;Citation&gt;&lt;Group&gt;&lt;References&gt;&lt;Item&gt;&lt;ID&gt;1296&lt;/ID&gt;&lt;UID&gt;{DA61DD7E-3AED-40A4-B1F9-08AC6030517D}&lt;/UID&gt;&lt;Title&gt;Landscape pattern and ecosystem service value changes: Implications for environmental sustainability planning for the rapidly urbanizing summer capital of the Philippines&lt;/Title&gt;&lt;Template&gt;Journal Article&lt;/Template&gt;&lt;Star&gt;0&lt;/Star&gt;&lt;Tag&gt;0&lt;/Tag&gt;&lt;Author&gt;Estoque, Ronald C; Murayama, Yuji&lt;/Author&gt;&lt;Year&gt;2013&lt;/Year&gt;&lt;Details&gt;&lt;_accessed&gt;64095643&lt;/_accessed&gt;&lt;_collection_scope&gt;SCIE;SSCI;EI&lt;/_collection_scope&gt;&lt;_created&gt;64095643&lt;/_created&gt;&lt;_db_updated&gt;CrossRef&lt;/_db_updated&gt;&lt;_doi&gt;10.1016/j.landurbplan.2013.04.008&lt;/_doi&gt;&lt;_impact_factor&gt;   6.142&lt;/_impact_factor&gt;&lt;_isbn&gt;01692046&lt;/_isbn&gt;&lt;_journal&gt;Landscape and Urban Planning&lt;/_journal&gt;&lt;_modified&gt;64095643&lt;/_modified&gt;&lt;_pages&gt;60-72&lt;/_pages&gt;&lt;_tertiary_title&gt;Landscape and Urban Planning&lt;/_tertiary_title&gt;&lt;_url&gt;https://linkinghub.elsevier.com/retrieve/pii/S0169204613000777_x000d__x000a_https://api.elsevier.com/content/article/PII:S0169204613000777?httpAccept=text/xml&lt;/_url&gt;&lt;_volume&gt;116&lt;/_volume&gt;&lt;/Details&gt;&lt;Extra&gt;&lt;DBUID&gt;{F96A950B-833F-4880-A151-76DA2D6A2879}&lt;/DBUID&gt;&lt;/Extra&gt;&lt;/Item&gt;&lt;/References&gt;&lt;/Group&gt;&lt;/Citation&gt;_x000a_"/>
    <w:docVar w:name="NE.Ref{8F4C55E6-0CD2-42A7-B5B1-3FF1CE405F2B}" w:val=" ADDIN NE.Ref.{8F4C55E6-0CD2-42A7-B5B1-3FF1CE405F2B}&lt;Citation&gt;&lt;Group&gt;&lt;References&gt;&lt;Item&gt;&lt;ID&gt;1299&lt;/ID&gt;&lt;UID&gt;{54E81B23-4E8A-4B2C-946F-674A30B8C96A}&lt;/UID&gt;&lt;Title&gt;Geographical and Temporal Weighted Regression (GTWR)&lt;/Title&gt;&lt;Template&gt;Journal Article&lt;/Template&gt;&lt;Star&gt;1&lt;/Star&gt;&lt;Tag&gt;0&lt;/Tag&gt;&lt;Author&gt;Fotheringham, A Stewart; Crespo, Ricardo; Yao, Jing&lt;/Author&gt;&lt;Year&gt;2015&lt;/Year&gt;&lt;Details&gt;&lt;_accessed&gt;64095650&lt;/_accessed&gt;&lt;_collection_scope&gt;SSCI&lt;/_collection_scope&gt;&lt;_created&gt;64095650&lt;/_created&gt;&lt;_db_updated&gt;CrossRef&lt;/_db_updated&gt;&lt;_doi&gt;10.1111/gean.12071&lt;/_doi&gt;&lt;_impact_factor&gt;   4.268&lt;/_impact_factor&gt;&lt;_issue&gt;4&lt;/_issue&gt;&lt;_journal&gt;Geographical Analysis&lt;/_journal&gt;&lt;_modified&gt;64095650&lt;/_modified&gt;&lt;_pages&gt;431-452&lt;/_pages&gt;&lt;_tertiary_title&gt;Geogr Anal&lt;/_tertiary_title&gt;&lt;_url&gt;https://onlinelibrary.wiley.com/doi/10.1111/gean.12071_x000d__x000a_http://onlinelibrary.wiley.com/wol1/doi/10.1111/gean.12071/fullpdf&lt;/_url&gt;&lt;_volume&gt;47&lt;/_volume&gt;&lt;/Details&gt;&lt;Extra&gt;&lt;DBUID&gt;{F96A950B-833F-4880-A151-76DA2D6A2879}&lt;/DBUID&gt;&lt;/Extra&gt;&lt;/Item&gt;&lt;/References&gt;&lt;/Group&gt;&lt;Group&gt;&lt;References&gt;&lt;Item&gt;&lt;ID&gt;1286&lt;/ID&gt;&lt;UID&gt;{2AE8A98A-F6EC-44E8-9590-9A3B98B0AEF7}&lt;/UID&gt;&lt;Title&gt;基于重心-GTWR模型的京津冀城市群城镇扩展格局与驱动力多维解析&lt;/Title&gt;&lt;Template&gt;Journal Article&lt;/Template&gt;&lt;Star&gt;0&lt;/Star&gt;&lt;Tag&gt;0&lt;/Tag&gt;&lt;Author&gt;王海军; 张彬; 刘耀林; 刘艳芳; 徐姗; 邓羽; 赵雲泰; 陈宇琛; 洪松&lt;/Author&gt;&lt;Year&gt;2018&lt;/Year&gt;&lt;Details&gt;&lt;_accessed&gt;64093928&lt;/_accessed&gt;&lt;_author_adr&gt;武汉大学; 武汉大学; 武汉大学; 武汉大学; 中国城市科学研究会; 中国科学院地理科学与资源研究所; 中国土地勘测规划院; 中国土地勘测规划院; 武汉大学&lt;/_author_adr&gt;&lt;_author_aff&gt;武汉大学; 武汉大学; 武汉大学; 武汉大学; 中国城市科学研究会; 中国科学院地理科学与资源研究所; 中国土地勘测规划院; 中国土地勘测规划院; 武汉大学&lt;/_author_aff&gt;&lt;_collection_scope&gt;CSCD;CSSCI-C;PKU;EI&lt;/_collection_scope&gt;&lt;_created&gt;64093928&lt;/_created&gt;&lt;_db_provider&gt;北京万方数据股份有限公司&lt;/_db_provider&gt;&lt;_db_updated&gt;Wanfangdata&lt;/_db_updated&gt;&lt;_doi&gt;10.11821/dlxb201806007&lt;/_doi&gt;&lt;_isbn&gt;0375-5444&lt;/_isbn&gt;&lt;_issue&gt;6&lt;/_issue&gt;&lt;_journal&gt;地理学报&lt;/_journal&gt;&lt;_keywords&gt;城镇用地扩展; 驱动力; 重心转移; 时空地理加权回归; 京津冀&lt;/_keywords&gt;&lt;_language&gt;chi&lt;/_language&gt;&lt;_modified&gt;64093928&lt;/_modified&gt;&lt;_pages&gt;1076-1092&lt;/_pages&gt;&lt;_tertiary_title&gt;Acta Geographica Sinica&lt;/_tertiary_title&gt;&lt;_translated_author&gt;Haijun, WANG; Bin, ZHANG; Yaolin, LIU; Yanfang, LIU; Shan, X U; Yu, DENG; Yuntai, ZHAO; Yuchen, CHEN; Song, HONG&lt;/_translated_author&gt;&lt;_translated_title&gt;Multi-dimensional analysis of urban expansion patterns and their driving forces based on the center of gravity-GTWR model: A case study of the Beijing-Tianjin-Hebei urban agglomeration&lt;/_translated_title&gt;&lt;_url&gt;http://www.wanfangdata.com.cn/details/detail.do?_type=perio&amp;amp;id=dlxb201806007&lt;/_url&gt;&lt;_volume&gt;73&lt;/_volume&gt;&lt;/Details&gt;&lt;Extra&gt;&lt;DBUID&gt;{F96A950B-833F-4880-A151-76DA2D6A2879}&lt;/DBUID&gt;&lt;/Extra&gt;&lt;/Item&gt;&lt;/References&gt;&lt;/Group&gt;&lt;Group&gt;&lt;References&gt;&lt;Item&gt;&lt;ID&gt;1504&lt;/ID&gt;&lt;UID&gt;{6C1564D9-812B-48C5-9B8D-FA46DBABCB9E}&lt;/UID&gt;&lt;Title&gt;基于城市化的浙江省湾区经济带碳排放时空分布特征及影响因素分析&lt;/Title&gt;&lt;Template&gt;Journal Article&lt;/Template&gt;&lt;Star&gt;0&lt;/Star&gt;&lt;Tag&gt;0&lt;/Tag&gt;&lt;Author&gt;沈杨; 汪聪聪; 高超; 丁镭&lt;/Author&gt;&lt;Year&gt;2020&lt;/Year&gt;&lt;Details&gt;&lt;_accessed&gt;64137053&lt;/_accessed&gt;&lt;_author_aff&gt;宁波职业技术学院商贸外语学院;宁波大学地理与空间信息技术系;&lt;/_author_aff&gt;&lt;_cited_count&gt;6&lt;/_cited_count&gt;&lt;_collection_scope&gt;CSCD;CSSCI-C;PKU&lt;/_collection_scope&gt;&lt;_created&gt;64137053&lt;/_created&gt;&lt;_date&gt;63201600&lt;/_date&gt;&lt;_db_updated&gt;CNKI - Reference&lt;/_db_updated&gt;&lt;_issue&gt;02&lt;/_issue&gt;&lt;_journal&gt;自然资源学报&lt;/_journal&gt;&lt;_keywords&gt;城市化;碳排放;GTWR模型;湾区经济带&lt;/_keywords&gt;&lt;_language&gt;Chinese&lt;/_language&gt;&lt;_modified&gt;64137053&lt;/_modified&gt;&lt;_pages&gt;329-342&lt;/_pages&gt;&lt;_url&gt;https://kns.cnki.net/kcms/detail/detail.aspx?FileName=ZRZX202002007&amp;amp;DbName=DKFX2020&lt;/_url&gt;&lt;_volume&gt;35&lt;/_volume&gt;&lt;_translated_author&gt;Shen, Yang;Wang, Congcong;Gao, Chao;Ding, Lei&lt;/_translated_author&gt;&lt;/Details&gt;&lt;Extra&gt;&lt;DBUID&gt;{F96A950B-833F-4880-A151-76DA2D6A2879}&lt;/DBUID&gt;&lt;/Extra&gt;&lt;/Item&gt;&lt;/References&gt;&lt;/Group&gt;&lt;/Citation&gt;_x000a_"/>
    <w:docVar w:name="NE.Ref{91337ECA-E724-429D-BF35-F0EC80E7A60B}" w:val=" ADDIN NE.Ref.{91337ECA-E724-429D-BF35-F0EC80E7A60B}&lt;Citation&gt;&lt;Group&gt;&lt;References&gt;&lt;Item&gt;&lt;ID&gt;1277&lt;/ID&gt;&lt;UID&gt;{F7164E71-1019-48CB-8354-8E80806377E7}&lt;/UID&gt;&lt;Title&gt;Indices of landscape pattern&lt;/Title&gt;&lt;Template&gt;Journal Article&lt;/Template&gt;&lt;Star&gt;0&lt;/Star&gt;&lt;Tag&gt;0&lt;/Tag&gt;&lt;Author/&gt;&lt;Year&gt;0&lt;/Year&gt;&lt;Details&gt;&lt;_created&gt;64073876&lt;/_created&gt;&lt;_modified&gt;64073876&lt;/_modified&gt;&lt;/Details&gt;&lt;Extra&gt;&lt;DBUID&gt;{F96A950B-833F-4880-A151-76DA2D6A2879}&lt;/DBUID&gt;&lt;/Extra&gt;&lt;/Item&gt;&lt;/References&gt;&lt;/Group&gt;&lt;/Citation&gt;_x000a_"/>
    <w:docVar w:name="NE.Ref{91AFBFAD-E1F2-4FDA-9F4B-753C3756B18B}" w:val=" ADDIN NE.Ref.{91AFBFAD-E1F2-4FDA-9F4B-753C3756B18B}&lt;Citation&gt;&lt;Group&gt;&lt;References&gt;&lt;Item&gt;&lt;ID&gt;1466&lt;/ID&gt;&lt;UID&gt;{ACF3F7B0-BE0C-4384-9404-9556929CE52F}&lt;/UID&gt;&lt;Title&gt;黄河流域景观破碎化时空特征及其成因探测&lt;/Title&gt;&lt;Template&gt;Journal Article&lt;/Template&gt;&lt;Star&gt;0&lt;/Star&gt;&lt;Tag&gt;0&lt;/Tag&gt;&lt;Author&gt;梁加乐; 陈万旭; 李江风; 董孟君; 周婷; 潘思佩&lt;/Author&gt;&lt;Year&gt;2022&lt;/Year&gt;&lt;Details&gt;&lt;_language&gt;Chinese&lt;/_language&gt;&lt;_created&gt;64109986&lt;/_created&gt;&lt;_modified&gt;64109987&lt;/_modified&gt;&lt;_url&gt;https://kns.cnki.net/kcms/detail/detail.aspx?FileName=STXB2021111600J&amp;amp;DbName=CAPJ2022&lt;/_url&gt;&lt;_journal&gt;生态学报&lt;/_journal&gt;&lt;_issue&gt;05&lt;/_issue&gt;&lt;_pages&gt;1-17&lt;/_pages&gt;&lt;_date&gt;64101600&lt;/_date&gt;&lt;_keywords&gt;景观格局指数;景观破碎化;主成分分析;地理探测器;黄河流域&lt;/_keywords&gt;&lt;_author_aff&gt;中国地质大学(武汉)公共管理学院;中国地质大学(武汉)地理与信息工程学院;中国地质大学(武汉)空间规划与人地系统模拟研究中心;北京师范大学地表过程与资源生态国家重点实验室;中国矿业大学公共管理学院;福建师范大学地理科学学院;&lt;/_author_aff&gt;&lt;_accessed&gt;64109987&lt;/_accessed&gt;&lt;_db_updated&gt;CNKI - Reference&lt;/_db_updated&gt;&lt;_collection_scope&gt;CSCD;PKU&lt;/_collection_scope&gt;&lt;_translated_author&gt;Liang, Jiale;Chen, Wanxu;Li, Jiangfeng;Dong, Mengjun;Zhou, Ting;Pan, Sipei&lt;/_translated_author&gt;&lt;/Details&gt;&lt;Extra&gt;&lt;DBUID&gt;{F96A950B-833F-4880-A151-76DA2D6A2879}&lt;/DBUID&gt;&lt;/Extra&gt;&lt;/Item&gt;&lt;/References&gt;&lt;/Group&gt;&lt;/Citation&gt;_x000a_"/>
    <w:docVar w:name="NE.Ref{9262E4EF-85F2-490C-A82D-FD8732991143}" w:val=" ADDIN NE.Ref.{9262E4EF-85F2-490C-A82D-FD8732991143}&lt;Citation&gt;&lt;Group&gt;&lt;References&gt;&lt;Item&gt;&lt;ID&gt;1293&lt;/ID&gt;&lt;UID&gt;{46869A50-3C90-45F0-B940-5878E2477908}&lt;/UID&gt;&lt;Title&gt;Impact of landscape patterns on ecological vulnerability and ecosystem service values: An empirical analysis of Yancheng Nature Reserve in China&lt;/Title&gt;&lt;Template&gt;Journal Article&lt;/Template&gt;&lt;Star&gt;1&lt;/Star&gt;&lt;Tag&gt;0&lt;/Tag&gt;&lt;Author&gt;Zang, Zheng; Zou, Xinqing; Zuo, Ping; Song, Qiaochu; Wang, Chenglong; Wang, Junjie&lt;/Author&gt;&lt;Year&gt;2017&lt;/Year&gt;&lt;Details&gt;&lt;_accessed&gt;64095643&lt;/_accessed&gt;&lt;_collection_scope&gt;SCIE;EI&lt;/_collection_scope&gt;&lt;_created&gt;64095643&lt;/_created&gt;&lt;_db_updated&gt;CrossRef&lt;/_db_updated&gt;&lt;_doi&gt;10.1016/j.ecolind.2016.08.019&lt;/_doi&gt;&lt;_impact_factor&gt;   4.958&lt;/_impact_factor&gt;&lt;_isbn&gt;1470160X&lt;/_isbn&gt;&lt;_journal&gt;Ecological Indicators&lt;/_journal&gt;&lt;_modified&gt;64095643&lt;/_modified&gt;&lt;_pages&gt;142-152&lt;/_pages&gt;&lt;_tertiary_title&gt;Ecological Indicators&lt;/_tertiary_title&gt;&lt;_url&gt;https://linkinghub.elsevier.com/retrieve/pii/S1470160X16304800_x000d__x000a_https://api.elsevier.com/content/article/PII:S1470160X16304800?httpAccept=text/xml&lt;/_url&gt;&lt;_volume&gt;72&lt;/_volume&gt;&lt;/Details&gt;&lt;Extra&gt;&lt;DBUID&gt;{F96A950B-833F-4880-A151-76DA2D6A2879}&lt;/DBUID&gt;&lt;/Extra&gt;&lt;/Item&gt;&lt;/References&gt;&lt;/Group&gt;&lt;/Citation&gt;_x000a_"/>
    <w:docVar w:name="NE.Ref{937EDCF8-B90D-4542-8D61-6DC6AC43FD06}" w:val=" ADDIN NE.Ref.{937EDCF8-B90D-4542-8D61-6DC6AC43FD06}&lt;Citation&gt;&lt;Group&gt;&lt;References&gt;&lt;Item&gt;&lt;ID&gt;1201&lt;/ID&gt;&lt;UID&gt;{EADA07E5-9F03-4379-A163-77D450378982}&lt;/UID&gt;&lt;Title&gt;Ecosystem services in peri-urban landscapes: The effects of agricultural landscape change on ecosystem services in Taiwan&amp;apos;s western coastal plain&lt;/Title&gt;&lt;Template&gt;Journal Article&lt;/Template&gt;&lt;Star&gt;0&lt;/Star&gt;&lt;Tag&gt;0&lt;/Tag&gt;&lt;Author&gt;Lee, Ying-Chieh; Ahern, Jack; Yeh, Chia-Tsung&lt;/Author&gt;&lt;Year&gt;2015&lt;/Year&gt;&lt;Details&gt;&lt;_accessed&gt;64056073&lt;/_accessed&gt;&lt;_collection_scope&gt;SCIE;SSCI;EI&lt;/_collection_scope&gt;&lt;_created&gt;64055266&lt;/_created&gt;&lt;_db_updated&gt;CrossRef&lt;/_db_updated&gt;&lt;_doi&gt;10.1016/j.landurbplan.2015.02.023&lt;/_doi&gt;&lt;_impact_factor&gt;   6.142&lt;/_impact_factor&gt;&lt;_isbn&gt;01692046&lt;/_isbn&gt;&lt;_journal&gt;Landscape and Urban Planning&lt;/_journal&gt;&lt;_modified&gt;64056073&lt;/_modified&gt;&lt;_pages&gt;137-148&lt;/_pages&gt;&lt;_tertiary_title&gt;Landscape and Urban Planning&lt;/_tertiary_title&gt;&lt;_url&gt;https://linkinghub.elsevier.com/retrieve/pii/S0169204615000596_x000d__x000a_https://api.elsevier.com/content/article/PII:S0169204615000596?httpAccept=text/xml&lt;/_url&gt;&lt;_volume&gt;139&lt;/_volume&gt;&lt;/Details&gt;&lt;Extra&gt;&lt;DBUID&gt;{F96A950B-833F-4880-A151-76DA2D6A2879}&lt;/DBUID&gt;&lt;/Extra&gt;&lt;/Item&gt;&lt;/References&gt;&lt;/Group&gt;&lt;/Citation&gt;_x000a_"/>
    <w:docVar w:name="NE.Ref{95ACA2B9-C599-4C6B-BB18-9DCCF99BB279}" w:val=" ADDIN NE.Ref.{95ACA2B9-C599-4C6B-BB18-9DCCF99BB279}&lt;Citation&gt;&lt;Group&gt;&lt;References&gt;&lt;Item&gt;&lt;ID&gt;1517&lt;/ID&gt;&lt;UID&gt;{F5CB1BEA-B37C-405D-818B-EB8EA862D41E}&lt;/UID&gt;&lt;Title&gt;Determinants of haze pollution: An analysis from the perspective of spatiotemporal heterogeneity&lt;/Title&gt;&lt;Template&gt;Journal Article&lt;/Template&gt;&lt;Star&gt;1&lt;/Star&gt;&lt;Tag&gt;5&lt;/Tag&gt;&lt;Author&gt;Dong, Feng; Zhang, Shengnan; Long, Ruyin; Zhang, Xiaoyun; Sun, Ziyuan&lt;/Author&gt;&lt;Year&gt;2019&lt;/Year&gt;&lt;Details&gt;&lt;_doi&gt;10.1016/j.jclepro.2019.03.105&lt;/_doi&gt;&lt;_created&gt;64152568&lt;/_created&gt;&lt;_modified&gt;64152569&lt;/_modified&gt;&lt;_url&gt;https://linkinghub.elsevier.com/retrieve/pii/S0959652619307966_x000d__x000a_https://api.elsevier.com/content/article/PII:S0959652619307966?httpAccept=text/xml&lt;/_url&gt;&lt;_journal&gt;Journal of Cleaner Production&lt;/_journal&gt;&lt;_volume&gt;222&lt;/_volume&gt;&lt;_pages&gt;768-783&lt;/_pages&gt;&lt;_tertiary_title&gt;Journal of Cleaner Production&lt;/_tertiary_title&gt;&lt;_isbn&gt;09596526&lt;/_isbn&gt;&lt;_accessed&gt;64152568&lt;/_accessed&gt;&lt;_db_updated&gt;CrossRef&lt;/_db_updated&gt;&lt;_impact_factor&gt;   9.297&lt;/_impact_factor&gt;&lt;_collection_scope&gt;SCIE;EI&lt;/_collection_scope&gt;&lt;/Details&gt;&lt;Extra&gt;&lt;DBUID&gt;{F96A950B-833F-4880-A151-76DA2D6A2879}&lt;/DBUID&gt;&lt;/Extra&gt;&lt;/Item&gt;&lt;/References&gt;&lt;/Group&gt;&lt;/Citation&gt;_x000a_"/>
    <w:docVar w:name="NE.Ref{95D30A3B-8F2F-4296-9D39-B0F444ABE84E}" w:val=" ADDIN NE.Ref.{95D30A3B-8F2F-4296-9D39-B0F444ABE84E}&lt;Citation&gt;&lt;Group&gt;&lt;References&gt;&lt;Item&gt;&lt;ID&gt;1483&lt;/ID&gt;&lt;UID&gt;{247694BA-1BAC-4B49-8EE1-0C940D0A3B63}&lt;/UID&gt;&lt;Title&gt;Identifying the Impact of Landscape Pattern on Ecosystem Services in the Middle Reaches of the Yangtze River Urban Agglomerations, China&lt;/Title&gt;&lt;Template&gt;Journal Article&lt;/Template&gt;&lt;Star&gt;0&lt;/Star&gt;&lt;Tag&gt;0&lt;/Tag&gt;&lt;Author&gt;Liu, Luwen; Chen, Xingrong; Chen, Wanxu; Ye, Xinyue&lt;/Author&gt;&lt;Year&gt;2020&lt;/Year&gt;&lt;Details&gt;&lt;_accessed&gt;64113763&lt;/_accessed&gt;&lt;_collection_scope&gt;SCIE;SSCI&lt;/_collection_scope&gt;&lt;_created&gt;64113763&lt;/_created&gt;&lt;_date&gt;63394560&lt;/_date&gt;&lt;_db_updated&gt;CrossRef&lt;/_db_updated&gt;&lt;_doi&gt;10.3390/ijerph17145063&lt;/_doi&gt;&lt;_impact_factor&gt;   3.390&lt;/_impact_factor&gt;&lt;_isbn&gt;1660-4601&lt;/_isbn&gt;&lt;_issue&gt;14&lt;/_issue&gt;&lt;_journal&gt;International Journal of Environmental Research and Public Health&lt;/_journal&gt;&lt;_modified&gt;64113763&lt;/_modified&gt;&lt;_pages&gt;5063&lt;/_pages&gt;&lt;_tertiary_title&gt;IJERPH&lt;/_tertiary_title&gt;&lt;_url&gt;https://www.mdpi.com/1660-4601/17/14/5063_x000d__x000a_https://www.mdpi.com/1660-4601/17/14/5063/pdf&lt;/_url&gt;&lt;_volume&gt;17&lt;/_volume&gt;&lt;/Details&gt;&lt;Extra&gt;&lt;DBUID&gt;{F96A950B-833F-4880-A151-76DA2D6A2879}&lt;/DBUID&gt;&lt;/Extra&gt;&lt;/Item&gt;&lt;/References&gt;&lt;/Group&gt;&lt;/Citation&gt;_x000a_"/>
    <w:docVar w:name="NE.Ref{96562378-E076-41FA-AD38-44B95D3A0C50}" w:val=" ADDIN NE.Ref.{96562378-E076-41FA-AD38-44B95D3A0C50}&lt;Citation&gt;&lt;Group&gt;&lt;References&gt;&lt;Item&gt;&lt;ID&gt;1520&lt;/ID&gt;&lt;UID&gt;{26009FE3-BF42-43AE-AD77-AE055AC230BA}&lt;/UID&gt;&lt;Title&gt;Spatiotemporal effects of climate factors on childhood hand, foot, and mouth disease: a case study using mixed geographically and temporally weighted regression models&lt;/Title&gt;&lt;Template&gt;Journal Article&lt;/Template&gt;&lt;Star&gt;1&lt;/Star&gt;&lt;Tag&gt;5&lt;/Tag&gt;&lt;Author&gt;Hong, Zhimin; Mei, Changlin; Wang, Huhu; Du, Wala&lt;/Author&gt;&lt;Year&gt;2021&lt;/Year&gt;&lt;Details&gt;&lt;_created&gt;64152568&lt;/_created&gt;&lt;_modified&gt;64152569&lt;/_modified&gt;&lt;_url&gt;https://go.exlibris.link/Hg2d4CKh&lt;/_url&gt;&lt;_journal&gt;International journal of geographical information science : IJGIS&lt;/_journal&gt;&lt;_volume&gt;35&lt;/_volume&gt;&lt;_issue&gt;8&lt;/_issue&gt;&lt;_number&gt;1&lt;/_number&gt;&lt;_pages&gt;1611-1633&lt;/_pages&gt;&lt;_doi&gt;10.1080/13658816.2021.1882681&lt;/_doi&gt;&lt;_date_display&gt;2021&lt;/_date_display&gt;&lt;_date&gt;63640800&lt;/_date&gt;&lt;_isbn&gt;1365-8816&lt;/_isbn&gt;&lt;_ori_publication&gt;Taylor &amp;amp; Francis&lt;/_ori_publication&gt;&lt;_keywords&gt;bootstrap test; climate factor; foot; geographically and temporally weighted regression; Hand; mouth disease; spatiotemporal heterogeneity&lt;/_keywords&gt;&lt;_accessed&gt;64152568&lt;/_accessed&gt;&lt;_db_updated&gt;PKU Search&lt;/_db_updated&gt;&lt;_impact_factor&gt;   4.186&lt;/_impact_factor&gt;&lt;/Details&gt;&lt;Extra&gt;&lt;DBUID&gt;{F96A950B-833F-4880-A151-76DA2D6A2879}&lt;/DBUID&gt;&lt;/Extra&gt;&lt;/Item&gt;&lt;/References&gt;&lt;/Group&gt;&lt;/Citation&gt;_x000a_"/>
    <w:docVar w:name="NE.Ref{96A31A23-6B6B-4D9D-9159-865FB976746C}" w:val=" ADDIN NE.Ref.{96A31A23-6B6B-4D9D-9159-865FB976746C}&lt;Citation&gt;&lt;Group&gt;&lt;References&gt;&lt;Item&gt;&lt;ID&gt;1227&lt;/ID&gt;&lt;UID&gt;{19F646CD-32A0-462B-9DDE-DD6CEFA6F322}&lt;/UID&gt;&lt;Title&gt;长江流域景观格局与生态系统水质净化服务的关系&lt;/Title&gt;&lt;Template&gt;Journal Article&lt;/Template&gt;&lt;Star&gt;0&lt;/Star&gt;&lt;Tag&gt;0&lt;/Tag&gt;&lt;Author&gt;刘怡娜; 孔令桥; 肖燚; 郑华&lt;/Author&gt;&lt;Year&gt;2019&lt;/Year&gt;&lt;Details&gt;&lt;_accessed&gt;64066162&lt;/_accessed&gt;&lt;_author_adr&gt;中国科学院生态环境研究中心; 中国科学院生态环境研究中心; 中国科学院生态环境研究中心; 中国科学院生态环境研究中心&lt;/_author_adr&gt;&lt;_author_aff&gt;中国科学院生态环境研究中心; 中国科学院生态环境研究中心; 中国科学院生态环境研究中心; 中国科学院生态环境研究中心&lt;/_author_aff&gt;&lt;_collection_scope&gt;CSCD;PKU&lt;/_collection_scope&gt;&lt;_created&gt;64056126&lt;/_created&gt;&lt;_db_provider&gt;北京万方数据股份有限公司&lt;/_db_provider&gt;&lt;_db_updated&gt;Wanfangdata&lt;/_db_updated&gt;&lt;_doi&gt;10.5846/stxb201801130100&lt;/_doi&gt;&lt;_isbn&gt;1000-0933&lt;/_isbn&gt;&lt;_issue&gt;3&lt;/_issue&gt;&lt;_journal&gt;生态学报&lt;/_journal&gt;&lt;_keywords&gt;景观格局; 景观指数; 水质净化服务; 非点源污染; 长江流域&lt;/_keywords&gt;&lt;_language&gt;chi&lt;/_language&gt;&lt;_modified&gt;64066162&lt;/_modified&gt;&lt;_pages&gt;844-852&lt;/_pages&gt;&lt;_tertiary_title&gt;Acta Ecologica Sinica&lt;/_tertiary_title&gt;&lt;_translated_author&gt;Yina, LIU; Lingqiao, KONG; Yi, XIAO; Hua, ZHENG&lt;/_translated_author&gt;&lt;_translated_title&gt;Relationships between landscape pattern and ecosystem water purification service in the Yangtze River Basin&lt;/_translated_title&gt;&lt;_url&gt;http://www.wanfangdata.com.cn/details/detail.do?_type=perio&amp;amp;id=stxb201903009&lt;/_url&gt;&lt;_volume&gt;39&lt;/_volume&gt;&lt;/Details&gt;&lt;Extra&gt;&lt;DBUID&gt;{F96A950B-833F-4880-A151-76DA2D6A2879}&lt;/DBUID&gt;&lt;/Extra&gt;&lt;/Item&gt;&lt;/References&gt;&lt;/Group&gt;&lt;/Citation&gt;_x000a_"/>
    <w:docVar w:name="NE.Ref{9A07194C-2A6E-432B-BF13-5FD68A757A30}" w:val=" ADDIN NE.Ref.{9A07194C-2A6E-432B-BF13-5FD68A757A30}&lt;Citation&gt;&lt;Group&gt;&lt;References&gt;&lt;Item&gt;&lt;ID&gt;1256&lt;/ID&gt;&lt;UID&gt;{B122A892-C138-4E86-A280-B15524E731D0}&lt;/UID&gt;&lt;Title&gt;Multi-scale analysis of the relationship between landscape patterns and a water quality index (WQI) based on a stepwise linear regression (SLR) and geographically weighted regression (GWR) in the Ebinur Lake oasis&lt;/Title&gt;&lt;Template&gt;Journal Article&lt;/Template&gt;&lt;Star&gt;0&lt;/Star&gt;&lt;Tag&gt;0&lt;/Tag&gt;&lt;Author&gt;Wang, Xiaoping; Zhang, Fei&lt;/Author&gt;&lt;Year&gt;2018&lt;/Year&gt;&lt;Details&gt;&lt;_accessed&gt;64069721&lt;/_accessed&gt;&lt;_collection_scope&gt;SCI;SCIE&lt;/_collection_scope&gt;&lt;_created&gt;64069721&lt;/_created&gt;&lt;_db_updated&gt;CrossRef&lt;/_db_updated&gt;&lt;_doi&gt;10.1007/s11356-017-1041-8&lt;/_doi&gt;&lt;_impact_factor&gt;   4.223&lt;/_impact_factor&gt;&lt;_isbn&gt;0944-1344&lt;/_isbn&gt;&lt;_issue&gt;7&lt;/_issue&gt;&lt;_journal&gt;Environmental Science and Pollution Research&lt;/_journal&gt;&lt;_modified&gt;64069721&lt;/_modified&gt;&lt;_pages&gt;7033-7048&lt;/_pages&gt;&lt;_tertiary_title&gt;Environ Sci Pollut Res&lt;/_tertiary_title&gt;&lt;_url&gt;http://link.springer.com/10.1007/s11356-017-1041-8_x000d__x000a_http://link.springer.com/content/pdf/10.1007/s11356-017-1041-8.pdf&lt;/_url&gt;&lt;_volume&gt;25&lt;/_volume&gt;&lt;/Details&gt;&lt;Extra&gt;&lt;DBUID&gt;{F96A950B-833F-4880-A151-76DA2D6A2879}&lt;/DBUID&gt;&lt;/Extra&gt;&lt;/Item&gt;&lt;/References&gt;&lt;/Group&gt;&lt;Group&gt;&lt;References&gt;&lt;Item&gt;&lt;ID&gt;1514&lt;/ID&gt;&lt;UID&gt;{8F420C78-5386-4407-82A1-B3EEDBA16308}&lt;/UID&gt;&lt;Title&gt;Quantifying spatial non-stationarity in the relationship between landscape structure and the provision of ecosystem services: An example in the New Zealand hill country&lt;/Title&gt;&lt;Template&gt;Journal Article&lt;/Template&gt;&lt;Star&gt;1&lt;/Star&gt;&lt;Tag&gt;5&lt;/Tag&gt;&lt;Author&gt;Tran, Duy X; Pearson, Diane; Palmer, Alan; Lowry, John; Gray, David; Dominati, Estelle J&lt;/Author&gt;&lt;Year&gt;2022&lt;/Year&gt;&lt;Details&gt;&lt;_doi&gt;10.1016/j.scitotenv.2021.152126&lt;/_doi&gt;&lt;_created&gt;64151140&lt;/_created&gt;&lt;_modified&gt;64151140&lt;/_modified&gt;&lt;_url&gt;https://linkinghub.elsevier.com/retrieve/pii/S0048969721072028_x000d__x000a_https://api.elsevier.com/content/article/PII:S0048969721072028?httpAccept=text/xml&lt;/_url&gt;&lt;_journal&gt;Science of The Total Environment&lt;/_journal&gt;&lt;_volume&gt;808&lt;/_volume&gt;&lt;_pages&gt;152126&lt;/_pages&gt;&lt;_tertiary_title&gt;Science of The Total Environment&lt;/_tertiary_title&gt;&lt;_isbn&gt;00489697&lt;/_isbn&gt;&lt;_accessed&gt;64151140&lt;/_accessed&gt;&lt;_db_updated&gt;CrossRef&lt;/_db_updated&gt;&lt;_impact_factor&gt;   7.963&lt;/_impact_factor&gt;&lt;_collection_scope&gt;SCI;SCIE;EI&lt;/_collection_scope&gt;&lt;/Details&gt;&lt;Extra&gt;&lt;DBUID&gt;{F96A950B-833F-4880-A151-76DA2D6A2879}&lt;/DBUID&gt;&lt;/Extra&gt;&lt;/Item&gt;&lt;/References&gt;&lt;/Group&gt;&lt;/Citation&gt;_x000a_"/>
    <w:docVar w:name="NE.Ref{9B2F3E0F-BF96-42DE-A3A5-7680117FD3E0}" w:val=" ADDIN NE.Ref.{9B2F3E0F-BF96-42DE-A3A5-7680117FD3E0}&lt;Citation&gt;&lt;Group&gt;&lt;References&gt;&lt;Item&gt;&lt;ID&gt;1549&lt;/ID&gt;&lt;UID&gt;{DC7BC964-6831-4A5D-BCAA-E993A827EA85}&lt;/UID&gt;&lt;Title&gt;生态系统服务权衡与集成方法_傅伯杰&lt;/Title&gt;&lt;Template&gt;Journal Article&lt;/Template&gt;&lt;Star&gt;1&lt;/Star&gt;&lt;Tag&gt;0&lt;/Tag&gt;&lt;Author/&gt;&lt;Year&gt;0&lt;/Year&gt;&lt;Details&gt;&lt;_created&gt;64173045&lt;/_created&gt;&lt;_modified&gt;64173045&lt;/_modified&gt;&lt;/Details&gt;&lt;Extra&gt;&lt;DBUID&gt;{F96A950B-833F-4880-A151-76DA2D6A2879}&lt;/DBUID&gt;&lt;/Extra&gt;&lt;/Item&gt;&lt;/References&gt;&lt;/Group&gt;&lt;/Citation&gt;_x000a_"/>
    <w:docVar w:name="NE.Ref{9B4BB7E3-7613-4557-8344-D18A61505930}" w:val=" ADDIN NE.Ref.{9B4BB7E3-7613-4557-8344-D18A61505930}&lt;Citation&gt;&lt;Group&gt;&lt;References&gt;&lt;Item&gt;&lt;ID&gt;1538&lt;/ID&gt;&lt;UID&gt;{D06FE1A4-2BC0-4D59-9F1C-D8CB3B70A221}&lt;/UID&gt;&lt;Title&gt;Effects of landscape configuration on mapping ecosystem service capacity: a review of evidence and a case study in Scotland&lt;/Title&gt;&lt;Template&gt;Journal Article&lt;/Template&gt;&lt;Star&gt;1&lt;/Star&gt;&lt;Tag&gt;5&lt;/Tag&gt;&lt;Author&gt;Verhagen, Willem; Van Teeffelen, Astrid J A; Baggio Compagnucci, Andrea; Poggio, Laura; Gimona, Alessandro; Verburg, Peter H&lt;/Author&gt;&lt;Year&gt;2016&lt;/Year&gt;&lt;Details&gt;&lt;_accessed&gt;64164714&lt;/_accessed&gt;&lt;_collection_scope&gt;SCIE&lt;/_collection_scope&gt;&lt;_created&gt;64164714&lt;/_created&gt;&lt;_db_updated&gt;CrossRef&lt;/_db_updated&gt;&lt;_doi&gt;10.1007/s10980-016-0345-2&lt;/_doi&gt;&lt;_impact_factor&gt;   3.848&lt;/_impact_factor&gt;&lt;_isbn&gt;0921-2973&lt;/_isbn&gt;&lt;_issue&gt;7&lt;/_issue&gt;&lt;_journal&gt;Landscape Ecology&lt;/_journal&gt;&lt;_modified&gt;64164714&lt;/_modified&gt;&lt;_pages&gt;1457-1479&lt;/_pages&gt;&lt;_tertiary_title&gt;Landscape Ecol&lt;/_tertiary_title&gt;&lt;_url&gt;http://link.springer.com/10.1007/s10980-016-0345-2_x000d__x000a_http://link.springer.com/content/pdf/10.1007/s10980-016-0345-2&lt;/_url&gt;&lt;_volume&gt;31&lt;/_volume&gt;&lt;/Details&gt;&lt;Extra&gt;&lt;DBUID&gt;{F96A950B-833F-4880-A151-76DA2D6A2879}&lt;/DBUID&gt;&lt;/Extra&gt;&lt;/Item&gt;&lt;/References&gt;&lt;/Group&gt;&lt;/Citation&gt;_x000a_"/>
    <w:docVar w:name="NE.Ref{9EFA7CAB-114D-4320-B528-65FC46179AAD}" w:val=" ADDIN NE.Ref.{9EFA7CAB-114D-4320-B528-65FC46179AAD}&lt;Citation&gt;&lt;Group&gt;&lt;References&gt;&lt;Item&gt;&lt;ID&gt;1461&lt;/ID&gt;&lt;UID&gt;{411F5C0E-608B-4AFB-ABF4-BC1DAE918D33}&lt;/UID&gt;&lt;Title&gt;中国建设用地扩张对景观格局演化的影响&lt;/Title&gt;&lt;Template&gt;Journal Article&lt;/Template&gt;&lt;Star&gt;0&lt;/Star&gt;&lt;Tag&gt;0&lt;/Tag&gt;&lt;Author&gt;李广东; 戚伟&lt;/Author&gt;&lt;Year&gt;2019&lt;/Year&gt;&lt;Details&gt;&lt;_accessed&gt;64109897&lt;/_accessed&gt;&lt;_author_aff&gt;中国科学院地理科学与资源研究所中国科学院区域可持续发展分析与模拟重点实验室;中国科学院大学资源与环境学院;&lt;/_author_aff&gt;&lt;_cited_count&gt;31&lt;/_cited_count&gt;&lt;_collection_scope&gt;CSCD;CSSCI-C;PKU;EI&lt;/_collection_scope&gt;&lt;_created&gt;64109897&lt;/_created&gt;&lt;_date&gt;63093600&lt;/_date&gt;&lt;_db_updated&gt;CNKI - Reference&lt;/_db_updated&gt;&lt;_issue&gt;12&lt;/_issue&gt;&lt;_journal&gt;地理学报&lt;/_journal&gt;&lt;_keywords&gt;建设用地扩张;景观格局;影响机制;空间计量模型;时空异质性;中国&lt;/_keywords&gt;&lt;_language&gt;Chinese&lt;/_language&gt;&lt;_modified&gt;64109897&lt;/_modified&gt;&lt;_pages&gt;2572-2591&lt;/_pages&gt;&lt;_url&gt;https://kns.cnki.net/kcms/detail/detail.aspx?FileName=DLXB201912012&amp;amp;DbName=CJFQ2019&lt;/_url&gt;&lt;_volume&gt;74&lt;/_volume&gt;&lt;_translated_author&gt;Li, Guangdong;Qi, Wei&lt;/_translated_author&gt;&lt;/Details&gt;&lt;Extra&gt;&lt;DBUID&gt;{F96A950B-833F-4880-A151-76DA2D6A2879}&lt;/DBUID&gt;&lt;/Extra&gt;&lt;/Item&gt;&lt;/References&gt;&lt;/Group&gt;&lt;/Citation&gt;_x000a_"/>
    <w:docVar w:name="NE.Ref{9F0704F9-28A3-4071-903A-F499FE1351CC}" w:val=" ADDIN NE.Ref.{9F0704F9-28A3-4071-903A-F499FE1351CC}&lt;Citation&gt;&lt;Group&gt;&lt;References&gt;&lt;Item&gt;&lt;ID&gt;1514&lt;/ID&gt;&lt;UID&gt;{8F420C78-5386-4407-82A1-B3EEDBA16308}&lt;/UID&gt;&lt;Title&gt;Quantifying spatial non-stationarity in the relationship between landscape structure and the provision of ecosystem services: An example in the New Zealand hill country&lt;/Title&gt;&lt;Template&gt;Journal Article&lt;/Template&gt;&lt;Star&gt;1&lt;/Star&gt;&lt;Tag&gt;5&lt;/Tag&gt;&lt;Author&gt;Tran, Duy X; Pearson, Diane; Palmer, Alan; Lowry, John; Gray, David; Dominati, Estelle J&lt;/Author&gt;&lt;Year&gt;2022&lt;/Year&gt;&lt;Details&gt;&lt;_doi&gt;10.1016/j.scitotenv.2021.152126&lt;/_doi&gt;&lt;_created&gt;64151140&lt;/_created&gt;&lt;_modified&gt;64151140&lt;/_modified&gt;&lt;_url&gt;https://linkinghub.elsevier.com/retrieve/pii/S0048969721072028_x000d__x000a_https://api.elsevier.com/content/article/PII:S0048969721072028?httpAccept=text/xml&lt;/_url&gt;&lt;_journal&gt;Science of The Total Environment&lt;/_journal&gt;&lt;_volume&gt;808&lt;/_volume&gt;&lt;_pages&gt;152126&lt;/_pages&gt;&lt;_tertiary_title&gt;Science of The Total Environment&lt;/_tertiary_title&gt;&lt;_isbn&gt;00489697&lt;/_isbn&gt;&lt;_accessed&gt;64151140&lt;/_accessed&gt;&lt;_db_updated&gt;CrossRef&lt;/_db_updated&gt;&lt;_impact_factor&gt;   7.963&lt;/_impact_factor&gt;&lt;_collection_scope&gt;SCI;SCIE;EI&lt;/_collection_scope&gt;&lt;/Details&gt;&lt;Extra&gt;&lt;DBUID&gt;{F96A950B-833F-4880-A151-76DA2D6A2879}&lt;/DBUID&gt;&lt;/Extra&gt;&lt;/Item&gt;&lt;/References&gt;&lt;/Group&gt;&lt;/Citation&gt;_x000a_"/>
    <w:docVar w:name="NE.Ref{A202E332-B6DC-4942-BE8C-688F5D30ADEE}" w:val=" ADDIN NE.Ref.{A202E332-B6DC-4942-BE8C-688F5D30ADEE}&lt;Citation&gt;&lt;Group&gt;&lt;References&gt;&lt;Item&gt;&lt;ID&gt;1205&lt;/ID&gt;&lt;UID&gt;{58083F07-9E63-4D63-B76B-CFA1617E3D20}&lt;/UID&gt;&lt;Title&gt;The spatial characteristics and relationships between landscape pattern and ecosystem service value along an urban-rural gradient in Xi’an city, China&lt;/Title&gt;&lt;Template&gt;Journal Article&lt;/Template&gt;&lt;Star&gt;1&lt;/Star&gt;&lt;Tag&gt;0&lt;/Tag&gt;&lt;Author&gt;Hou, Lei; Wu, Faqi; Xie, Xinli&lt;/Author&gt;&lt;Year&gt;2020&lt;/Year&gt;&lt;Details&gt;&lt;_accessed&gt;64065513&lt;/_accessed&gt;&lt;_collection_scope&gt;SCIE;EI&lt;/_collection_scope&gt;&lt;_created&gt;64055266&lt;/_created&gt;&lt;_db_updated&gt;CrossRef&lt;/_db_updated&gt;&lt;_doi&gt;10.1016/j.ecolind.2019.105720&lt;/_doi&gt;&lt;_impact_factor&gt;   4.958&lt;/_impact_factor&gt;&lt;_isbn&gt;1470160X&lt;/_isbn&gt;&lt;_journal&gt;Ecological Indicators&lt;/_journal&gt;&lt;_modified&gt;64065513&lt;/_modified&gt;&lt;_pages&gt;105720&lt;/_pages&gt;&lt;_tertiary_title&gt;Ecological Indicators&lt;/_tertiary_title&gt;&lt;_url&gt;https://linkinghub.elsevier.com/retrieve/pii/S1470160X19307137_x000d__x000a_https://api.elsevier.com/content/article/PII:S1470160X19307137?httpAccept=text/xml&lt;/_url&gt;&lt;_volume&gt;108&lt;/_volume&gt;&lt;/Details&gt;&lt;Extra&gt;&lt;DBUID&gt;{F96A950B-833F-4880-A151-76DA2D6A2879}&lt;/DBUID&gt;&lt;/Extra&gt;&lt;/Item&gt;&lt;/References&gt;&lt;/Group&gt;&lt;/Citation&gt;_x000a_"/>
    <w:docVar w:name="NE.Ref{A56C8B1B-BE8E-475A-BDF0-1D842887DF8F}" w:val=" ADDIN NE.Ref.{A56C8B1B-BE8E-475A-BDF0-1D842887DF8F}&lt;Citation&gt;&lt;Group&gt;&lt;References&gt;&lt;Item&gt;&lt;ID&gt;1222&lt;/ID&gt;&lt;UID&gt;{1A6AACC8-EBA0-49DF-95E3-DE66B33D3364}&lt;/UID&gt;&lt;Title&gt;西安市景观格局演变对生态系统服务价值的影响&lt;/Title&gt;&lt;Template&gt;Journal Article&lt;/Template&gt;&lt;Star&gt;0&lt;/Star&gt;&lt;Tag&gt;0&lt;/Tag&gt;&lt;Author&gt;邹月; 周忠学&lt;/Author&gt;&lt;Year&gt;2017&lt;/Year&gt;&lt;Details&gt;&lt;_accessed&gt;64056127&lt;/_accessed&gt;&lt;_author_aff&gt;陕西师范大学旅游与环境学院;陕西师范大学地理学国家级实验教学示范中心;&lt;/_author_aff&gt;&lt;_collection_scope&gt;CSCD;PKU&lt;/_collection_scope&gt;&lt;_created&gt;64056126&lt;/_created&gt;&lt;_date&gt;61693920&lt;/_date&gt;&lt;_db_updated&gt;CNKI - Reference&lt;/_db_updated&gt;&lt;_issue&gt;08&lt;/_issue&gt;&lt;_journal&gt;应用生态学报&lt;/_journal&gt;&lt;_keywords&gt;景观格局;破碎化;生态系统服务价值;西安市&lt;/_keywords&gt;&lt;_language&gt;Chinese&lt;/_language&gt;&lt;_modified&gt;64056127&lt;/_modified&gt;&lt;_pages&gt;2629-2639&lt;/_pages&gt;&lt;_url&gt;https://kns.cnki.net/kcms/detail/detail.aspx?FileName=YYSB201708027&amp;amp;DbName=CJFQ2017&lt;/_url&gt;&lt;_volume&gt;28&lt;/_volume&gt;&lt;_translated_author&gt;Zou, Yue;Zhou, Zhongxue&lt;/_translated_author&gt;&lt;/Details&gt;&lt;Extra&gt;&lt;DBUID&gt;{F96A950B-833F-4880-A151-76DA2D6A2879}&lt;/DBUID&gt;&lt;/Extra&gt;&lt;/Item&gt;&lt;/References&gt;&lt;/Group&gt;&lt;/Citation&gt;_x000a_"/>
    <w:docVar w:name="NE.Ref{A6A24663-EB11-497E-A871-571ED9AC9D1D}" w:val=" ADDIN NE.Ref.{A6A24663-EB11-497E-A871-571ED9AC9D1D}&lt;Citation&gt;&lt;Group&gt;&lt;References&gt;&lt;Item&gt;&lt;ID&gt;1520&lt;/ID&gt;&lt;UID&gt;{26009FE3-BF42-43AE-AD77-AE055AC230BA}&lt;/UID&gt;&lt;Title&gt;Spatiotemporal effects of climate factors on childhood hand, foot, and mouth disease: a case study using mixed geographically and temporally weighted regression models&lt;/Title&gt;&lt;Template&gt;Journal Article&lt;/Template&gt;&lt;Star&gt;1&lt;/Star&gt;&lt;Tag&gt;5&lt;/Tag&gt;&lt;Author&gt;Hong, Zhimin; Mei, Changlin; Wang, Huhu; Du, Wala&lt;/Author&gt;&lt;Year&gt;2021&lt;/Year&gt;&lt;Details&gt;&lt;_created&gt;64152568&lt;/_created&gt;&lt;_modified&gt;64152569&lt;/_modified&gt;&lt;_url&gt;https://go.exlibris.link/Hg2d4CKh&lt;/_url&gt;&lt;_journal&gt;International journal of geographical information science : IJGIS&lt;/_journal&gt;&lt;_volume&gt;35&lt;/_volume&gt;&lt;_issue&gt;8&lt;/_issue&gt;&lt;_number&gt;1&lt;/_number&gt;&lt;_pages&gt;1611-1633&lt;/_pages&gt;&lt;_doi&gt;10.1080/13658816.2021.1882681&lt;/_doi&gt;&lt;_date_display&gt;2021&lt;/_date_display&gt;&lt;_date&gt;63640800&lt;/_date&gt;&lt;_isbn&gt;1365-8816&lt;/_isbn&gt;&lt;_ori_publication&gt;Taylor &amp;amp; Francis&lt;/_ori_publication&gt;&lt;_keywords&gt;bootstrap test; climate factor; foot; geographically and temporally weighted regression; Hand; mouth disease; spatiotemporal heterogeneity&lt;/_keywords&gt;&lt;_accessed&gt;64152568&lt;/_accessed&gt;&lt;_db_updated&gt;PKU Search&lt;/_db_updated&gt;&lt;_impact_factor&gt;   4.186&lt;/_impact_factor&gt;&lt;/Details&gt;&lt;Extra&gt;&lt;DBUID&gt;{F96A950B-833F-4880-A151-76DA2D6A2879}&lt;/DBUID&gt;&lt;/Extra&gt;&lt;/Item&gt;&lt;/References&gt;&lt;/Group&gt;&lt;/Citation&gt;_x000a_"/>
    <w:docVar w:name="NE.Ref{A8E15669-2754-4BE8-8DD2-323355FFE9E0}" w:val=" ADDIN NE.Ref.{A8E15669-2754-4BE8-8DD2-323355FFE9E0}&lt;Citation&gt;&lt;Group&gt;&lt;References&gt;&lt;Item&gt;&lt;ID&gt;1293&lt;/ID&gt;&lt;UID&gt;{46869A50-3C90-45F0-B940-5878E2477908}&lt;/UID&gt;&lt;Title&gt;Impact of landscape patterns on ecological vulnerability and ecosystem service values: An empirical analysis of Yancheng Nature Reserve in China&lt;/Title&gt;&lt;Template&gt;Journal Article&lt;/Template&gt;&lt;Star&gt;1&lt;/Star&gt;&lt;Tag&gt;0&lt;/Tag&gt;&lt;Author&gt;Zang, Zheng; Zou, Xinqing; Zuo, Ping; Song, Qiaochu; Wang, Chenglong; Wang, Junjie&lt;/Author&gt;&lt;Year&gt;2017&lt;/Year&gt;&lt;Details&gt;&lt;_accessed&gt;64095643&lt;/_accessed&gt;&lt;_collection_scope&gt;SCIE;EI&lt;/_collection_scope&gt;&lt;_created&gt;64095643&lt;/_created&gt;&lt;_db_updated&gt;CrossRef&lt;/_db_updated&gt;&lt;_doi&gt;10.1016/j.ecolind.2016.08.019&lt;/_doi&gt;&lt;_impact_factor&gt;   4.958&lt;/_impact_factor&gt;&lt;_isbn&gt;1470160X&lt;/_isbn&gt;&lt;_journal&gt;Ecological Indicators&lt;/_journal&gt;&lt;_modified&gt;64095643&lt;/_modified&gt;&lt;_pages&gt;142-152&lt;/_pages&gt;&lt;_tertiary_title&gt;Ecological Indicators&lt;/_tertiary_title&gt;&lt;_url&gt;https://linkinghub.elsevier.com/retrieve/pii/S1470160X16304800_x000d__x000a_https://api.elsevier.com/content/article/PII:S1470160X16304800?httpAccept=text/xml&lt;/_url&gt;&lt;_volume&gt;72&lt;/_volume&gt;&lt;/Details&gt;&lt;Extra&gt;&lt;DBUID&gt;{F96A950B-833F-4880-A151-76DA2D6A2879}&lt;/DBUID&gt;&lt;/Extra&gt;&lt;/Item&gt;&lt;/References&gt;&lt;/Group&gt;&lt;/Citation&gt;_x000a_"/>
    <w:docVar w:name="NE.Ref{A9F93A03-6014-4C11-AC26-3EC377BC93E2}" w:val=" ADDIN NE.Ref.{A9F93A03-6014-4C11-AC26-3EC377BC93E2}&lt;Citation&gt;&lt;Group&gt;&lt;References&gt;&lt;Item&gt;&lt;ID&gt;1519&lt;/ID&gt;&lt;UID&gt;{FAB8CB75-9574-4120-B306-746363BD4BB8}&lt;/UID&gt;&lt;Title&gt;The effect of urbanization on environmental pollution in rapidly developing urban agglomerations&lt;/Title&gt;&lt;Template&gt;Journal Article&lt;/Template&gt;&lt;Star&gt;1&lt;/Star&gt;&lt;Tag&gt;5&lt;/Tag&gt;&lt;Author&gt;Liang, Longwu; Wang, Zhenbo; Li, Jiaxin&lt;/Author&gt;&lt;Year&gt;2019&lt;/Year&gt;&lt;Details&gt;&lt;_accessed&gt;64152568&lt;/_accessed&gt;&lt;_collection_scope&gt;SCIE;EI&lt;/_collection_scope&gt;&lt;_created&gt;64152568&lt;/_created&gt;&lt;_db_updated&gt;CrossRef&lt;/_db_updated&gt;&lt;_doi&gt;10.1016/j.jclepro.2019.117649&lt;/_doi&gt;&lt;_impact_factor&gt;   9.297&lt;/_impact_factor&gt;&lt;_isbn&gt;09596526&lt;/_isbn&gt;&lt;_journal&gt;Journal of Cleaner Production&lt;/_journal&gt;&lt;_modified&gt;64152569&lt;/_modified&gt;&lt;_pages&gt;117649&lt;/_pages&gt;&lt;_tertiary_title&gt;Journal of Cleaner Production&lt;/_tertiary_title&gt;&lt;_url&gt;https://linkinghub.elsevier.com/retrieve/pii/S0959652619324990_x000d__x000a_https://api.elsevier.com/content/article/PII:S0959652619324990?httpAccept=text/xml&lt;/_url&gt;&lt;_volume&gt;237&lt;/_volume&gt;&lt;/Details&gt;&lt;Extra&gt;&lt;DBUID&gt;{F96A950B-833F-4880-A151-76DA2D6A2879}&lt;/DBUID&gt;&lt;/Extra&gt;&lt;/Item&gt;&lt;/References&gt;&lt;/Group&gt;&lt;/Citation&gt;_x000a_"/>
    <w:docVar w:name="NE.Ref{B00131C1-6552-455D-B61D-06A357173513}" w:val=" ADDIN NE.Ref.{B00131C1-6552-455D-B61D-06A357173513}&lt;Citation&gt;&lt;Group&gt;&lt;References&gt;&lt;Item&gt;&lt;ID&gt;1538&lt;/ID&gt;&lt;UID&gt;{D06FE1A4-2BC0-4D59-9F1C-D8CB3B70A221}&lt;/UID&gt;&lt;Title&gt;Effects of landscape configuration on mapping ecosystem service capacity: a review of evidence and a case study in Scotland&lt;/Title&gt;&lt;Template&gt;Journal Article&lt;/Template&gt;&lt;Star&gt;1&lt;/Star&gt;&lt;Tag&gt;5&lt;/Tag&gt;&lt;Author&gt;Verhagen, Willem; Van Teeffelen, Astrid J A; Baggio Compagnucci, Andrea; Poggio, Laura; Gimona, Alessandro; Verburg, Peter H&lt;/Author&gt;&lt;Year&gt;2016&lt;/Year&gt;&lt;Details&gt;&lt;_accessed&gt;64164714&lt;/_accessed&gt;&lt;_collection_scope&gt;SCIE&lt;/_collection_scope&gt;&lt;_created&gt;64164714&lt;/_created&gt;&lt;_db_updated&gt;CrossRef&lt;/_db_updated&gt;&lt;_doi&gt;10.1007/s10980-016-0345-2&lt;/_doi&gt;&lt;_impact_factor&gt;   3.848&lt;/_impact_factor&gt;&lt;_isbn&gt;0921-2973&lt;/_isbn&gt;&lt;_issue&gt;7&lt;/_issue&gt;&lt;_journal&gt;Landscape Ecology&lt;/_journal&gt;&lt;_modified&gt;64164714&lt;/_modified&gt;&lt;_pages&gt;1457-1479&lt;/_pages&gt;&lt;_tertiary_title&gt;Landscape Ecol&lt;/_tertiary_title&gt;&lt;_url&gt;http://link.springer.com/10.1007/s10980-016-0345-2_x000d__x000a_http://link.springer.com/content/pdf/10.1007/s10980-016-0345-2&lt;/_url&gt;&lt;_volume&gt;31&lt;/_volume&gt;&lt;/Details&gt;&lt;Extra&gt;&lt;DBUID&gt;{F96A950B-833F-4880-A151-76DA2D6A2879}&lt;/DBUID&gt;&lt;/Extra&gt;&lt;/Item&gt;&lt;/References&gt;&lt;/Group&gt;&lt;/Citation&gt;_x000a_"/>
    <w:docVar w:name="NE.Ref{B18E5F3E-288D-47EF-81C3-D09E125E8200}" w:val=" ADDIN NE.Ref.{B18E5F3E-288D-47EF-81C3-D09E125E8200}&lt;Citation&gt;&lt;Group&gt;&lt;References&gt;&lt;Item&gt;&lt;ID&gt;1228&lt;/ID&gt;&lt;UID&gt;{BD1B26A4-EA37-4A82-94D6-E96770962455}&lt;/UID&gt;&lt;Title&gt;汶川县生态系统服务对景观格局及其变化的响应&lt;/Title&gt;&lt;Template&gt;Journal Article&lt;/Template&gt;&lt;Star&gt;0&lt;/Star&gt;&lt;Tag&gt;0&lt;/Tag&gt;&lt;Author&gt;徐建英; 樊斐斐; 刘焱序; 陈吉星; 魏建瑛&lt;/Author&gt;&lt;Year&gt;2020&lt;/Year&gt;&lt;Details&gt;&lt;_accessed&gt;64066162&lt;/_accessed&gt;&lt;_author_aff&gt;首都师范大学资源环境与旅游学院;北京师范大学地理科学学部地表过程与资源生态国家重点实验室;&lt;/_author_aff&gt;&lt;_collection_scope&gt;CSCD;PKU&lt;/_collection_scope&gt;&lt;_created&gt;64056126&lt;/_created&gt;&lt;_date&gt;63407520&lt;/_date&gt;&lt;_db_updated&gt;CNKI - Reference&lt;/_db_updated&gt;&lt;_issue&gt;14&lt;/_issue&gt;&lt;_journal&gt;生态学报&lt;/_journal&gt;&lt;_keywords&gt;生态系统服务;景观格局指数;动态变化;汶川&lt;/_keywords&gt;&lt;_language&gt;Chinese&lt;/_language&gt;&lt;_modified&gt;64066162&lt;/_modified&gt;&lt;_pages&gt;4724-4736&lt;/_pages&gt;&lt;_url&gt;https://kns.cnki.net/kcms/detail/detail.aspx?FileName=STXB202014003&amp;amp;DbName=CJFQ2020&lt;/_url&gt;&lt;_volume&gt;40&lt;/_volume&gt;&lt;_translated_author&gt;Xu, Jianying;Fan, Feifei;Liu, Yanxu;Chen, Jixing;Wei, Jianying&lt;/_translated_author&gt;&lt;/Details&gt;&lt;Extra&gt;&lt;DBUID&gt;{F96A950B-833F-4880-A151-76DA2D6A2879}&lt;/DBUID&gt;&lt;/Extra&gt;&lt;/Item&gt;&lt;/References&gt;&lt;/Group&gt;&lt;/Citation&gt;_x000a_"/>
    <w:docVar w:name="NE.Ref{B1ABAC03-1A21-417A-9583-98651930FDEC}" w:val=" ADDIN NE.Ref.{B1ABAC03-1A21-417A-9583-98651930FDEC}&lt;Citation&gt;&lt;Group&gt;&lt;References&gt;&lt;Item&gt;&lt;ID&gt;1525&lt;/ID&gt;&lt;UID&gt;{4434A4B5-D759-4111-A767-3321151E9B67}&lt;/UID&gt;&lt;Title&gt;Assessment of the effects of forest land use strategies on the provision of ecosystem services at regional scale&lt;/Title&gt;&lt;Template&gt;Journal Article&lt;/Template&gt;&lt;Star&gt;1&lt;/Star&gt;&lt;Tag&gt;5&lt;/Tag&gt;&lt;Author&gt;Fürst, Christine; Frank, Susanne; Witt, Anke; Koschke, Lars; Makeschin, Franz&lt;/Author&gt;&lt;Year&gt;2013&lt;/Year&gt;&lt;Details&gt;&lt;_doi&gt;10.1016/j.jenvman.2012.09.020&lt;/_doi&gt;&lt;_created&gt;64164140&lt;/_created&gt;&lt;_modified&gt;64164140&lt;/_modified&gt;&lt;_url&gt;https://linkinghub.elsevier.com/retrieve/pii/S0301479712004793_x000d__x000a_https://api.elsevier.com/content/article/PII:S0301479712004793?httpAccept=text/xml&lt;/_url&gt;&lt;_journal&gt;Journal of Environmental Management&lt;/_journal&gt;&lt;_volume&gt;127&lt;/_volume&gt;&lt;_pages&gt;S96-S116&lt;/_pages&gt;&lt;_tertiary_title&gt;Journal of Environmental Management&lt;/_tertiary_title&gt;&lt;_isbn&gt;03014797&lt;/_isbn&gt;&lt;_accessed&gt;64164140&lt;/_accessed&gt;&lt;_db_updated&gt;CrossRef&lt;/_db_updated&gt;&lt;_impact_factor&gt;   6.789&lt;/_impact_factor&gt;&lt;_collection_scope&gt;SCI;SCIE&lt;/_collection_scope&gt;&lt;/Details&gt;&lt;Extra&gt;&lt;DBUID&gt;{F96A950B-833F-4880-A151-76DA2D6A2879}&lt;/DBUID&gt;&lt;/Extra&gt;&lt;/Item&gt;&lt;/References&gt;&lt;/Group&gt;&lt;/Citation&gt;_x000a_"/>
    <w:docVar w:name="NE.Ref{B1E7B643-6D59-4A10-B158-9E1D0B8823EC}" w:val=" ADDIN NE.Ref.{B1E7B643-6D59-4A10-B158-9E1D0B8823EC}&lt;Citation&gt;&lt;Group&gt;&lt;References&gt;&lt;Item&gt;&lt;ID&gt;1539&lt;/ID&gt;&lt;UID&gt;{D7CBB3F9-C288-40BC-8CF4-B11A082044E6}&lt;/UID&gt;&lt;Title&gt;Understanding the importance of landscape configuration on ecosystem service bundles at a high resolution in urban landscapes in the UK&lt;/Title&gt;&lt;Template&gt;Journal Article&lt;/Template&gt;&lt;Star&gt;1&lt;/Star&gt;&lt;Tag&gt;5&lt;/Tag&gt;&lt;Author&gt;Karimi, James D; Corstanje, Ron; Harris, Jim A&lt;/Author&gt;&lt;Year&gt;2021&lt;/Year&gt;&lt;Details&gt;&lt;_accessed&gt;64164714&lt;/_accessed&gt;&lt;_collection_scope&gt;SCIE&lt;/_collection_scope&gt;&lt;_created&gt;64164714&lt;/_created&gt;&lt;_db_updated&gt;CrossRef&lt;/_db_updated&gt;&lt;_doi&gt;10.1007/s10980-021-01200-2&lt;/_doi&gt;&lt;_impact_factor&gt;   3.848&lt;/_impact_factor&gt;&lt;_isbn&gt;0921-2973&lt;/_isbn&gt;&lt;_issue&gt;7&lt;/_issue&gt;&lt;_journal&gt;Landscape Ecology&lt;/_journal&gt;&lt;_modified&gt;64164714&lt;/_modified&gt;&lt;_pages&gt;2007-2024&lt;/_pages&gt;&lt;_tertiary_title&gt;Landscape Ecol&lt;/_tertiary_title&gt;&lt;_url&gt;https://link.springer.com/10.1007/s10980-021-01200-2_x000d__x000a_https://link.springer.com/content/pdf/10.1007/s10980-021-01200-2.pdf&lt;/_url&gt;&lt;_volume&gt;36&lt;/_volume&gt;&lt;/Details&gt;&lt;Extra&gt;&lt;DBUID&gt;{F96A950B-833F-4880-A151-76DA2D6A2879}&lt;/DBUID&gt;&lt;/Extra&gt;&lt;/Item&gt;&lt;/References&gt;&lt;/Group&gt;&lt;/Citation&gt;_x000a_"/>
    <w:docVar w:name="NE.Ref{B3EE5971-3E59-487B-B947-CDF41F6DC86A}" w:val=" ADDIN NE.Ref.{B3EE5971-3E59-487B-B947-CDF41F6DC86A}&lt;Citation&gt;&lt;Group&gt;&lt;References&gt;&lt;Item&gt;&lt;ID&gt;1277&lt;/ID&gt;&lt;UID&gt;{F7164E71-1019-48CB-8354-8E80806377E7}&lt;/UID&gt;&lt;Title&gt;Indices of landscape pattern&lt;/Title&gt;&lt;Template&gt;Journal Article&lt;/Template&gt;&lt;Star&gt;0&lt;/Star&gt;&lt;Tag&gt;0&lt;/Tag&gt;&lt;Author/&gt;&lt;Year&gt;0&lt;/Year&gt;&lt;Details&gt;&lt;_created&gt;64073876&lt;/_created&gt;&lt;_modified&gt;64073876&lt;/_modified&gt;&lt;/Details&gt;&lt;Extra&gt;&lt;DBUID&gt;{F96A950B-833F-4880-A151-76DA2D6A2879}&lt;/DBUID&gt;&lt;/Extra&gt;&lt;/Item&gt;&lt;/References&gt;&lt;/Group&gt;&lt;/Citation&gt;_x000a_"/>
    <w:docVar w:name="NE.Ref{B560DFCF-6104-4C03-BAC6-0151F16FD9D9}" w:val=" ADDIN NE.Ref.{B560DFCF-6104-4C03-BAC6-0151F16FD9D9}&lt;Citation&gt;&lt;Group&gt;&lt;References&gt;&lt;Item&gt;&lt;ID&gt;1522&lt;/ID&gt;&lt;UID&gt;{956A63CA-71B3-4135-900A-1FD4AD98864E}&lt;/UID&gt;&lt;Title&gt;Coupling coordination degree measurement and spatiotemporal heterogeneity between economic development and ecological environment ----Empirical evidence from tropical and subtropical regions of China&lt;/Title&gt;&lt;Template&gt;Journal Article&lt;/Template&gt;&lt;Star&gt;1&lt;/Star&gt;&lt;Tag&gt;5&lt;/Tag&gt;&lt;Author&gt;Shi, Tao; Yang, Shenyan; Zhang, Wei; Zhou, Qian&lt;/Author&gt;&lt;Year&gt;2020&lt;/Year&gt;&lt;Details&gt;&lt;_doi&gt;10.1016/j.jclepro.2019.118739&lt;/_doi&gt;&lt;_created&gt;64152571&lt;/_created&gt;&lt;_modified&gt;64152571&lt;/_modified&gt;&lt;_url&gt;https://linkinghub.elsevier.com/retrieve/pii/S0959652619336091_x000d__x000a_https://api.elsevier.com/content/article/PII:S0959652619336091?httpAccept=text/xml&lt;/_url&gt;&lt;_journal&gt;Journal of Cleaner Production&lt;/_journal&gt;&lt;_volume&gt;244&lt;/_volume&gt;&lt;_pages&gt;118739&lt;/_pages&gt;&lt;_tertiary_title&gt;Journal of Cleaner Production&lt;/_tertiary_title&gt;&lt;_isbn&gt;09596526&lt;/_isbn&gt;&lt;_accessed&gt;64152571&lt;/_accessed&gt;&lt;_db_updated&gt;CrossRef&lt;/_db_updated&gt;&lt;_impact_factor&gt;   9.297&lt;/_impact_factor&gt;&lt;_collection_scope&gt;SCIE;EI&lt;/_collection_scope&gt;&lt;/Details&gt;&lt;Extra&gt;&lt;DBUID&gt;{F96A950B-833F-4880-A151-76DA2D6A2879}&lt;/DBUID&gt;&lt;/Extra&gt;&lt;/Item&gt;&lt;/References&gt;&lt;/Group&gt;&lt;/Citation&gt;_x000a_"/>
    <w:docVar w:name="NE.Ref{B5850BCE-C445-48A3-9AE3-3A26EFE3D35F}" w:val=" ADDIN NE.Ref.{B5850BCE-C445-48A3-9AE3-3A26EFE3D35F}&lt;Citation&gt;&lt;Group&gt;&lt;References&gt;&lt;Item&gt;&lt;ID&gt;1284&lt;/ID&gt;&lt;UID&gt;{A2C38D2D-988B-4FB6-BE39-B609BB59D8DD}&lt;/UID&gt;&lt;Title&gt;Quantifying the spatial correlations between landscape pattern and ecosystem service value: A case study in Ebinur Lake Basin, Xinjiang, China&lt;/Title&gt;&lt;Template&gt;Journal Article&lt;/Template&gt;&lt;Star&gt;1&lt;/Star&gt;&lt;Tag&gt;0&lt;/Tag&gt;&lt;Author&gt;Yushanjiang, Ayinuer; Zhang, Fei; Yu, Haiyang; Kung, Hsiang-te&lt;/Author&gt;&lt;Year&gt;2018&lt;/Year&gt;&lt;Details&gt;&lt;_accessed&gt;64093615&lt;/_accessed&gt;&lt;_collection_scope&gt;SCI;SCIE;EI&lt;/_collection_scope&gt;&lt;_created&gt;64093615&lt;/_created&gt;&lt;_db_updated&gt;CrossRef&lt;/_db_updated&gt;&lt;_doi&gt;10.1016/j.ecoleng.2018.02.005&lt;/_doi&gt;&lt;_impact_factor&gt;   4.035&lt;/_impact_factor&gt;&lt;_isbn&gt;09258574&lt;/_isbn&gt;&lt;_journal&gt;Ecological Engineering&lt;/_journal&gt;&lt;_modified&gt;64093615&lt;/_modified&gt;&lt;_pages&gt;94-104&lt;/_pages&gt;&lt;_tertiary_title&gt;Ecological Engineering&lt;/_tertiary_title&gt;&lt;_url&gt;https://linkinghub.elsevier.com/retrieve/pii/S0925857418300247_x000d__x000a_https://dul.usage.elsevier.com/doi/&lt;/_url&gt;&lt;_volume&gt;113&lt;/_volume&gt;&lt;/Details&gt;&lt;Extra&gt;&lt;DBUID&gt;{F96A950B-833F-4880-A151-76DA2D6A2879}&lt;/DBUID&gt;&lt;/Extra&gt;&lt;/Item&gt;&lt;/References&gt;&lt;/Group&gt;&lt;Group&gt;&lt;References&gt;&lt;Item&gt;&lt;ID&gt;1547&lt;/ID&gt;&lt;UID&gt;{AFA73FAE-7527-47CE-85CA-AA2E5295AC1C}&lt;/UID&gt;&lt;Title&gt;汉江上游生态系统服务权衡与协同关系时空特征&lt;/Title&gt;&lt;Template&gt;Journal Article&lt;/Template&gt;&lt;Star&gt;1&lt;/Star&gt;&lt;Tag&gt;0&lt;/Tag&gt;&lt;Author&gt;王鹏涛; 张立伟; 李英杰; 焦磊; 王浩; 延军平; 吕一河; 傅伯杰&lt;/Author&gt;&lt;Year&gt;2017&lt;/Year&gt;&lt;Details&gt;&lt;_created&gt;64173045&lt;/_created&gt;&lt;_modified&gt;64173047&lt;/_modified&gt;&lt;_url&gt;https://kns.cnki.net/kcms/detail/detail.aspx?FileName=DLXB201711012&amp;amp;DbName=CJFQ2017&lt;/_url&gt;&lt;_journal&gt;地理学报&lt;/_journal&gt;&lt;_volume&gt;72&lt;/_volume&gt;&lt;_issue&gt;11&lt;/_issue&gt;&lt;_pages&gt;2064-2078&lt;/_pages&gt;&lt;_cited_count&gt;85&lt;/_cited_count&gt;&lt;_date&gt;61993440&lt;/_date&gt;&lt;_keywords&gt;生态系统服务;生态系统服务制图;权衡与协同;气候变化;汉江上游&lt;/_keywords&gt;&lt;_author_aff&gt;陕西师范大学地理科学与旅游学院;密歇根州立大学系统综合与可持续发展研究中心;中国科学院生态环境研究中心;&lt;/_author_aff&gt;&lt;_accessed&gt;64173045&lt;/_accessed&gt;&lt;_db_updated&gt;CNKI - Reference&lt;/_db_updated&gt;&lt;_collection_scope&gt;CSCD;CSSCI-C;PKU;EI&lt;/_collection_scope&gt;&lt;_translated_author&gt;Wang, Pengtao;Zhang, Liwei;Li, Yingjie;Jiao, Lei;Wang, Hao;Yan, Junping;Lu, Yihe;Fu, Bojie&lt;/_translated_author&gt;&lt;/Details&gt;&lt;Extra&gt;&lt;DBUID&gt;{F96A950B-833F-4880-A151-76DA2D6A2879}&lt;/DBUID&gt;&lt;/Extra&gt;&lt;/Item&gt;&lt;/References&gt;&lt;/Group&gt;&lt;/Citation&gt;_x000a_"/>
    <w:docVar w:name="NE.Ref{B69CAB1B-6A8E-45D5-A778-3DA4FE489A63}" w:val=" ADDIN NE.Ref.{B69CAB1B-6A8E-45D5-A778-3DA4FE489A63}&lt;Citation&gt;&lt;Group&gt;&lt;References&gt;&lt;Item&gt;&lt;ID&gt;1514&lt;/ID&gt;&lt;UID&gt;{8F420C78-5386-4407-82A1-B3EEDBA16308}&lt;/UID&gt;&lt;Title&gt;Quantifying spatial non-stationarity in the relationship between landscape structure and the provision of ecosystem services: An example in the New Zealand hill country&lt;/Title&gt;&lt;Template&gt;Journal Article&lt;/Template&gt;&lt;Star&gt;1&lt;/Star&gt;&lt;Tag&gt;5&lt;/Tag&gt;&lt;Author&gt;Tran, Duy X; Pearson, Diane; Palmer, Alan; Lowry, John; Gray, David; Dominati, Estelle J&lt;/Author&gt;&lt;Year&gt;2022&lt;/Year&gt;&lt;Details&gt;&lt;_doi&gt;10.1016/j.scitotenv.2021.152126&lt;/_doi&gt;&lt;_created&gt;64151140&lt;/_created&gt;&lt;_modified&gt;64151140&lt;/_modified&gt;&lt;_url&gt;https://linkinghub.elsevier.com/retrieve/pii/S0048969721072028_x000d__x000a_https://api.elsevier.com/content/article/PII:S0048969721072028?httpAccept=text/xml&lt;/_url&gt;&lt;_journal&gt;Science of The Total Environment&lt;/_journal&gt;&lt;_volume&gt;808&lt;/_volume&gt;&lt;_pages&gt;152126&lt;/_pages&gt;&lt;_tertiary_title&gt;Science of The Total Environment&lt;/_tertiary_title&gt;&lt;_isbn&gt;00489697&lt;/_isbn&gt;&lt;_accessed&gt;64151140&lt;/_accessed&gt;&lt;_db_updated&gt;CrossRef&lt;/_db_updated&gt;&lt;_impact_factor&gt;   7.963&lt;/_impact_factor&gt;&lt;_collection_scope&gt;SCI;SCIE;EI&lt;/_collection_scope&gt;&lt;/Details&gt;&lt;Extra&gt;&lt;DBUID&gt;{F96A950B-833F-4880-A151-76DA2D6A2879}&lt;/DBUID&gt;&lt;/Extra&gt;&lt;/Item&gt;&lt;/References&gt;&lt;/Group&gt;&lt;/Citation&gt;_x000a_"/>
    <w:docVar w:name="NE.Ref{B6B68B73-6D0E-4215-BED7-0820DC006D12}" w:val=" ADDIN NE.Ref.{B6B68B73-6D0E-4215-BED7-0820DC006D12}&lt;Citation&gt;&lt;Group&gt;&lt;References&gt;&lt;Item&gt;&lt;ID&gt;1190&lt;/ID&gt;&lt;UID&gt;{FDC8FDF6-43B6-4424-8C3F-3014C659905D}&lt;/UID&gt;&lt;Title&gt;Landscape structure affects the provision of multiple ecosystem services&lt;/Title&gt;&lt;Template&gt;Journal Article&lt;/Template&gt;&lt;Star&gt;1&lt;/Star&gt;&lt;Tag&gt;0&lt;/Tag&gt;&lt;Author&gt;Lamy, T; Liss, K N; Gonzalez, A; Bennett, E M&lt;/Author&gt;&lt;Year&gt;2016&lt;/Year&gt;&lt;Details&gt;&lt;_accessed&gt;64056073&lt;/_accessed&gt;&lt;_collection_scope&gt;EI&lt;/_collection_scope&gt;&lt;_created&gt;64050804&lt;/_created&gt;&lt;_date&gt;61009920&lt;/_date&gt;&lt;_date_display&gt;2016&lt;/_date_display&gt;&lt;_db_updated&gt;PKU Search&lt;/_db_updated&gt;&lt;_doi&gt;10.1088/1748-9326/11/12/124017&lt;/_doi&gt;&lt;_impact_factor&gt;   6.793&lt;/_impact_factor&gt;&lt;_isbn&gt;1748-9326&lt;/_isbn&gt;&lt;_issue&gt;12&lt;/_issue&gt;&lt;_journal&gt;Environmental research letters&lt;/_journal&gt;&lt;_keywords&gt;ecosystem service modeling; ecosystem services; land use change; landscape composition; landscape configuration; landscape management&lt;/_keywords&gt;&lt;_modified&gt;64056073&lt;/_modified&gt;&lt;_number&gt;1&lt;/_number&gt;&lt;_ori_publication&gt;IOP Publishing&lt;/_ori_publication&gt;&lt;_pages&gt;124017&lt;/_pages&gt;&lt;_url&gt;https://go.exlibris.link/QdJjmclg&lt;/_url&gt;&lt;_volume&gt;11&lt;/_volume&gt;&lt;/Details&gt;&lt;Extra&gt;&lt;DBUID&gt;{F96A950B-833F-4880-A151-76DA2D6A2879}&lt;/DBUID&gt;&lt;/Extra&gt;&lt;/Item&gt;&lt;/References&gt;&lt;/Group&gt;&lt;/Citation&gt;_x000a_"/>
    <w:docVar w:name="NE.Ref{B72B07D3-35F1-470E-A825-987D9D9DC63D}" w:val=" ADDIN NE.Ref.{B72B07D3-35F1-470E-A825-987D9D9DC63D}&lt;Citation&gt;&lt;Group&gt;&lt;References&gt;&lt;Item&gt;&lt;ID&gt;1549&lt;/ID&gt;&lt;UID&gt;{DC7BC964-6831-4A5D-BCAA-E993A827EA85}&lt;/UID&gt;&lt;Title&gt;生态系统服务权衡与集成方法_傅伯杰&lt;/Title&gt;&lt;Template&gt;Journal Article&lt;/Template&gt;&lt;Star&gt;1&lt;/Star&gt;&lt;Tag&gt;0&lt;/Tag&gt;&lt;Author/&gt;&lt;Year&gt;0&lt;/Year&gt;&lt;Details&gt;&lt;_created&gt;64173045&lt;/_created&gt;&lt;_modified&gt;64173045&lt;/_modified&gt;&lt;/Details&gt;&lt;Extra&gt;&lt;DBUID&gt;{F96A950B-833F-4880-A151-76DA2D6A2879}&lt;/DBUID&gt;&lt;/Extra&gt;&lt;/Item&gt;&lt;/References&gt;&lt;/Group&gt;&lt;/Citation&gt;_x000a_"/>
    <w:docVar w:name="NE.Ref{B7698FCD-70BD-4504-9607-19C2C9087326}" w:val=" ADDIN NE.Ref.{B7698FCD-70BD-4504-9607-19C2C9087326}&lt;Citation&gt;&lt;Group&gt;&lt;References&gt;&lt;Item&gt;&lt;ID&gt;1190&lt;/ID&gt;&lt;UID&gt;{FDC8FDF6-43B6-4424-8C3F-3014C659905D}&lt;/UID&gt;&lt;Title&gt;Landscape structure affects the provision of multiple ecosystem services&lt;/Title&gt;&lt;Template&gt;Journal Article&lt;/Template&gt;&lt;Star&gt;1&lt;/Star&gt;&lt;Tag&gt;0&lt;/Tag&gt;&lt;Author&gt;Lamy, T; Liss, K N; Gonzalez, A; Bennett, E M&lt;/Author&gt;&lt;Year&gt;2016&lt;/Year&gt;&lt;Details&gt;&lt;_accessed&gt;64056073&lt;/_accessed&gt;&lt;_collection_scope&gt;EI&lt;/_collection_scope&gt;&lt;_created&gt;64050804&lt;/_created&gt;&lt;_date&gt;61009920&lt;/_date&gt;&lt;_date_display&gt;2016&lt;/_date_display&gt;&lt;_db_updated&gt;PKU Search&lt;/_db_updated&gt;&lt;_doi&gt;10.1088/1748-9326/11/12/124017&lt;/_doi&gt;&lt;_impact_factor&gt;   6.793&lt;/_impact_factor&gt;&lt;_isbn&gt;1748-9326&lt;/_isbn&gt;&lt;_issue&gt;12&lt;/_issue&gt;&lt;_journal&gt;Environmental research letters&lt;/_journal&gt;&lt;_keywords&gt;ecosystem service modeling; ecosystem services; land use change; landscape composition; landscape configuration; landscape management&lt;/_keywords&gt;&lt;_modified&gt;64056073&lt;/_modified&gt;&lt;_number&gt;1&lt;/_number&gt;&lt;_ori_publication&gt;IOP Publishing&lt;/_ori_publication&gt;&lt;_pages&gt;124017&lt;/_pages&gt;&lt;_url&gt;https://go.exlibris.link/QdJjmclg&lt;/_url&gt;&lt;_volume&gt;11&lt;/_volume&gt;&lt;/Details&gt;&lt;Extra&gt;&lt;DBUID&gt;{F96A950B-833F-4880-A151-76DA2D6A2879}&lt;/DBUID&gt;&lt;/Extra&gt;&lt;/Item&gt;&lt;/References&gt;&lt;/Group&gt;&lt;/Citation&gt;_x000a_"/>
    <w:docVar w:name="NE.Ref{B81E8410-1A92-4A2A-B6BA-9F477F56A46F}" w:val=" ADDIN NE.Ref.{B81E8410-1A92-4A2A-B6BA-9F477F56A46F}&lt;Citation&gt;&lt;Group&gt;&lt;References&gt;&lt;Item&gt;&lt;ID&gt;1187&lt;/ID&gt;&lt;UID&gt;{148E17F1-042D-4B40-9488-39F285FFDF8B}&lt;/UID&gt;&lt;Title&gt;Linking ecosystem services, urban form and green space configuration using multivariate landscape metric analysis&lt;/Title&gt;&lt;Template&gt;Journal Article&lt;/Template&gt;&lt;Star&gt;1&lt;/Star&gt;&lt;Tag&gt;0&lt;/Tag&gt;&lt;Author&gt;Grafius, Darren R; Corstanje, Ron; Harris, Jim A&lt;/Author&gt;&lt;Year&gt;2018&lt;/Year&gt;&lt;Details&gt;&lt;_accessed&gt;64056072&lt;/_accessed&gt;&lt;_collection_scope&gt;SCIE&lt;/_collection_scope&gt;&lt;_created&gt;64050804&lt;/_created&gt;&lt;_db_updated&gt;CrossRef&lt;/_db_updated&gt;&lt;_doi&gt;10.1007/s10980-018-0618-z&lt;/_doi&gt;&lt;_impact_factor&gt;   3.848&lt;/_impact_factor&gt;&lt;_isbn&gt;0921-2973&lt;/_isbn&gt;&lt;_issue&gt;4&lt;/_issue&gt;&lt;_journal&gt;Landscape Ecology&lt;/_journal&gt;&lt;_modified&gt;64162725&lt;/_modified&gt;&lt;_pages&gt;557-573&lt;/_pages&gt;&lt;_tertiary_title&gt;Landscape Ecol&lt;/_tertiary_title&gt;&lt;_url&gt;http://link.springer.com/10.1007/s10980-018-0618-z_x000d__x000a_http://link.springer.com/content/pdf/10.1007/s10980-018-0618-z.pdf&lt;/_url&gt;&lt;_volume&gt;33&lt;/_volume&gt;&lt;/Details&gt;&lt;Extra&gt;&lt;DBUID&gt;{F96A950B-833F-4880-A151-76DA2D6A2879}&lt;/DBUID&gt;&lt;/Extra&gt;&lt;/Item&gt;&lt;/References&gt;&lt;/Group&gt;&lt;/Citation&gt;_x000a_"/>
    <w:docVar w:name="NE.Ref{BB21D1D4-5908-4A60-9CAB-7C1202401D22}" w:val=" ADDIN NE.Ref.{BB21D1D4-5908-4A60-9CAB-7C1202401D22}&lt;Citation&gt;&lt;Group&gt;&lt;References&gt;&lt;Item&gt;&lt;ID&gt;1247&lt;/ID&gt;&lt;UID&gt;{EDAB1E22-29DE-4DD7-8ED4-69CF7065C7DA}&lt;/UID&gt;&lt;Title&gt;景观空间异质性对生态系统服务形成与供给的影响&lt;/Title&gt;&lt;Template&gt;Journal Article&lt;/Template&gt;&lt;Star&gt;0&lt;/Star&gt;&lt;Tag&gt;0&lt;/Tag&gt;&lt;Author&gt;刘绿怡; 卞子亓; 丁圣彦&lt;/Author&gt;&lt;Year&gt;2018&lt;/Year&gt;&lt;Details&gt;&lt;_language&gt;Chinese&lt;/_language&gt;&lt;_created&gt;64066552&lt;/_created&gt;&lt;_modified&gt;64066552&lt;/_modified&gt;&lt;_url&gt;https://kns.cnki.net/kcms/detail/detail.aspx?FileName=STXB201818005&amp;amp;DbName=CJFQ2018&lt;/_url&gt;&lt;_journal&gt;生态学报&lt;/_journal&gt;&lt;_volume&gt;38&lt;/_volume&gt;&lt;_issue&gt;18&lt;/_issue&gt;&lt;_pages&gt;6412-6421&lt;/_pages&gt;&lt;_date&gt;62444160&lt;/_date&gt;&lt;_keywords&gt;生态系统服务;景观空间异质性;景观组成;景观构型&lt;/_keywords&gt;&lt;_author_aff&gt;河南大学黄河中下游数字地理技术教育部重点实验室;河南大学环境与规划学院;&lt;/_author_aff&gt;&lt;_accessed&gt;64066552&lt;/_accessed&gt;&lt;_db_updated&gt;CNKI - Reference&lt;/_db_updated&gt;&lt;_collection_scope&gt;CSCD;PKU&lt;/_collection_scope&gt;&lt;_translated_author&gt;Liu, Lu yi;Bian, Ziqi;Ding, Shengyan&lt;/_translated_author&gt;&lt;/Details&gt;&lt;Extra&gt;&lt;DBUID&gt;{F96A950B-833F-4880-A151-76DA2D6A2879}&lt;/DBUID&gt;&lt;/Extra&gt;&lt;/Item&gt;&lt;/References&gt;&lt;/Group&gt;&lt;/Citation&gt;_x000a_"/>
    <w:docVar w:name="NE.Ref{BB4C871B-9FF8-4265-BF3B-F90A4430B883}" w:val=" ADDIN NE.Ref.{BB4C871B-9FF8-4265-BF3B-F90A4430B883}&lt;Citation&gt;&lt;Group&gt;&lt;References&gt;&lt;Item&gt;&lt;ID&gt;1529&lt;/ID&gt;&lt;UID&gt;{BC92FD84-7222-4A67-8B52-20125C3B3DDC}&lt;/UID&gt;&lt;Title&gt;Does spatial configuration matter? Understanding the effects of land cover pattern on land surface temperature in urban landscapes&lt;/Title&gt;&lt;Template&gt;Journal Article&lt;/Template&gt;&lt;Star&gt;1&lt;/Star&gt;&lt;Tag&gt;5&lt;/Tag&gt;&lt;Author&gt;Zhou, Weiqi; Huang, Ganlin; Cadenasso, Mary L&lt;/Author&gt;&lt;Year&gt;2011&lt;/Year&gt;&lt;Details&gt;&lt;_accessed&gt;64164707&lt;/_accessed&gt;&lt;_collection_scope&gt;SCIE;SSCI;EI&lt;/_collection_scope&gt;&lt;_created&gt;64164707&lt;/_created&gt;&lt;_db_updated&gt;CrossRef&lt;/_db_updated&gt;&lt;_doi&gt;10.1016/j.landurbplan.2011.03.009&lt;/_doi&gt;&lt;_impact_factor&gt;   6.142&lt;/_impact_factor&gt;&lt;_isbn&gt;01692046&lt;/_isbn&gt;&lt;_issue&gt;1&lt;/_issue&gt;&lt;_journal&gt;Landscape and Urban Planning&lt;/_journal&gt;&lt;_modified&gt;64164707&lt;/_modified&gt;&lt;_pages&gt;54-63&lt;/_pages&gt;&lt;_tertiary_title&gt;Landscape and Urban Planning&lt;/_tertiary_title&gt;&lt;_url&gt;https://linkinghub.elsevier.com/retrieve/pii/S016920461100140X_x000d__x000a_https://api.elsevier.com/content/article/PII:S016920461100140X?httpAccept=text/xml&lt;/_url&gt;&lt;_volume&gt;102&lt;/_volume&gt;&lt;/Details&gt;&lt;Extra&gt;&lt;DBUID&gt;{F96A950B-833F-4880-A151-76DA2D6A2879}&lt;/DBUID&gt;&lt;/Extra&gt;&lt;/Item&gt;&lt;/References&gt;&lt;/Group&gt;&lt;/Citation&gt;_x000a_"/>
    <w:docVar w:name="NE.Ref{BE25A77C-2334-4B6E-B07C-EAE9218AD8B6}" w:val=" ADDIN NE.Ref.{BE25A77C-2334-4B6E-B07C-EAE9218AD8B6}&lt;Citation&gt;&lt;Group&gt;&lt;References&gt;&lt;Item&gt;&lt;ID&gt;1247&lt;/ID&gt;&lt;UID&gt;{EDAB1E22-29DE-4DD7-8ED4-69CF7065C7DA}&lt;/UID&gt;&lt;Title&gt;景观空间异质性对生态系统服务形成与供给的影响&lt;/Title&gt;&lt;Template&gt;Journal Article&lt;/Template&gt;&lt;Star&gt;0&lt;/Star&gt;&lt;Tag&gt;0&lt;/Tag&gt;&lt;Author&gt;刘绿怡; 卞子亓; 丁圣彦&lt;/Author&gt;&lt;Year&gt;2018&lt;/Year&gt;&lt;Details&gt;&lt;_language&gt;Chinese&lt;/_language&gt;&lt;_created&gt;64066552&lt;/_created&gt;&lt;_modified&gt;64066552&lt;/_modified&gt;&lt;_url&gt;https://kns.cnki.net/kcms/detail/detail.aspx?FileName=STXB201818005&amp;amp;DbName=CJFQ2018&lt;/_url&gt;&lt;_journal&gt;生态学报&lt;/_journal&gt;&lt;_volume&gt;38&lt;/_volume&gt;&lt;_issue&gt;18&lt;/_issue&gt;&lt;_pages&gt;6412-6421&lt;/_pages&gt;&lt;_date&gt;62444160&lt;/_date&gt;&lt;_keywords&gt;生态系统服务;景观空间异质性;景观组成;景观构型&lt;/_keywords&gt;&lt;_author_aff&gt;河南大学黄河中下游数字地理技术教育部重点实验室;河南大学环境与规划学院;&lt;/_author_aff&gt;&lt;_accessed&gt;64066552&lt;/_accessed&gt;&lt;_db_updated&gt;CNKI - Reference&lt;/_db_updated&gt;&lt;_collection_scope&gt;CSCD;PKU&lt;/_collection_scope&gt;&lt;_translated_author&gt;Liu, Lu yi;Bian, Ziqi;Ding, Shengyan&lt;/_translated_author&gt;&lt;/Details&gt;&lt;Extra&gt;&lt;DBUID&gt;{F96A950B-833F-4880-A151-76DA2D6A2879}&lt;/DBUID&gt;&lt;/Extra&gt;&lt;/Item&gt;&lt;/References&gt;&lt;/Group&gt;&lt;/Citation&gt;_x000a_"/>
    <w:docVar w:name="NE.Ref{C324A5FB-5180-4AC5-9055-5E615763B43F}" w:val=" ADDIN NE.Ref.{C324A5FB-5180-4AC5-9055-5E615763B43F}&lt;Citation&gt;&lt;Group&gt;&lt;References&gt;&lt;Item&gt;&lt;ID&gt;1471&lt;/ID&gt;&lt;UID&gt;{B379A0FA-075C-4823-9C01-1F50AADBD074}&lt;/UID&gt;&lt;Title&gt;Quantifying landscape pattern and ecosystem service value changes: A case study at the county level in the Chinese Loess Plateau&lt;/Title&gt;&lt;Template&gt;Journal Article&lt;/Template&gt;&lt;Star&gt;0&lt;/Star&gt;&lt;Tag&gt;5&lt;/Tag&gt;&lt;Author&gt;Zhang, Jing; Qu, Mei; Wang, Cheng; Zhao, Jun; Cao, Yang&lt;/Author&gt;&lt;Year&gt;2020&lt;/Year&gt;&lt;Details&gt;&lt;_doi&gt;10.1016/j.gecco.2020.e01110&lt;/_doi&gt;&lt;_created&gt;64110899&lt;/_created&gt;&lt;_modified&gt;64110899&lt;/_modified&gt;&lt;_url&gt;https://linkinghub.elsevier.com/retrieve/pii/S2351989420304765_x000d__x000a_https://api.elsevier.com/content/article/PII:S2351989420304765?httpAccept=text/xml&lt;/_url&gt;&lt;_journal&gt;Global Ecology and Conservation&lt;/_journal&gt;&lt;_volume&gt;23&lt;/_volume&gt;&lt;_pages&gt;e01110&lt;/_pages&gt;&lt;_tertiary_title&gt;Global Ecology and Conservation&lt;/_tertiary_title&gt;&lt;_isbn&gt;23519894&lt;/_isbn&gt;&lt;_accessed&gt;64110899&lt;/_accessed&gt;&lt;_db_updated&gt;CrossRef&lt;/_db_updated&gt;&lt;_impact_factor&gt;   3.380&lt;/_impact_factor&gt;&lt;_collection_scope&gt;SCIE&lt;/_collection_scope&gt;&lt;/Details&gt;&lt;Extra&gt;&lt;DBUID&gt;{F96A950B-833F-4880-A151-76DA2D6A2879}&lt;/DBUID&gt;&lt;/Extra&gt;&lt;/Item&gt;&lt;/References&gt;&lt;/Group&gt;&lt;/Citation&gt;_x000a_"/>
    <w:docVar w:name="NE.Ref{C4616DD1-3881-43A9-BA7F-37B96FB72223}" w:val=" ADDIN NE.Ref.{C4616DD1-3881-43A9-BA7F-37B96FB72223}&lt;Citation&gt;&lt;Group&gt;&lt;References&gt;&lt;Item&gt;&lt;ID&gt;1225&lt;/ID&gt;&lt;UID&gt;{AD930FB4-3B98-4C5F-AC42-9C55DAEE7E3B}&lt;/UID&gt;&lt;Title&gt;生态系统服务与景观格局集成研究综述&lt;/Title&gt;&lt;Template&gt;Journal Article&lt;/Template&gt;&lt;Star&gt;0&lt;/Star&gt;&lt;Tag&gt;0&lt;/Tag&gt;&lt;Author&gt;梁友嘉; 刘丽珺&lt;/Author&gt;&lt;Year&gt;2018&lt;/Year&gt;&lt;Details&gt;&lt;_accessed&gt;64065506&lt;/_accessed&gt;&lt;_author_aff&gt;武汉理工大学资源与环境工程学院;武汉理工大学航运学院;&lt;/_author_aff&gt;&lt;_collection_scope&gt;CSCD;PKU&lt;/_collection_scope&gt;&lt;_created&gt;64056126&lt;/_created&gt;&lt;_date&gt;62334720&lt;/_date&gt;&lt;_db_updated&gt;CNKI - Reference&lt;/_db_updated&gt;&lt;_issue&gt;20&lt;/_issue&gt;&lt;_journal&gt;生态学报&lt;/_journal&gt;&lt;_keywords&gt;生态系统服务;景观格局;集成建模;决策支持&lt;/_keywords&gt;&lt;_language&gt;Chinese&lt;/_language&gt;&lt;_modified&gt;64065506&lt;/_modified&gt;&lt;_pages&gt;7159-7167&lt;/_pages&gt;&lt;_url&gt;https://kns.cnki.net/kcms/detail/detail.aspx?FileName=STXB201820002&amp;amp;DbName=CJFQ2018&lt;/_url&gt;&lt;_volume&gt;38&lt;/_volume&gt;&lt;_translated_author&gt;Liang, Youjia;Liu, Lijun&lt;/_translated_author&gt;&lt;/Details&gt;&lt;Extra&gt;&lt;DBUID&gt;{F96A950B-833F-4880-A151-76DA2D6A2879}&lt;/DBUID&gt;&lt;/Extra&gt;&lt;/Item&gt;&lt;/References&gt;&lt;/Group&gt;&lt;/Citation&gt;_x000a_"/>
    <w:docVar w:name="NE.Ref{C4C57848-D40F-4192-91C3-A242D3454CD1}" w:val=" ADDIN NE.Ref.{C4C57848-D40F-4192-91C3-A242D3454CD1}&lt;Citation&gt;&lt;Group&gt;&lt;References&gt;&lt;Item&gt;&lt;ID&gt;1518&lt;/ID&gt;&lt;UID&gt;{E38473E2-C73A-45D3-8204-5E8E0004CC25}&lt;/UID&gt;&lt;Title&gt;Check-in behaviour and spatio-temporal vibrancy: An exploratory analysis in Shenzhen, China&lt;/Title&gt;&lt;Template&gt;Journal Article&lt;/Template&gt;&lt;Star&gt;1&lt;/Star&gt;&lt;Tag&gt;5&lt;/Tag&gt;&lt;Author&gt;Wu, Chao; Ye, Xinyue; Ren, Fu; Du, Qingyun&lt;/Author&gt;&lt;Year&gt;2018&lt;/Year&gt;&lt;Details&gt;&lt;_doi&gt;10.1016/j.cities.2018.01.017&lt;/_doi&gt;&lt;_created&gt;64152568&lt;/_created&gt;&lt;_modified&gt;64152569&lt;/_modified&gt;&lt;_url&gt;https://linkinghub.elsevier.com/retrieve/pii/S0264275117303438_x000d__x000a_https://api.elsevier.com/content/article/PII:S0264275117303438?httpAccept=text/xml&lt;/_url&gt;&lt;_journal&gt;Cities&lt;/_journal&gt;&lt;_volume&gt;77&lt;/_volume&gt;&lt;_pages&gt;104-116&lt;/_pages&gt;&lt;_tertiary_title&gt;Cities&lt;/_tertiary_title&gt;&lt;_isbn&gt;02642751&lt;/_isbn&gt;&lt;_accessed&gt;64152568&lt;/_accessed&gt;&lt;_db_updated&gt;CrossRef&lt;/_db_updated&gt;&lt;_impact_factor&gt;   5.835&lt;/_impact_factor&gt;&lt;_collection_scope&gt;SSCI&lt;/_collection_scope&gt;&lt;/Details&gt;&lt;Extra&gt;&lt;DBUID&gt;{F96A950B-833F-4880-A151-76DA2D6A2879}&lt;/DBUID&gt;&lt;/Extra&gt;&lt;/Item&gt;&lt;/References&gt;&lt;/Group&gt;&lt;/Citation&gt;_x000a_"/>
    <w:docVar w:name="NE.Ref{C4DF93EC-3FB2-4713-88C9-A7BEBAC92AF8}" w:val=" ADDIN NE.Ref.{C4DF93EC-3FB2-4713-88C9-A7BEBAC92AF8}&lt;Citation&gt;&lt;Group&gt;&lt;References&gt;&lt;Item&gt;&lt;ID&gt;1218&lt;/ID&gt;&lt;UID&gt;{7C43A16A-D173-49E4-9B99-347806D782E7}&lt;/UID&gt;&lt;Title&gt;景观格局与生态过程的关系及其对生态系统服务的影响&lt;/Title&gt;&lt;Template&gt;Journal Article&lt;/Template&gt;&lt;Star&gt;1&lt;/Star&gt;&lt;Tag&gt;0&lt;/Tag&gt;&lt;Author&gt;苏常红; 傅伯杰&lt;/Author&gt;&lt;Year&gt;2012&lt;/Year&gt;&lt;Details&gt;&lt;_accessed&gt;64056126&lt;/_accessed&gt;&lt;_author_aff&gt;中国科学院生态环境研究中心城市与区域生态国家重点实验室;中国科学院;&lt;/_author_aff&gt;&lt;_created&gt;64056126&lt;/_created&gt;&lt;_date&gt;59335200&lt;/_date&gt;&lt;_db_updated&gt;CNKI - Reference&lt;/_db_updated&gt;&lt;_issue&gt;05&lt;/_issue&gt;&lt;_journal&gt;自然杂志&lt;/_journal&gt;&lt;_keywords&gt;景观格局;生态过程;生态系统服务;耦合;影响&lt;/_keywords&gt;&lt;_language&gt;Chinese&lt;/_language&gt;&lt;_modified&gt;64056163&lt;/_modified&gt;&lt;_pages&gt;277-283&lt;/_pages&gt;&lt;_url&gt;https://kns.cnki.net/kcms/detail/detail.aspx?FileName=ZRZZ201205007&amp;amp;DbName=CJFQ2012&lt;/_url&gt;&lt;_volume&gt;34&lt;/_volume&gt;&lt;_translated_author&gt;Su, Changhong;Fu, Bojie&lt;/_translated_author&gt;&lt;/Details&gt;&lt;Extra&gt;&lt;DBUID&gt;{F96A950B-833F-4880-A151-76DA2D6A2879}&lt;/DBUID&gt;&lt;/Extra&gt;&lt;/Item&gt;&lt;/References&gt;&lt;/Group&gt;&lt;/Citation&gt;_x000a_"/>
    <w:docVar w:name="NE.Ref{C6A3CF5A-CC80-4282-A82F-5C030F40DBBF}" w:val=" ADDIN NE.Ref.{C6A3CF5A-CC80-4282-A82F-5C030F40DBBF}&lt;Citation&gt;&lt;Group&gt;&lt;References&gt;&lt;Item&gt;&lt;ID&gt;1217&lt;/ID&gt;&lt;UID&gt;{E4455066-8047-4239-978A-C5C7FB5E2E27}&lt;/UID&gt;&lt;Title&gt;Dynamic changes in the value of China’s ecosystem services&lt;/Title&gt;&lt;Template&gt;Journal Article&lt;/Template&gt;&lt;Star&gt;1&lt;/Star&gt;&lt;Tag&gt;0&lt;/Tag&gt;&lt;Author&gt;Xie, Gaodi; Zhang, Caixia; Zhen, Lin; Zhang, Leiming&lt;/Author&gt;&lt;Year&gt;2017&lt;/Year&gt;&lt;Details&gt;&lt;_accessed&gt;64056100&lt;/_accessed&gt;&lt;_collection_scope&gt;SCIE;SSCI&lt;/_collection_scope&gt;&lt;_created&gt;64056100&lt;/_created&gt;&lt;_db_updated&gt;CrossRef&lt;/_db_updated&gt;&lt;_doi&gt;10.1016/j.ecoser.2017.06.010&lt;/_doi&gt;&lt;_impact_factor&gt;   5.454&lt;/_impact_factor&gt;&lt;_isbn&gt;22120416&lt;/_isbn&gt;&lt;_journal&gt;Ecosystem Services&lt;/_journal&gt;&lt;_modified&gt;64115713&lt;/_modified&gt;&lt;_pages&gt;146-154&lt;/_pages&gt;&lt;_tertiary_title&gt;Ecosystem Services&lt;/_tertiary_title&gt;&lt;_url&gt;https://linkinghub.elsevier.com/retrieve/pii/S2212041616301188_x000d__x000a_https://api.elsevier.com/content/article/PII:S2212041616301188?httpAccept=text/xml&lt;/_url&gt;&lt;_volume&gt;26&lt;/_volume&gt;&lt;/Details&gt;&lt;Extra&gt;&lt;DBUID&gt;{F96A950B-833F-4880-A151-76DA2D6A2879}&lt;/DBUID&gt;&lt;/Extra&gt;&lt;/Item&gt;&lt;/References&gt;&lt;/Group&gt;&lt;/Citation&gt;_x000a_"/>
    <w:docVar w:name="NE.Ref{C7DD6452-5550-4C76-9D85-338C33FE9039}" w:val=" ADDIN NE.Ref.{C7DD6452-5550-4C76-9D85-338C33FE9039}&lt;Citation&gt;&lt;Group&gt;&lt;References&gt;&lt;Item&gt;&lt;ID&gt;1517&lt;/ID&gt;&lt;UID&gt;{F5CB1BEA-B37C-405D-818B-EB8EA862D41E}&lt;/UID&gt;&lt;Title&gt;Determinants of haze pollution: An analysis from the perspective of spatiotemporal heterogeneity&lt;/Title&gt;&lt;Template&gt;Journal Article&lt;/Template&gt;&lt;Star&gt;1&lt;/Star&gt;&lt;Tag&gt;5&lt;/Tag&gt;&lt;Author&gt;Dong, Feng; Zhang, Shengnan; Long, Ruyin; Zhang, Xiaoyun; Sun, Ziyuan&lt;/Author&gt;&lt;Year&gt;2019&lt;/Year&gt;&lt;Details&gt;&lt;_doi&gt;10.1016/j.jclepro.2019.03.105&lt;/_doi&gt;&lt;_created&gt;64152568&lt;/_created&gt;&lt;_modified&gt;64152569&lt;/_modified&gt;&lt;_url&gt;https://linkinghub.elsevier.com/retrieve/pii/S0959652619307966_x000d__x000a_https://api.elsevier.com/content/article/PII:S0959652619307966?httpAccept=text/xml&lt;/_url&gt;&lt;_journal&gt;Journal of Cleaner Production&lt;/_journal&gt;&lt;_volume&gt;222&lt;/_volume&gt;&lt;_pages&gt;768-783&lt;/_pages&gt;&lt;_tertiary_title&gt;Journal of Cleaner Production&lt;/_tertiary_title&gt;&lt;_isbn&gt;09596526&lt;/_isbn&gt;&lt;_accessed&gt;64152568&lt;/_accessed&gt;&lt;_db_updated&gt;CrossRef&lt;/_db_updated&gt;&lt;_impact_factor&gt;   9.297&lt;/_impact_factor&gt;&lt;_collection_scope&gt;SCIE;EI&lt;/_collection_scope&gt;&lt;/Details&gt;&lt;Extra&gt;&lt;DBUID&gt;{F96A950B-833F-4880-A151-76DA2D6A2879}&lt;/DBUID&gt;&lt;/Extra&gt;&lt;/Item&gt;&lt;/References&gt;&lt;/Group&gt;&lt;/Citation&gt;_x000a_"/>
    <w:docVar w:name="NE.Ref{CD833420-3A95-4392-B365-5D64AF9CF79F}" w:val=" ADDIN NE.Ref.{CD833420-3A95-4392-B365-5D64AF9CF79F}&lt;Citation&gt;&lt;Group&gt;&lt;References&gt;&lt;Item&gt;&lt;ID&gt;1187&lt;/ID&gt;&lt;UID&gt;{148E17F1-042D-4B40-9488-39F285FFDF8B}&lt;/UID&gt;&lt;Title&gt;Linking ecosystem services, urban form and green space configuration using multivariate landscape metric analysis&lt;/Title&gt;&lt;Template&gt;Journal Article&lt;/Template&gt;&lt;Star&gt;1&lt;/Star&gt;&lt;Tag&gt;0&lt;/Tag&gt;&lt;Author&gt;Grafius, Darren R; Corstanje, Ron; Harris, Jim A&lt;/Author&gt;&lt;Year&gt;2018&lt;/Year&gt;&lt;Details&gt;&lt;_accessed&gt;64056072&lt;/_accessed&gt;&lt;_collection_scope&gt;SCIE&lt;/_collection_scope&gt;&lt;_created&gt;64050804&lt;/_created&gt;&lt;_db_updated&gt;CrossRef&lt;/_db_updated&gt;&lt;_doi&gt;10.1007/s10980-018-0618-z&lt;/_doi&gt;&lt;_impact_factor&gt;   3.848&lt;/_impact_factor&gt;&lt;_isbn&gt;0921-2973&lt;/_isbn&gt;&lt;_issue&gt;4&lt;/_issue&gt;&lt;_journal&gt;Landscape Ecology&lt;/_journal&gt;&lt;_modified&gt;64162725&lt;/_modified&gt;&lt;_pages&gt;557-573&lt;/_pages&gt;&lt;_tertiary_title&gt;Landscape Ecol&lt;/_tertiary_title&gt;&lt;_url&gt;http://link.springer.com/10.1007/s10980-018-0618-z_x000d__x000a_http://link.springer.com/content/pdf/10.1007/s10980-018-0618-z.pdf&lt;/_url&gt;&lt;_volume&gt;33&lt;/_volume&gt;&lt;/Details&gt;&lt;Extra&gt;&lt;DBUID&gt;{F96A950B-833F-4880-A151-76DA2D6A2879}&lt;/DBUID&gt;&lt;/Extra&gt;&lt;/Item&gt;&lt;/References&gt;&lt;/Group&gt;&lt;/Citation&gt;_x000a_"/>
    <w:docVar w:name="NE.Ref{D10E0614-F0D0-4182-94E5-D3F3CB056F9B}" w:val=" ADDIN NE.Ref.{D10E0614-F0D0-4182-94E5-D3F3CB056F9B}&lt;Citation&gt;&lt;Group&gt;&lt;References&gt;&lt;Item&gt;&lt;ID&gt;1195&lt;/ID&gt;&lt;UID&gt;{50790B5B-7C68-4005-8D61-B95B61F182A6}&lt;/UID&gt;&lt;Title&gt;Impacts of Landscape Patterns on Ecosystem Services Value: A Multiscale Buffer Gradient Analysis Approach&lt;/Title&gt;&lt;Template&gt;Journal Article&lt;/Template&gt;&lt;Star&gt;1&lt;/Star&gt;&lt;Tag&gt;0&lt;/Tag&gt;&lt;Author&gt;Chen, Wanxu; Zeng, Jie; Chu, Yumei; Liang, Jiale&lt;/Author&gt;&lt;Year&gt;2021&lt;/Year&gt;&lt;Details&gt;&lt;_accessed&gt;64056062&lt;/_accessed&gt;&lt;_collection_scope&gt;SCIE;EI&lt;/_collection_scope&gt;&lt;_created&gt;64050804&lt;/_created&gt;&lt;_date&gt;63898560&lt;/_date&gt;&lt;_db_updated&gt;CrossRef&lt;/_db_updated&gt;&lt;_doi&gt;10.3390/rs13132551&lt;/_doi&gt;&lt;_impact_factor&gt;   4.848&lt;/_impact_factor&gt;&lt;_isbn&gt;2072-4292&lt;/_isbn&gt;&lt;_issue&gt;13&lt;/_issue&gt;&lt;_journal&gt;Remote Sensing&lt;/_journal&gt;&lt;_modified&gt;64056062&lt;/_modified&gt;&lt;_pages&gt;2551&lt;/_pages&gt;&lt;_tertiary_title&gt;Remote Sensing&lt;/_tertiary_title&gt;&lt;_url&gt;https://www.mdpi.com/2072-4292/13/13/2551_x000d__x000a_https://www.mdpi.com/2072-4292/13/13/2551/pdf&lt;/_url&gt;&lt;_volume&gt;13&lt;/_volume&gt;&lt;/Details&gt;&lt;Extra&gt;&lt;DBUID&gt;{F96A950B-833F-4880-A151-76DA2D6A2879}&lt;/DBUID&gt;&lt;/Extra&gt;&lt;/Item&gt;&lt;/References&gt;&lt;/Group&gt;&lt;/Citation&gt;_x000a_"/>
    <w:docVar w:name="NE.Ref{D1259BF9-C19D-496A-A224-816C10429CF3}" w:val=" ADDIN NE.Ref.{D1259BF9-C19D-496A-A224-816C10429CF3}&lt;Citation&gt;&lt;Group&gt;&lt;References&gt;&lt;Item&gt;&lt;ID&gt;1545&lt;/ID&gt;&lt;UID&gt;{CF9181A4-B827-48FA-8A94-C9F0DD56B688}&lt;/UID&gt;&lt;Title&gt;The influence of landscape composition and configuration on crop yield resilience&lt;/Title&gt;&lt;Template&gt;Journal Article&lt;/Template&gt;&lt;Star&gt;1&lt;/Star&gt;&lt;Tag&gt;5&lt;/Tag&gt;&lt;Author&gt;Redhead, John W; Oliver, Tom H; Woodcock, Ben A; Pywell, Richard F&lt;/Author&gt;&lt;Year&gt;2020&lt;/Year&gt;&lt;Details&gt;&lt;_doi&gt;10.1111/1365-2664.13722&lt;/_doi&gt;&lt;_created&gt;64171936&lt;/_created&gt;&lt;_modified&gt;64171937&lt;/_modified&gt;&lt;_url&gt;https://onlinelibrary.wiley.com/doi/10.1111/1365-2664.13722_x000d__x000a_https://onlinelibrary.wiley.com/doi/pdf/10.1111/1365-2664.13722&lt;/_url&gt;&lt;_journal&gt;Journal of Applied Ecology&lt;/_journal&gt;&lt;_volume&gt;57&lt;/_volume&gt;&lt;_issue&gt;11&lt;/_issue&gt;&lt;_pages&gt;2180-2190&lt;/_pages&gt;&lt;_tertiary_title&gt;J Appl Ecol&lt;/_tertiary_title&gt;&lt;_isbn&gt;0021-8901&lt;/_isbn&gt;&lt;_accessed&gt;64171936&lt;/_accessed&gt;&lt;_db_updated&gt;CrossRef&lt;/_db_updated&gt;&lt;_impact_factor&gt;   6.528&lt;/_impact_factor&gt;&lt;_collection_scope&gt;SCI;SCIE&lt;/_collection_scope&gt;&lt;/Details&gt;&lt;Extra&gt;&lt;DBUID&gt;{F96A950B-833F-4880-A151-76DA2D6A2879}&lt;/DBUID&gt;&lt;/Extra&gt;&lt;/Item&gt;&lt;/References&gt;&lt;/Group&gt;&lt;/Citation&gt;_x000a_"/>
    <w:docVar w:name="NE.Ref{D22640FC-7FCA-4EE3-A266-4D30813E9182}" w:val=" ADDIN NE.Ref.{D22640FC-7FCA-4EE3-A266-4D30813E9182}&lt;Citation&gt;&lt;Group&gt;&lt;References&gt;&lt;Item&gt;&lt;ID&gt;1517&lt;/ID&gt;&lt;UID&gt;{F5CB1BEA-B37C-405D-818B-EB8EA862D41E}&lt;/UID&gt;&lt;Title&gt;Determinants of haze pollution: An analysis from the perspective of spatiotemporal heterogeneity&lt;/Title&gt;&lt;Template&gt;Journal Article&lt;/Template&gt;&lt;Star&gt;1&lt;/Star&gt;&lt;Tag&gt;5&lt;/Tag&gt;&lt;Author&gt;Dong, Feng; Zhang, Shengnan; Long, Ruyin; Zhang, Xiaoyun; Sun, Ziyuan&lt;/Author&gt;&lt;Year&gt;2019&lt;/Year&gt;&lt;Details&gt;&lt;_doi&gt;10.1016/j.jclepro.2019.03.105&lt;/_doi&gt;&lt;_created&gt;64152568&lt;/_created&gt;&lt;_modified&gt;64152569&lt;/_modified&gt;&lt;_url&gt;https://linkinghub.elsevier.com/retrieve/pii/S0959652619307966_x000d__x000a_https://api.elsevier.com/content/article/PII:S0959652619307966?httpAccept=text/xml&lt;/_url&gt;&lt;_journal&gt;Journal of Cleaner Production&lt;/_journal&gt;&lt;_volume&gt;222&lt;/_volume&gt;&lt;_pages&gt;768-783&lt;/_pages&gt;&lt;_tertiary_title&gt;Journal of Cleaner Production&lt;/_tertiary_title&gt;&lt;_isbn&gt;09596526&lt;/_isbn&gt;&lt;_accessed&gt;64152568&lt;/_accessed&gt;&lt;_db_updated&gt;CrossRef&lt;/_db_updated&gt;&lt;_impact_factor&gt;   9.297&lt;/_impact_factor&gt;&lt;_collection_scope&gt;SCIE;EI&lt;/_collection_scope&gt;&lt;/Details&gt;&lt;Extra&gt;&lt;DBUID&gt;{F96A950B-833F-4880-A151-76DA2D6A2879}&lt;/DBUID&gt;&lt;/Extra&gt;&lt;/Item&gt;&lt;/References&gt;&lt;/Group&gt;&lt;/Citation&gt;_x000a_"/>
    <w:docVar w:name="NE.Ref{D2C7424C-F6C2-4675-AEE4-E06DF980F72E}" w:val=" ADDIN NE.Ref.{D2C7424C-F6C2-4675-AEE4-E06DF980F72E}&lt;Citation&gt;&lt;Group&gt;&lt;References&gt;&lt;Item&gt;&lt;ID&gt;1514&lt;/ID&gt;&lt;UID&gt;{8F420C78-5386-4407-82A1-B3EEDBA16308}&lt;/UID&gt;&lt;Title&gt;Quantifying spatial non-stationarity in the relationship between landscape structure and the provision of ecosystem services: An example in the New Zealand hill country&lt;/Title&gt;&lt;Template&gt;Journal Article&lt;/Template&gt;&lt;Star&gt;1&lt;/Star&gt;&lt;Tag&gt;5&lt;/Tag&gt;&lt;Author&gt;Tran, Duy X; Pearson, Diane; Palmer, Alan; Lowry, John; Gray, David; Dominati, Estelle J&lt;/Author&gt;&lt;Year&gt;2022&lt;/Year&gt;&lt;Details&gt;&lt;_doi&gt;10.1016/j.scitotenv.2021.152126&lt;/_doi&gt;&lt;_created&gt;64151140&lt;/_created&gt;&lt;_modified&gt;64151140&lt;/_modified&gt;&lt;_url&gt;https://linkinghub.elsevier.com/retrieve/pii/S0048969721072028_x000d__x000a_https://api.elsevier.com/content/article/PII:S0048969721072028?httpAccept=text/xml&lt;/_url&gt;&lt;_journal&gt;Science of The Total Environment&lt;/_journal&gt;&lt;_volume&gt;808&lt;/_volume&gt;&lt;_pages&gt;152126&lt;/_pages&gt;&lt;_tertiary_title&gt;Science of The Total Environment&lt;/_tertiary_title&gt;&lt;_isbn&gt;00489697&lt;/_isbn&gt;&lt;_accessed&gt;64151140&lt;/_accessed&gt;&lt;_db_updated&gt;CrossRef&lt;/_db_updated&gt;&lt;_impact_factor&gt;   7.963&lt;/_impact_factor&gt;&lt;_collection_scope&gt;SCI;SCIE;EI&lt;/_collection_scope&gt;&lt;/Details&gt;&lt;Extra&gt;&lt;DBUID&gt;{F96A950B-833F-4880-A151-76DA2D6A2879}&lt;/DBUID&gt;&lt;/Extra&gt;&lt;/Item&gt;&lt;/References&gt;&lt;/Group&gt;&lt;/Citation&gt;_x000a_"/>
    <w:docVar w:name="NE.Ref{D3A407C6-574B-4C86-9802-1E3ED422BDE9}" w:val=" ADDIN NE.Ref.{D3A407C6-574B-4C86-9802-1E3ED422BDE9}&lt;Citation&gt;&lt;Group&gt;&lt;References&gt;&lt;Item&gt;&lt;ID&gt;1218&lt;/ID&gt;&lt;UID&gt;{7C43A16A-D173-49E4-9B99-347806D782E7}&lt;/UID&gt;&lt;Title&gt;景观格局与生态过程的关系及其对生态系统服务的影响&lt;/Title&gt;&lt;Template&gt;Journal Article&lt;/Template&gt;&lt;Star&gt;1&lt;/Star&gt;&lt;Tag&gt;0&lt;/Tag&gt;&lt;Author&gt;苏常红; 傅伯杰&lt;/Author&gt;&lt;Year&gt;2012&lt;/Year&gt;&lt;Details&gt;&lt;_accessed&gt;64056126&lt;/_accessed&gt;&lt;_author_aff&gt;中国科学院生态环境研究中心城市与区域生态国家重点实验室;中国科学院;&lt;/_author_aff&gt;&lt;_created&gt;64056126&lt;/_created&gt;&lt;_date&gt;59335200&lt;/_date&gt;&lt;_db_updated&gt;CNKI - Reference&lt;/_db_updated&gt;&lt;_issue&gt;05&lt;/_issue&gt;&lt;_journal&gt;自然杂志&lt;/_journal&gt;&lt;_keywords&gt;景观格局;生态过程;生态系统服务;耦合;影响&lt;/_keywords&gt;&lt;_language&gt;Chinese&lt;/_language&gt;&lt;_modified&gt;64056163&lt;/_modified&gt;&lt;_pages&gt;277-283&lt;/_pages&gt;&lt;_url&gt;https://kns.cnki.net/kcms/detail/detail.aspx?FileName=ZRZZ201205007&amp;amp;DbName=CJFQ2012&lt;/_url&gt;&lt;_volume&gt;34&lt;/_volume&gt;&lt;_translated_author&gt;Su, Changhong;Fu, Bojie&lt;/_translated_author&gt;&lt;/Details&gt;&lt;Extra&gt;&lt;DBUID&gt;{F96A950B-833F-4880-A151-76DA2D6A2879}&lt;/DBUID&gt;&lt;/Extra&gt;&lt;/Item&gt;&lt;/References&gt;&lt;/Group&gt;&lt;/Citation&gt;_x000a_"/>
    <w:docVar w:name="NE.Ref{D7D7A4BF-34EE-44C6-B782-EB52B507983B}" w:val=" ADDIN NE.Ref.{D7D7A4BF-34EE-44C6-B782-EB52B507983B}&lt;Citation&gt;&lt;Group&gt;&lt;References&gt;&lt;Item&gt;&lt;ID&gt;1141&lt;/ID&gt;&lt;UID&gt;{A9608446-7B5E-4F49-AC50-9271FDA39E46}&lt;/UID&gt;&lt;Title&gt;一个基于专家知识的生态系统服务价值化方法&lt;/Title&gt;&lt;Template&gt;Journal Article&lt;/Template&gt;&lt;Star&gt;0&lt;/Star&gt;&lt;Tag&gt;0&lt;/Tag&gt;&lt;Author&gt;谢高地; 甄霖; 鲁春霞; 肖玉; 陈操&lt;/Author&gt;&lt;Year&gt;2008&lt;/Year&gt;&lt;Details&gt;&lt;_accessed&gt;64113966&lt;/_accessed&gt;&lt;_author_aff&gt;中国科学院地理科学与资源研究所;&lt;/_author_aff&gt;&lt;_collection_scope&gt;CSCD;CSSCI-C;PKU&lt;/_collection_scope&gt;&lt;_created&gt;64030607&lt;/_created&gt;&lt;_date&gt;57173760&lt;/_date&gt;&lt;_db_updated&gt;CNKI - Reference&lt;/_db_updated&gt;&lt;_issue&gt;05&lt;/_issue&gt;&lt;_journal&gt;自然资源学报&lt;/_journal&gt;&lt;_keywords&gt;生态系统服务;生态服务价值;价值当量&lt;/_keywords&gt;&lt;_language&gt;Chinese&lt;/_language&gt;&lt;_modified&gt;64113966&lt;/_modified&gt;&lt;_pages&gt;911-919&lt;/_pages&gt;&lt;_url&gt;https://kns.cnki.net/kcms/detail/detail.aspx?FileName=ZRZX200805019&amp;amp;DbName=CJFQ2008&lt;/_url&gt;&lt;_translated_author&gt;Xie, Gaodi;Zhen, Lin;Lu, Chunxia;Xiao, Yu;Chen, Cao&lt;/_translated_author&gt;&lt;/Details&gt;&lt;Extra&gt;&lt;DBUID&gt;{F96A950B-833F-4880-A151-76DA2D6A2879}&lt;/DBUID&gt;&lt;/Extra&gt;&lt;/Item&gt;&lt;/References&gt;&lt;/Group&gt;&lt;/Citation&gt;_x000a_"/>
    <w:docVar w:name="NE.Ref{DDFB10B0-A257-4074-8C22-B04EA164C4F8}" w:val=" ADDIN NE.Ref.{DDFB10B0-A257-4074-8C22-B04EA164C4F8}&lt;Citation&gt;&lt;Group&gt;&lt;References&gt;&lt;Item&gt;&lt;ID&gt;1539&lt;/ID&gt;&lt;UID&gt;{D7CBB3F9-C288-40BC-8CF4-B11A082044E6}&lt;/UID&gt;&lt;Title&gt;Understanding the importance of landscape configuration on ecosystem service bundles at a high resolution in urban landscapes in the UK&lt;/Title&gt;&lt;Template&gt;Journal Article&lt;/Template&gt;&lt;Star&gt;1&lt;/Star&gt;&lt;Tag&gt;5&lt;/Tag&gt;&lt;Author&gt;Karimi, James D; Corstanje, Ron; Harris, Jim A&lt;/Author&gt;&lt;Year&gt;2021&lt;/Year&gt;&lt;Details&gt;&lt;_accessed&gt;64164714&lt;/_accessed&gt;&lt;_collection_scope&gt;SCIE&lt;/_collection_scope&gt;&lt;_created&gt;64164714&lt;/_created&gt;&lt;_db_updated&gt;CrossRef&lt;/_db_updated&gt;&lt;_doi&gt;10.1007/s10980-021-01200-2&lt;/_doi&gt;&lt;_impact_factor&gt;   3.848&lt;/_impact_factor&gt;&lt;_isbn&gt;0921-2973&lt;/_isbn&gt;&lt;_issue&gt;7&lt;/_issue&gt;&lt;_journal&gt;Landscape Ecology&lt;/_journal&gt;&lt;_modified&gt;64164714&lt;/_modified&gt;&lt;_pages&gt;2007-2024&lt;/_pages&gt;&lt;_tertiary_title&gt;Landscape Ecol&lt;/_tertiary_title&gt;&lt;_url&gt;https://link.springer.com/10.1007/s10980-021-01200-2_x000d__x000a_https://link.springer.com/content/pdf/10.1007/s10980-021-01200-2.pdf&lt;/_url&gt;&lt;_volume&gt;36&lt;/_volume&gt;&lt;/Details&gt;&lt;Extra&gt;&lt;DBUID&gt;{F96A950B-833F-4880-A151-76DA2D6A2879}&lt;/DBUID&gt;&lt;/Extra&gt;&lt;/Item&gt;&lt;/References&gt;&lt;/Group&gt;&lt;/Citation&gt;_x000a_"/>
    <w:docVar w:name="NE.Ref{E1CB5B6F-BB08-4EA3-99E3-7900EB8E5886}" w:val=" ADDIN NE.Ref.{E1CB5B6F-BB08-4EA3-99E3-7900EB8E5886}&lt;Citation&gt;&lt;Group&gt;&lt;References&gt;&lt;Item&gt;&lt;ID&gt;1520&lt;/ID&gt;&lt;UID&gt;{26009FE3-BF42-43AE-AD77-AE055AC230BA}&lt;/UID&gt;&lt;Title&gt;Spatiotemporal effects of climate factors on childhood hand, foot, and mouth disease: a case study using mixed geographically and temporally weighted regression models&lt;/Title&gt;&lt;Template&gt;Journal Article&lt;/Template&gt;&lt;Star&gt;1&lt;/Star&gt;&lt;Tag&gt;5&lt;/Tag&gt;&lt;Author&gt;Hong, Zhimin; Mei, Changlin; Wang, Huhu; Du, Wala&lt;/Author&gt;&lt;Year&gt;2021&lt;/Year&gt;&lt;Details&gt;&lt;_created&gt;64152568&lt;/_created&gt;&lt;_modified&gt;64152569&lt;/_modified&gt;&lt;_url&gt;https://go.exlibris.link/Hg2d4CKh&lt;/_url&gt;&lt;_journal&gt;International journal of geographical information science : IJGIS&lt;/_journal&gt;&lt;_volume&gt;35&lt;/_volume&gt;&lt;_issue&gt;8&lt;/_issue&gt;&lt;_number&gt;1&lt;/_number&gt;&lt;_pages&gt;1611-1633&lt;/_pages&gt;&lt;_doi&gt;10.1080/13658816.2021.1882681&lt;/_doi&gt;&lt;_date_display&gt;2021&lt;/_date_display&gt;&lt;_date&gt;63640800&lt;/_date&gt;&lt;_isbn&gt;1365-8816&lt;/_isbn&gt;&lt;_ori_publication&gt;Taylor &amp;amp; Francis&lt;/_ori_publication&gt;&lt;_keywords&gt;bootstrap test; climate factor; foot; geographically and temporally weighted regression; Hand; mouth disease; spatiotemporal heterogeneity&lt;/_keywords&gt;&lt;_accessed&gt;64152568&lt;/_accessed&gt;&lt;_db_updated&gt;PKU Search&lt;/_db_updated&gt;&lt;_impact_factor&gt;   4.186&lt;/_impact_factor&gt;&lt;/Details&gt;&lt;Extra&gt;&lt;DBUID&gt;{F96A950B-833F-4880-A151-76DA2D6A2879}&lt;/DBUID&gt;&lt;/Extra&gt;&lt;/Item&gt;&lt;/References&gt;&lt;/Group&gt;&lt;/Citation&gt;_x000a_"/>
    <w:docVar w:name="NE.Ref{E2C84568-1609-45F9-B656-3CDC3C9A6E09}" w:val=" ADDIN NE.Ref.{E2C84568-1609-45F9-B656-3CDC3C9A6E09}&lt;Citation&gt;&lt;Group&gt;&lt;References&gt;&lt;Item&gt;&lt;ID&gt;1520&lt;/ID&gt;&lt;UID&gt;{26009FE3-BF42-43AE-AD77-AE055AC230BA}&lt;/UID&gt;&lt;Title&gt;Spatiotemporal effects of climate factors on childhood hand, foot, and mouth disease: a case study using mixed geographically and temporally weighted regression models&lt;/Title&gt;&lt;Template&gt;Journal Article&lt;/Template&gt;&lt;Star&gt;1&lt;/Star&gt;&lt;Tag&gt;5&lt;/Tag&gt;&lt;Author&gt;Hong, Zhimin; Mei, Changlin; Wang, Huhu; Du, Wala&lt;/Author&gt;&lt;Year&gt;2021&lt;/Year&gt;&lt;Details&gt;&lt;_created&gt;64152568&lt;/_created&gt;&lt;_modified&gt;64152569&lt;/_modified&gt;&lt;_url&gt;https://go.exlibris.link/Hg2d4CKh&lt;/_url&gt;&lt;_journal&gt;International journal of geographical information science : IJGIS&lt;/_journal&gt;&lt;_volume&gt;35&lt;/_volume&gt;&lt;_issue&gt;8&lt;/_issue&gt;&lt;_number&gt;1&lt;/_number&gt;&lt;_pages&gt;1611-1633&lt;/_pages&gt;&lt;_doi&gt;10.1080/13658816.2021.1882681&lt;/_doi&gt;&lt;_date_display&gt;2021&lt;/_date_display&gt;&lt;_date&gt;63640800&lt;/_date&gt;&lt;_isbn&gt;1365-8816&lt;/_isbn&gt;&lt;_ori_publication&gt;Taylor &amp;amp; Francis&lt;/_ori_publication&gt;&lt;_keywords&gt;bootstrap test; climate factor; foot; geographically and temporally weighted regression; Hand; mouth disease; spatiotemporal heterogeneity&lt;/_keywords&gt;&lt;_accessed&gt;64152568&lt;/_accessed&gt;&lt;_db_updated&gt;PKU Search&lt;/_db_updated&gt;&lt;_impact_factor&gt;   4.186&lt;/_impact_factor&gt;&lt;/Details&gt;&lt;Extra&gt;&lt;DBUID&gt;{F96A950B-833F-4880-A151-76DA2D6A2879}&lt;/DBUID&gt;&lt;/Extra&gt;&lt;/Item&gt;&lt;/References&gt;&lt;/Group&gt;&lt;Group&gt;&lt;References&gt;&lt;Item&gt;&lt;ID&gt;1516&lt;/ID&gt;&lt;UID&gt;{4D6E68AB-9932-4FCC-915D-1591360C39D2}&lt;/UID&gt;&lt;Title&gt;Modeling the spatio-temporal heterogeneity in the PM10-PM2.5 relationship&lt;/Title&gt;&lt;Template&gt;Journal Article&lt;/Template&gt;&lt;Star&gt;1&lt;/Star&gt;&lt;Tag&gt;5&lt;/Tag&gt;&lt;Author&gt;Chu, Hone-Jay; Huang, Bo; Lin, Chuan-Yao&lt;/Author&gt;&lt;Year&gt;2015&lt;/Year&gt;&lt;Details&gt;&lt;_doi&gt;10.1016/j.atmosenv.2014.11.062&lt;/_doi&gt;&lt;_created&gt;64152568&lt;/_created&gt;&lt;_modified&gt;64152569&lt;/_modified&gt;&lt;_url&gt;https://linkinghub.elsevier.com/retrieve/pii/S1352231014009340_x000d__x000a_https://api.elsevier.com/content/article/PII:S1352231014009340?httpAccept=text/plain&lt;/_url&gt;&lt;_journal&gt;Atmospheric Environment&lt;/_journal&gt;&lt;_volume&gt;102&lt;/_volume&gt;&lt;_pages&gt;176-182&lt;/_pages&gt;&lt;_tertiary_title&gt;Atmospheric Environment&lt;/_tertiary_title&gt;&lt;_isbn&gt;13522310&lt;/_isbn&gt;&lt;_accessed&gt;64152568&lt;/_accessed&gt;&lt;_db_updated&gt;CrossRef&lt;/_db_updated&gt;&lt;_impact_factor&gt;   4.798&lt;/_impact_factor&gt;&lt;_collection_scope&gt;SCI;SCIE;EI&lt;/_collection_scope&gt;&lt;/Details&gt;&lt;Extra&gt;&lt;DBUID&gt;{F96A950B-833F-4880-A151-76DA2D6A2879}&lt;/DBUID&gt;&lt;/Extra&gt;&lt;/Item&gt;&lt;/References&gt;&lt;/Group&gt;&lt;/Citation&gt;_x000a_"/>
    <w:docVar w:name="NE.Ref{E65E4E95-949D-47F9-AD44-9AE4F0AE1088}" w:val=" ADDIN NE.Ref.{E65E4E95-949D-47F9-AD44-9AE4F0AE1088}&lt;Citation&gt;&lt;Group&gt;&lt;References&gt;&lt;Item&gt;&lt;ID&gt;1133&lt;/ID&gt;&lt;UID&gt;{D1EF790B-0A3F-4489-94AC-756F36AC7ADD}&lt;/UID&gt;&lt;Title&gt;基于单位面积价值当量因子的生态系统服务价值化方法改进&lt;/Title&gt;&lt;Template&gt;Journal Article&lt;/Template&gt;&lt;Star&gt;0&lt;/Star&gt;&lt;Tag&gt;0&lt;/Tag&gt;&lt;Author&gt;谢高地; 张彩霞; 张雷明; 陈文辉; 李士美&lt;/Author&gt;&lt;Year&gt;2015&lt;/Year&gt;&lt;Details&gt;&lt;_accessed&gt;64030272&lt;/_accessed&gt;&lt;_author_aff&gt;中国科学院地理科学与资源研究所;浙江农林大学信息工程学院;青岛农业大学园林与林学院;&lt;/_author_aff&gt;&lt;_collection_scope&gt;CSCD;CSSCI-C;PKU&lt;/_collection_scope&gt;&lt;_created&gt;64030272&lt;/_created&gt;&lt;_date&gt;60809760&lt;/_date&gt;&lt;_db_updated&gt;CNKI - Reference&lt;/_db_updated&gt;&lt;_issue&gt;08&lt;/_issue&gt;&lt;_journal&gt;自然资源学报&lt;/_journal&gt;&lt;_keywords&gt;生态系统服务;价值方法;价值当量因子;动态评估&lt;/_keywords&gt;&lt;_language&gt;Chinese&lt;/_language&gt;&lt;_modified&gt;64030272&lt;/_modified&gt;&lt;_pages&gt;1243-1254&lt;/_pages&gt;&lt;_url&gt;https://kns.cnki.net/kcms/detail/detail.aspx?FileName=ZRZX201508001&amp;amp;DbName=CJFQ2015&lt;/_url&gt;&lt;_volume&gt;30&lt;/_volume&gt;&lt;_translated_author&gt;Xie, Gaodi;Zhang, Caixia;Zhang, Leiming;Chen, Wenhui;Li, Shimei&lt;/_translated_author&gt;&lt;/Details&gt;&lt;Extra&gt;&lt;DBUID&gt;{F96A950B-833F-4880-A151-76DA2D6A2879}&lt;/DBUID&gt;&lt;/Extra&gt;&lt;/Item&gt;&lt;/References&gt;&lt;/Group&gt;&lt;/Citation&gt;_x000a_"/>
    <w:docVar w:name="NE.Ref{E71FDEEE-13AE-4536-937B-6282D41D9050}" w:val=" ADDIN NE.Ref.{E71FDEEE-13AE-4536-937B-6282D41D9050}&lt;Citation&gt;&lt;Group&gt;&lt;References&gt;&lt;Item&gt;&lt;ID&gt;1517&lt;/ID&gt;&lt;UID&gt;{F5CB1BEA-B37C-405D-818B-EB8EA862D41E}&lt;/UID&gt;&lt;Title&gt;Determinants of haze pollution: An analysis from the perspective of spatiotemporal heterogeneity&lt;/Title&gt;&lt;Template&gt;Journal Article&lt;/Template&gt;&lt;Star&gt;1&lt;/Star&gt;&lt;Tag&gt;5&lt;/Tag&gt;&lt;Author&gt;Dong, Feng; Zhang, Shengnan; Long, Ruyin; Zhang, Xiaoyun; Sun, Ziyuan&lt;/Author&gt;&lt;Year&gt;2019&lt;/Year&gt;&lt;Details&gt;&lt;_doi&gt;10.1016/j.jclepro.2019.03.105&lt;/_doi&gt;&lt;_created&gt;64152568&lt;/_created&gt;&lt;_modified&gt;64152569&lt;/_modified&gt;&lt;_url&gt;https://linkinghub.elsevier.com/retrieve/pii/S0959652619307966_x000d__x000a_https://api.elsevier.com/content/article/PII:S0959652619307966?httpAccept=text/xml&lt;/_url&gt;&lt;_journal&gt;Journal of Cleaner Production&lt;/_journal&gt;&lt;_volume&gt;222&lt;/_volume&gt;&lt;_pages&gt;768-783&lt;/_pages&gt;&lt;_tertiary_title&gt;Journal of Cleaner Production&lt;/_tertiary_title&gt;&lt;_isbn&gt;09596526&lt;/_isbn&gt;&lt;_accessed&gt;64152568&lt;/_accessed&gt;&lt;_db_updated&gt;CrossRef&lt;/_db_updated&gt;&lt;_impact_factor&gt;   9.297&lt;/_impact_factor&gt;&lt;_collection_scope&gt;SCIE;EI&lt;/_collection_scope&gt;&lt;/Details&gt;&lt;Extra&gt;&lt;DBUID&gt;{F96A950B-833F-4880-A151-76DA2D6A2879}&lt;/DBUID&gt;&lt;/Extra&gt;&lt;/Item&gt;&lt;/References&gt;&lt;/Group&gt;&lt;/Citation&gt;_x000a_"/>
    <w:docVar w:name="NE.Ref{EC9D576D-B57E-4BAA-A3C4-D0A58598B3B4}" w:val=" ADDIN NE.Ref.{EC9D576D-B57E-4BAA-A3C4-D0A58598B3B4}&lt;Citation&gt;&lt;Group&gt;&lt;References&gt;&lt;Item&gt;&lt;ID&gt;1215&lt;/ID&gt;&lt;UID&gt;{65BC2BDB-9DE1-46FD-A504-53F5B171D290}&lt;/UID&gt;&lt;Title&gt;Impact of landscape pattern changes on hydrological ecosystem services in the Beressa watershed of the Blue Nile Basin in Ethiopia&lt;/Title&gt;&lt;Template&gt;Journal Article&lt;/Template&gt;&lt;Star&gt;1&lt;/Star&gt;&lt;Tag&gt;0&lt;/Tag&gt;&lt;Author&gt;Yohannes, Hamere; Soromessa, Teshome; Argaw, Mekuria; Dewan, Ashraf&lt;/Author&gt;&lt;Year&gt;2021&lt;/Year&gt;&lt;Details&gt;&lt;_accessed&gt;64056064&lt;/_accessed&gt;&lt;_collection_scope&gt;SCI;SCIE;EI&lt;/_collection_scope&gt;&lt;_created&gt;64055266&lt;/_created&gt;&lt;_db_updated&gt;CrossRef&lt;/_db_updated&gt;&lt;_doi&gt;10.1016/j.scitotenv.2021.148559&lt;/_doi&gt;&lt;_impact_factor&gt;   7.963&lt;/_impact_factor&gt;&lt;_isbn&gt;00489697&lt;/_isbn&gt;&lt;_journal&gt;Science of The Total Environment&lt;/_journal&gt;&lt;_modified&gt;64139717&lt;/_modified&gt;&lt;_pages&gt;148559&lt;/_pages&gt;&lt;_tertiary_title&gt;Science of The Total Environment&lt;/_tertiary_title&gt;&lt;_url&gt;https://linkinghub.elsevier.com/retrieve/pii/S0048969721036317_x000d__x000a_https://api.elsevier.com/content/article/PII:S0048969721036317?httpAccept=text/xml&lt;/_url&gt;&lt;_volume&gt;793&lt;/_volume&gt;&lt;/Details&gt;&lt;Extra&gt;&lt;DBUID&gt;{F96A950B-833F-4880-A151-76DA2D6A2879}&lt;/DBUID&gt;&lt;/Extra&gt;&lt;/Item&gt;&lt;/References&gt;&lt;/Group&gt;&lt;/Citation&gt;_x000a_"/>
    <w:docVar w:name="NE.Ref{EE11BC01-F2B2-4336-963C-C7369A73950C}" w:val=" ADDIN NE.Ref.{EE11BC01-F2B2-4336-963C-C7369A73950C}&lt;Citation&gt;&lt;Group&gt;&lt;References&gt;&lt;Item&gt;&lt;ID&gt;1522&lt;/ID&gt;&lt;UID&gt;{956A63CA-71B3-4135-900A-1FD4AD98864E}&lt;/UID&gt;&lt;Title&gt;Coupling coordination degree measurement and spatiotemporal heterogeneity between economic development and ecological environment ----Empirical evidence from tropical and subtropical regions of China&lt;/Title&gt;&lt;Template&gt;Journal Article&lt;/Template&gt;&lt;Star&gt;1&lt;/Star&gt;&lt;Tag&gt;5&lt;/Tag&gt;&lt;Author&gt;Shi, Tao; Yang, Shenyan; Zhang, Wei; Zhou, Qian&lt;/Author&gt;&lt;Year&gt;2020&lt;/Year&gt;&lt;Details&gt;&lt;_doi&gt;10.1016/j.jclepro.2019.118739&lt;/_doi&gt;&lt;_created&gt;64152571&lt;/_created&gt;&lt;_modified&gt;64152571&lt;/_modified&gt;&lt;_url&gt;https://linkinghub.elsevier.com/retrieve/pii/S0959652619336091_x000d__x000a_https://api.elsevier.com/content/article/PII:S0959652619336091?httpAccept=text/xml&lt;/_url&gt;&lt;_journal&gt;Journal of Cleaner Production&lt;/_journal&gt;&lt;_volume&gt;244&lt;/_volume&gt;&lt;_pages&gt;118739&lt;/_pages&gt;&lt;_tertiary_title&gt;Journal of Cleaner Production&lt;/_tertiary_title&gt;&lt;_isbn&gt;09596526&lt;/_isbn&gt;&lt;_accessed&gt;64152571&lt;/_accessed&gt;&lt;_db_updated&gt;CrossRef&lt;/_db_updated&gt;&lt;_impact_factor&gt;   9.297&lt;/_impact_factor&gt;&lt;_collection_scope&gt;SCIE;EI&lt;/_collection_scope&gt;&lt;/Details&gt;&lt;Extra&gt;&lt;DBUID&gt;{F96A950B-833F-4880-A151-76DA2D6A2879}&lt;/DBUID&gt;&lt;/Extra&gt;&lt;/Item&gt;&lt;/References&gt;&lt;/Group&gt;&lt;/Citation&gt;_x000a_"/>
    <w:docVar w:name="NE.Ref{EE90DAD2-E9A9-4FE7-9643-5C35512F6201}" w:val=" ADDIN NE.Ref.{EE90DAD2-E9A9-4FE7-9643-5C35512F6201}&lt;Citation&gt;&lt;Group&gt;&lt;References&gt;&lt;Item&gt;&lt;ID&gt;1238&lt;/ID&gt;&lt;UID&gt;{F402D224-C79F-4B3E-A555-97DDE466B101}&lt;/UID&gt;&lt;Title&gt;Impact of urban morphology and landscape characteristics on spatiotemporal heterogeneity of land surface temperature&lt;/Title&gt;&lt;Template&gt;Journal Article&lt;/Template&gt;&lt;Star&gt;1&lt;/Star&gt;&lt;Tag&gt;5&lt;/Tag&gt;&lt;Author&gt;Guo, Andong; Yang, Jun; Sun, Wei; Xiao, Xiangming; Xia Cecilia, Jianhong; Jin, Cui; Li, Xueming&lt;/Author&gt;&lt;Year&gt;2020&lt;/Year&gt;&lt;Details&gt;&lt;_accessed&gt;64067971&lt;/_accessed&gt;&lt;_collection_scope&gt;SCIE;EI&lt;/_collection_scope&gt;&lt;_created&gt;64066316&lt;/_created&gt;&lt;_db_updated&gt;CrossRef&lt;/_db_updated&gt;&lt;_doi&gt;10.1016/j.scs.2020.102443&lt;/_doi&gt;&lt;_impact_factor&gt;   7.587&lt;/_impact_factor&gt;&lt;_isbn&gt;22106707&lt;/_isbn&gt;&lt;_journal&gt;Sustainable Cities and Society&lt;/_journal&gt;&lt;_modified&gt;64066316&lt;/_modified&gt;&lt;_pages&gt;102443&lt;/_pages&gt;&lt;_tertiary_title&gt;Sustainable Cities and Society&lt;/_tertiary_title&gt;&lt;_url&gt;https://linkinghub.elsevier.com/retrieve/pii/S2210670720306636_x000d__x000a_https://api.elsevier.com/content/article/PII:S2210670720306636?httpAccept=text/xml&lt;/_url&gt;&lt;_volume&gt;63&lt;/_volume&gt;&lt;/Details&gt;&lt;Extra&gt;&lt;DBUID&gt;{F96A950B-833F-4880-A151-76DA2D6A2879}&lt;/DBUID&gt;&lt;/Extra&gt;&lt;/Item&gt;&lt;/References&gt;&lt;/Group&gt;&lt;/Citation&gt;_x000a_"/>
    <w:docVar w:name="NE.Ref{EF480E48-3135-424C-91A3-5DB751622399}" w:val=" ADDIN NE.Ref.{EF480E48-3135-424C-91A3-5DB751622399}&lt;Citation&gt;&lt;Group&gt;&lt;References&gt;&lt;Item&gt;&lt;ID&gt;1539&lt;/ID&gt;&lt;UID&gt;{D7CBB3F9-C288-40BC-8CF4-B11A082044E6}&lt;/UID&gt;&lt;Title&gt;Understanding the importance of landscape configuration on ecosystem service bundles at a high resolution in urban landscapes in the UK&lt;/Title&gt;&lt;Template&gt;Journal Article&lt;/Template&gt;&lt;Star&gt;1&lt;/Star&gt;&lt;Tag&gt;5&lt;/Tag&gt;&lt;Author&gt;Karimi, James D; Corstanje, Ron; Harris, Jim A&lt;/Author&gt;&lt;Year&gt;2021&lt;/Year&gt;&lt;Details&gt;&lt;_accessed&gt;64164714&lt;/_accessed&gt;&lt;_collection_scope&gt;SCIE&lt;/_collection_scope&gt;&lt;_created&gt;64164714&lt;/_created&gt;&lt;_db_updated&gt;CrossRef&lt;/_db_updated&gt;&lt;_doi&gt;10.1007/s10980-021-01200-2&lt;/_doi&gt;&lt;_impact_factor&gt;   3.848&lt;/_impact_factor&gt;&lt;_isbn&gt;0921-2973&lt;/_isbn&gt;&lt;_issue&gt;7&lt;/_issue&gt;&lt;_journal&gt;Landscape Ecology&lt;/_journal&gt;&lt;_modified&gt;64164714&lt;/_modified&gt;&lt;_pages&gt;2007-2024&lt;/_pages&gt;&lt;_tertiary_title&gt;Landscape Ecol&lt;/_tertiary_title&gt;&lt;_url&gt;https://link.springer.com/10.1007/s10980-021-01200-2_x000d__x000a_https://link.springer.com/content/pdf/10.1007/s10980-021-01200-2.pdf&lt;/_url&gt;&lt;_volume&gt;36&lt;/_volume&gt;&lt;/Details&gt;&lt;Extra&gt;&lt;DBUID&gt;{F96A950B-833F-4880-A151-76DA2D6A2879}&lt;/DBUID&gt;&lt;/Extra&gt;&lt;/Item&gt;&lt;/References&gt;&lt;/Group&gt;&lt;/Citation&gt;_x000a_"/>
    <w:docVar w:name="NE.Ref{EF8FE9B1-0BFE-426D-A353-6E69DC4B0B96}" w:val=" ADDIN NE.Ref.{EF8FE9B1-0BFE-426D-A353-6E69DC4B0B96}&lt;Citation&gt;&lt;Group&gt;&lt;References&gt;&lt;Item&gt;&lt;ID&gt;1534&lt;/ID&gt;&lt;UID&gt;{6B743E9A-7E47-47FB-9C79-2963EF6812AB}&lt;/UID&gt;&lt;Title&gt;Assessment of landscape composition and configuration via spatial metrics combination: conceptual framework proposal and method improvement&lt;/Title&gt;&lt;Template&gt;Journal Article&lt;/Template&gt;&lt;Star&gt;1&lt;/Star&gt;&lt;Tag&gt;5&lt;/Tag&gt;&lt;Author&gt;Machado, Rui; Godinho, Sérgio; Pirnat, Janez; Neves, Nuno; Santos, Pedro&lt;/Author&gt;&lt;Year&gt;2018&lt;/Year&gt;&lt;Details&gt;&lt;_accessed&gt;64164707&lt;/_accessed&gt;&lt;_collection_scope&gt;SSCI&lt;/_collection_scope&gt;&lt;_created&gt;64164707&lt;/_created&gt;&lt;_date&gt;62062560&lt;/_date&gt;&lt;_date_display&gt;2018&lt;/_date_display&gt;&lt;_db_updated&gt;PKU Search&lt;/_db_updated&gt;&lt;_doi&gt;10.1080/01426397.2017.1336757&lt;/_doi&gt;&lt;_impact_factor&gt;   2.055&lt;/_impact_factor&gt;&lt;_isbn&gt;0142-6397&lt;/_isbn&gt;&lt;_issue&gt;5&lt;/_issue&gt;&lt;_journal&gt;Landscape research&lt;/_journal&gt;&lt;_modified&gt;64164708&lt;/_modified&gt;&lt;_number&gt;1&lt;/_number&gt;&lt;_pages&gt;652-664&lt;/_pages&gt;&lt;_url&gt;https://go.exlibris.link/LhyMkGf2&lt;/_url&gt;&lt;_volume&gt;43&lt;/_volume&gt;&lt;/Details&gt;&lt;Extra&gt;&lt;DBUID&gt;{F96A950B-833F-4880-A151-76DA2D6A2879}&lt;/DBUID&gt;&lt;/Extra&gt;&lt;/Item&gt;&lt;/References&gt;&lt;/Group&gt;&lt;/Citation&gt;_x000a_"/>
    <w:docVar w:name="NE.Ref{EF932D21-48ED-400F-8771-E37F4101B758}" w:val=" ADDIN NE.Ref.{EF932D21-48ED-400F-8771-E37F4101B758}&lt;Citation&gt;&lt;Group&gt;&lt;References&gt;&lt;Item&gt;&lt;ID&gt;1197&lt;/ID&gt;&lt;UID&gt;{ADA4CF4A-6D12-4C1E-B3BE-5335D97538A2}&lt;/UID&gt;&lt;Title&gt;Linking ecosystem services and landscape patterns to assess urban ecosystem health: A case study in Shenzhen City, China&lt;/Title&gt;&lt;Template&gt;Journal Article&lt;/Template&gt;&lt;Star&gt;1&lt;/Star&gt;&lt;Tag&gt;0&lt;/Tag&gt;&lt;Author&gt;Peng, Jian; Liu, Yanxu; Wu, Jiansheng; Lv, Huiling; Hu, Xiaoxu&lt;/Author&gt;&lt;Year&gt;2015&lt;/Year&gt;&lt;Details&gt;&lt;_accessed&gt;64056073&lt;/_accessed&gt;&lt;_collection_scope&gt;SCIE;SSCI;EI&lt;/_collection_scope&gt;&lt;_created&gt;64050804&lt;/_created&gt;&lt;_db_updated&gt;CrossRef&lt;/_db_updated&gt;&lt;_doi&gt;10.1016/j.landurbplan.2015.06.007&lt;/_doi&gt;&lt;_impact_factor&gt;   6.142&lt;/_impact_factor&gt;&lt;_isbn&gt;01692046&lt;/_isbn&gt;&lt;_journal&gt;Landscape and Urban Planning&lt;/_journal&gt;&lt;_modified&gt;64162725&lt;/_modified&gt;&lt;_pages&gt;56-68&lt;/_pages&gt;&lt;_tertiary_title&gt;Landscape and Urban Planning&lt;/_tertiary_title&gt;&lt;_url&gt;https://linkinghub.elsevier.com/retrieve/pii/S0169204615001322_x000d__x000a_https://api.elsevier.com/content/article/PII:S0169204615001322?httpAccept=text/xml&lt;/_url&gt;&lt;_volume&gt;143&lt;/_volume&gt;&lt;/Details&gt;&lt;Extra&gt;&lt;DBUID&gt;{F96A950B-833F-4880-A151-76DA2D6A2879}&lt;/DBUID&gt;&lt;/Extra&gt;&lt;/Item&gt;&lt;/References&gt;&lt;/Group&gt;&lt;/Citation&gt;_x000a_"/>
    <w:docVar w:name="ne_docsoft" w:val="MSWord"/>
    <w:docVar w:name="ne_docversion" w:val="NoteExpress 2.0"/>
    <w:docVar w:name="ne_stylename" w:val="地理学报（英文）"/>
  </w:docVars>
  <w:rsids>
    <w:rsidRoot w:val="00BB78F5"/>
    <w:rsid w:val="0000054A"/>
    <w:rsid w:val="00000B47"/>
    <w:rsid w:val="00000B83"/>
    <w:rsid w:val="00000BB2"/>
    <w:rsid w:val="00001410"/>
    <w:rsid w:val="00001743"/>
    <w:rsid w:val="000021F6"/>
    <w:rsid w:val="00002A4B"/>
    <w:rsid w:val="00002D18"/>
    <w:rsid w:val="00003BA7"/>
    <w:rsid w:val="00005716"/>
    <w:rsid w:val="00005BB6"/>
    <w:rsid w:val="000065C1"/>
    <w:rsid w:val="00006B37"/>
    <w:rsid w:val="00006E5D"/>
    <w:rsid w:val="0000729C"/>
    <w:rsid w:val="0000753F"/>
    <w:rsid w:val="00011130"/>
    <w:rsid w:val="00011626"/>
    <w:rsid w:val="00011DD1"/>
    <w:rsid w:val="000127F5"/>
    <w:rsid w:val="00012B21"/>
    <w:rsid w:val="00012F90"/>
    <w:rsid w:val="000137C4"/>
    <w:rsid w:val="00013DC2"/>
    <w:rsid w:val="00014305"/>
    <w:rsid w:val="0001471E"/>
    <w:rsid w:val="00014B02"/>
    <w:rsid w:val="00014F5D"/>
    <w:rsid w:val="000151B8"/>
    <w:rsid w:val="000161CD"/>
    <w:rsid w:val="00016DD6"/>
    <w:rsid w:val="00017B7F"/>
    <w:rsid w:val="0002028B"/>
    <w:rsid w:val="0002196F"/>
    <w:rsid w:val="00021ED7"/>
    <w:rsid w:val="00021F72"/>
    <w:rsid w:val="0002296D"/>
    <w:rsid w:val="00023EE2"/>
    <w:rsid w:val="0002450C"/>
    <w:rsid w:val="0002457D"/>
    <w:rsid w:val="0002498D"/>
    <w:rsid w:val="00024C04"/>
    <w:rsid w:val="0002576C"/>
    <w:rsid w:val="000276F7"/>
    <w:rsid w:val="000308DD"/>
    <w:rsid w:val="00031025"/>
    <w:rsid w:val="00031274"/>
    <w:rsid w:val="00031AFA"/>
    <w:rsid w:val="00031EEA"/>
    <w:rsid w:val="0003280B"/>
    <w:rsid w:val="00033061"/>
    <w:rsid w:val="0003336E"/>
    <w:rsid w:val="00034435"/>
    <w:rsid w:val="00034970"/>
    <w:rsid w:val="0003665A"/>
    <w:rsid w:val="0003772D"/>
    <w:rsid w:val="0003780E"/>
    <w:rsid w:val="00037F61"/>
    <w:rsid w:val="00040158"/>
    <w:rsid w:val="000402C8"/>
    <w:rsid w:val="00040378"/>
    <w:rsid w:val="00040729"/>
    <w:rsid w:val="00040C53"/>
    <w:rsid w:val="000412D9"/>
    <w:rsid w:val="00041D0C"/>
    <w:rsid w:val="00041F6B"/>
    <w:rsid w:val="00041FE3"/>
    <w:rsid w:val="00042E3D"/>
    <w:rsid w:val="00043B35"/>
    <w:rsid w:val="000448FF"/>
    <w:rsid w:val="00045B0C"/>
    <w:rsid w:val="00046976"/>
    <w:rsid w:val="00047B6D"/>
    <w:rsid w:val="00047D61"/>
    <w:rsid w:val="00047E78"/>
    <w:rsid w:val="000508B2"/>
    <w:rsid w:val="0005090A"/>
    <w:rsid w:val="000514F4"/>
    <w:rsid w:val="00052068"/>
    <w:rsid w:val="00052C7D"/>
    <w:rsid w:val="00053257"/>
    <w:rsid w:val="00053266"/>
    <w:rsid w:val="000534F1"/>
    <w:rsid w:val="0005530F"/>
    <w:rsid w:val="00055805"/>
    <w:rsid w:val="00055E32"/>
    <w:rsid w:val="00057838"/>
    <w:rsid w:val="0006049C"/>
    <w:rsid w:val="00062899"/>
    <w:rsid w:val="00063782"/>
    <w:rsid w:val="00064417"/>
    <w:rsid w:val="0006444F"/>
    <w:rsid w:val="000648BC"/>
    <w:rsid w:val="00064915"/>
    <w:rsid w:val="000658E6"/>
    <w:rsid w:val="00066B22"/>
    <w:rsid w:val="00066D0B"/>
    <w:rsid w:val="000671BC"/>
    <w:rsid w:val="00067739"/>
    <w:rsid w:val="00067EC3"/>
    <w:rsid w:val="0007126C"/>
    <w:rsid w:val="00071EC0"/>
    <w:rsid w:val="00071F52"/>
    <w:rsid w:val="0007231F"/>
    <w:rsid w:val="00072BD8"/>
    <w:rsid w:val="00072DA6"/>
    <w:rsid w:val="0007314A"/>
    <w:rsid w:val="000739F2"/>
    <w:rsid w:val="00073C81"/>
    <w:rsid w:val="00074375"/>
    <w:rsid w:val="000745C4"/>
    <w:rsid w:val="00075154"/>
    <w:rsid w:val="0007548A"/>
    <w:rsid w:val="00075F7F"/>
    <w:rsid w:val="00076189"/>
    <w:rsid w:val="000762D6"/>
    <w:rsid w:val="000770AD"/>
    <w:rsid w:val="00080415"/>
    <w:rsid w:val="00080B4D"/>
    <w:rsid w:val="00080ECA"/>
    <w:rsid w:val="00081A62"/>
    <w:rsid w:val="00081A9C"/>
    <w:rsid w:val="00082F48"/>
    <w:rsid w:val="00083094"/>
    <w:rsid w:val="0008525A"/>
    <w:rsid w:val="000855A0"/>
    <w:rsid w:val="00086711"/>
    <w:rsid w:val="00087746"/>
    <w:rsid w:val="00090747"/>
    <w:rsid w:val="00090D4D"/>
    <w:rsid w:val="000913E0"/>
    <w:rsid w:val="00091B9A"/>
    <w:rsid w:val="000925BE"/>
    <w:rsid w:val="00092FF0"/>
    <w:rsid w:val="000933A3"/>
    <w:rsid w:val="000942B3"/>
    <w:rsid w:val="0009445C"/>
    <w:rsid w:val="000946D1"/>
    <w:rsid w:val="00094810"/>
    <w:rsid w:val="000951AE"/>
    <w:rsid w:val="00095828"/>
    <w:rsid w:val="0009643A"/>
    <w:rsid w:val="00096FEB"/>
    <w:rsid w:val="000A0673"/>
    <w:rsid w:val="000A1BB2"/>
    <w:rsid w:val="000A2087"/>
    <w:rsid w:val="000A2CA1"/>
    <w:rsid w:val="000A4C28"/>
    <w:rsid w:val="000A4E74"/>
    <w:rsid w:val="000A521C"/>
    <w:rsid w:val="000A57D3"/>
    <w:rsid w:val="000A6A95"/>
    <w:rsid w:val="000A6D89"/>
    <w:rsid w:val="000A7570"/>
    <w:rsid w:val="000B164A"/>
    <w:rsid w:val="000B268B"/>
    <w:rsid w:val="000B27C8"/>
    <w:rsid w:val="000B2B9A"/>
    <w:rsid w:val="000B32CF"/>
    <w:rsid w:val="000B3611"/>
    <w:rsid w:val="000B4609"/>
    <w:rsid w:val="000B4B85"/>
    <w:rsid w:val="000B5B2A"/>
    <w:rsid w:val="000B5D8C"/>
    <w:rsid w:val="000B5E54"/>
    <w:rsid w:val="000B6AC2"/>
    <w:rsid w:val="000B6C2F"/>
    <w:rsid w:val="000B6E47"/>
    <w:rsid w:val="000B71E8"/>
    <w:rsid w:val="000C00BE"/>
    <w:rsid w:val="000C091A"/>
    <w:rsid w:val="000C2510"/>
    <w:rsid w:val="000C3113"/>
    <w:rsid w:val="000C37CD"/>
    <w:rsid w:val="000C44FD"/>
    <w:rsid w:val="000C65E3"/>
    <w:rsid w:val="000C6841"/>
    <w:rsid w:val="000C6976"/>
    <w:rsid w:val="000C7377"/>
    <w:rsid w:val="000C7837"/>
    <w:rsid w:val="000D0728"/>
    <w:rsid w:val="000D0FDD"/>
    <w:rsid w:val="000D1D67"/>
    <w:rsid w:val="000D2F5E"/>
    <w:rsid w:val="000D3182"/>
    <w:rsid w:val="000D3416"/>
    <w:rsid w:val="000D3CF3"/>
    <w:rsid w:val="000D422D"/>
    <w:rsid w:val="000D43EE"/>
    <w:rsid w:val="000D44D5"/>
    <w:rsid w:val="000D48B1"/>
    <w:rsid w:val="000D54B4"/>
    <w:rsid w:val="000D62E6"/>
    <w:rsid w:val="000D74B1"/>
    <w:rsid w:val="000E1641"/>
    <w:rsid w:val="000E1757"/>
    <w:rsid w:val="000E1D33"/>
    <w:rsid w:val="000E1F4D"/>
    <w:rsid w:val="000E225C"/>
    <w:rsid w:val="000E23B5"/>
    <w:rsid w:val="000E3759"/>
    <w:rsid w:val="000E37D8"/>
    <w:rsid w:val="000E3C3E"/>
    <w:rsid w:val="000E3DB0"/>
    <w:rsid w:val="000E4113"/>
    <w:rsid w:val="000E411B"/>
    <w:rsid w:val="000E4D15"/>
    <w:rsid w:val="000E4DA8"/>
    <w:rsid w:val="000E50CF"/>
    <w:rsid w:val="000E6042"/>
    <w:rsid w:val="000E6954"/>
    <w:rsid w:val="000E736C"/>
    <w:rsid w:val="000F15B3"/>
    <w:rsid w:val="000F1FA3"/>
    <w:rsid w:val="000F2308"/>
    <w:rsid w:val="000F2C2D"/>
    <w:rsid w:val="000F34AA"/>
    <w:rsid w:val="000F5779"/>
    <w:rsid w:val="000F5991"/>
    <w:rsid w:val="000F5E5B"/>
    <w:rsid w:val="000F5E69"/>
    <w:rsid w:val="000F6ADC"/>
    <w:rsid w:val="000F6DE6"/>
    <w:rsid w:val="0010105E"/>
    <w:rsid w:val="001020FC"/>
    <w:rsid w:val="00102375"/>
    <w:rsid w:val="00102A18"/>
    <w:rsid w:val="00102B5A"/>
    <w:rsid w:val="0010369C"/>
    <w:rsid w:val="0010392F"/>
    <w:rsid w:val="001040EA"/>
    <w:rsid w:val="001042BC"/>
    <w:rsid w:val="00104764"/>
    <w:rsid w:val="0010532C"/>
    <w:rsid w:val="001055C4"/>
    <w:rsid w:val="0010606E"/>
    <w:rsid w:val="0010685C"/>
    <w:rsid w:val="001075BC"/>
    <w:rsid w:val="00111383"/>
    <w:rsid w:val="00111D19"/>
    <w:rsid w:val="0011265C"/>
    <w:rsid w:val="00112BA5"/>
    <w:rsid w:val="001136A3"/>
    <w:rsid w:val="001137FD"/>
    <w:rsid w:val="00113B82"/>
    <w:rsid w:val="001140F5"/>
    <w:rsid w:val="001144CD"/>
    <w:rsid w:val="001149A9"/>
    <w:rsid w:val="00115339"/>
    <w:rsid w:val="00116705"/>
    <w:rsid w:val="00116D2D"/>
    <w:rsid w:val="00116D66"/>
    <w:rsid w:val="00116E72"/>
    <w:rsid w:val="001171C7"/>
    <w:rsid w:val="001206C5"/>
    <w:rsid w:val="001221C8"/>
    <w:rsid w:val="00122630"/>
    <w:rsid w:val="0012280B"/>
    <w:rsid w:val="00123564"/>
    <w:rsid w:val="00123584"/>
    <w:rsid w:val="0012366E"/>
    <w:rsid w:val="00123BF4"/>
    <w:rsid w:val="001242BE"/>
    <w:rsid w:val="0012468F"/>
    <w:rsid w:val="00124A25"/>
    <w:rsid w:val="00124B1E"/>
    <w:rsid w:val="00124DDF"/>
    <w:rsid w:val="00125494"/>
    <w:rsid w:val="00126472"/>
    <w:rsid w:val="00126F8C"/>
    <w:rsid w:val="001276F9"/>
    <w:rsid w:val="001300AA"/>
    <w:rsid w:val="00131EDD"/>
    <w:rsid w:val="001339BF"/>
    <w:rsid w:val="001352C6"/>
    <w:rsid w:val="00135771"/>
    <w:rsid w:val="00135806"/>
    <w:rsid w:val="0013599F"/>
    <w:rsid w:val="0013612A"/>
    <w:rsid w:val="001362F7"/>
    <w:rsid w:val="001368A8"/>
    <w:rsid w:val="00136998"/>
    <w:rsid w:val="00136DBF"/>
    <w:rsid w:val="00137FED"/>
    <w:rsid w:val="0014004D"/>
    <w:rsid w:val="00140B5C"/>
    <w:rsid w:val="00142640"/>
    <w:rsid w:val="00142BB4"/>
    <w:rsid w:val="00142DEA"/>
    <w:rsid w:val="0014458D"/>
    <w:rsid w:val="00144812"/>
    <w:rsid w:val="00144B04"/>
    <w:rsid w:val="00144F8E"/>
    <w:rsid w:val="001450B2"/>
    <w:rsid w:val="001464C0"/>
    <w:rsid w:val="00146B61"/>
    <w:rsid w:val="00146B87"/>
    <w:rsid w:val="001471F0"/>
    <w:rsid w:val="00147859"/>
    <w:rsid w:val="00147CE3"/>
    <w:rsid w:val="0015120D"/>
    <w:rsid w:val="00151570"/>
    <w:rsid w:val="00151A76"/>
    <w:rsid w:val="00153790"/>
    <w:rsid w:val="00153DCA"/>
    <w:rsid w:val="00154A3B"/>
    <w:rsid w:val="00154FA5"/>
    <w:rsid w:val="00156C24"/>
    <w:rsid w:val="00160619"/>
    <w:rsid w:val="00160DCB"/>
    <w:rsid w:val="00161414"/>
    <w:rsid w:val="00161D7E"/>
    <w:rsid w:val="00162745"/>
    <w:rsid w:val="001627CA"/>
    <w:rsid w:val="00162942"/>
    <w:rsid w:val="00165CA1"/>
    <w:rsid w:val="0016672E"/>
    <w:rsid w:val="00166731"/>
    <w:rsid w:val="00167B78"/>
    <w:rsid w:val="00171378"/>
    <w:rsid w:val="001719B4"/>
    <w:rsid w:val="00171ACF"/>
    <w:rsid w:val="00171C71"/>
    <w:rsid w:val="00172C96"/>
    <w:rsid w:val="00172EB4"/>
    <w:rsid w:val="00173354"/>
    <w:rsid w:val="00173F0F"/>
    <w:rsid w:val="0017402C"/>
    <w:rsid w:val="001742CC"/>
    <w:rsid w:val="001744BA"/>
    <w:rsid w:val="001745D1"/>
    <w:rsid w:val="001747C5"/>
    <w:rsid w:val="001748B4"/>
    <w:rsid w:val="00174BCF"/>
    <w:rsid w:val="00175351"/>
    <w:rsid w:val="001759C3"/>
    <w:rsid w:val="00175DE1"/>
    <w:rsid w:val="001760FE"/>
    <w:rsid w:val="00176427"/>
    <w:rsid w:val="0017654A"/>
    <w:rsid w:val="00176EF4"/>
    <w:rsid w:val="0017721F"/>
    <w:rsid w:val="00180A07"/>
    <w:rsid w:val="00180E88"/>
    <w:rsid w:val="001815B7"/>
    <w:rsid w:val="0018231D"/>
    <w:rsid w:val="00183324"/>
    <w:rsid w:val="00183BD2"/>
    <w:rsid w:val="001863DA"/>
    <w:rsid w:val="00186AD1"/>
    <w:rsid w:val="00187506"/>
    <w:rsid w:val="00187F45"/>
    <w:rsid w:val="0019085B"/>
    <w:rsid w:val="00191606"/>
    <w:rsid w:val="001919E0"/>
    <w:rsid w:val="001920D3"/>
    <w:rsid w:val="0019221B"/>
    <w:rsid w:val="00192B4D"/>
    <w:rsid w:val="0019351D"/>
    <w:rsid w:val="00193693"/>
    <w:rsid w:val="0019475C"/>
    <w:rsid w:val="00195C91"/>
    <w:rsid w:val="001965F6"/>
    <w:rsid w:val="00197AE9"/>
    <w:rsid w:val="00197CC5"/>
    <w:rsid w:val="001A0D14"/>
    <w:rsid w:val="001A0FBF"/>
    <w:rsid w:val="001A14FF"/>
    <w:rsid w:val="001A1774"/>
    <w:rsid w:val="001A2189"/>
    <w:rsid w:val="001A225E"/>
    <w:rsid w:val="001A2981"/>
    <w:rsid w:val="001A2AF9"/>
    <w:rsid w:val="001A2DF6"/>
    <w:rsid w:val="001A2EFD"/>
    <w:rsid w:val="001A3252"/>
    <w:rsid w:val="001A3B4C"/>
    <w:rsid w:val="001A3B7A"/>
    <w:rsid w:val="001A3D8E"/>
    <w:rsid w:val="001A3DE0"/>
    <w:rsid w:val="001A4764"/>
    <w:rsid w:val="001A5795"/>
    <w:rsid w:val="001A6688"/>
    <w:rsid w:val="001A76B7"/>
    <w:rsid w:val="001A7C81"/>
    <w:rsid w:val="001B03EB"/>
    <w:rsid w:val="001B0662"/>
    <w:rsid w:val="001B07D3"/>
    <w:rsid w:val="001B0B43"/>
    <w:rsid w:val="001B0D37"/>
    <w:rsid w:val="001B2A37"/>
    <w:rsid w:val="001B2E81"/>
    <w:rsid w:val="001B501B"/>
    <w:rsid w:val="001B5955"/>
    <w:rsid w:val="001B6A04"/>
    <w:rsid w:val="001B79C0"/>
    <w:rsid w:val="001C1111"/>
    <w:rsid w:val="001C3573"/>
    <w:rsid w:val="001C3CA2"/>
    <w:rsid w:val="001C4703"/>
    <w:rsid w:val="001C4C39"/>
    <w:rsid w:val="001C5C36"/>
    <w:rsid w:val="001C738E"/>
    <w:rsid w:val="001C750F"/>
    <w:rsid w:val="001C7580"/>
    <w:rsid w:val="001C79FA"/>
    <w:rsid w:val="001C7A15"/>
    <w:rsid w:val="001C7C30"/>
    <w:rsid w:val="001C7C6D"/>
    <w:rsid w:val="001D1225"/>
    <w:rsid w:val="001D3599"/>
    <w:rsid w:val="001D4704"/>
    <w:rsid w:val="001D594E"/>
    <w:rsid w:val="001D5BAA"/>
    <w:rsid w:val="001D7C44"/>
    <w:rsid w:val="001E170D"/>
    <w:rsid w:val="001E18A0"/>
    <w:rsid w:val="001E1B4D"/>
    <w:rsid w:val="001E1FA4"/>
    <w:rsid w:val="001E2A24"/>
    <w:rsid w:val="001E2B7C"/>
    <w:rsid w:val="001E2BB2"/>
    <w:rsid w:val="001E33AC"/>
    <w:rsid w:val="001E38FD"/>
    <w:rsid w:val="001E3CFC"/>
    <w:rsid w:val="001E3E87"/>
    <w:rsid w:val="001E4852"/>
    <w:rsid w:val="001E4C2B"/>
    <w:rsid w:val="001E4E55"/>
    <w:rsid w:val="001E51A8"/>
    <w:rsid w:val="001E52AE"/>
    <w:rsid w:val="001E559D"/>
    <w:rsid w:val="001E5A39"/>
    <w:rsid w:val="001E5AE6"/>
    <w:rsid w:val="001E60BD"/>
    <w:rsid w:val="001E7074"/>
    <w:rsid w:val="001E7381"/>
    <w:rsid w:val="001E77DE"/>
    <w:rsid w:val="001E7DF6"/>
    <w:rsid w:val="001F0996"/>
    <w:rsid w:val="001F0D11"/>
    <w:rsid w:val="001F0D85"/>
    <w:rsid w:val="001F13C2"/>
    <w:rsid w:val="001F15A0"/>
    <w:rsid w:val="001F1B43"/>
    <w:rsid w:val="001F2ADB"/>
    <w:rsid w:val="001F2B0B"/>
    <w:rsid w:val="001F3281"/>
    <w:rsid w:val="001F4540"/>
    <w:rsid w:val="001F4B56"/>
    <w:rsid w:val="001F53E1"/>
    <w:rsid w:val="001F60F8"/>
    <w:rsid w:val="001F6112"/>
    <w:rsid w:val="001F71EA"/>
    <w:rsid w:val="001F7EC5"/>
    <w:rsid w:val="00200CD1"/>
    <w:rsid w:val="00201E2F"/>
    <w:rsid w:val="00202AD1"/>
    <w:rsid w:val="00203432"/>
    <w:rsid w:val="00203865"/>
    <w:rsid w:val="00203AD5"/>
    <w:rsid w:val="00203B69"/>
    <w:rsid w:val="00203EE1"/>
    <w:rsid w:val="0020406E"/>
    <w:rsid w:val="00204174"/>
    <w:rsid w:val="002041DE"/>
    <w:rsid w:val="002049FA"/>
    <w:rsid w:val="00205A96"/>
    <w:rsid w:val="00205F19"/>
    <w:rsid w:val="00206047"/>
    <w:rsid w:val="00206237"/>
    <w:rsid w:val="0020685F"/>
    <w:rsid w:val="002070BD"/>
    <w:rsid w:val="002078BE"/>
    <w:rsid w:val="0020795E"/>
    <w:rsid w:val="002119B2"/>
    <w:rsid w:val="00212474"/>
    <w:rsid w:val="00214C96"/>
    <w:rsid w:val="002165A5"/>
    <w:rsid w:val="0021700A"/>
    <w:rsid w:val="00217077"/>
    <w:rsid w:val="0021730A"/>
    <w:rsid w:val="002176C0"/>
    <w:rsid w:val="002206A7"/>
    <w:rsid w:val="002206AC"/>
    <w:rsid w:val="00221350"/>
    <w:rsid w:val="0022166E"/>
    <w:rsid w:val="002216A9"/>
    <w:rsid w:val="00221EE5"/>
    <w:rsid w:val="0022348E"/>
    <w:rsid w:val="002246EA"/>
    <w:rsid w:val="00224C97"/>
    <w:rsid w:val="002253AB"/>
    <w:rsid w:val="00225A25"/>
    <w:rsid w:val="00225E85"/>
    <w:rsid w:val="00226B43"/>
    <w:rsid w:val="00226B75"/>
    <w:rsid w:val="00226E3A"/>
    <w:rsid w:val="00227A1D"/>
    <w:rsid w:val="00227BB3"/>
    <w:rsid w:val="00227CE0"/>
    <w:rsid w:val="002303BD"/>
    <w:rsid w:val="00230991"/>
    <w:rsid w:val="00230B8D"/>
    <w:rsid w:val="002314D4"/>
    <w:rsid w:val="002325F2"/>
    <w:rsid w:val="00232A97"/>
    <w:rsid w:val="00233072"/>
    <w:rsid w:val="002333FD"/>
    <w:rsid w:val="0023366F"/>
    <w:rsid w:val="002338EE"/>
    <w:rsid w:val="00233BC2"/>
    <w:rsid w:val="00234124"/>
    <w:rsid w:val="002347A3"/>
    <w:rsid w:val="00234E81"/>
    <w:rsid w:val="00234F3C"/>
    <w:rsid w:val="002354C7"/>
    <w:rsid w:val="00235DA1"/>
    <w:rsid w:val="00236197"/>
    <w:rsid w:val="002362BE"/>
    <w:rsid w:val="00236854"/>
    <w:rsid w:val="00236B45"/>
    <w:rsid w:val="00236CE2"/>
    <w:rsid w:val="00236D89"/>
    <w:rsid w:val="00236F33"/>
    <w:rsid w:val="0023731C"/>
    <w:rsid w:val="002377BE"/>
    <w:rsid w:val="00237A86"/>
    <w:rsid w:val="0024035C"/>
    <w:rsid w:val="0024133F"/>
    <w:rsid w:val="002420A0"/>
    <w:rsid w:val="0024219B"/>
    <w:rsid w:val="002427EE"/>
    <w:rsid w:val="00245DE0"/>
    <w:rsid w:val="00246494"/>
    <w:rsid w:val="00246B81"/>
    <w:rsid w:val="002509BF"/>
    <w:rsid w:val="002518FD"/>
    <w:rsid w:val="00251C73"/>
    <w:rsid w:val="00252159"/>
    <w:rsid w:val="00252360"/>
    <w:rsid w:val="002527CE"/>
    <w:rsid w:val="00252941"/>
    <w:rsid w:val="0025340B"/>
    <w:rsid w:val="00254328"/>
    <w:rsid w:val="002549C6"/>
    <w:rsid w:val="002559FA"/>
    <w:rsid w:val="002569CC"/>
    <w:rsid w:val="002604AD"/>
    <w:rsid w:val="0026269D"/>
    <w:rsid w:val="00262874"/>
    <w:rsid w:val="002633A3"/>
    <w:rsid w:val="00263B64"/>
    <w:rsid w:val="00263FDF"/>
    <w:rsid w:val="0026458F"/>
    <w:rsid w:val="00264A10"/>
    <w:rsid w:val="00264FF8"/>
    <w:rsid w:val="00265234"/>
    <w:rsid w:val="002655B7"/>
    <w:rsid w:val="00265E58"/>
    <w:rsid w:val="00265EB2"/>
    <w:rsid w:val="00266608"/>
    <w:rsid w:val="002667A6"/>
    <w:rsid w:val="002667D0"/>
    <w:rsid w:val="00266899"/>
    <w:rsid w:val="002668B0"/>
    <w:rsid w:val="002671B1"/>
    <w:rsid w:val="002672C2"/>
    <w:rsid w:val="002677E1"/>
    <w:rsid w:val="002708C5"/>
    <w:rsid w:val="00270F11"/>
    <w:rsid w:val="002718FF"/>
    <w:rsid w:val="0027218A"/>
    <w:rsid w:val="002724BA"/>
    <w:rsid w:val="00272514"/>
    <w:rsid w:val="00273161"/>
    <w:rsid w:val="00273867"/>
    <w:rsid w:val="002742E7"/>
    <w:rsid w:val="0027656C"/>
    <w:rsid w:val="00276F02"/>
    <w:rsid w:val="0027710A"/>
    <w:rsid w:val="00277291"/>
    <w:rsid w:val="002776DB"/>
    <w:rsid w:val="00277964"/>
    <w:rsid w:val="00280FB6"/>
    <w:rsid w:val="0028223D"/>
    <w:rsid w:val="002826CA"/>
    <w:rsid w:val="00282AA5"/>
    <w:rsid w:val="00282D28"/>
    <w:rsid w:val="00282ECC"/>
    <w:rsid w:val="00283231"/>
    <w:rsid w:val="00283709"/>
    <w:rsid w:val="0028477D"/>
    <w:rsid w:val="00284D47"/>
    <w:rsid w:val="00285B5F"/>
    <w:rsid w:val="00285CD3"/>
    <w:rsid w:val="00286045"/>
    <w:rsid w:val="002860B5"/>
    <w:rsid w:val="0028613A"/>
    <w:rsid w:val="00286465"/>
    <w:rsid w:val="00286ABA"/>
    <w:rsid w:val="002908D9"/>
    <w:rsid w:val="0029139E"/>
    <w:rsid w:val="00291D43"/>
    <w:rsid w:val="002929B4"/>
    <w:rsid w:val="00292BAC"/>
    <w:rsid w:val="0029353E"/>
    <w:rsid w:val="00293D52"/>
    <w:rsid w:val="00294072"/>
    <w:rsid w:val="002951D5"/>
    <w:rsid w:val="00295AC7"/>
    <w:rsid w:val="00295CD5"/>
    <w:rsid w:val="00295CE7"/>
    <w:rsid w:val="002A2FCA"/>
    <w:rsid w:val="002A326C"/>
    <w:rsid w:val="002A32E1"/>
    <w:rsid w:val="002A333A"/>
    <w:rsid w:val="002A350B"/>
    <w:rsid w:val="002A3CD1"/>
    <w:rsid w:val="002A4D36"/>
    <w:rsid w:val="002A51D9"/>
    <w:rsid w:val="002A59A2"/>
    <w:rsid w:val="002A7D4A"/>
    <w:rsid w:val="002B1346"/>
    <w:rsid w:val="002B1F59"/>
    <w:rsid w:val="002B2EFC"/>
    <w:rsid w:val="002B33D1"/>
    <w:rsid w:val="002B3843"/>
    <w:rsid w:val="002B4CCB"/>
    <w:rsid w:val="002B59B3"/>
    <w:rsid w:val="002B6425"/>
    <w:rsid w:val="002B6865"/>
    <w:rsid w:val="002B69E8"/>
    <w:rsid w:val="002B6B86"/>
    <w:rsid w:val="002B6C69"/>
    <w:rsid w:val="002B7553"/>
    <w:rsid w:val="002C019A"/>
    <w:rsid w:val="002C06BA"/>
    <w:rsid w:val="002C0B56"/>
    <w:rsid w:val="002C0D1E"/>
    <w:rsid w:val="002C11CE"/>
    <w:rsid w:val="002C1CA2"/>
    <w:rsid w:val="002C1CD1"/>
    <w:rsid w:val="002C237A"/>
    <w:rsid w:val="002C244E"/>
    <w:rsid w:val="002C2E84"/>
    <w:rsid w:val="002C3D0C"/>
    <w:rsid w:val="002C5150"/>
    <w:rsid w:val="002C6073"/>
    <w:rsid w:val="002C6108"/>
    <w:rsid w:val="002C6B0A"/>
    <w:rsid w:val="002C7C79"/>
    <w:rsid w:val="002C7DD7"/>
    <w:rsid w:val="002C7F6B"/>
    <w:rsid w:val="002D04B9"/>
    <w:rsid w:val="002D085F"/>
    <w:rsid w:val="002D0FFD"/>
    <w:rsid w:val="002D28E0"/>
    <w:rsid w:val="002D2E5E"/>
    <w:rsid w:val="002D3C83"/>
    <w:rsid w:val="002D3FD1"/>
    <w:rsid w:val="002D4579"/>
    <w:rsid w:val="002D58F4"/>
    <w:rsid w:val="002D5D87"/>
    <w:rsid w:val="002D5E5C"/>
    <w:rsid w:val="002D5F1C"/>
    <w:rsid w:val="002D5FFF"/>
    <w:rsid w:val="002D62E1"/>
    <w:rsid w:val="002D63FD"/>
    <w:rsid w:val="002D6EF3"/>
    <w:rsid w:val="002D713F"/>
    <w:rsid w:val="002E0791"/>
    <w:rsid w:val="002E07E7"/>
    <w:rsid w:val="002E0A9C"/>
    <w:rsid w:val="002E23CE"/>
    <w:rsid w:val="002E2679"/>
    <w:rsid w:val="002E340D"/>
    <w:rsid w:val="002E386D"/>
    <w:rsid w:val="002E4247"/>
    <w:rsid w:val="002E4410"/>
    <w:rsid w:val="002E487D"/>
    <w:rsid w:val="002E54D9"/>
    <w:rsid w:val="002E678D"/>
    <w:rsid w:val="002E68BF"/>
    <w:rsid w:val="002E6B03"/>
    <w:rsid w:val="002E7547"/>
    <w:rsid w:val="002E7898"/>
    <w:rsid w:val="002E79B3"/>
    <w:rsid w:val="002E7DC9"/>
    <w:rsid w:val="002E7EFA"/>
    <w:rsid w:val="002F11E9"/>
    <w:rsid w:val="002F1D86"/>
    <w:rsid w:val="002F2199"/>
    <w:rsid w:val="002F220E"/>
    <w:rsid w:val="002F28B0"/>
    <w:rsid w:val="002F29B1"/>
    <w:rsid w:val="002F2A37"/>
    <w:rsid w:val="002F33E9"/>
    <w:rsid w:val="002F397D"/>
    <w:rsid w:val="002F3AAB"/>
    <w:rsid w:val="002F3B1F"/>
    <w:rsid w:val="002F4B9E"/>
    <w:rsid w:val="002F4E37"/>
    <w:rsid w:val="002F5233"/>
    <w:rsid w:val="002F6353"/>
    <w:rsid w:val="002F68A6"/>
    <w:rsid w:val="002F72BC"/>
    <w:rsid w:val="002F778B"/>
    <w:rsid w:val="002F7B18"/>
    <w:rsid w:val="002F7E3C"/>
    <w:rsid w:val="00300264"/>
    <w:rsid w:val="003020FD"/>
    <w:rsid w:val="00302282"/>
    <w:rsid w:val="003022F6"/>
    <w:rsid w:val="003028C7"/>
    <w:rsid w:val="00303EFB"/>
    <w:rsid w:val="00304221"/>
    <w:rsid w:val="003049A4"/>
    <w:rsid w:val="003052B9"/>
    <w:rsid w:val="003052EC"/>
    <w:rsid w:val="00306942"/>
    <w:rsid w:val="00306D44"/>
    <w:rsid w:val="00306DCE"/>
    <w:rsid w:val="00306F6D"/>
    <w:rsid w:val="00307CDB"/>
    <w:rsid w:val="003102BE"/>
    <w:rsid w:val="003107A3"/>
    <w:rsid w:val="003117D7"/>
    <w:rsid w:val="00312517"/>
    <w:rsid w:val="00312904"/>
    <w:rsid w:val="00312C3A"/>
    <w:rsid w:val="00313C5F"/>
    <w:rsid w:val="00313CB0"/>
    <w:rsid w:val="00314599"/>
    <w:rsid w:val="00315140"/>
    <w:rsid w:val="00315D7D"/>
    <w:rsid w:val="00316172"/>
    <w:rsid w:val="003161C7"/>
    <w:rsid w:val="003161FB"/>
    <w:rsid w:val="00316BA2"/>
    <w:rsid w:val="00317649"/>
    <w:rsid w:val="0032057A"/>
    <w:rsid w:val="00321036"/>
    <w:rsid w:val="00321AD6"/>
    <w:rsid w:val="00321FA9"/>
    <w:rsid w:val="00322512"/>
    <w:rsid w:val="00322F5B"/>
    <w:rsid w:val="0032469F"/>
    <w:rsid w:val="00324FDF"/>
    <w:rsid w:val="003252E5"/>
    <w:rsid w:val="00325E7E"/>
    <w:rsid w:val="00325F10"/>
    <w:rsid w:val="00326197"/>
    <w:rsid w:val="00326862"/>
    <w:rsid w:val="003269BB"/>
    <w:rsid w:val="00326FA4"/>
    <w:rsid w:val="003275EE"/>
    <w:rsid w:val="00327696"/>
    <w:rsid w:val="00327906"/>
    <w:rsid w:val="00327ED9"/>
    <w:rsid w:val="00330206"/>
    <w:rsid w:val="003305C3"/>
    <w:rsid w:val="003305F2"/>
    <w:rsid w:val="00331E7F"/>
    <w:rsid w:val="0033376A"/>
    <w:rsid w:val="00334CFC"/>
    <w:rsid w:val="00335230"/>
    <w:rsid w:val="003358A7"/>
    <w:rsid w:val="00335A5F"/>
    <w:rsid w:val="00336CD3"/>
    <w:rsid w:val="00336F5D"/>
    <w:rsid w:val="00337031"/>
    <w:rsid w:val="00337399"/>
    <w:rsid w:val="00340696"/>
    <w:rsid w:val="003409EE"/>
    <w:rsid w:val="00340ED8"/>
    <w:rsid w:val="003427A4"/>
    <w:rsid w:val="00342B39"/>
    <w:rsid w:val="00343709"/>
    <w:rsid w:val="00343B5B"/>
    <w:rsid w:val="00344392"/>
    <w:rsid w:val="0034495A"/>
    <w:rsid w:val="00344B07"/>
    <w:rsid w:val="00344B77"/>
    <w:rsid w:val="0034526A"/>
    <w:rsid w:val="00345E7D"/>
    <w:rsid w:val="0034688E"/>
    <w:rsid w:val="00347D5A"/>
    <w:rsid w:val="00350A99"/>
    <w:rsid w:val="00350ED9"/>
    <w:rsid w:val="00351084"/>
    <w:rsid w:val="00351374"/>
    <w:rsid w:val="00351AE4"/>
    <w:rsid w:val="00351DA2"/>
    <w:rsid w:val="00351FD4"/>
    <w:rsid w:val="003527F5"/>
    <w:rsid w:val="00353019"/>
    <w:rsid w:val="0035304C"/>
    <w:rsid w:val="00353282"/>
    <w:rsid w:val="00353F90"/>
    <w:rsid w:val="00356AD2"/>
    <w:rsid w:val="00356BA6"/>
    <w:rsid w:val="0035762F"/>
    <w:rsid w:val="00357A6B"/>
    <w:rsid w:val="00357FAA"/>
    <w:rsid w:val="0036072B"/>
    <w:rsid w:val="00361149"/>
    <w:rsid w:val="0036238C"/>
    <w:rsid w:val="00362BB3"/>
    <w:rsid w:val="00362D5D"/>
    <w:rsid w:val="003635DB"/>
    <w:rsid w:val="0036389E"/>
    <w:rsid w:val="00363C8E"/>
    <w:rsid w:val="003657C2"/>
    <w:rsid w:val="003666E3"/>
    <w:rsid w:val="0036712B"/>
    <w:rsid w:val="00367B8E"/>
    <w:rsid w:val="003704F5"/>
    <w:rsid w:val="00370629"/>
    <w:rsid w:val="00371B79"/>
    <w:rsid w:val="00372BBC"/>
    <w:rsid w:val="00372C81"/>
    <w:rsid w:val="00372D37"/>
    <w:rsid w:val="00372F12"/>
    <w:rsid w:val="00373A5C"/>
    <w:rsid w:val="00373C1B"/>
    <w:rsid w:val="00373DF6"/>
    <w:rsid w:val="00374E96"/>
    <w:rsid w:val="00381081"/>
    <w:rsid w:val="003810B0"/>
    <w:rsid w:val="0038115E"/>
    <w:rsid w:val="00381169"/>
    <w:rsid w:val="003814DE"/>
    <w:rsid w:val="003815AC"/>
    <w:rsid w:val="00381F75"/>
    <w:rsid w:val="00381FCD"/>
    <w:rsid w:val="003829FB"/>
    <w:rsid w:val="00382AF9"/>
    <w:rsid w:val="00383503"/>
    <w:rsid w:val="003838F2"/>
    <w:rsid w:val="00383E20"/>
    <w:rsid w:val="00385446"/>
    <w:rsid w:val="0038579B"/>
    <w:rsid w:val="00385947"/>
    <w:rsid w:val="003859A3"/>
    <w:rsid w:val="00387747"/>
    <w:rsid w:val="003901D3"/>
    <w:rsid w:val="003904C6"/>
    <w:rsid w:val="003905DD"/>
    <w:rsid w:val="00390726"/>
    <w:rsid w:val="00390BF1"/>
    <w:rsid w:val="00391470"/>
    <w:rsid w:val="00391E5C"/>
    <w:rsid w:val="00391E67"/>
    <w:rsid w:val="003924FA"/>
    <w:rsid w:val="00392715"/>
    <w:rsid w:val="0039271C"/>
    <w:rsid w:val="003928D7"/>
    <w:rsid w:val="00392FB4"/>
    <w:rsid w:val="00395A49"/>
    <w:rsid w:val="00395A8A"/>
    <w:rsid w:val="00395B2A"/>
    <w:rsid w:val="00396344"/>
    <w:rsid w:val="0039789F"/>
    <w:rsid w:val="003A0B63"/>
    <w:rsid w:val="003A228E"/>
    <w:rsid w:val="003A2519"/>
    <w:rsid w:val="003A25B4"/>
    <w:rsid w:val="003A2EFA"/>
    <w:rsid w:val="003A326A"/>
    <w:rsid w:val="003A3741"/>
    <w:rsid w:val="003A4350"/>
    <w:rsid w:val="003A4BF2"/>
    <w:rsid w:val="003A565D"/>
    <w:rsid w:val="003A5808"/>
    <w:rsid w:val="003A5D7D"/>
    <w:rsid w:val="003A665E"/>
    <w:rsid w:val="003A67D6"/>
    <w:rsid w:val="003A708E"/>
    <w:rsid w:val="003A7638"/>
    <w:rsid w:val="003B0C63"/>
    <w:rsid w:val="003B10BB"/>
    <w:rsid w:val="003B149D"/>
    <w:rsid w:val="003B16BD"/>
    <w:rsid w:val="003B1C0C"/>
    <w:rsid w:val="003B1E77"/>
    <w:rsid w:val="003B2976"/>
    <w:rsid w:val="003B2BB6"/>
    <w:rsid w:val="003B38B4"/>
    <w:rsid w:val="003B3F05"/>
    <w:rsid w:val="003B4217"/>
    <w:rsid w:val="003B4AC0"/>
    <w:rsid w:val="003B5023"/>
    <w:rsid w:val="003B50D7"/>
    <w:rsid w:val="003B5DA6"/>
    <w:rsid w:val="003B5DC5"/>
    <w:rsid w:val="003B636B"/>
    <w:rsid w:val="003B6487"/>
    <w:rsid w:val="003B6844"/>
    <w:rsid w:val="003B6D4C"/>
    <w:rsid w:val="003B74E5"/>
    <w:rsid w:val="003C0340"/>
    <w:rsid w:val="003C2E3E"/>
    <w:rsid w:val="003C3CDF"/>
    <w:rsid w:val="003C3F6C"/>
    <w:rsid w:val="003C4A3D"/>
    <w:rsid w:val="003C4B43"/>
    <w:rsid w:val="003C4D91"/>
    <w:rsid w:val="003C509B"/>
    <w:rsid w:val="003C519B"/>
    <w:rsid w:val="003C5452"/>
    <w:rsid w:val="003C5855"/>
    <w:rsid w:val="003C5D3A"/>
    <w:rsid w:val="003C60B4"/>
    <w:rsid w:val="003C6177"/>
    <w:rsid w:val="003C648E"/>
    <w:rsid w:val="003C6787"/>
    <w:rsid w:val="003C6898"/>
    <w:rsid w:val="003C68AC"/>
    <w:rsid w:val="003C6954"/>
    <w:rsid w:val="003C6D02"/>
    <w:rsid w:val="003D077D"/>
    <w:rsid w:val="003D0F16"/>
    <w:rsid w:val="003D12A0"/>
    <w:rsid w:val="003D1930"/>
    <w:rsid w:val="003D2356"/>
    <w:rsid w:val="003D2D19"/>
    <w:rsid w:val="003D2D65"/>
    <w:rsid w:val="003D333C"/>
    <w:rsid w:val="003D4671"/>
    <w:rsid w:val="003D47D9"/>
    <w:rsid w:val="003D48DB"/>
    <w:rsid w:val="003D5D53"/>
    <w:rsid w:val="003D5FC3"/>
    <w:rsid w:val="003D6B28"/>
    <w:rsid w:val="003D7814"/>
    <w:rsid w:val="003E01AC"/>
    <w:rsid w:val="003E0A89"/>
    <w:rsid w:val="003E162F"/>
    <w:rsid w:val="003E20DA"/>
    <w:rsid w:val="003E22F5"/>
    <w:rsid w:val="003E2414"/>
    <w:rsid w:val="003E2FC4"/>
    <w:rsid w:val="003E3589"/>
    <w:rsid w:val="003E3DFC"/>
    <w:rsid w:val="003E4816"/>
    <w:rsid w:val="003E4DCF"/>
    <w:rsid w:val="003E7F26"/>
    <w:rsid w:val="003F07C3"/>
    <w:rsid w:val="003F0B1C"/>
    <w:rsid w:val="003F17CB"/>
    <w:rsid w:val="003F1EA3"/>
    <w:rsid w:val="003F2C7D"/>
    <w:rsid w:val="003F3B17"/>
    <w:rsid w:val="003F412E"/>
    <w:rsid w:val="003F485F"/>
    <w:rsid w:val="003F486D"/>
    <w:rsid w:val="003F4A25"/>
    <w:rsid w:val="003F56C7"/>
    <w:rsid w:val="003F58AE"/>
    <w:rsid w:val="003F58C9"/>
    <w:rsid w:val="003F5C1C"/>
    <w:rsid w:val="003F5F26"/>
    <w:rsid w:val="003F725B"/>
    <w:rsid w:val="003F7BF7"/>
    <w:rsid w:val="00400D16"/>
    <w:rsid w:val="0040157D"/>
    <w:rsid w:val="0040162C"/>
    <w:rsid w:val="004022C9"/>
    <w:rsid w:val="004028C4"/>
    <w:rsid w:val="00402C6C"/>
    <w:rsid w:val="004036B7"/>
    <w:rsid w:val="004049DF"/>
    <w:rsid w:val="00405033"/>
    <w:rsid w:val="004058F7"/>
    <w:rsid w:val="00406B23"/>
    <w:rsid w:val="0041162F"/>
    <w:rsid w:val="004121D7"/>
    <w:rsid w:val="00412F75"/>
    <w:rsid w:val="004153A0"/>
    <w:rsid w:val="00415710"/>
    <w:rsid w:val="00416D57"/>
    <w:rsid w:val="0041786F"/>
    <w:rsid w:val="004200A3"/>
    <w:rsid w:val="00421AB8"/>
    <w:rsid w:val="00422711"/>
    <w:rsid w:val="0042277D"/>
    <w:rsid w:val="00422979"/>
    <w:rsid w:val="00422C52"/>
    <w:rsid w:val="0042333C"/>
    <w:rsid w:val="00423B21"/>
    <w:rsid w:val="0042449B"/>
    <w:rsid w:val="0042450E"/>
    <w:rsid w:val="00424A7B"/>
    <w:rsid w:val="004256F2"/>
    <w:rsid w:val="00426C83"/>
    <w:rsid w:val="00426DD1"/>
    <w:rsid w:val="00426DEA"/>
    <w:rsid w:val="00427088"/>
    <w:rsid w:val="0042760B"/>
    <w:rsid w:val="0043069B"/>
    <w:rsid w:val="004309CD"/>
    <w:rsid w:val="00430C8F"/>
    <w:rsid w:val="004321F2"/>
    <w:rsid w:val="00432639"/>
    <w:rsid w:val="0043385F"/>
    <w:rsid w:val="0043447F"/>
    <w:rsid w:val="00434942"/>
    <w:rsid w:val="00434AD2"/>
    <w:rsid w:val="004363C2"/>
    <w:rsid w:val="00436772"/>
    <w:rsid w:val="004373DA"/>
    <w:rsid w:val="0043770C"/>
    <w:rsid w:val="0043793F"/>
    <w:rsid w:val="0043796E"/>
    <w:rsid w:val="004402DA"/>
    <w:rsid w:val="00440CA2"/>
    <w:rsid w:val="0044136C"/>
    <w:rsid w:val="00442607"/>
    <w:rsid w:val="00442675"/>
    <w:rsid w:val="0044280E"/>
    <w:rsid w:val="00443F14"/>
    <w:rsid w:val="00444278"/>
    <w:rsid w:val="0044450F"/>
    <w:rsid w:val="0044454C"/>
    <w:rsid w:val="004446F0"/>
    <w:rsid w:val="00444FA1"/>
    <w:rsid w:val="00445A8F"/>
    <w:rsid w:val="00445CE8"/>
    <w:rsid w:val="00446560"/>
    <w:rsid w:val="004465D0"/>
    <w:rsid w:val="00447C6F"/>
    <w:rsid w:val="00450DAA"/>
    <w:rsid w:val="004511BB"/>
    <w:rsid w:val="004512C3"/>
    <w:rsid w:val="004514C1"/>
    <w:rsid w:val="00451BD8"/>
    <w:rsid w:val="00452454"/>
    <w:rsid w:val="004524C1"/>
    <w:rsid w:val="00452FA8"/>
    <w:rsid w:val="004538E0"/>
    <w:rsid w:val="00454804"/>
    <w:rsid w:val="00454BF4"/>
    <w:rsid w:val="004576A7"/>
    <w:rsid w:val="0045778D"/>
    <w:rsid w:val="00460461"/>
    <w:rsid w:val="004605DE"/>
    <w:rsid w:val="00460E8F"/>
    <w:rsid w:val="0046205A"/>
    <w:rsid w:val="0046227E"/>
    <w:rsid w:val="00462D9E"/>
    <w:rsid w:val="00463D65"/>
    <w:rsid w:val="0046469C"/>
    <w:rsid w:val="004649AF"/>
    <w:rsid w:val="00464B8F"/>
    <w:rsid w:val="00466AAB"/>
    <w:rsid w:val="00467AA6"/>
    <w:rsid w:val="00470871"/>
    <w:rsid w:val="004719FA"/>
    <w:rsid w:val="004724E5"/>
    <w:rsid w:val="004730C4"/>
    <w:rsid w:val="00473D72"/>
    <w:rsid w:val="00475599"/>
    <w:rsid w:val="0047586F"/>
    <w:rsid w:val="0047653A"/>
    <w:rsid w:val="00476A9B"/>
    <w:rsid w:val="00481DB2"/>
    <w:rsid w:val="004831D2"/>
    <w:rsid w:val="004833BB"/>
    <w:rsid w:val="00484168"/>
    <w:rsid w:val="004847DC"/>
    <w:rsid w:val="00485094"/>
    <w:rsid w:val="0048513D"/>
    <w:rsid w:val="00485B7D"/>
    <w:rsid w:val="00485CD5"/>
    <w:rsid w:val="00486673"/>
    <w:rsid w:val="00486988"/>
    <w:rsid w:val="0048778A"/>
    <w:rsid w:val="004913CC"/>
    <w:rsid w:val="004919A6"/>
    <w:rsid w:val="00491CD2"/>
    <w:rsid w:val="00492718"/>
    <w:rsid w:val="0049313D"/>
    <w:rsid w:val="00493918"/>
    <w:rsid w:val="00493D47"/>
    <w:rsid w:val="0049564F"/>
    <w:rsid w:val="00496B0A"/>
    <w:rsid w:val="00496BD7"/>
    <w:rsid w:val="004975F6"/>
    <w:rsid w:val="00497D09"/>
    <w:rsid w:val="004A0163"/>
    <w:rsid w:val="004A1275"/>
    <w:rsid w:val="004A1331"/>
    <w:rsid w:val="004A1DB6"/>
    <w:rsid w:val="004A24A0"/>
    <w:rsid w:val="004A2643"/>
    <w:rsid w:val="004A2B60"/>
    <w:rsid w:val="004A4282"/>
    <w:rsid w:val="004A47C3"/>
    <w:rsid w:val="004A5857"/>
    <w:rsid w:val="004A67BD"/>
    <w:rsid w:val="004A74CC"/>
    <w:rsid w:val="004B01EF"/>
    <w:rsid w:val="004B0685"/>
    <w:rsid w:val="004B1432"/>
    <w:rsid w:val="004B182C"/>
    <w:rsid w:val="004B1CCE"/>
    <w:rsid w:val="004B27B8"/>
    <w:rsid w:val="004B377B"/>
    <w:rsid w:val="004B3922"/>
    <w:rsid w:val="004B5909"/>
    <w:rsid w:val="004B5C19"/>
    <w:rsid w:val="004B6382"/>
    <w:rsid w:val="004B7028"/>
    <w:rsid w:val="004B7A71"/>
    <w:rsid w:val="004C0801"/>
    <w:rsid w:val="004C0D06"/>
    <w:rsid w:val="004C11CF"/>
    <w:rsid w:val="004C172D"/>
    <w:rsid w:val="004C1EB2"/>
    <w:rsid w:val="004C2289"/>
    <w:rsid w:val="004C3A81"/>
    <w:rsid w:val="004C42F1"/>
    <w:rsid w:val="004C47A9"/>
    <w:rsid w:val="004C4B74"/>
    <w:rsid w:val="004C4BE1"/>
    <w:rsid w:val="004C5391"/>
    <w:rsid w:val="004C5CE1"/>
    <w:rsid w:val="004C6F7A"/>
    <w:rsid w:val="004C73B3"/>
    <w:rsid w:val="004C79EB"/>
    <w:rsid w:val="004D0A7C"/>
    <w:rsid w:val="004D0AEE"/>
    <w:rsid w:val="004D0B0E"/>
    <w:rsid w:val="004D0F5C"/>
    <w:rsid w:val="004D10A3"/>
    <w:rsid w:val="004D16EF"/>
    <w:rsid w:val="004D1869"/>
    <w:rsid w:val="004D1B93"/>
    <w:rsid w:val="004D20C1"/>
    <w:rsid w:val="004D21CA"/>
    <w:rsid w:val="004D295F"/>
    <w:rsid w:val="004D2E0E"/>
    <w:rsid w:val="004D3BC6"/>
    <w:rsid w:val="004D4AC6"/>
    <w:rsid w:val="004D5196"/>
    <w:rsid w:val="004D53D4"/>
    <w:rsid w:val="004D5AD1"/>
    <w:rsid w:val="004D5B11"/>
    <w:rsid w:val="004D6304"/>
    <w:rsid w:val="004E016D"/>
    <w:rsid w:val="004E18DC"/>
    <w:rsid w:val="004E1B2E"/>
    <w:rsid w:val="004E1F4F"/>
    <w:rsid w:val="004E229E"/>
    <w:rsid w:val="004E3202"/>
    <w:rsid w:val="004E358B"/>
    <w:rsid w:val="004E37D3"/>
    <w:rsid w:val="004E47F9"/>
    <w:rsid w:val="004E4E1D"/>
    <w:rsid w:val="004E4E55"/>
    <w:rsid w:val="004E51C4"/>
    <w:rsid w:val="004E63A2"/>
    <w:rsid w:val="004E678C"/>
    <w:rsid w:val="004E75B5"/>
    <w:rsid w:val="004F0DEF"/>
    <w:rsid w:val="004F1E32"/>
    <w:rsid w:val="004F2675"/>
    <w:rsid w:val="004F2B96"/>
    <w:rsid w:val="004F2DD4"/>
    <w:rsid w:val="004F3396"/>
    <w:rsid w:val="004F4E9C"/>
    <w:rsid w:val="004F5F5B"/>
    <w:rsid w:val="004F631E"/>
    <w:rsid w:val="004F680C"/>
    <w:rsid w:val="004F6960"/>
    <w:rsid w:val="004F6F86"/>
    <w:rsid w:val="004F7471"/>
    <w:rsid w:val="004F77A0"/>
    <w:rsid w:val="004F7C36"/>
    <w:rsid w:val="004F7DBC"/>
    <w:rsid w:val="005020D1"/>
    <w:rsid w:val="00502D37"/>
    <w:rsid w:val="0050302E"/>
    <w:rsid w:val="005031FE"/>
    <w:rsid w:val="005033E6"/>
    <w:rsid w:val="0050389F"/>
    <w:rsid w:val="005049D8"/>
    <w:rsid w:val="00506386"/>
    <w:rsid w:val="005066D9"/>
    <w:rsid w:val="00506753"/>
    <w:rsid w:val="00506B81"/>
    <w:rsid w:val="00507146"/>
    <w:rsid w:val="00507D5D"/>
    <w:rsid w:val="00510465"/>
    <w:rsid w:val="00510602"/>
    <w:rsid w:val="00511338"/>
    <w:rsid w:val="00512279"/>
    <w:rsid w:val="00513E32"/>
    <w:rsid w:val="0051445B"/>
    <w:rsid w:val="00514F21"/>
    <w:rsid w:val="00515F76"/>
    <w:rsid w:val="00516446"/>
    <w:rsid w:val="0051670B"/>
    <w:rsid w:val="00516E18"/>
    <w:rsid w:val="00517BE8"/>
    <w:rsid w:val="00517DB7"/>
    <w:rsid w:val="00520397"/>
    <w:rsid w:val="0052083A"/>
    <w:rsid w:val="00520A76"/>
    <w:rsid w:val="00521D23"/>
    <w:rsid w:val="005220E0"/>
    <w:rsid w:val="00522475"/>
    <w:rsid w:val="005227C1"/>
    <w:rsid w:val="005232CD"/>
    <w:rsid w:val="005239A2"/>
    <w:rsid w:val="005242B6"/>
    <w:rsid w:val="005245C3"/>
    <w:rsid w:val="005246E5"/>
    <w:rsid w:val="00524FD6"/>
    <w:rsid w:val="005265BC"/>
    <w:rsid w:val="00527632"/>
    <w:rsid w:val="005278F2"/>
    <w:rsid w:val="00527C66"/>
    <w:rsid w:val="00530AD4"/>
    <w:rsid w:val="005325CC"/>
    <w:rsid w:val="005331FB"/>
    <w:rsid w:val="00535246"/>
    <w:rsid w:val="00535D9C"/>
    <w:rsid w:val="00536D5F"/>
    <w:rsid w:val="00536EF8"/>
    <w:rsid w:val="00540B9E"/>
    <w:rsid w:val="005413E6"/>
    <w:rsid w:val="00541B9E"/>
    <w:rsid w:val="00541DFC"/>
    <w:rsid w:val="00541F75"/>
    <w:rsid w:val="00542001"/>
    <w:rsid w:val="00542E74"/>
    <w:rsid w:val="005431C0"/>
    <w:rsid w:val="00544489"/>
    <w:rsid w:val="00544938"/>
    <w:rsid w:val="00544B58"/>
    <w:rsid w:val="0054541D"/>
    <w:rsid w:val="00545673"/>
    <w:rsid w:val="00545E82"/>
    <w:rsid w:val="00546011"/>
    <w:rsid w:val="00547341"/>
    <w:rsid w:val="00547373"/>
    <w:rsid w:val="005507E6"/>
    <w:rsid w:val="00550E3B"/>
    <w:rsid w:val="00551CC8"/>
    <w:rsid w:val="00552655"/>
    <w:rsid w:val="00552E7E"/>
    <w:rsid w:val="005533AA"/>
    <w:rsid w:val="00553BF9"/>
    <w:rsid w:val="005542C1"/>
    <w:rsid w:val="0055430F"/>
    <w:rsid w:val="005549A2"/>
    <w:rsid w:val="00554CE6"/>
    <w:rsid w:val="005554F5"/>
    <w:rsid w:val="00555892"/>
    <w:rsid w:val="005558C9"/>
    <w:rsid w:val="005559C5"/>
    <w:rsid w:val="005561F8"/>
    <w:rsid w:val="00557091"/>
    <w:rsid w:val="00560170"/>
    <w:rsid w:val="0056035A"/>
    <w:rsid w:val="00560640"/>
    <w:rsid w:val="00561B47"/>
    <w:rsid w:val="00563520"/>
    <w:rsid w:val="00563F15"/>
    <w:rsid w:val="00564206"/>
    <w:rsid w:val="005648B9"/>
    <w:rsid w:val="00564A12"/>
    <w:rsid w:val="00564B56"/>
    <w:rsid w:val="00566CCC"/>
    <w:rsid w:val="00566ED9"/>
    <w:rsid w:val="005679BF"/>
    <w:rsid w:val="00570437"/>
    <w:rsid w:val="00570569"/>
    <w:rsid w:val="00571304"/>
    <w:rsid w:val="00571633"/>
    <w:rsid w:val="00571BF3"/>
    <w:rsid w:val="00571CD7"/>
    <w:rsid w:val="00571DA2"/>
    <w:rsid w:val="00572809"/>
    <w:rsid w:val="0057319D"/>
    <w:rsid w:val="00573379"/>
    <w:rsid w:val="0057341D"/>
    <w:rsid w:val="00574866"/>
    <w:rsid w:val="00575051"/>
    <w:rsid w:val="00575C99"/>
    <w:rsid w:val="005765B9"/>
    <w:rsid w:val="00576781"/>
    <w:rsid w:val="00576C67"/>
    <w:rsid w:val="00576C9C"/>
    <w:rsid w:val="00576DD2"/>
    <w:rsid w:val="00577327"/>
    <w:rsid w:val="00577876"/>
    <w:rsid w:val="00577EF7"/>
    <w:rsid w:val="00581114"/>
    <w:rsid w:val="00581984"/>
    <w:rsid w:val="00582A4D"/>
    <w:rsid w:val="0058390F"/>
    <w:rsid w:val="00583F14"/>
    <w:rsid w:val="005851CC"/>
    <w:rsid w:val="00585A11"/>
    <w:rsid w:val="00586252"/>
    <w:rsid w:val="005867C2"/>
    <w:rsid w:val="00586852"/>
    <w:rsid w:val="00586FCB"/>
    <w:rsid w:val="00587A4A"/>
    <w:rsid w:val="005909C3"/>
    <w:rsid w:val="00590FF6"/>
    <w:rsid w:val="00592766"/>
    <w:rsid w:val="005928A8"/>
    <w:rsid w:val="005928B1"/>
    <w:rsid w:val="0059350C"/>
    <w:rsid w:val="00593FB8"/>
    <w:rsid w:val="005948C2"/>
    <w:rsid w:val="00595894"/>
    <w:rsid w:val="00595B7F"/>
    <w:rsid w:val="00596600"/>
    <w:rsid w:val="005966A4"/>
    <w:rsid w:val="005A0AAC"/>
    <w:rsid w:val="005A1C8A"/>
    <w:rsid w:val="005A2EDD"/>
    <w:rsid w:val="005A470D"/>
    <w:rsid w:val="005A47C5"/>
    <w:rsid w:val="005A4ACA"/>
    <w:rsid w:val="005A52C7"/>
    <w:rsid w:val="005A5708"/>
    <w:rsid w:val="005A5949"/>
    <w:rsid w:val="005A5B5B"/>
    <w:rsid w:val="005A6C5F"/>
    <w:rsid w:val="005A71AE"/>
    <w:rsid w:val="005A791E"/>
    <w:rsid w:val="005B0847"/>
    <w:rsid w:val="005B0A99"/>
    <w:rsid w:val="005B0F88"/>
    <w:rsid w:val="005B1191"/>
    <w:rsid w:val="005B11C2"/>
    <w:rsid w:val="005B144F"/>
    <w:rsid w:val="005B2801"/>
    <w:rsid w:val="005B2E9D"/>
    <w:rsid w:val="005B3CCD"/>
    <w:rsid w:val="005B550D"/>
    <w:rsid w:val="005B5702"/>
    <w:rsid w:val="005B5D7D"/>
    <w:rsid w:val="005B6428"/>
    <w:rsid w:val="005B6893"/>
    <w:rsid w:val="005B7245"/>
    <w:rsid w:val="005C01F4"/>
    <w:rsid w:val="005C092F"/>
    <w:rsid w:val="005C13AF"/>
    <w:rsid w:val="005C1F9E"/>
    <w:rsid w:val="005C24DB"/>
    <w:rsid w:val="005C2ACC"/>
    <w:rsid w:val="005C376A"/>
    <w:rsid w:val="005C3AE4"/>
    <w:rsid w:val="005C3DCB"/>
    <w:rsid w:val="005C4407"/>
    <w:rsid w:val="005C52FE"/>
    <w:rsid w:val="005C53B2"/>
    <w:rsid w:val="005C5686"/>
    <w:rsid w:val="005C6675"/>
    <w:rsid w:val="005C6E9F"/>
    <w:rsid w:val="005C7392"/>
    <w:rsid w:val="005C7CF4"/>
    <w:rsid w:val="005C7DA6"/>
    <w:rsid w:val="005C7DDA"/>
    <w:rsid w:val="005C7FEE"/>
    <w:rsid w:val="005D0104"/>
    <w:rsid w:val="005D067E"/>
    <w:rsid w:val="005D1B48"/>
    <w:rsid w:val="005D1DE7"/>
    <w:rsid w:val="005D27C0"/>
    <w:rsid w:val="005D48BF"/>
    <w:rsid w:val="005D4F9D"/>
    <w:rsid w:val="005D5118"/>
    <w:rsid w:val="005D599C"/>
    <w:rsid w:val="005D5B10"/>
    <w:rsid w:val="005D65C4"/>
    <w:rsid w:val="005D6654"/>
    <w:rsid w:val="005D6906"/>
    <w:rsid w:val="005D6AC7"/>
    <w:rsid w:val="005D6CF4"/>
    <w:rsid w:val="005D6F33"/>
    <w:rsid w:val="005D762B"/>
    <w:rsid w:val="005E0637"/>
    <w:rsid w:val="005E0664"/>
    <w:rsid w:val="005E0CAE"/>
    <w:rsid w:val="005E268D"/>
    <w:rsid w:val="005E26F8"/>
    <w:rsid w:val="005E2789"/>
    <w:rsid w:val="005E2986"/>
    <w:rsid w:val="005E3505"/>
    <w:rsid w:val="005E3919"/>
    <w:rsid w:val="005E485F"/>
    <w:rsid w:val="005E4DC9"/>
    <w:rsid w:val="005E60DA"/>
    <w:rsid w:val="005E62DB"/>
    <w:rsid w:val="005E645C"/>
    <w:rsid w:val="005E64CC"/>
    <w:rsid w:val="005E6D0E"/>
    <w:rsid w:val="005E79CA"/>
    <w:rsid w:val="005F1289"/>
    <w:rsid w:val="005F18C4"/>
    <w:rsid w:val="005F1D70"/>
    <w:rsid w:val="005F1F73"/>
    <w:rsid w:val="005F2B1D"/>
    <w:rsid w:val="005F3E5F"/>
    <w:rsid w:val="005F41A2"/>
    <w:rsid w:val="005F44D2"/>
    <w:rsid w:val="005F519A"/>
    <w:rsid w:val="005F51BE"/>
    <w:rsid w:val="005F54E2"/>
    <w:rsid w:val="005F5E89"/>
    <w:rsid w:val="005F63EE"/>
    <w:rsid w:val="005F7800"/>
    <w:rsid w:val="006013C6"/>
    <w:rsid w:val="006024CE"/>
    <w:rsid w:val="0060264C"/>
    <w:rsid w:val="00602A99"/>
    <w:rsid w:val="00602E6F"/>
    <w:rsid w:val="006057D3"/>
    <w:rsid w:val="00605B74"/>
    <w:rsid w:val="0060681E"/>
    <w:rsid w:val="00607001"/>
    <w:rsid w:val="0061080D"/>
    <w:rsid w:val="006109D4"/>
    <w:rsid w:val="00610E83"/>
    <w:rsid w:val="00612AF8"/>
    <w:rsid w:val="00612F2C"/>
    <w:rsid w:val="00614027"/>
    <w:rsid w:val="00614253"/>
    <w:rsid w:val="006145DB"/>
    <w:rsid w:val="00614829"/>
    <w:rsid w:val="00614985"/>
    <w:rsid w:val="00614C0F"/>
    <w:rsid w:val="00615361"/>
    <w:rsid w:val="00615572"/>
    <w:rsid w:val="00615844"/>
    <w:rsid w:val="00615B08"/>
    <w:rsid w:val="00615BB5"/>
    <w:rsid w:val="00615E05"/>
    <w:rsid w:val="006169A3"/>
    <w:rsid w:val="00616F3C"/>
    <w:rsid w:val="00617BCD"/>
    <w:rsid w:val="00617FE7"/>
    <w:rsid w:val="0062031F"/>
    <w:rsid w:val="00620873"/>
    <w:rsid w:val="0062090C"/>
    <w:rsid w:val="00620B5C"/>
    <w:rsid w:val="00621CFA"/>
    <w:rsid w:val="006224AA"/>
    <w:rsid w:val="0062273E"/>
    <w:rsid w:val="00623459"/>
    <w:rsid w:val="006237E6"/>
    <w:rsid w:val="00623C0E"/>
    <w:rsid w:val="00623D36"/>
    <w:rsid w:val="00623F73"/>
    <w:rsid w:val="00624498"/>
    <w:rsid w:val="00626D9C"/>
    <w:rsid w:val="00626E6C"/>
    <w:rsid w:val="006275E2"/>
    <w:rsid w:val="00631498"/>
    <w:rsid w:val="00631631"/>
    <w:rsid w:val="0063190E"/>
    <w:rsid w:val="00632B98"/>
    <w:rsid w:val="0063372A"/>
    <w:rsid w:val="00633EDC"/>
    <w:rsid w:val="006344B7"/>
    <w:rsid w:val="006344DC"/>
    <w:rsid w:val="00634832"/>
    <w:rsid w:val="00634C9C"/>
    <w:rsid w:val="00634D62"/>
    <w:rsid w:val="00636BCD"/>
    <w:rsid w:val="00637110"/>
    <w:rsid w:val="00637495"/>
    <w:rsid w:val="00637D42"/>
    <w:rsid w:val="00640E8B"/>
    <w:rsid w:val="00640F41"/>
    <w:rsid w:val="00641110"/>
    <w:rsid w:val="0064137E"/>
    <w:rsid w:val="00641A5F"/>
    <w:rsid w:val="00642BA5"/>
    <w:rsid w:val="00644747"/>
    <w:rsid w:val="00645F33"/>
    <w:rsid w:val="00647040"/>
    <w:rsid w:val="0064771C"/>
    <w:rsid w:val="0065062C"/>
    <w:rsid w:val="006508B0"/>
    <w:rsid w:val="00650A66"/>
    <w:rsid w:val="006511EA"/>
    <w:rsid w:val="00651499"/>
    <w:rsid w:val="00651A7C"/>
    <w:rsid w:val="00651BC0"/>
    <w:rsid w:val="006522E5"/>
    <w:rsid w:val="00652BE0"/>
    <w:rsid w:val="00652FBC"/>
    <w:rsid w:val="0065318A"/>
    <w:rsid w:val="00654693"/>
    <w:rsid w:val="00655C3A"/>
    <w:rsid w:val="00655DA7"/>
    <w:rsid w:val="00656B82"/>
    <w:rsid w:val="00656E33"/>
    <w:rsid w:val="00657470"/>
    <w:rsid w:val="00660662"/>
    <w:rsid w:val="006609FE"/>
    <w:rsid w:val="0066132B"/>
    <w:rsid w:val="00663403"/>
    <w:rsid w:val="0066440C"/>
    <w:rsid w:val="00664896"/>
    <w:rsid w:val="0066492C"/>
    <w:rsid w:val="0066521E"/>
    <w:rsid w:val="00665E30"/>
    <w:rsid w:val="00666C4B"/>
    <w:rsid w:val="00666CD3"/>
    <w:rsid w:val="0066779B"/>
    <w:rsid w:val="00670709"/>
    <w:rsid w:val="00670977"/>
    <w:rsid w:val="00673284"/>
    <w:rsid w:val="0067342E"/>
    <w:rsid w:val="00673B44"/>
    <w:rsid w:val="00673D0E"/>
    <w:rsid w:val="0067496E"/>
    <w:rsid w:val="00674A5F"/>
    <w:rsid w:val="00675639"/>
    <w:rsid w:val="00676B97"/>
    <w:rsid w:val="006777AB"/>
    <w:rsid w:val="00677F16"/>
    <w:rsid w:val="006808E5"/>
    <w:rsid w:val="00681488"/>
    <w:rsid w:val="00681649"/>
    <w:rsid w:val="00681898"/>
    <w:rsid w:val="006827F1"/>
    <w:rsid w:val="00683935"/>
    <w:rsid w:val="00683954"/>
    <w:rsid w:val="00683A57"/>
    <w:rsid w:val="006847C1"/>
    <w:rsid w:val="00684E0B"/>
    <w:rsid w:val="006851A3"/>
    <w:rsid w:val="0068614B"/>
    <w:rsid w:val="00687238"/>
    <w:rsid w:val="006875C6"/>
    <w:rsid w:val="006900B6"/>
    <w:rsid w:val="0069071F"/>
    <w:rsid w:val="00690C1D"/>
    <w:rsid w:val="00691DE8"/>
    <w:rsid w:val="0069209D"/>
    <w:rsid w:val="006922C4"/>
    <w:rsid w:val="006922F6"/>
    <w:rsid w:val="00692CD1"/>
    <w:rsid w:val="00692F1B"/>
    <w:rsid w:val="00693E6E"/>
    <w:rsid w:val="006949BD"/>
    <w:rsid w:val="006949DB"/>
    <w:rsid w:val="00694C7F"/>
    <w:rsid w:val="0069521C"/>
    <w:rsid w:val="00696A9A"/>
    <w:rsid w:val="0069787E"/>
    <w:rsid w:val="0069794F"/>
    <w:rsid w:val="00697B9A"/>
    <w:rsid w:val="006A0305"/>
    <w:rsid w:val="006A0ADC"/>
    <w:rsid w:val="006A190E"/>
    <w:rsid w:val="006A1B6F"/>
    <w:rsid w:val="006A1F1A"/>
    <w:rsid w:val="006A3000"/>
    <w:rsid w:val="006A49EA"/>
    <w:rsid w:val="006A5378"/>
    <w:rsid w:val="006A58DF"/>
    <w:rsid w:val="006A5C07"/>
    <w:rsid w:val="006A60FC"/>
    <w:rsid w:val="006A6C22"/>
    <w:rsid w:val="006A7260"/>
    <w:rsid w:val="006B09CD"/>
    <w:rsid w:val="006B0A21"/>
    <w:rsid w:val="006B1253"/>
    <w:rsid w:val="006B1710"/>
    <w:rsid w:val="006B2B93"/>
    <w:rsid w:val="006B31C4"/>
    <w:rsid w:val="006B32D0"/>
    <w:rsid w:val="006B4250"/>
    <w:rsid w:val="006B51D4"/>
    <w:rsid w:val="006B60D9"/>
    <w:rsid w:val="006B6132"/>
    <w:rsid w:val="006B6890"/>
    <w:rsid w:val="006B6A3E"/>
    <w:rsid w:val="006B6C38"/>
    <w:rsid w:val="006C0271"/>
    <w:rsid w:val="006C0F64"/>
    <w:rsid w:val="006C11F3"/>
    <w:rsid w:val="006C12D8"/>
    <w:rsid w:val="006C15DD"/>
    <w:rsid w:val="006C1FF4"/>
    <w:rsid w:val="006C2710"/>
    <w:rsid w:val="006C2D5A"/>
    <w:rsid w:val="006C3001"/>
    <w:rsid w:val="006C3684"/>
    <w:rsid w:val="006C397D"/>
    <w:rsid w:val="006C3BF8"/>
    <w:rsid w:val="006C4D75"/>
    <w:rsid w:val="006C5432"/>
    <w:rsid w:val="006C5A64"/>
    <w:rsid w:val="006C5D31"/>
    <w:rsid w:val="006C5D7E"/>
    <w:rsid w:val="006C630B"/>
    <w:rsid w:val="006C7292"/>
    <w:rsid w:val="006C76C7"/>
    <w:rsid w:val="006C78D0"/>
    <w:rsid w:val="006D19CD"/>
    <w:rsid w:val="006D2531"/>
    <w:rsid w:val="006D2B65"/>
    <w:rsid w:val="006D3018"/>
    <w:rsid w:val="006D3364"/>
    <w:rsid w:val="006D3748"/>
    <w:rsid w:val="006D4116"/>
    <w:rsid w:val="006D4350"/>
    <w:rsid w:val="006D4404"/>
    <w:rsid w:val="006D4532"/>
    <w:rsid w:val="006D5F77"/>
    <w:rsid w:val="006D61C0"/>
    <w:rsid w:val="006D6541"/>
    <w:rsid w:val="006D654D"/>
    <w:rsid w:val="006D6F33"/>
    <w:rsid w:val="006D7AA6"/>
    <w:rsid w:val="006E0E1C"/>
    <w:rsid w:val="006E1085"/>
    <w:rsid w:val="006E2DC0"/>
    <w:rsid w:val="006E408D"/>
    <w:rsid w:val="006E54AF"/>
    <w:rsid w:val="006E66D9"/>
    <w:rsid w:val="006E70D6"/>
    <w:rsid w:val="006E77A9"/>
    <w:rsid w:val="006E7B73"/>
    <w:rsid w:val="006E7BDD"/>
    <w:rsid w:val="006E7C8C"/>
    <w:rsid w:val="006F17A3"/>
    <w:rsid w:val="006F1B33"/>
    <w:rsid w:val="006F3859"/>
    <w:rsid w:val="006F3BF0"/>
    <w:rsid w:val="006F4922"/>
    <w:rsid w:val="006F518B"/>
    <w:rsid w:val="006F569C"/>
    <w:rsid w:val="006F56E6"/>
    <w:rsid w:val="006F585D"/>
    <w:rsid w:val="006F5B1A"/>
    <w:rsid w:val="006F5C16"/>
    <w:rsid w:val="006F62BA"/>
    <w:rsid w:val="006F65C4"/>
    <w:rsid w:val="006F6782"/>
    <w:rsid w:val="006F69D5"/>
    <w:rsid w:val="006F6F1C"/>
    <w:rsid w:val="006F6F89"/>
    <w:rsid w:val="0070093E"/>
    <w:rsid w:val="007011AD"/>
    <w:rsid w:val="007012A2"/>
    <w:rsid w:val="00703857"/>
    <w:rsid w:val="00703D12"/>
    <w:rsid w:val="0070453A"/>
    <w:rsid w:val="00706424"/>
    <w:rsid w:val="007067CA"/>
    <w:rsid w:val="007067D1"/>
    <w:rsid w:val="0070757D"/>
    <w:rsid w:val="0071072B"/>
    <w:rsid w:val="00710818"/>
    <w:rsid w:val="00710F7C"/>
    <w:rsid w:val="00711238"/>
    <w:rsid w:val="00711850"/>
    <w:rsid w:val="00711D85"/>
    <w:rsid w:val="00711EE8"/>
    <w:rsid w:val="0071220E"/>
    <w:rsid w:val="0071287B"/>
    <w:rsid w:val="007128BB"/>
    <w:rsid w:val="007128C3"/>
    <w:rsid w:val="00712CCE"/>
    <w:rsid w:val="00713C0F"/>
    <w:rsid w:val="0071409B"/>
    <w:rsid w:val="0071510C"/>
    <w:rsid w:val="0071540C"/>
    <w:rsid w:val="0071545B"/>
    <w:rsid w:val="0071609A"/>
    <w:rsid w:val="007171B9"/>
    <w:rsid w:val="00717AD9"/>
    <w:rsid w:val="00717D5E"/>
    <w:rsid w:val="00720731"/>
    <w:rsid w:val="00720F22"/>
    <w:rsid w:val="007217C0"/>
    <w:rsid w:val="00721859"/>
    <w:rsid w:val="00721DA1"/>
    <w:rsid w:val="007228DA"/>
    <w:rsid w:val="007229CA"/>
    <w:rsid w:val="0072346D"/>
    <w:rsid w:val="00723B42"/>
    <w:rsid w:val="007245B3"/>
    <w:rsid w:val="00724C83"/>
    <w:rsid w:val="00725C08"/>
    <w:rsid w:val="007264AC"/>
    <w:rsid w:val="00726535"/>
    <w:rsid w:val="00726C30"/>
    <w:rsid w:val="00726D31"/>
    <w:rsid w:val="00726F28"/>
    <w:rsid w:val="00727085"/>
    <w:rsid w:val="00730679"/>
    <w:rsid w:val="00730E32"/>
    <w:rsid w:val="007310CF"/>
    <w:rsid w:val="007316F3"/>
    <w:rsid w:val="00731EE5"/>
    <w:rsid w:val="00732009"/>
    <w:rsid w:val="007321DC"/>
    <w:rsid w:val="0073235D"/>
    <w:rsid w:val="0073277E"/>
    <w:rsid w:val="00732982"/>
    <w:rsid w:val="00732D79"/>
    <w:rsid w:val="00733158"/>
    <w:rsid w:val="00733448"/>
    <w:rsid w:val="00733920"/>
    <w:rsid w:val="00733DB7"/>
    <w:rsid w:val="007343CC"/>
    <w:rsid w:val="00735706"/>
    <w:rsid w:val="00735B91"/>
    <w:rsid w:val="007362F3"/>
    <w:rsid w:val="00736762"/>
    <w:rsid w:val="00737384"/>
    <w:rsid w:val="00737FB7"/>
    <w:rsid w:val="00740E2D"/>
    <w:rsid w:val="00741449"/>
    <w:rsid w:val="00741E65"/>
    <w:rsid w:val="00743457"/>
    <w:rsid w:val="00744C98"/>
    <w:rsid w:val="00747DE6"/>
    <w:rsid w:val="007508DC"/>
    <w:rsid w:val="00752240"/>
    <w:rsid w:val="0075276C"/>
    <w:rsid w:val="007529C8"/>
    <w:rsid w:val="0075320E"/>
    <w:rsid w:val="0075383E"/>
    <w:rsid w:val="007538B1"/>
    <w:rsid w:val="00753BD9"/>
    <w:rsid w:val="00753D4D"/>
    <w:rsid w:val="00754146"/>
    <w:rsid w:val="00754868"/>
    <w:rsid w:val="00754953"/>
    <w:rsid w:val="00754AF3"/>
    <w:rsid w:val="00755844"/>
    <w:rsid w:val="00756676"/>
    <w:rsid w:val="00756BE9"/>
    <w:rsid w:val="00756EC2"/>
    <w:rsid w:val="00757850"/>
    <w:rsid w:val="007604B6"/>
    <w:rsid w:val="00761186"/>
    <w:rsid w:val="00762A48"/>
    <w:rsid w:val="00762AEA"/>
    <w:rsid w:val="00762AF1"/>
    <w:rsid w:val="00763019"/>
    <w:rsid w:val="00764161"/>
    <w:rsid w:val="00764495"/>
    <w:rsid w:val="00765A36"/>
    <w:rsid w:val="00765A5E"/>
    <w:rsid w:val="00765FF2"/>
    <w:rsid w:val="00766651"/>
    <w:rsid w:val="00770982"/>
    <w:rsid w:val="00770DB9"/>
    <w:rsid w:val="0077193F"/>
    <w:rsid w:val="007728F3"/>
    <w:rsid w:val="007730DC"/>
    <w:rsid w:val="00773EB9"/>
    <w:rsid w:val="007740C2"/>
    <w:rsid w:val="00774B5D"/>
    <w:rsid w:val="00774D73"/>
    <w:rsid w:val="00775B0B"/>
    <w:rsid w:val="007761EB"/>
    <w:rsid w:val="0077638B"/>
    <w:rsid w:val="00777159"/>
    <w:rsid w:val="0077745F"/>
    <w:rsid w:val="007829D3"/>
    <w:rsid w:val="00783319"/>
    <w:rsid w:val="00783F8E"/>
    <w:rsid w:val="007851A0"/>
    <w:rsid w:val="007852F7"/>
    <w:rsid w:val="007863A5"/>
    <w:rsid w:val="00786656"/>
    <w:rsid w:val="00786DDB"/>
    <w:rsid w:val="007871C4"/>
    <w:rsid w:val="007903E2"/>
    <w:rsid w:val="0079105C"/>
    <w:rsid w:val="007912CB"/>
    <w:rsid w:val="00791DA7"/>
    <w:rsid w:val="00792101"/>
    <w:rsid w:val="007925CB"/>
    <w:rsid w:val="00792B7A"/>
    <w:rsid w:val="007931AF"/>
    <w:rsid w:val="00793507"/>
    <w:rsid w:val="00794077"/>
    <w:rsid w:val="00794353"/>
    <w:rsid w:val="00794459"/>
    <w:rsid w:val="00794D6D"/>
    <w:rsid w:val="00794EBB"/>
    <w:rsid w:val="0079504C"/>
    <w:rsid w:val="00795B8F"/>
    <w:rsid w:val="00795C6A"/>
    <w:rsid w:val="007963C3"/>
    <w:rsid w:val="00797C61"/>
    <w:rsid w:val="007A0028"/>
    <w:rsid w:val="007A0CD6"/>
    <w:rsid w:val="007A1869"/>
    <w:rsid w:val="007A31F0"/>
    <w:rsid w:val="007A349B"/>
    <w:rsid w:val="007A36C1"/>
    <w:rsid w:val="007A37BB"/>
    <w:rsid w:val="007A3956"/>
    <w:rsid w:val="007A3F4F"/>
    <w:rsid w:val="007A52AA"/>
    <w:rsid w:val="007A6563"/>
    <w:rsid w:val="007A6ADD"/>
    <w:rsid w:val="007B01B1"/>
    <w:rsid w:val="007B0A2B"/>
    <w:rsid w:val="007B0E0E"/>
    <w:rsid w:val="007B22D3"/>
    <w:rsid w:val="007B29E9"/>
    <w:rsid w:val="007B2D55"/>
    <w:rsid w:val="007B38EF"/>
    <w:rsid w:val="007B39DF"/>
    <w:rsid w:val="007B3C9F"/>
    <w:rsid w:val="007B4D82"/>
    <w:rsid w:val="007B5B01"/>
    <w:rsid w:val="007B6A2B"/>
    <w:rsid w:val="007B705C"/>
    <w:rsid w:val="007B76CE"/>
    <w:rsid w:val="007C070C"/>
    <w:rsid w:val="007C09B7"/>
    <w:rsid w:val="007C147E"/>
    <w:rsid w:val="007C150C"/>
    <w:rsid w:val="007C272C"/>
    <w:rsid w:val="007C2B93"/>
    <w:rsid w:val="007C2DDB"/>
    <w:rsid w:val="007C4996"/>
    <w:rsid w:val="007C4FE1"/>
    <w:rsid w:val="007C52A7"/>
    <w:rsid w:val="007C556D"/>
    <w:rsid w:val="007C58F5"/>
    <w:rsid w:val="007C59FB"/>
    <w:rsid w:val="007C613E"/>
    <w:rsid w:val="007C63EB"/>
    <w:rsid w:val="007C6B6C"/>
    <w:rsid w:val="007C7481"/>
    <w:rsid w:val="007C79B1"/>
    <w:rsid w:val="007D0D8C"/>
    <w:rsid w:val="007D0EA2"/>
    <w:rsid w:val="007D175C"/>
    <w:rsid w:val="007D197F"/>
    <w:rsid w:val="007D2041"/>
    <w:rsid w:val="007D2B51"/>
    <w:rsid w:val="007D2DF4"/>
    <w:rsid w:val="007D3890"/>
    <w:rsid w:val="007D480B"/>
    <w:rsid w:val="007D54C1"/>
    <w:rsid w:val="007D5584"/>
    <w:rsid w:val="007D72CB"/>
    <w:rsid w:val="007D7654"/>
    <w:rsid w:val="007E03BD"/>
    <w:rsid w:val="007E0D72"/>
    <w:rsid w:val="007E0E70"/>
    <w:rsid w:val="007E1702"/>
    <w:rsid w:val="007E1797"/>
    <w:rsid w:val="007E2E74"/>
    <w:rsid w:val="007E3DD4"/>
    <w:rsid w:val="007E4D48"/>
    <w:rsid w:val="007E591F"/>
    <w:rsid w:val="007E5B12"/>
    <w:rsid w:val="007E665C"/>
    <w:rsid w:val="007E6AB3"/>
    <w:rsid w:val="007E6FE8"/>
    <w:rsid w:val="007E776A"/>
    <w:rsid w:val="007F1407"/>
    <w:rsid w:val="007F23F1"/>
    <w:rsid w:val="007F304C"/>
    <w:rsid w:val="007F37E5"/>
    <w:rsid w:val="007F3847"/>
    <w:rsid w:val="007F3FB1"/>
    <w:rsid w:val="007F4615"/>
    <w:rsid w:val="007F5583"/>
    <w:rsid w:val="007F5754"/>
    <w:rsid w:val="007F5882"/>
    <w:rsid w:val="007F6ADE"/>
    <w:rsid w:val="007F7720"/>
    <w:rsid w:val="007F794B"/>
    <w:rsid w:val="007F7C1B"/>
    <w:rsid w:val="00800A8F"/>
    <w:rsid w:val="00801804"/>
    <w:rsid w:val="0080271A"/>
    <w:rsid w:val="008042B2"/>
    <w:rsid w:val="00805032"/>
    <w:rsid w:val="008057D8"/>
    <w:rsid w:val="00805BA1"/>
    <w:rsid w:val="00805EE4"/>
    <w:rsid w:val="00807A6D"/>
    <w:rsid w:val="00810BD4"/>
    <w:rsid w:val="00811406"/>
    <w:rsid w:val="008117DB"/>
    <w:rsid w:val="00811B46"/>
    <w:rsid w:val="0081263C"/>
    <w:rsid w:val="00812F10"/>
    <w:rsid w:val="00814CDE"/>
    <w:rsid w:val="00816818"/>
    <w:rsid w:val="0081767B"/>
    <w:rsid w:val="00817A43"/>
    <w:rsid w:val="00821021"/>
    <w:rsid w:val="008219DE"/>
    <w:rsid w:val="00821C83"/>
    <w:rsid w:val="00823BF3"/>
    <w:rsid w:val="00823C2D"/>
    <w:rsid w:val="00823F76"/>
    <w:rsid w:val="00824B99"/>
    <w:rsid w:val="008253CD"/>
    <w:rsid w:val="008264CE"/>
    <w:rsid w:val="008304B9"/>
    <w:rsid w:val="008305BD"/>
    <w:rsid w:val="008308A6"/>
    <w:rsid w:val="00830DC9"/>
    <w:rsid w:val="008313EF"/>
    <w:rsid w:val="008316FD"/>
    <w:rsid w:val="008321F4"/>
    <w:rsid w:val="008323CC"/>
    <w:rsid w:val="0083256D"/>
    <w:rsid w:val="00832863"/>
    <w:rsid w:val="00833C35"/>
    <w:rsid w:val="00834188"/>
    <w:rsid w:val="0083583D"/>
    <w:rsid w:val="00835E9B"/>
    <w:rsid w:val="0083671D"/>
    <w:rsid w:val="008371CC"/>
    <w:rsid w:val="00841ABC"/>
    <w:rsid w:val="00841FD7"/>
    <w:rsid w:val="00842222"/>
    <w:rsid w:val="00842C9E"/>
    <w:rsid w:val="0084306C"/>
    <w:rsid w:val="008444E2"/>
    <w:rsid w:val="00844E6F"/>
    <w:rsid w:val="008452FF"/>
    <w:rsid w:val="0084588F"/>
    <w:rsid w:val="0084591C"/>
    <w:rsid w:val="00845D6F"/>
    <w:rsid w:val="008464F6"/>
    <w:rsid w:val="00847239"/>
    <w:rsid w:val="00847BAC"/>
    <w:rsid w:val="0085024E"/>
    <w:rsid w:val="00850259"/>
    <w:rsid w:val="008514BF"/>
    <w:rsid w:val="0085236B"/>
    <w:rsid w:val="0085341E"/>
    <w:rsid w:val="008544B6"/>
    <w:rsid w:val="00854BE4"/>
    <w:rsid w:val="00855805"/>
    <w:rsid w:val="00855E6E"/>
    <w:rsid w:val="00856023"/>
    <w:rsid w:val="00856F0A"/>
    <w:rsid w:val="00857D85"/>
    <w:rsid w:val="00860058"/>
    <w:rsid w:val="0086043D"/>
    <w:rsid w:val="00861C57"/>
    <w:rsid w:val="0086201D"/>
    <w:rsid w:val="008625D0"/>
    <w:rsid w:val="00862B59"/>
    <w:rsid w:val="00863D51"/>
    <w:rsid w:val="00863EF6"/>
    <w:rsid w:val="00865866"/>
    <w:rsid w:val="00865CC0"/>
    <w:rsid w:val="00866D78"/>
    <w:rsid w:val="00867B04"/>
    <w:rsid w:val="00867D81"/>
    <w:rsid w:val="00870C21"/>
    <w:rsid w:val="00870E8F"/>
    <w:rsid w:val="00872FD8"/>
    <w:rsid w:val="008738C6"/>
    <w:rsid w:val="0087495E"/>
    <w:rsid w:val="00875275"/>
    <w:rsid w:val="00875AA9"/>
    <w:rsid w:val="00875B10"/>
    <w:rsid w:val="0087652B"/>
    <w:rsid w:val="00876ADB"/>
    <w:rsid w:val="00877D67"/>
    <w:rsid w:val="00877F99"/>
    <w:rsid w:val="0088015C"/>
    <w:rsid w:val="0088108C"/>
    <w:rsid w:val="008810EE"/>
    <w:rsid w:val="00881539"/>
    <w:rsid w:val="00881613"/>
    <w:rsid w:val="008820B9"/>
    <w:rsid w:val="00883CA8"/>
    <w:rsid w:val="00883EC7"/>
    <w:rsid w:val="00885076"/>
    <w:rsid w:val="00885287"/>
    <w:rsid w:val="008862F4"/>
    <w:rsid w:val="00886658"/>
    <w:rsid w:val="00887C00"/>
    <w:rsid w:val="00890823"/>
    <w:rsid w:val="008908B9"/>
    <w:rsid w:val="008909C0"/>
    <w:rsid w:val="00890A4F"/>
    <w:rsid w:val="00890D99"/>
    <w:rsid w:val="00890F25"/>
    <w:rsid w:val="008910C6"/>
    <w:rsid w:val="00891E0A"/>
    <w:rsid w:val="00892460"/>
    <w:rsid w:val="008924E5"/>
    <w:rsid w:val="00892568"/>
    <w:rsid w:val="00892775"/>
    <w:rsid w:val="00893114"/>
    <w:rsid w:val="00893FCC"/>
    <w:rsid w:val="00894131"/>
    <w:rsid w:val="00894DE7"/>
    <w:rsid w:val="008950CD"/>
    <w:rsid w:val="00895736"/>
    <w:rsid w:val="00895A57"/>
    <w:rsid w:val="00897C11"/>
    <w:rsid w:val="008A0D05"/>
    <w:rsid w:val="008A1DFA"/>
    <w:rsid w:val="008A2FB1"/>
    <w:rsid w:val="008A3909"/>
    <w:rsid w:val="008A3BD1"/>
    <w:rsid w:val="008A3F2E"/>
    <w:rsid w:val="008A4674"/>
    <w:rsid w:val="008A50FA"/>
    <w:rsid w:val="008A523B"/>
    <w:rsid w:val="008A5A09"/>
    <w:rsid w:val="008A6A7C"/>
    <w:rsid w:val="008A7603"/>
    <w:rsid w:val="008B0EF9"/>
    <w:rsid w:val="008B18EA"/>
    <w:rsid w:val="008B256A"/>
    <w:rsid w:val="008B2F6F"/>
    <w:rsid w:val="008B3B9F"/>
    <w:rsid w:val="008B42CF"/>
    <w:rsid w:val="008B4616"/>
    <w:rsid w:val="008B4799"/>
    <w:rsid w:val="008B4864"/>
    <w:rsid w:val="008B51DE"/>
    <w:rsid w:val="008B6D1F"/>
    <w:rsid w:val="008B7023"/>
    <w:rsid w:val="008B7B53"/>
    <w:rsid w:val="008B7EA1"/>
    <w:rsid w:val="008C0B71"/>
    <w:rsid w:val="008C0CB9"/>
    <w:rsid w:val="008C1019"/>
    <w:rsid w:val="008C2C59"/>
    <w:rsid w:val="008C3FCC"/>
    <w:rsid w:val="008C4143"/>
    <w:rsid w:val="008C4364"/>
    <w:rsid w:val="008C4B3D"/>
    <w:rsid w:val="008C54ED"/>
    <w:rsid w:val="008C5FE4"/>
    <w:rsid w:val="008C6608"/>
    <w:rsid w:val="008C6F9A"/>
    <w:rsid w:val="008C7D57"/>
    <w:rsid w:val="008C7FEE"/>
    <w:rsid w:val="008D0F68"/>
    <w:rsid w:val="008D19CF"/>
    <w:rsid w:val="008D1A17"/>
    <w:rsid w:val="008D1D1E"/>
    <w:rsid w:val="008D1D75"/>
    <w:rsid w:val="008D1E51"/>
    <w:rsid w:val="008D220F"/>
    <w:rsid w:val="008D24BA"/>
    <w:rsid w:val="008D3656"/>
    <w:rsid w:val="008D3918"/>
    <w:rsid w:val="008D3BF9"/>
    <w:rsid w:val="008D4709"/>
    <w:rsid w:val="008D4DBF"/>
    <w:rsid w:val="008D52CD"/>
    <w:rsid w:val="008D5FC7"/>
    <w:rsid w:val="008D62EA"/>
    <w:rsid w:val="008D6829"/>
    <w:rsid w:val="008D690E"/>
    <w:rsid w:val="008D69A5"/>
    <w:rsid w:val="008D7F04"/>
    <w:rsid w:val="008E0294"/>
    <w:rsid w:val="008E1516"/>
    <w:rsid w:val="008E1ACB"/>
    <w:rsid w:val="008E26C9"/>
    <w:rsid w:val="008E361C"/>
    <w:rsid w:val="008E6134"/>
    <w:rsid w:val="008E6249"/>
    <w:rsid w:val="008E6B26"/>
    <w:rsid w:val="008E6ED4"/>
    <w:rsid w:val="008E70B6"/>
    <w:rsid w:val="008E7EAB"/>
    <w:rsid w:val="008F0D09"/>
    <w:rsid w:val="008F0D35"/>
    <w:rsid w:val="008F10EF"/>
    <w:rsid w:val="008F1694"/>
    <w:rsid w:val="008F19BF"/>
    <w:rsid w:val="008F357D"/>
    <w:rsid w:val="008F655A"/>
    <w:rsid w:val="008F6839"/>
    <w:rsid w:val="008F71E0"/>
    <w:rsid w:val="008F7578"/>
    <w:rsid w:val="008F7800"/>
    <w:rsid w:val="008F7A24"/>
    <w:rsid w:val="008F7CFB"/>
    <w:rsid w:val="008F7FAA"/>
    <w:rsid w:val="00900F81"/>
    <w:rsid w:val="00901355"/>
    <w:rsid w:val="0090147E"/>
    <w:rsid w:val="00901B9D"/>
    <w:rsid w:val="00902199"/>
    <w:rsid w:val="00902DFA"/>
    <w:rsid w:val="0090392D"/>
    <w:rsid w:val="00903A8B"/>
    <w:rsid w:val="009044F2"/>
    <w:rsid w:val="00904CBB"/>
    <w:rsid w:val="00905277"/>
    <w:rsid w:val="00906A68"/>
    <w:rsid w:val="00906D3B"/>
    <w:rsid w:val="009071A6"/>
    <w:rsid w:val="009076EF"/>
    <w:rsid w:val="0091020F"/>
    <w:rsid w:val="0091183C"/>
    <w:rsid w:val="00912735"/>
    <w:rsid w:val="009138AD"/>
    <w:rsid w:val="0091504B"/>
    <w:rsid w:val="009159D7"/>
    <w:rsid w:val="0091628E"/>
    <w:rsid w:val="0091634E"/>
    <w:rsid w:val="00916C63"/>
    <w:rsid w:val="00916E7D"/>
    <w:rsid w:val="0092006D"/>
    <w:rsid w:val="0092011D"/>
    <w:rsid w:val="00920A25"/>
    <w:rsid w:val="00921577"/>
    <w:rsid w:val="00921B5F"/>
    <w:rsid w:val="00922EF1"/>
    <w:rsid w:val="0092396A"/>
    <w:rsid w:val="00923A44"/>
    <w:rsid w:val="00923B26"/>
    <w:rsid w:val="00924150"/>
    <w:rsid w:val="00924E64"/>
    <w:rsid w:val="009257E8"/>
    <w:rsid w:val="0092604B"/>
    <w:rsid w:val="0092665F"/>
    <w:rsid w:val="00927469"/>
    <w:rsid w:val="00927567"/>
    <w:rsid w:val="00930565"/>
    <w:rsid w:val="00930725"/>
    <w:rsid w:val="00930C29"/>
    <w:rsid w:val="00930D03"/>
    <w:rsid w:val="00930F6D"/>
    <w:rsid w:val="009310BC"/>
    <w:rsid w:val="0093113A"/>
    <w:rsid w:val="00931739"/>
    <w:rsid w:val="00931749"/>
    <w:rsid w:val="00932D77"/>
    <w:rsid w:val="00932EF8"/>
    <w:rsid w:val="00935918"/>
    <w:rsid w:val="00937AB4"/>
    <w:rsid w:val="009427FB"/>
    <w:rsid w:val="009446ED"/>
    <w:rsid w:val="00944B03"/>
    <w:rsid w:val="009454EC"/>
    <w:rsid w:val="00945BB6"/>
    <w:rsid w:val="009460A0"/>
    <w:rsid w:val="00946E3E"/>
    <w:rsid w:val="009476EE"/>
    <w:rsid w:val="00947A6F"/>
    <w:rsid w:val="00950510"/>
    <w:rsid w:val="009506BF"/>
    <w:rsid w:val="0095096F"/>
    <w:rsid w:val="00951931"/>
    <w:rsid w:val="009525D2"/>
    <w:rsid w:val="00953098"/>
    <w:rsid w:val="0095343B"/>
    <w:rsid w:val="00953691"/>
    <w:rsid w:val="009538D8"/>
    <w:rsid w:val="00954292"/>
    <w:rsid w:val="00954973"/>
    <w:rsid w:val="00954D81"/>
    <w:rsid w:val="00955D1E"/>
    <w:rsid w:val="00956220"/>
    <w:rsid w:val="00956C36"/>
    <w:rsid w:val="00956E66"/>
    <w:rsid w:val="009574FF"/>
    <w:rsid w:val="00957706"/>
    <w:rsid w:val="00957B98"/>
    <w:rsid w:val="00957BBC"/>
    <w:rsid w:val="00957D1D"/>
    <w:rsid w:val="00957F9B"/>
    <w:rsid w:val="00960069"/>
    <w:rsid w:val="00960BFA"/>
    <w:rsid w:val="009611D0"/>
    <w:rsid w:val="00961269"/>
    <w:rsid w:val="009615BA"/>
    <w:rsid w:val="009617E3"/>
    <w:rsid w:val="00961950"/>
    <w:rsid w:val="00961BF2"/>
    <w:rsid w:val="009623C3"/>
    <w:rsid w:val="00962D5D"/>
    <w:rsid w:val="00963B93"/>
    <w:rsid w:val="0096515D"/>
    <w:rsid w:val="00966425"/>
    <w:rsid w:val="00966FCD"/>
    <w:rsid w:val="00971C77"/>
    <w:rsid w:val="00972327"/>
    <w:rsid w:val="00972433"/>
    <w:rsid w:val="009724B5"/>
    <w:rsid w:val="009731CA"/>
    <w:rsid w:val="009738AD"/>
    <w:rsid w:val="00974A68"/>
    <w:rsid w:val="00974F9D"/>
    <w:rsid w:val="009768D0"/>
    <w:rsid w:val="0097725C"/>
    <w:rsid w:val="00977706"/>
    <w:rsid w:val="00977806"/>
    <w:rsid w:val="00977A59"/>
    <w:rsid w:val="00980130"/>
    <w:rsid w:val="00981A47"/>
    <w:rsid w:val="00981C62"/>
    <w:rsid w:val="00982F61"/>
    <w:rsid w:val="009830FA"/>
    <w:rsid w:val="00983CDA"/>
    <w:rsid w:val="00984720"/>
    <w:rsid w:val="0098492B"/>
    <w:rsid w:val="0098514C"/>
    <w:rsid w:val="00985C5B"/>
    <w:rsid w:val="00986BE6"/>
    <w:rsid w:val="00986E30"/>
    <w:rsid w:val="00986E87"/>
    <w:rsid w:val="009872A3"/>
    <w:rsid w:val="009877BA"/>
    <w:rsid w:val="009879B0"/>
    <w:rsid w:val="00990429"/>
    <w:rsid w:val="00990F18"/>
    <w:rsid w:val="00992FD6"/>
    <w:rsid w:val="00995584"/>
    <w:rsid w:val="00996B3B"/>
    <w:rsid w:val="00997B78"/>
    <w:rsid w:val="009A0A19"/>
    <w:rsid w:val="009A0F42"/>
    <w:rsid w:val="009A1011"/>
    <w:rsid w:val="009A207D"/>
    <w:rsid w:val="009A25BF"/>
    <w:rsid w:val="009A2EA6"/>
    <w:rsid w:val="009A3275"/>
    <w:rsid w:val="009A357E"/>
    <w:rsid w:val="009A45C1"/>
    <w:rsid w:val="009A54D1"/>
    <w:rsid w:val="009A5DBD"/>
    <w:rsid w:val="009A6043"/>
    <w:rsid w:val="009A65DE"/>
    <w:rsid w:val="009A66F1"/>
    <w:rsid w:val="009A7A77"/>
    <w:rsid w:val="009B0618"/>
    <w:rsid w:val="009B27C8"/>
    <w:rsid w:val="009B2A9A"/>
    <w:rsid w:val="009B2F4F"/>
    <w:rsid w:val="009B32E8"/>
    <w:rsid w:val="009B3628"/>
    <w:rsid w:val="009B48D7"/>
    <w:rsid w:val="009B4C84"/>
    <w:rsid w:val="009B6465"/>
    <w:rsid w:val="009B77FC"/>
    <w:rsid w:val="009B7EEE"/>
    <w:rsid w:val="009C0CB4"/>
    <w:rsid w:val="009C187C"/>
    <w:rsid w:val="009C24D4"/>
    <w:rsid w:val="009C357E"/>
    <w:rsid w:val="009C52A0"/>
    <w:rsid w:val="009C5AA5"/>
    <w:rsid w:val="009C6664"/>
    <w:rsid w:val="009C66AB"/>
    <w:rsid w:val="009C6A93"/>
    <w:rsid w:val="009C6AE3"/>
    <w:rsid w:val="009C6B75"/>
    <w:rsid w:val="009D0583"/>
    <w:rsid w:val="009D0A1C"/>
    <w:rsid w:val="009D0CE1"/>
    <w:rsid w:val="009D1811"/>
    <w:rsid w:val="009D3FAF"/>
    <w:rsid w:val="009D414B"/>
    <w:rsid w:val="009D558E"/>
    <w:rsid w:val="009D57EF"/>
    <w:rsid w:val="009D627B"/>
    <w:rsid w:val="009D6673"/>
    <w:rsid w:val="009D6A67"/>
    <w:rsid w:val="009E2384"/>
    <w:rsid w:val="009E379C"/>
    <w:rsid w:val="009E379D"/>
    <w:rsid w:val="009E396F"/>
    <w:rsid w:val="009E4021"/>
    <w:rsid w:val="009E461A"/>
    <w:rsid w:val="009E4C4A"/>
    <w:rsid w:val="009E595F"/>
    <w:rsid w:val="009E5E4B"/>
    <w:rsid w:val="009E62D4"/>
    <w:rsid w:val="009E65A2"/>
    <w:rsid w:val="009E6C23"/>
    <w:rsid w:val="009E6C94"/>
    <w:rsid w:val="009E7287"/>
    <w:rsid w:val="009E7F62"/>
    <w:rsid w:val="009F075C"/>
    <w:rsid w:val="009F0B6A"/>
    <w:rsid w:val="009F0EC4"/>
    <w:rsid w:val="009F1C0B"/>
    <w:rsid w:val="009F1E3B"/>
    <w:rsid w:val="009F24F8"/>
    <w:rsid w:val="009F271B"/>
    <w:rsid w:val="009F3332"/>
    <w:rsid w:val="009F46E2"/>
    <w:rsid w:val="009F58AC"/>
    <w:rsid w:val="009F5D84"/>
    <w:rsid w:val="009F63DA"/>
    <w:rsid w:val="009F68B3"/>
    <w:rsid w:val="00A000EC"/>
    <w:rsid w:val="00A00481"/>
    <w:rsid w:val="00A005FD"/>
    <w:rsid w:val="00A00FB3"/>
    <w:rsid w:val="00A012CA"/>
    <w:rsid w:val="00A017D1"/>
    <w:rsid w:val="00A01BB0"/>
    <w:rsid w:val="00A02462"/>
    <w:rsid w:val="00A02498"/>
    <w:rsid w:val="00A024E1"/>
    <w:rsid w:val="00A026A7"/>
    <w:rsid w:val="00A03629"/>
    <w:rsid w:val="00A04142"/>
    <w:rsid w:val="00A057EF"/>
    <w:rsid w:val="00A05E7A"/>
    <w:rsid w:val="00A0677C"/>
    <w:rsid w:val="00A06D0A"/>
    <w:rsid w:val="00A077F8"/>
    <w:rsid w:val="00A115F7"/>
    <w:rsid w:val="00A12CE6"/>
    <w:rsid w:val="00A12DC5"/>
    <w:rsid w:val="00A1478E"/>
    <w:rsid w:val="00A15220"/>
    <w:rsid w:val="00A15BC3"/>
    <w:rsid w:val="00A15E13"/>
    <w:rsid w:val="00A15FCB"/>
    <w:rsid w:val="00A16105"/>
    <w:rsid w:val="00A163A2"/>
    <w:rsid w:val="00A16465"/>
    <w:rsid w:val="00A16AAA"/>
    <w:rsid w:val="00A1733A"/>
    <w:rsid w:val="00A174CF"/>
    <w:rsid w:val="00A1795B"/>
    <w:rsid w:val="00A20295"/>
    <w:rsid w:val="00A22C25"/>
    <w:rsid w:val="00A22D92"/>
    <w:rsid w:val="00A22DC8"/>
    <w:rsid w:val="00A22FD6"/>
    <w:rsid w:val="00A252BC"/>
    <w:rsid w:val="00A253E9"/>
    <w:rsid w:val="00A25C08"/>
    <w:rsid w:val="00A26034"/>
    <w:rsid w:val="00A26574"/>
    <w:rsid w:val="00A26A0B"/>
    <w:rsid w:val="00A2735D"/>
    <w:rsid w:val="00A277F6"/>
    <w:rsid w:val="00A27966"/>
    <w:rsid w:val="00A306D0"/>
    <w:rsid w:val="00A314A4"/>
    <w:rsid w:val="00A3245F"/>
    <w:rsid w:val="00A336AF"/>
    <w:rsid w:val="00A33750"/>
    <w:rsid w:val="00A34484"/>
    <w:rsid w:val="00A34959"/>
    <w:rsid w:val="00A34F10"/>
    <w:rsid w:val="00A40325"/>
    <w:rsid w:val="00A407B0"/>
    <w:rsid w:val="00A41259"/>
    <w:rsid w:val="00A42103"/>
    <w:rsid w:val="00A421DF"/>
    <w:rsid w:val="00A42510"/>
    <w:rsid w:val="00A42C3C"/>
    <w:rsid w:val="00A4309B"/>
    <w:rsid w:val="00A43AEB"/>
    <w:rsid w:val="00A43FE6"/>
    <w:rsid w:val="00A45082"/>
    <w:rsid w:val="00A457EC"/>
    <w:rsid w:val="00A45A9C"/>
    <w:rsid w:val="00A45EEF"/>
    <w:rsid w:val="00A479B5"/>
    <w:rsid w:val="00A47A18"/>
    <w:rsid w:val="00A50834"/>
    <w:rsid w:val="00A51001"/>
    <w:rsid w:val="00A52B12"/>
    <w:rsid w:val="00A5333D"/>
    <w:rsid w:val="00A53BE0"/>
    <w:rsid w:val="00A53F01"/>
    <w:rsid w:val="00A53F8B"/>
    <w:rsid w:val="00A54EE3"/>
    <w:rsid w:val="00A567E5"/>
    <w:rsid w:val="00A5703F"/>
    <w:rsid w:val="00A6056C"/>
    <w:rsid w:val="00A6223A"/>
    <w:rsid w:val="00A6261A"/>
    <w:rsid w:val="00A6267C"/>
    <w:rsid w:val="00A64A1E"/>
    <w:rsid w:val="00A64BE3"/>
    <w:rsid w:val="00A64E74"/>
    <w:rsid w:val="00A65FCC"/>
    <w:rsid w:val="00A66BD4"/>
    <w:rsid w:val="00A70C8A"/>
    <w:rsid w:val="00A70F50"/>
    <w:rsid w:val="00A7353C"/>
    <w:rsid w:val="00A742EA"/>
    <w:rsid w:val="00A74EE2"/>
    <w:rsid w:val="00A758F2"/>
    <w:rsid w:val="00A7703B"/>
    <w:rsid w:val="00A7714A"/>
    <w:rsid w:val="00A80A40"/>
    <w:rsid w:val="00A80DC3"/>
    <w:rsid w:val="00A8164B"/>
    <w:rsid w:val="00A81986"/>
    <w:rsid w:val="00A82A8A"/>
    <w:rsid w:val="00A82CC6"/>
    <w:rsid w:val="00A848F4"/>
    <w:rsid w:val="00A85142"/>
    <w:rsid w:val="00A8554B"/>
    <w:rsid w:val="00A85B78"/>
    <w:rsid w:val="00A86174"/>
    <w:rsid w:val="00A86C0B"/>
    <w:rsid w:val="00A87B48"/>
    <w:rsid w:val="00A87E67"/>
    <w:rsid w:val="00A90875"/>
    <w:rsid w:val="00A912CE"/>
    <w:rsid w:val="00A914C0"/>
    <w:rsid w:val="00A920C5"/>
    <w:rsid w:val="00A92672"/>
    <w:rsid w:val="00A92BCD"/>
    <w:rsid w:val="00A92CE3"/>
    <w:rsid w:val="00A92D63"/>
    <w:rsid w:val="00A93FBC"/>
    <w:rsid w:val="00A9439C"/>
    <w:rsid w:val="00A9577C"/>
    <w:rsid w:val="00A95804"/>
    <w:rsid w:val="00A95F26"/>
    <w:rsid w:val="00A96DC8"/>
    <w:rsid w:val="00A97A63"/>
    <w:rsid w:val="00AA00DA"/>
    <w:rsid w:val="00AA01C3"/>
    <w:rsid w:val="00AA0EEE"/>
    <w:rsid w:val="00AA1B17"/>
    <w:rsid w:val="00AA253B"/>
    <w:rsid w:val="00AA2843"/>
    <w:rsid w:val="00AA3ACA"/>
    <w:rsid w:val="00AA3C77"/>
    <w:rsid w:val="00AA44F2"/>
    <w:rsid w:val="00AA4580"/>
    <w:rsid w:val="00AA5D53"/>
    <w:rsid w:val="00AA67BA"/>
    <w:rsid w:val="00AA6A63"/>
    <w:rsid w:val="00AB06B5"/>
    <w:rsid w:val="00AB18C9"/>
    <w:rsid w:val="00AB3001"/>
    <w:rsid w:val="00AB3E59"/>
    <w:rsid w:val="00AB51A7"/>
    <w:rsid w:val="00AB5892"/>
    <w:rsid w:val="00AB6202"/>
    <w:rsid w:val="00AB7648"/>
    <w:rsid w:val="00AC051D"/>
    <w:rsid w:val="00AC08E4"/>
    <w:rsid w:val="00AC1497"/>
    <w:rsid w:val="00AC2330"/>
    <w:rsid w:val="00AC251A"/>
    <w:rsid w:val="00AC2B22"/>
    <w:rsid w:val="00AC2E1B"/>
    <w:rsid w:val="00AC2EB0"/>
    <w:rsid w:val="00AC3FBB"/>
    <w:rsid w:val="00AC4D75"/>
    <w:rsid w:val="00AC5751"/>
    <w:rsid w:val="00AC5D6C"/>
    <w:rsid w:val="00AC62AA"/>
    <w:rsid w:val="00AC683D"/>
    <w:rsid w:val="00AC6C87"/>
    <w:rsid w:val="00AC75B6"/>
    <w:rsid w:val="00AC77DF"/>
    <w:rsid w:val="00AC7A79"/>
    <w:rsid w:val="00AC7B9D"/>
    <w:rsid w:val="00AD0D36"/>
    <w:rsid w:val="00AD13AC"/>
    <w:rsid w:val="00AD1922"/>
    <w:rsid w:val="00AD2909"/>
    <w:rsid w:val="00AD2B38"/>
    <w:rsid w:val="00AD2D69"/>
    <w:rsid w:val="00AD30A5"/>
    <w:rsid w:val="00AD3873"/>
    <w:rsid w:val="00AD3A12"/>
    <w:rsid w:val="00AD3E9B"/>
    <w:rsid w:val="00AD43E5"/>
    <w:rsid w:val="00AD491F"/>
    <w:rsid w:val="00AD50C6"/>
    <w:rsid w:val="00AD54B3"/>
    <w:rsid w:val="00AD5C67"/>
    <w:rsid w:val="00AD62C0"/>
    <w:rsid w:val="00AD63CF"/>
    <w:rsid w:val="00AD68D9"/>
    <w:rsid w:val="00AD6DCE"/>
    <w:rsid w:val="00AE023F"/>
    <w:rsid w:val="00AE050A"/>
    <w:rsid w:val="00AE09B7"/>
    <w:rsid w:val="00AE2AF6"/>
    <w:rsid w:val="00AE2BBD"/>
    <w:rsid w:val="00AE2C29"/>
    <w:rsid w:val="00AE30AF"/>
    <w:rsid w:val="00AE3119"/>
    <w:rsid w:val="00AE3503"/>
    <w:rsid w:val="00AE36C1"/>
    <w:rsid w:val="00AE398A"/>
    <w:rsid w:val="00AE39B4"/>
    <w:rsid w:val="00AE4953"/>
    <w:rsid w:val="00AE60A5"/>
    <w:rsid w:val="00AE6F0F"/>
    <w:rsid w:val="00AF0917"/>
    <w:rsid w:val="00AF094A"/>
    <w:rsid w:val="00AF0F63"/>
    <w:rsid w:val="00AF2764"/>
    <w:rsid w:val="00AF2873"/>
    <w:rsid w:val="00AF2889"/>
    <w:rsid w:val="00AF2EA4"/>
    <w:rsid w:val="00AF34FC"/>
    <w:rsid w:val="00AF35AC"/>
    <w:rsid w:val="00AF3AE9"/>
    <w:rsid w:val="00AF4207"/>
    <w:rsid w:val="00AF444C"/>
    <w:rsid w:val="00AF4C93"/>
    <w:rsid w:val="00AF4FE6"/>
    <w:rsid w:val="00AF5C67"/>
    <w:rsid w:val="00AF613D"/>
    <w:rsid w:val="00AF6474"/>
    <w:rsid w:val="00AF6505"/>
    <w:rsid w:val="00AF6E2B"/>
    <w:rsid w:val="00AF73A3"/>
    <w:rsid w:val="00AF789F"/>
    <w:rsid w:val="00AF7D2D"/>
    <w:rsid w:val="00B00696"/>
    <w:rsid w:val="00B00DC3"/>
    <w:rsid w:val="00B01751"/>
    <w:rsid w:val="00B022AD"/>
    <w:rsid w:val="00B024A0"/>
    <w:rsid w:val="00B02942"/>
    <w:rsid w:val="00B02C48"/>
    <w:rsid w:val="00B06081"/>
    <w:rsid w:val="00B063D3"/>
    <w:rsid w:val="00B10370"/>
    <w:rsid w:val="00B10409"/>
    <w:rsid w:val="00B10AA9"/>
    <w:rsid w:val="00B10E07"/>
    <w:rsid w:val="00B1122E"/>
    <w:rsid w:val="00B11290"/>
    <w:rsid w:val="00B12DEE"/>
    <w:rsid w:val="00B12E49"/>
    <w:rsid w:val="00B13065"/>
    <w:rsid w:val="00B133E1"/>
    <w:rsid w:val="00B14ED0"/>
    <w:rsid w:val="00B1524F"/>
    <w:rsid w:val="00B15D81"/>
    <w:rsid w:val="00B16A64"/>
    <w:rsid w:val="00B176DC"/>
    <w:rsid w:val="00B1798C"/>
    <w:rsid w:val="00B179C5"/>
    <w:rsid w:val="00B17BD9"/>
    <w:rsid w:val="00B201B0"/>
    <w:rsid w:val="00B201C8"/>
    <w:rsid w:val="00B203BA"/>
    <w:rsid w:val="00B212E2"/>
    <w:rsid w:val="00B2160B"/>
    <w:rsid w:val="00B21E77"/>
    <w:rsid w:val="00B22940"/>
    <w:rsid w:val="00B22DFE"/>
    <w:rsid w:val="00B23699"/>
    <w:rsid w:val="00B23BAD"/>
    <w:rsid w:val="00B24018"/>
    <w:rsid w:val="00B24089"/>
    <w:rsid w:val="00B25411"/>
    <w:rsid w:val="00B256BF"/>
    <w:rsid w:val="00B25C30"/>
    <w:rsid w:val="00B25D2E"/>
    <w:rsid w:val="00B2628B"/>
    <w:rsid w:val="00B27C4A"/>
    <w:rsid w:val="00B305C1"/>
    <w:rsid w:val="00B306C9"/>
    <w:rsid w:val="00B308B4"/>
    <w:rsid w:val="00B30CD2"/>
    <w:rsid w:val="00B30FAD"/>
    <w:rsid w:val="00B3192D"/>
    <w:rsid w:val="00B31997"/>
    <w:rsid w:val="00B31EA7"/>
    <w:rsid w:val="00B32222"/>
    <w:rsid w:val="00B32490"/>
    <w:rsid w:val="00B32BE0"/>
    <w:rsid w:val="00B3358A"/>
    <w:rsid w:val="00B34B13"/>
    <w:rsid w:val="00B35801"/>
    <w:rsid w:val="00B358EB"/>
    <w:rsid w:val="00B35A6F"/>
    <w:rsid w:val="00B35A83"/>
    <w:rsid w:val="00B3619F"/>
    <w:rsid w:val="00B36BCC"/>
    <w:rsid w:val="00B36D91"/>
    <w:rsid w:val="00B40340"/>
    <w:rsid w:val="00B40F99"/>
    <w:rsid w:val="00B41E8E"/>
    <w:rsid w:val="00B435C4"/>
    <w:rsid w:val="00B44507"/>
    <w:rsid w:val="00B448CC"/>
    <w:rsid w:val="00B451B2"/>
    <w:rsid w:val="00B4579E"/>
    <w:rsid w:val="00B463FF"/>
    <w:rsid w:val="00B46974"/>
    <w:rsid w:val="00B469C3"/>
    <w:rsid w:val="00B474F9"/>
    <w:rsid w:val="00B4780D"/>
    <w:rsid w:val="00B50C7A"/>
    <w:rsid w:val="00B5183C"/>
    <w:rsid w:val="00B51F52"/>
    <w:rsid w:val="00B54568"/>
    <w:rsid w:val="00B54EDE"/>
    <w:rsid w:val="00B56D4C"/>
    <w:rsid w:val="00B57138"/>
    <w:rsid w:val="00B60EDA"/>
    <w:rsid w:val="00B6132A"/>
    <w:rsid w:val="00B6190B"/>
    <w:rsid w:val="00B623D3"/>
    <w:rsid w:val="00B62F2B"/>
    <w:rsid w:val="00B631AB"/>
    <w:rsid w:val="00B64104"/>
    <w:rsid w:val="00B64969"/>
    <w:rsid w:val="00B6541B"/>
    <w:rsid w:val="00B65CB6"/>
    <w:rsid w:val="00B669C0"/>
    <w:rsid w:val="00B66A15"/>
    <w:rsid w:val="00B66AD7"/>
    <w:rsid w:val="00B67092"/>
    <w:rsid w:val="00B67309"/>
    <w:rsid w:val="00B6743C"/>
    <w:rsid w:val="00B67974"/>
    <w:rsid w:val="00B67DF6"/>
    <w:rsid w:val="00B7014A"/>
    <w:rsid w:val="00B7014E"/>
    <w:rsid w:val="00B701A1"/>
    <w:rsid w:val="00B70331"/>
    <w:rsid w:val="00B70DDF"/>
    <w:rsid w:val="00B711C6"/>
    <w:rsid w:val="00B71587"/>
    <w:rsid w:val="00B7196C"/>
    <w:rsid w:val="00B71D06"/>
    <w:rsid w:val="00B7252C"/>
    <w:rsid w:val="00B7280C"/>
    <w:rsid w:val="00B72B13"/>
    <w:rsid w:val="00B72EAF"/>
    <w:rsid w:val="00B74489"/>
    <w:rsid w:val="00B75720"/>
    <w:rsid w:val="00B759E4"/>
    <w:rsid w:val="00B75D89"/>
    <w:rsid w:val="00B767CA"/>
    <w:rsid w:val="00B7706D"/>
    <w:rsid w:val="00B77661"/>
    <w:rsid w:val="00B77FD5"/>
    <w:rsid w:val="00B80838"/>
    <w:rsid w:val="00B8221D"/>
    <w:rsid w:val="00B8226E"/>
    <w:rsid w:val="00B823F4"/>
    <w:rsid w:val="00B832A7"/>
    <w:rsid w:val="00B836B7"/>
    <w:rsid w:val="00B84C73"/>
    <w:rsid w:val="00B84CD3"/>
    <w:rsid w:val="00B8756E"/>
    <w:rsid w:val="00B877A7"/>
    <w:rsid w:val="00B87C61"/>
    <w:rsid w:val="00B87C72"/>
    <w:rsid w:val="00B915FB"/>
    <w:rsid w:val="00B91A01"/>
    <w:rsid w:val="00B91C8A"/>
    <w:rsid w:val="00B91EC7"/>
    <w:rsid w:val="00B93085"/>
    <w:rsid w:val="00B951DC"/>
    <w:rsid w:val="00B95F25"/>
    <w:rsid w:val="00B95F9D"/>
    <w:rsid w:val="00B96660"/>
    <w:rsid w:val="00B97A51"/>
    <w:rsid w:val="00BA0231"/>
    <w:rsid w:val="00BA0693"/>
    <w:rsid w:val="00BA0814"/>
    <w:rsid w:val="00BA1CD5"/>
    <w:rsid w:val="00BA34F8"/>
    <w:rsid w:val="00BA4567"/>
    <w:rsid w:val="00BA4DF8"/>
    <w:rsid w:val="00BA5195"/>
    <w:rsid w:val="00BA57FF"/>
    <w:rsid w:val="00BA5EC3"/>
    <w:rsid w:val="00BA7B74"/>
    <w:rsid w:val="00BA7D80"/>
    <w:rsid w:val="00BB0202"/>
    <w:rsid w:val="00BB2023"/>
    <w:rsid w:val="00BB26FF"/>
    <w:rsid w:val="00BB2BC0"/>
    <w:rsid w:val="00BB3B4C"/>
    <w:rsid w:val="00BB4039"/>
    <w:rsid w:val="00BB4963"/>
    <w:rsid w:val="00BB4D59"/>
    <w:rsid w:val="00BB4EC3"/>
    <w:rsid w:val="00BB6193"/>
    <w:rsid w:val="00BB697F"/>
    <w:rsid w:val="00BB78F5"/>
    <w:rsid w:val="00BB7E3C"/>
    <w:rsid w:val="00BC051E"/>
    <w:rsid w:val="00BC077F"/>
    <w:rsid w:val="00BC0E80"/>
    <w:rsid w:val="00BC10FB"/>
    <w:rsid w:val="00BC1E01"/>
    <w:rsid w:val="00BC228B"/>
    <w:rsid w:val="00BC3853"/>
    <w:rsid w:val="00BC5458"/>
    <w:rsid w:val="00BC62F9"/>
    <w:rsid w:val="00BC6A60"/>
    <w:rsid w:val="00BC721A"/>
    <w:rsid w:val="00BC7391"/>
    <w:rsid w:val="00BC79B1"/>
    <w:rsid w:val="00BC7B0D"/>
    <w:rsid w:val="00BC7E60"/>
    <w:rsid w:val="00BD008E"/>
    <w:rsid w:val="00BD0611"/>
    <w:rsid w:val="00BD0B00"/>
    <w:rsid w:val="00BD10CD"/>
    <w:rsid w:val="00BD1118"/>
    <w:rsid w:val="00BD1344"/>
    <w:rsid w:val="00BD13BC"/>
    <w:rsid w:val="00BD1CE7"/>
    <w:rsid w:val="00BD2A7B"/>
    <w:rsid w:val="00BD2D8F"/>
    <w:rsid w:val="00BD3350"/>
    <w:rsid w:val="00BD3891"/>
    <w:rsid w:val="00BD442D"/>
    <w:rsid w:val="00BD4471"/>
    <w:rsid w:val="00BD4C47"/>
    <w:rsid w:val="00BD4DE1"/>
    <w:rsid w:val="00BD4E96"/>
    <w:rsid w:val="00BD5030"/>
    <w:rsid w:val="00BD5759"/>
    <w:rsid w:val="00BD5A37"/>
    <w:rsid w:val="00BD63A8"/>
    <w:rsid w:val="00BD6568"/>
    <w:rsid w:val="00BE0143"/>
    <w:rsid w:val="00BE056F"/>
    <w:rsid w:val="00BE118E"/>
    <w:rsid w:val="00BE1FA7"/>
    <w:rsid w:val="00BE220A"/>
    <w:rsid w:val="00BE24CF"/>
    <w:rsid w:val="00BE2CE3"/>
    <w:rsid w:val="00BE2D88"/>
    <w:rsid w:val="00BE3282"/>
    <w:rsid w:val="00BE36B7"/>
    <w:rsid w:val="00BE42ED"/>
    <w:rsid w:val="00BE4DCA"/>
    <w:rsid w:val="00BE50D7"/>
    <w:rsid w:val="00BE5765"/>
    <w:rsid w:val="00BE76B0"/>
    <w:rsid w:val="00BF0050"/>
    <w:rsid w:val="00BF04A1"/>
    <w:rsid w:val="00BF057E"/>
    <w:rsid w:val="00BF0CE0"/>
    <w:rsid w:val="00BF1A3C"/>
    <w:rsid w:val="00BF244B"/>
    <w:rsid w:val="00BF3171"/>
    <w:rsid w:val="00BF438C"/>
    <w:rsid w:val="00BF4CEE"/>
    <w:rsid w:val="00BF54FF"/>
    <w:rsid w:val="00BF69C6"/>
    <w:rsid w:val="00BF6C6C"/>
    <w:rsid w:val="00BF70C1"/>
    <w:rsid w:val="00BF7A84"/>
    <w:rsid w:val="00BF7F3C"/>
    <w:rsid w:val="00C00756"/>
    <w:rsid w:val="00C00E24"/>
    <w:rsid w:val="00C00F84"/>
    <w:rsid w:val="00C019C2"/>
    <w:rsid w:val="00C028B1"/>
    <w:rsid w:val="00C030B5"/>
    <w:rsid w:val="00C03D8A"/>
    <w:rsid w:val="00C03DD2"/>
    <w:rsid w:val="00C04B8F"/>
    <w:rsid w:val="00C05601"/>
    <w:rsid w:val="00C10291"/>
    <w:rsid w:val="00C102A2"/>
    <w:rsid w:val="00C11A9D"/>
    <w:rsid w:val="00C11F44"/>
    <w:rsid w:val="00C126C3"/>
    <w:rsid w:val="00C12D40"/>
    <w:rsid w:val="00C12D59"/>
    <w:rsid w:val="00C13F95"/>
    <w:rsid w:val="00C14C2F"/>
    <w:rsid w:val="00C14CC9"/>
    <w:rsid w:val="00C152C3"/>
    <w:rsid w:val="00C1575A"/>
    <w:rsid w:val="00C16999"/>
    <w:rsid w:val="00C16AD9"/>
    <w:rsid w:val="00C1754F"/>
    <w:rsid w:val="00C2021B"/>
    <w:rsid w:val="00C20BA1"/>
    <w:rsid w:val="00C20EDA"/>
    <w:rsid w:val="00C21469"/>
    <w:rsid w:val="00C2146A"/>
    <w:rsid w:val="00C21B3C"/>
    <w:rsid w:val="00C21C27"/>
    <w:rsid w:val="00C22035"/>
    <w:rsid w:val="00C22270"/>
    <w:rsid w:val="00C22E56"/>
    <w:rsid w:val="00C237EE"/>
    <w:rsid w:val="00C23B35"/>
    <w:rsid w:val="00C23F9C"/>
    <w:rsid w:val="00C24096"/>
    <w:rsid w:val="00C24134"/>
    <w:rsid w:val="00C24AE0"/>
    <w:rsid w:val="00C2505E"/>
    <w:rsid w:val="00C25509"/>
    <w:rsid w:val="00C25FCA"/>
    <w:rsid w:val="00C26B67"/>
    <w:rsid w:val="00C27400"/>
    <w:rsid w:val="00C308F4"/>
    <w:rsid w:val="00C310D1"/>
    <w:rsid w:val="00C31D0C"/>
    <w:rsid w:val="00C31EDE"/>
    <w:rsid w:val="00C31F74"/>
    <w:rsid w:val="00C32319"/>
    <w:rsid w:val="00C336A4"/>
    <w:rsid w:val="00C34C04"/>
    <w:rsid w:val="00C365AA"/>
    <w:rsid w:val="00C368F5"/>
    <w:rsid w:val="00C36941"/>
    <w:rsid w:val="00C36D6C"/>
    <w:rsid w:val="00C36F38"/>
    <w:rsid w:val="00C3778D"/>
    <w:rsid w:val="00C41F8C"/>
    <w:rsid w:val="00C4213B"/>
    <w:rsid w:val="00C424AF"/>
    <w:rsid w:val="00C42504"/>
    <w:rsid w:val="00C42E90"/>
    <w:rsid w:val="00C432CB"/>
    <w:rsid w:val="00C43877"/>
    <w:rsid w:val="00C43CD5"/>
    <w:rsid w:val="00C44B80"/>
    <w:rsid w:val="00C45447"/>
    <w:rsid w:val="00C45859"/>
    <w:rsid w:val="00C4604E"/>
    <w:rsid w:val="00C461FA"/>
    <w:rsid w:val="00C46361"/>
    <w:rsid w:val="00C46A7B"/>
    <w:rsid w:val="00C46BE8"/>
    <w:rsid w:val="00C52303"/>
    <w:rsid w:val="00C52362"/>
    <w:rsid w:val="00C52D3B"/>
    <w:rsid w:val="00C52E97"/>
    <w:rsid w:val="00C52F3A"/>
    <w:rsid w:val="00C5362A"/>
    <w:rsid w:val="00C53998"/>
    <w:rsid w:val="00C53A7F"/>
    <w:rsid w:val="00C54658"/>
    <w:rsid w:val="00C54BA8"/>
    <w:rsid w:val="00C553C3"/>
    <w:rsid w:val="00C5549D"/>
    <w:rsid w:val="00C556E5"/>
    <w:rsid w:val="00C56676"/>
    <w:rsid w:val="00C56AA5"/>
    <w:rsid w:val="00C56E18"/>
    <w:rsid w:val="00C57197"/>
    <w:rsid w:val="00C57EE7"/>
    <w:rsid w:val="00C60E2C"/>
    <w:rsid w:val="00C61FCC"/>
    <w:rsid w:val="00C61FDF"/>
    <w:rsid w:val="00C627B0"/>
    <w:rsid w:val="00C629BC"/>
    <w:rsid w:val="00C636C7"/>
    <w:rsid w:val="00C644AF"/>
    <w:rsid w:val="00C64706"/>
    <w:rsid w:val="00C6481C"/>
    <w:rsid w:val="00C650DD"/>
    <w:rsid w:val="00C656C9"/>
    <w:rsid w:val="00C65AA2"/>
    <w:rsid w:val="00C665FF"/>
    <w:rsid w:val="00C6750E"/>
    <w:rsid w:val="00C7012F"/>
    <w:rsid w:val="00C70198"/>
    <w:rsid w:val="00C70655"/>
    <w:rsid w:val="00C71337"/>
    <w:rsid w:val="00C72D25"/>
    <w:rsid w:val="00C72E67"/>
    <w:rsid w:val="00C72E7F"/>
    <w:rsid w:val="00C7312E"/>
    <w:rsid w:val="00C73310"/>
    <w:rsid w:val="00C73A77"/>
    <w:rsid w:val="00C73D81"/>
    <w:rsid w:val="00C758FB"/>
    <w:rsid w:val="00C7612E"/>
    <w:rsid w:val="00C7768D"/>
    <w:rsid w:val="00C779FA"/>
    <w:rsid w:val="00C80BF8"/>
    <w:rsid w:val="00C81013"/>
    <w:rsid w:val="00C8136B"/>
    <w:rsid w:val="00C824EF"/>
    <w:rsid w:val="00C82CFD"/>
    <w:rsid w:val="00C8313A"/>
    <w:rsid w:val="00C832AE"/>
    <w:rsid w:val="00C84C80"/>
    <w:rsid w:val="00C857AA"/>
    <w:rsid w:val="00C85841"/>
    <w:rsid w:val="00C858D0"/>
    <w:rsid w:val="00C867C3"/>
    <w:rsid w:val="00C87615"/>
    <w:rsid w:val="00C879AC"/>
    <w:rsid w:val="00C91188"/>
    <w:rsid w:val="00C91732"/>
    <w:rsid w:val="00C92C18"/>
    <w:rsid w:val="00C92C5E"/>
    <w:rsid w:val="00C92F7D"/>
    <w:rsid w:val="00C94794"/>
    <w:rsid w:val="00C952E5"/>
    <w:rsid w:val="00C959F6"/>
    <w:rsid w:val="00C95A3E"/>
    <w:rsid w:val="00C968AE"/>
    <w:rsid w:val="00C971D5"/>
    <w:rsid w:val="00C97802"/>
    <w:rsid w:val="00CA180F"/>
    <w:rsid w:val="00CA1FE2"/>
    <w:rsid w:val="00CA2570"/>
    <w:rsid w:val="00CA2ADE"/>
    <w:rsid w:val="00CA3456"/>
    <w:rsid w:val="00CA381D"/>
    <w:rsid w:val="00CA3ACF"/>
    <w:rsid w:val="00CA40A9"/>
    <w:rsid w:val="00CA480D"/>
    <w:rsid w:val="00CA4832"/>
    <w:rsid w:val="00CA5600"/>
    <w:rsid w:val="00CA5CA2"/>
    <w:rsid w:val="00CA7239"/>
    <w:rsid w:val="00CA7928"/>
    <w:rsid w:val="00CA7C2B"/>
    <w:rsid w:val="00CB2F99"/>
    <w:rsid w:val="00CB4097"/>
    <w:rsid w:val="00CB40CA"/>
    <w:rsid w:val="00CB496B"/>
    <w:rsid w:val="00CB4C85"/>
    <w:rsid w:val="00CB5A99"/>
    <w:rsid w:val="00CB5BB3"/>
    <w:rsid w:val="00CB5FDF"/>
    <w:rsid w:val="00CB689F"/>
    <w:rsid w:val="00CB6A40"/>
    <w:rsid w:val="00CC0001"/>
    <w:rsid w:val="00CC0728"/>
    <w:rsid w:val="00CC077B"/>
    <w:rsid w:val="00CC0ACA"/>
    <w:rsid w:val="00CC140A"/>
    <w:rsid w:val="00CC184B"/>
    <w:rsid w:val="00CC2028"/>
    <w:rsid w:val="00CC249E"/>
    <w:rsid w:val="00CC2944"/>
    <w:rsid w:val="00CC2D61"/>
    <w:rsid w:val="00CC3015"/>
    <w:rsid w:val="00CC38EA"/>
    <w:rsid w:val="00CC3D22"/>
    <w:rsid w:val="00CC5886"/>
    <w:rsid w:val="00CC59A2"/>
    <w:rsid w:val="00CC5E11"/>
    <w:rsid w:val="00CC61A8"/>
    <w:rsid w:val="00CC6A5F"/>
    <w:rsid w:val="00CC74D0"/>
    <w:rsid w:val="00CC7E66"/>
    <w:rsid w:val="00CC7EB7"/>
    <w:rsid w:val="00CD0C31"/>
    <w:rsid w:val="00CD1BDC"/>
    <w:rsid w:val="00CD2312"/>
    <w:rsid w:val="00CD4F5E"/>
    <w:rsid w:val="00CD526B"/>
    <w:rsid w:val="00CD5AD5"/>
    <w:rsid w:val="00CD6D72"/>
    <w:rsid w:val="00CD75BB"/>
    <w:rsid w:val="00CD76F2"/>
    <w:rsid w:val="00CD783C"/>
    <w:rsid w:val="00CE006B"/>
    <w:rsid w:val="00CE0138"/>
    <w:rsid w:val="00CE03E5"/>
    <w:rsid w:val="00CE1B7B"/>
    <w:rsid w:val="00CE2887"/>
    <w:rsid w:val="00CE3138"/>
    <w:rsid w:val="00CE36CA"/>
    <w:rsid w:val="00CE452D"/>
    <w:rsid w:val="00CE4936"/>
    <w:rsid w:val="00CE4AEB"/>
    <w:rsid w:val="00CE4DD4"/>
    <w:rsid w:val="00CE6828"/>
    <w:rsid w:val="00CE69BA"/>
    <w:rsid w:val="00CE7251"/>
    <w:rsid w:val="00CE72DF"/>
    <w:rsid w:val="00CE7852"/>
    <w:rsid w:val="00CE7E62"/>
    <w:rsid w:val="00CF074D"/>
    <w:rsid w:val="00CF099A"/>
    <w:rsid w:val="00CF136D"/>
    <w:rsid w:val="00CF153C"/>
    <w:rsid w:val="00CF1B12"/>
    <w:rsid w:val="00CF29AA"/>
    <w:rsid w:val="00CF2DB5"/>
    <w:rsid w:val="00CF34CB"/>
    <w:rsid w:val="00CF37B1"/>
    <w:rsid w:val="00CF4AE0"/>
    <w:rsid w:val="00CF4BE8"/>
    <w:rsid w:val="00CF4DA3"/>
    <w:rsid w:val="00CF5233"/>
    <w:rsid w:val="00CF540F"/>
    <w:rsid w:val="00CF54A6"/>
    <w:rsid w:val="00CF5C8C"/>
    <w:rsid w:val="00CF63A4"/>
    <w:rsid w:val="00CF651E"/>
    <w:rsid w:val="00CF6B9B"/>
    <w:rsid w:val="00CF6F30"/>
    <w:rsid w:val="00CF727F"/>
    <w:rsid w:val="00CF74F5"/>
    <w:rsid w:val="00CF7972"/>
    <w:rsid w:val="00CF7EDD"/>
    <w:rsid w:val="00D00567"/>
    <w:rsid w:val="00D00E55"/>
    <w:rsid w:val="00D00F6C"/>
    <w:rsid w:val="00D0165A"/>
    <w:rsid w:val="00D01FCD"/>
    <w:rsid w:val="00D03084"/>
    <w:rsid w:val="00D03578"/>
    <w:rsid w:val="00D03D4C"/>
    <w:rsid w:val="00D03DDD"/>
    <w:rsid w:val="00D05B0E"/>
    <w:rsid w:val="00D05FA4"/>
    <w:rsid w:val="00D07F51"/>
    <w:rsid w:val="00D1036D"/>
    <w:rsid w:val="00D10996"/>
    <w:rsid w:val="00D10F06"/>
    <w:rsid w:val="00D110C7"/>
    <w:rsid w:val="00D11A0B"/>
    <w:rsid w:val="00D11C07"/>
    <w:rsid w:val="00D12942"/>
    <w:rsid w:val="00D12F71"/>
    <w:rsid w:val="00D13022"/>
    <w:rsid w:val="00D131E4"/>
    <w:rsid w:val="00D13A4E"/>
    <w:rsid w:val="00D13C69"/>
    <w:rsid w:val="00D13C70"/>
    <w:rsid w:val="00D13E3C"/>
    <w:rsid w:val="00D1447E"/>
    <w:rsid w:val="00D14E06"/>
    <w:rsid w:val="00D14FAE"/>
    <w:rsid w:val="00D154BE"/>
    <w:rsid w:val="00D16F95"/>
    <w:rsid w:val="00D174AF"/>
    <w:rsid w:val="00D17ED3"/>
    <w:rsid w:val="00D20BB3"/>
    <w:rsid w:val="00D20F79"/>
    <w:rsid w:val="00D2128B"/>
    <w:rsid w:val="00D21573"/>
    <w:rsid w:val="00D217B6"/>
    <w:rsid w:val="00D217FE"/>
    <w:rsid w:val="00D21C44"/>
    <w:rsid w:val="00D2369D"/>
    <w:rsid w:val="00D236EF"/>
    <w:rsid w:val="00D2376C"/>
    <w:rsid w:val="00D23F5A"/>
    <w:rsid w:val="00D24D66"/>
    <w:rsid w:val="00D25BA6"/>
    <w:rsid w:val="00D25E19"/>
    <w:rsid w:val="00D25F0B"/>
    <w:rsid w:val="00D26687"/>
    <w:rsid w:val="00D26E2A"/>
    <w:rsid w:val="00D26FAD"/>
    <w:rsid w:val="00D27405"/>
    <w:rsid w:val="00D27A5E"/>
    <w:rsid w:val="00D30BE5"/>
    <w:rsid w:val="00D310A5"/>
    <w:rsid w:val="00D31110"/>
    <w:rsid w:val="00D3165B"/>
    <w:rsid w:val="00D32BE4"/>
    <w:rsid w:val="00D339AC"/>
    <w:rsid w:val="00D33C41"/>
    <w:rsid w:val="00D34E15"/>
    <w:rsid w:val="00D35497"/>
    <w:rsid w:val="00D35AC5"/>
    <w:rsid w:val="00D35BFF"/>
    <w:rsid w:val="00D35EBB"/>
    <w:rsid w:val="00D365B0"/>
    <w:rsid w:val="00D37732"/>
    <w:rsid w:val="00D37861"/>
    <w:rsid w:val="00D4070C"/>
    <w:rsid w:val="00D40B13"/>
    <w:rsid w:val="00D40E73"/>
    <w:rsid w:val="00D42815"/>
    <w:rsid w:val="00D4417F"/>
    <w:rsid w:val="00D444C8"/>
    <w:rsid w:val="00D4450F"/>
    <w:rsid w:val="00D446B4"/>
    <w:rsid w:val="00D44A70"/>
    <w:rsid w:val="00D44A84"/>
    <w:rsid w:val="00D44B23"/>
    <w:rsid w:val="00D47333"/>
    <w:rsid w:val="00D47A6D"/>
    <w:rsid w:val="00D47ADD"/>
    <w:rsid w:val="00D47B10"/>
    <w:rsid w:val="00D47F26"/>
    <w:rsid w:val="00D503E0"/>
    <w:rsid w:val="00D523EB"/>
    <w:rsid w:val="00D5340A"/>
    <w:rsid w:val="00D534E2"/>
    <w:rsid w:val="00D5484F"/>
    <w:rsid w:val="00D54A73"/>
    <w:rsid w:val="00D55311"/>
    <w:rsid w:val="00D55994"/>
    <w:rsid w:val="00D559D6"/>
    <w:rsid w:val="00D55BF0"/>
    <w:rsid w:val="00D5650E"/>
    <w:rsid w:val="00D566B1"/>
    <w:rsid w:val="00D56CBB"/>
    <w:rsid w:val="00D571DC"/>
    <w:rsid w:val="00D57389"/>
    <w:rsid w:val="00D576BE"/>
    <w:rsid w:val="00D57983"/>
    <w:rsid w:val="00D57A19"/>
    <w:rsid w:val="00D57F16"/>
    <w:rsid w:val="00D60378"/>
    <w:rsid w:val="00D6082A"/>
    <w:rsid w:val="00D6117A"/>
    <w:rsid w:val="00D6132F"/>
    <w:rsid w:val="00D616DE"/>
    <w:rsid w:val="00D61921"/>
    <w:rsid w:val="00D62311"/>
    <w:rsid w:val="00D62689"/>
    <w:rsid w:val="00D62705"/>
    <w:rsid w:val="00D62F18"/>
    <w:rsid w:val="00D62F22"/>
    <w:rsid w:val="00D643E3"/>
    <w:rsid w:val="00D64558"/>
    <w:rsid w:val="00D7061B"/>
    <w:rsid w:val="00D711BA"/>
    <w:rsid w:val="00D718E8"/>
    <w:rsid w:val="00D71D7B"/>
    <w:rsid w:val="00D7209D"/>
    <w:rsid w:val="00D727F0"/>
    <w:rsid w:val="00D73655"/>
    <w:rsid w:val="00D73F0A"/>
    <w:rsid w:val="00D753A1"/>
    <w:rsid w:val="00D7582B"/>
    <w:rsid w:val="00D763D4"/>
    <w:rsid w:val="00D768BA"/>
    <w:rsid w:val="00D76FEE"/>
    <w:rsid w:val="00D77AFC"/>
    <w:rsid w:val="00D805CA"/>
    <w:rsid w:val="00D808B1"/>
    <w:rsid w:val="00D816BD"/>
    <w:rsid w:val="00D81CB8"/>
    <w:rsid w:val="00D82062"/>
    <w:rsid w:val="00D82AF0"/>
    <w:rsid w:val="00D82DD5"/>
    <w:rsid w:val="00D834BD"/>
    <w:rsid w:val="00D84A61"/>
    <w:rsid w:val="00D851E2"/>
    <w:rsid w:val="00D85FCB"/>
    <w:rsid w:val="00D866D9"/>
    <w:rsid w:val="00D86715"/>
    <w:rsid w:val="00D869B7"/>
    <w:rsid w:val="00D87BAC"/>
    <w:rsid w:val="00D9026D"/>
    <w:rsid w:val="00D902A6"/>
    <w:rsid w:val="00D90886"/>
    <w:rsid w:val="00D909B6"/>
    <w:rsid w:val="00D90DD9"/>
    <w:rsid w:val="00D916E6"/>
    <w:rsid w:val="00D92742"/>
    <w:rsid w:val="00D92F3E"/>
    <w:rsid w:val="00D9320E"/>
    <w:rsid w:val="00D9403B"/>
    <w:rsid w:val="00D9469A"/>
    <w:rsid w:val="00D948CA"/>
    <w:rsid w:val="00D94B87"/>
    <w:rsid w:val="00D956FE"/>
    <w:rsid w:val="00D95D76"/>
    <w:rsid w:val="00D96534"/>
    <w:rsid w:val="00D9690F"/>
    <w:rsid w:val="00D96AA3"/>
    <w:rsid w:val="00DA09BD"/>
    <w:rsid w:val="00DA0E12"/>
    <w:rsid w:val="00DA2130"/>
    <w:rsid w:val="00DA2240"/>
    <w:rsid w:val="00DA30F7"/>
    <w:rsid w:val="00DA3C39"/>
    <w:rsid w:val="00DA4A0D"/>
    <w:rsid w:val="00DA4C7A"/>
    <w:rsid w:val="00DA540C"/>
    <w:rsid w:val="00DA5B98"/>
    <w:rsid w:val="00DB0472"/>
    <w:rsid w:val="00DB0529"/>
    <w:rsid w:val="00DB0C38"/>
    <w:rsid w:val="00DB1364"/>
    <w:rsid w:val="00DB1853"/>
    <w:rsid w:val="00DB1D57"/>
    <w:rsid w:val="00DB1DC7"/>
    <w:rsid w:val="00DB1EAB"/>
    <w:rsid w:val="00DB3441"/>
    <w:rsid w:val="00DB3510"/>
    <w:rsid w:val="00DB3D99"/>
    <w:rsid w:val="00DB410C"/>
    <w:rsid w:val="00DB481A"/>
    <w:rsid w:val="00DB4B12"/>
    <w:rsid w:val="00DB5B31"/>
    <w:rsid w:val="00DB5CB8"/>
    <w:rsid w:val="00DB66D0"/>
    <w:rsid w:val="00DB6A1D"/>
    <w:rsid w:val="00DB78DF"/>
    <w:rsid w:val="00DB7E64"/>
    <w:rsid w:val="00DB7FA5"/>
    <w:rsid w:val="00DC0A3B"/>
    <w:rsid w:val="00DC2542"/>
    <w:rsid w:val="00DC262C"/>
    <w:rsid w:val="00DC27CF"/>
    <w:rsid w:val="00DC2F53"/>
    <w:rsid w:val="00DC39E3"/>
    <w:rsid w:val="00DC3B52"/>
    <w:rsid w:val="00DC4094"/>
    <w:rsid w:val="00DC46A5"/>
    <w:rsid w:val="00DC4FE3"/>
    <w:rsid w:val="00DC52F6"/>
    <w:rsid w:val="00DC5B7E"/>
    <w:rsid w:val="00DC6693"/>
    <w:rsid w:val="00DC7584"/>
    <w:rsid w:val="00DD06AB"/>
    <w:rsid w:val="00DD1455"/>
    <w:rsid w:val="00DD1E45"/>
    <w:rsid w:val="00DD3ABF"/>
    <w:rsid w:val="00DD48DA"/>
    <w:rsid w:val="00DD53EA"/>
    <w:rsid w:val="00DD5615"/>
    <w:rsid w:val="00DD5926"/>
    <w:rsid w:val="00DD6416"/>
    <w:rsid w:val="00DD6562"/>
    <w:rsid w:val="00DD6D70"/>
    <w:rsid w:val="00DD71F2"/>
    <w:rsid w:val="00DD74E4"/>
    <w:rsid w:val="00DE1244"/>
    <w:rsid w:val="00DE1325"/>
    <w:rsid w:val="00DE164D"/>
    <w:rsid w:val="00DE1750"/>
    <w:rsid w:val="00DE192E"/>
    <w:rsid w:val="00DE1DFA"/>
    <w:rsid w:val="00DE2A20"/>
    <w:rsid w:val="00DE38D6"/>
    <w:rsid w:val="00DE3DC8"/>
    <w:rsid w:val="00DE4B12"/>
    <w:rsid w:val="00DE54F5"/>
    <w:rsid w:val="00DE5C52"/>
    <w:rsid w:val="00DE66D0"/>
    <w:rsid w:val="00DE67CC"/>
    <w:rsid w:val="00DE7B51"/>
    <w:rsid w:val="00DF1106"/>
    <w:rsid w:val="00DF13C5"/>
    <w:rsid w:val="00DF1BA0"/>
    <w:rsid w:val="00DF1C7A"/>
    <w:rsid w:val="00DF2030"/>
    <w:rsid w:val="00DF2991"/>
    <w:rsid w:val="00DF2B4F"/>
    <w:rsid w:val="00DF2CCF"/>
    <w:rsid w:val="00DF36AA"/>
    <w:rsid w:val="00DF416F"/>
    <w:rsid w:val="00DF4704"/>
    <w:rsid w:val="00DF474A"/>
    <w:rsid w:val="00DF57D9"/>
    <w:rsid w:val="00DF6339"/>
    <w:rsid w:val="00DF770F"/>
    <w:rsid w:val="00DF79A7"/>
    <w:rsid w:val="00DF7D98"/>
    <w:rsid w:val="00DF7F86"/>
    <w:rsid w:val="00E00657"/>
    <w:rsid w:val="00E00869"/>
    <w:rsid w:val="00E00A89"/>
    <w:rsid w:val="00E015A5"/>
    <w:rsid w:val="00E02133"/>
    <w:rsid w:val="00E02BD6"/>
    <w:rsid w:val="00E02DBF"/>
    <w:rsid w:val="00E046CA"/>
    <w:rsid w:val="00E04913"/>
    <w:rsid w:val="00E04E0C"/>
    <w:rsid w:val="00E05CCE"/>
    <w:rsid w:val="00E06233"/>
    <w:rsid w:val="00E071CA"/>
    <w:rsid w:val="00E07FA1"/>
    <w:rsid w:val="00E1068F"/>
    <w:rsid w:val="00E11023"/>
    <w:rsid w:val="00E11A47"/>
    <w:rsid w:val="00E11C1E"/>
    <w:rsid w:val="00E124E5"/>
    <w:rsid w:val="00E127A4"/>
    <w:rsid w:val="00E15031"/>
    <w:rsid w:val="00E15598"/>
    <w:rsid w:val="00E177A2"/>
    <w:rsid w:val="00E17D5C"/>
    <w:rsid w:val="00E203BC"/>
    <w:rsid w:val="00E209B2"/>
    <w:rsid w:val="00E20EC8"/>
    <w:rsid w:val="00E21E0B"/>
    <w:rsid w:val="00E22AD0"/>
    <w:rsid w:val="00E23031"/>
    <w:rsid w:val="00E2325B"/>
    <w:rsid w:val="00E233C3"/>
    <w:rsid w:val="00E2413B"/>
    <w:rsid w:val="00E244BB"/>
    <w:rsid w:val="00E24899"/>
    <w:rsid w:val="00E25113"/>
    <w:rsid w:val="00E25339"/>
    <w:rsid w:val="00E25750"/>
    <w:rsid w:val="00E25C68"/>
    <w:rsid w:val="00E269C6"/>
    <w:rsid w:val="00E26E19"/>
    <w:rsid w:val="00E2724D"/>
    <w:rsid w:val="00E275A8"/>
    <w:rsid w:val="00E27AD9"/>
    <w:rsid w:val="00E31061"/>
    <w:rsid w:val="00E32345"/>
    <w:rsid w:val="00E32FCE"/>
    <w:rsid w:val="00E33FD8"/>
    <w:rsid w:val="00E341E7"/>
    <w:rsid w:val="00E348A4"/>
    <w:rsid w:val="00E351B4"/>
    <w:rsid w:val="00E3531F"/>
    <w:rsid w:val="00E3581D"/>
    <w:rsid w:val="00E36EB3"/>
    <w:rsid w:val="00E37452"/>
    <w:rsid w:val="00E37691"/>
    <w:rsid w:val="00E377D9"/>
    <w:rsid w:val="00E40259"/>
    <w:rsid w:val="00E40804"/>
    <w:rsid w:val="00E4099D"/>
    <w:rsid w:val="00E40A16"/>
    <w:rsid w:val="00E4149F"/>
    <w:rsid w:val="00E41D86"/>
    <w:rsid w:val="00E445DC"/>
    <w:rsid w:val="00E45279"/>
    <w:rsid w:val="00E45341"/>
    <w:rsid w:val="00E453EE"/>
    <w:rsid w:val="00E45661"/>
    <w:rsid w:val="00E45DCF"/>
    <w:rsid w:val="00E476CE"/>
    <w:rsid w:val="00E47CCB"/>
    <w:rsid w:val="00E500F3"/>
    <w:rsid w:val="00E5273B"/>
    <w:rsid w:val="00E527C6"/>
    <w:rsid w:val="00E53D8E"/>
    <w:rsid w:val="00E5497A"/>
    <w:rsid w:val="00E5591D"/>
    <w:rsid w:val="00E561FB"/>
    <w:rsid w:val="00E56F55"/>
    <w:rsid w:val="00E57DEC"/>
    <w:rsid w:val="00E601BB"/>
    <w:rsid w:val="00E6122C"/>
    <w:rsid w:val="00E61EC8"/>
    <w:rsid w:val="00E62B7B"/>
    <w:rsid w:val="00E62BF5"/>
    <w:rsid w:val="00E63808"/>
    <w:rsid w:val="00E648E5"/>
    <w:rsid w:val="00E656A5"/>
    <w:rsid w:val="00E65F36"/>
    <w:rsid w:val="00E65FF0"/>
    <w:rsid w:val="00E70EA8"/>
    <w:rsid w:val="00E713EB"/>
    <w:rsid w:val="00E71980"/>
    <w:rsid w:val="00E7222E"/>
    <w:rsid w:val="00E72EBF"/>
    <w:rsid w:val="00E741E2"/>
    <w:rsid w:val="00E7492A"/>
    <w:rsid w:val="00E75541"/>
    <w:rsid w:val="00E757AC"/>
    <w:rsid w:val="00E75A0C"/>
    <w:rsid w:val="00E75DD5"/>
    <w:rsid w:val="00E767C9"/>
    <w:rsid w:val="00E76BAA"/>
    <w:rsid w:val="00E7786D"/>
    <w:rsid w:val="00E778B5"/>
    <w:rsid w:val="00E80A2D"/>
    <w:rsid w:val="00E80AEA"/>
    <w:rsid w:val="00E80B8F"/>
    <w:rsid w:val="00E814CD"/>
    <w:rsid w:val="00E81858"/>
    <w:rsid w:val="00E84F72"/>
    <w:rsid w:val="00E85255"/>
    <w:rsid w:val="00E90618"/>
    <w:rsid w:val="00E90BCA"/>
    <w:rsid w:val="00E90DF2"/>
    <w:rsid w:val="00E920DA"/>
    <w:rsid w:val="00E92C62"/>
    <w:rsid w:val="00E939B6"/>
    <w:rsid w:val="00E93E3F"/>
    <w:rsid w:val="00E943CA"/>
    <w:rsid w:val="00E94943"/>
    <w:rsid w:val="00E949B2"/>
    <w:rsid w:val="00E96982"/>
    <w:rsid w:val="00EA017B"/>
    <w:rsid w:val="00EA07AE"/>
    <w:rsid w:val="00EA14E1"/>
    <w:rsid w:val="00EA1A09"/>
    <w:rsid w:val="00EA20DA"/>
    <w:rsid w:val="00EA212E"/>
    <w:rsid w:val="00EA22F2"/>
    <w:rsid w:val="00EA32C6"/>
    <w:rsid w:val="00EA35AA"/>
    <w:rsid w:val="00EA461C"/>
    <w:rsid w:val="00EA485F"/>
    <w:rsid w:val="00EA49E4"/>
    <w:rsid w:val="00EA4BB5"/>
    <w:rsid w:val="00EA5CF0"/>
    <w:rsid w:val="00EA6284"/>
    <w:rsid w:val="00EA75DC"/>
    <w:rsid w:val="00EA79BB"/>
    <w:rsid w:val="00EA7B52"/>
    <w:rsid w:val="00EB0D7D"/>
    <w:rsid w:val="00EB11E1"/>
    <w:rsid w:val="00EB1F3D"/>
    <w:rsid w:val="00EB20D6"/>
    <w:rsid w:val="00EB2139"/>
    <w:rsid w:val="00EB22A7"/>
    <w:rsid w:val="00EB3318"/>
    <w:rsid w:val="00EB3D20"/>
    <w:rsid w:val="00EB40DB"/>
    <w:rsid w:val="00EB4C4D"/>
    <w:rsid w:val="00EB55B4"/>
    <w:rsid w:val="00EB71F3"/>
    <w:rsid w:val="00EB7718"/>
    <w:rsid w:val="00EB7A47"/>
    <w:rsid w:val="00EB7E16"/>
    <w:rsid w:val="00EC1960"/>
    <w:rsid w:val="00EC240F"/>
    <w:rsid w:val="00EC3D39"/>
    <w:rsid w:val="00EC55D6"/>
    <w:rsid w:val="00EC5665"/>
    <w:rsid w:val="00EC56C7"/>
    <w:rsid w:val="00EC5E27"/>
    <w:rsid w:val="00EC5E2B"/>
    <w:rsid w:val="00EC6660"/>
    <w:rsid w:val="00EC69DC"/>
    <w:rsid w:val="00EC6CA2"/>
    <w:rsid w:val="00EC6D7E"/>
    <w:rsid w:val="00EC787F"/>
    <w:rsid w:val="00EC7C21"/>
    <w:rsid w:val="00ED1C66"/>
    <w:rsid w:val="00ED32D3"/>
    <w:rsid w:val="00ED4E6A"/>
    <w:rsid w:val="00ED504A"/>
    <w:rsid w:val="00ED5889"/>
    <w:rsid w:val="00ED58EC"/>
    <w:rsid w:val="00ED628B"/>
    <w:rsid w:val="00ED645B"/>
    <w:rsid w:val="00ED7C53"/>
    <w:rsid w:val="00EE0940"/>
    <w:rsid w:val="00EE0CC1"/>
    <w:rsid w:val="00EE0F4D"/>
    <w:rsid w:val="00EE11CE"/>
    <w:rsid w:val="00EE22A1"/>
    <w:rsid w:val="00EE2C0C"/>
    <w:rsid w:val="00EE3961"/>
    <w:rsid w:val="00EE4383"/>
    <w:rsid w:val="00EE46FA"/>
    <w:rsid w:val="00EE586F"/>
    <w:rsid w:val="00EE5EB9"/>
    <w:rsid w:val="00EE62BE"/>
    <w:rsid w:val="00EE6671"/>
    <w:rsid w:val="00EE7642"/>
    <w:rsid w:val="00EF195E"/>
    <w:rsid w:val="00EF1A7E"/>
    <w:rsid w:val="00EF3120"/>
    <w:rsid w:val="00EF34F6"/>
    <w:rsid w:val="00EF3A8D"/>
    <w:rsid w:val="00EF4B8F"/>
    <w:rsid w:val="00EF5052"/>
    <w:rsid w:val="00EF5D53"/>
    <w:rsid w:val="00EF6133"/>
    <w:rsid w:val="00EF6BE1"/>
    <w:rsid w:val="00F021FE"/>
    <w:rsid w:val="00F02711"/>
    <w:rsid w:val="00F02E6B"/>
    <w:rsid w:val="00F0305F"/>
    <w:rsid w:val="00F0342C"/>
    <w:rsid w:val="00F03596"/>
    <w:rsid w:val="00F03B3C"/>
    <w:rsid w:val="00F0427C"/>
    <w:rsid w:val="00F048FD"/>
    <w:rsid w:val="00F04BFB"/>
    <w:rsid w:val="00F05A12"/>
    <w:rsid w:val="00F0612C"/>
    <w:rsid w:val="00F06270"/>
    <w:rsid w:val="00F06DA6"/>
    <w:rsid w:val="00F06F4F"/>
    <w:rsid w:val="00F07572"/>
    <w:rsid w:val="00F07E32"/>
    <w:rsid w:val="00F10036"/>
    <w:rsid w:val="00F1012F"/>
    <w:rsid w:val="00F103FC"/>
    <w:rsid w:val="00F11C1F"/>
    <w:rsid w:val="00F11F67"/>
    <w:rsid w:val="00F126CA"/>
    <w:rsid w:val="00F13275"/>
    <w:rsid w:val="00F135F7"/>
    <w:rsid w:val="00F13611"/>
    <w:rsid w:val="00F13C42"/>
    <w:rsid w:val="00F13FC1"/>
    <w:rsid w:val="00F14102"/>
    <w:rsid w:val="00F1410C"/>
    <w:rsid w:val="00F1523F"/>
    <w:rsid w:val="00F15279"/>
    <w:rsid w:val="00F15A8B"/>
    <w:rsid w:val="00F15C6F"/>
    <w:rsid w:val="00F16329"/>
    <w:rsid w:val="00F16DA6"/>
    <w:rsid w:val="00F171B9"/>
    <w:rsid w:val="00F1779B"/>
    <w:rsid w:val="00F20384"/>
    <w:rsid w:val="00F22278"/>
    <w:rsid w:val="00F224B8"/>
    <w:rsid w:val="00F2257E"/>
    <w:rsid w:val="00F246A4"/>
    <w:rsid w:val="00F24F65"/>
    <w:rsid w:val="00F2525A"/>
    <w:rsid w:val="00F26118"/>
    <w:rsid w:val="00F26735"/>
    <w:rsid w:val="00F267F2"/>
    <w:rsid w:val="00F26E5D"/>
    <w:rsid w:val="00F2719D"/>
    <w:rsid w:val="00F271F9"/>
    <w:rsid w:val="00F2744B"/>
    <w:rsid w:val="00F27452"/>
    <w:rsid w:val="00F2773C"/>
    <w:rsid w:val="00F27D87"/>
    <w:rsid w:val="00F304AE"/>
    <w:rsid w:val="00F30932"/>
    <w:rsid w:val="00F30A65"/>
    <w:rsid w:val="00F30F68"/>
    <w:rsid w:val="00F319EE"/>
    <w:rsid w:val="00F31BEC"/>
    <w:rsid w:val="00F32736"/>
    <w:rsid w:val="00F32E5F"/>
    <w:rsid w:val="00F32F52"/>
    <w:rsid w:val="00F346EA"/>
    <w:rsid w:val="00F352CF"/>
    <w:rsid w:val="00F36956"/>
    <w:rsid w:val="00F3745E"/>
    <w:rsid w:val="00F4006E"/>
    <w:rsid w:val="00F4025E"/>
    <w:rsid w:val="00F40D9E"/>
    <w:rsid w:val="00F411EE"/>
    <w:rsid w:val="00F4280F"/>
    <w:rsid w:val="00F43437"/>
    <w:rsid w:val="00F43EDA"/>
    <w:rsid w:val="00F4404A"/>
    <w:rsid w:val="00F45CA7"/>
    <w:rsid w:val="00F45DE1"/>
    <w:rsid w:val="00F464A3"/>
    <w:rsid w:val="00F46D46"/>
    <w:rsid w:val="00F47B81"/>
    <w:rsid w:val="00F47C88"/>
    <w:rsid w:val="00F50084"/>
    <w:rsid w:val="00F502FC"/>
    <w:rsid w:val="00F50743"/>
    <w:rsid w:val="00F5119B"/>
    <w:rsid w:val="00F51A18"/>
    <w:rsid w:val="00F51F58"/>
    <w:rsid w:val="00F51F7A"/>
    <w:rsid w:val="00F529E8"/>
    <w:rsid w:val="00F529F9"/>
    <w:rsid w:val="00F53AE2"/>
    <w:rsid w:val="00F5457B"/>
    <w:rsid w:val="00F54EA9"/>
    <w:rsid w:val="00F552EA"/>
    <w:rsid w:val="00F55A3A"/>
    <w:rsid w:val="00F55E8B"/>
    <w:rsid w:val="00F56C08"/>
    <w:rsid w:val="00F57591"/>
    <w:rsid w:val="00F60736"/>
    <w:rsid w:val="00F614BB"/>
    <w:rsid w:val="00F634A6"/>
    <w:rsid w:val="00F63872"/>
    <w:rsid w:val="00F63DB9"/>
    <w:rsid w:val="00F63FB1"/>
    <w:rsid w:val="00F64C0B"/>
    <w:rsid w:val="00F64CCD"/>
    <w:rsid w:val="00F64DD3"/>
    <w:rsid w:val="00F65430"/>
    <w:rsid w:val="00F6553A"/>
    <w:rsid w:val="00F6572C"/>
    <w:rsid w:val="00F65CE3"/>
    <w:rsid w:val="00F6617A"/>
    <w:rsid w:val="00F6643A"/>
    <w:rsid w:val="00F669A2"/>
    <w:rsid w:val="00F6752D"/>
    <w:rsid w:val="00F675D1"/>
    <w:rsid w:val="00F6781A"/>
    <w:rsid w:val="00F67B6C"/>
    <w:rsid w:val="00F67E36"/>
    <w:rsid w:val="00F709EA"/>
    <w:rsid w:val="00F71644"/>
    <w:rsid w:val="00F71891"/>
    <w:rsid w:val="00F736F9"/>
    <w:rsid w:val="00F75081"/>
    <w:rsid w:val="00F75B39"/>
    <w:rsid w:val="00F8028E"/>
    <w:rsid w:val="00F80418"/>
    <w:rsid w:val="00F81F2A"/>
    <w:rsid w:val="00F82E60"/>
    <w:rsid w:val="00F82F87"/>
    <w:rsid w:val="00F830CB"/>
    <w:rsid w:val="00F83F98"/>
    <w:rsid w:val="00F84654"/>
    <w:rsid w:val="00F8465E"/>
    <w:rsid w:val="00F848C5"/>
    <w:rsid w:val="00F85087"/>
    <w:rsid w:val="00F85881"/>
    <w:rsid w:val="00F876E7"/>
    <w:rsid w:val="00F87F12"/>
    <w:rsid w:val="00F916A6"/>
    <w:rsid w:val="00F91B3A"/>
    <w:rsid w:val="00F93653"/>
    <w:rsid w:val="00F940A8"/>
    <w:rsid w:val="00F948C6"/>
    <w:rsid w:val="00F9516F"/>
    <w:rsid w:val="00F951A9"/>
    <w:rsid w:val="00F95212"/>
    <w:rsid w:val="00F96255"/>
    <w:rsid w:val="00FA13CC"/>
    <w:rsid w:val="00FA18D5"/>
    <w:rsid w:val="00FA29F2"/>
    <w:rsid w:val="00FA3108"/>
    <w:rsid w:val="00FA382D"/>
    <w:rsid w:val="00FA3F8D"/>
    <w:rsid w:val="00FA4849"/>
    <w:rsid w:val="00FA506D"/>
    <w:rsid w:val="00FA55AE"/>
    <w:rsid w:val="00FA5853"/>
    <w:rsid w:val="00FA5B27"/>
    <w:rsid w:val="00FA5C1D"/>
    <w:rsid w:val="00FA679F"/>
    <w:rsid w:val="00FA6A43"/>
    <w:rsid w:val="00FB00E9"/>
    <w:rsid w:val="00FB098F"/>
    <w:rsid w:val="00FB0A72"/>
    <w:rsid w:val="00FB0C89"/>
    <w:rsid w:val="00FB1EF3"/>
    <w:rsid w:val="00FB2363"/>
    <w:rsid w:val="00FB2C35"/>
    <w:rsid w:val="00FB2D78"/>
    <w:rsid w:val="00FB3881"/>
    <w:rsid w:val="00FB3DB1"/>
    <w:rsid w:val="00FB5287"/>
    <w:rsid w:val="00FB564D"/>
    <w:rsid w:val="00FB61BA"/>
    <w:rsid w:val="00FC0711"/>
    <w:rsid w:val="00FC1972"/>
    <w:rsid w:val="00FC2486"/>
    <w:rsid w:val="00FC352C"/>
    <w:rsid w:val="00FC3B98"/>
    <w:rsid w:val="00FC3DBF"/>
    <w:rsid w:val="00FC498B"/>
    <w:rsid w:val="00FC5124"/>
    <w:rsid w:val="00FC6102"/>
    <w:rsid w:val="00FC68A1"/>
    <w:rsid w:val="00FC7737"/>
    <w:rsid w:val="00FC7AF5"/>
    <w:rsid w:val="00FD02ED"/>
    <w:rsid w:val="00FD046B"/>
    <w:rsid w:val="00FD0F7D"/>
    <w:rsid w:val="00FD1F78"/>
    <w:rsid w:val="00FD203D"/>
    <w:rsid w:val="00FD2845"/>
    <w:rsid w:val="00FD2DBA"/>
    <w:rsid w:val="00FD3126"/>
    <w:rsid w:val="00FD38C9"/>
    <w:rsid w:val="00FD5398"/>
    <w:rsid w:val="00FD56BA"/>
    <w:rsid w:val="00FD6DF2"/>
    <w:rsid w:val="00FD758A"/>
    <w:rsid w:val="00FD7B3E"/>
    <w:rsid w:val="00FD7CE0"/>
    <w:rsid w:val="00FE03B6"/>
    <w:rsid w:val="00FE0CAF"/>
    <w:rsid w:val="00FE16DE"/>
    <w:rsid w:val="00FE1E26"/>
    <w:rsid w:val="00FE2C94"/>
    <w:rsid w:val="00FE3410"/>
    <w:rsid w:val="00FE34BB"/>
    <w:rsid w:val="00FE419A"/>
    <w:rsid w:val="00FE4483"/>
    <w:rsid w:val="00FE449B"/>
    <w:rsid w:val="00FE59DE"/>
    <w:rsid w:val="00FE5A4F"/>
    <w:rsid w:val="00FE71C3"/>
    <w:rsid w:val="00FE722D"/>
    <w:rsid w:val="00FE751E"/>
    <w:rsid w:val="00FE7B10"/>
    <w:rsid w:val="00FF08B3"/>
    <w:rsid w:val="00FF1097"/>
    <w:rsid w:val="00FF1583"/>
    <w:rsid w:val="00FF1A06"/>
    <w:rsid w:val="00FF3984"/>
    <w:rsid w:val="00FF4178"/>
    <w:rsid w:val="00FF42F8"/>
    <w:rsid w:val="00FF46E7"/>
    <w:rsid w:val="00FF48E1"/>
    <w:rsid w:val="00FF5DED"/>
    <w:rsid w:val="00FF5ED3"/>
    <w:rsid w:val="00FF64AE"/>
    <w:rsid w:val="00FF6A6F"/>
    <w:rsid w:val="00FF7805"/>
    <w:rsid w:val="00FF7834"/>
    <w:rsid w:val="00FF78EB"/>
    <w:rsid w:val="04976BA6"/>
    <w:rsid w:val="13C64A51"/>
    <w:rsid w:val="18017D07"/>
    <w:rsid w:val="1DCF6063"/>
    <w:rsid w:val="278F17C6"/>
    <w:rsid w:val="3204103D"/>
    <w:rsid w:val="37941532"/>
    <w:rsid w:val="3A873B57"/>
    <w:rsid w:val="4B775281"/>
    <w:rsid w:val="5B363143"/>
    <w:rsid w:val="70AB32FA"/>
    <w:rsid w:val="7AB21424"/>
    <w:rsid w:val="7FD466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158770A3"/>
  <w14:defaultImageDpi w14:val="32767"/>
  <w15:docId w15:val="{8121EA35-9712-4297-9D5A-149075350E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宋体" w:eastAsia="宋体" w:hAnsi="宋体" w:cs="宋体"/>
      <w:sz w:val="24"/>
      <w:szCs w:val="24"/>
    </w:rPr>
  </w:style>
  <w:style w:type="paragraph" w:styleId="1">
    <w:name w:val="heading 1"/>
    <w:basedOn w:val="a"/>
    <w:link w:val="10"/>
    <w:uiPriority w:val="9"/>
    <w:qFormat/>
    <w:pPr>
      <w:spacing w:before="100" w:beforeAutospacing="1" w:after="100" w:afterAutospacing="1"/>
      <w:outlineLvl w:val="0"/>
    </w:pPr>
    <w:rPr>
      <w:b/>
      <w:bCs/>
      <w:kern w:val="36"/>
      <w:sz w:val="48"/>
      <w:szCs w:val="48"/>
    </w:rPr>
  </w:style>
  <w:style w:type="paragraph" w:styleId="2">
    <w:name w:val="heading 2"/>
    <w:basedOn w:val="a"/>
    <w:link w:val="20"/>
    <w:uiPriority w:val="9"/>
    <w:qFormat/>
    <w:pPr>
      <w:spacing w:before="100" w:beforeAutospacing="1" w:after="100" w:afterAutospacing="1"/>
      <w:outlineLvl w:val="1"/>
    </w:pPr>
    <w:rPr>
      <w:b/>
      <w:bCs/>
      <w:sz w:val="36"/>
      <w:szCs w:val="36"/>
    </w:rPr>
  </w:style>
  <w:style w:type="paragraph" w:styleId="3">
    <w:name w:val="heading 3"/>
    <w:basedOn w:val="a"/>
    <w:next w:val="a"/>
    <w:link w:val="30"/>
    <w:uiPriority w:val="9"/>
    <w:semiHidden/>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style>
  <w:style w:type="paragraph" w:styleId="a5">
    <w:name w:val="Balloon Text"/>
    <w:basedOn w:val="a"/>
    <w:link w:val="a6"/>
    <w:uiPriority w:val="99"/>
    <w:semiHidden/>
    <w:unhideWhenUsed/>
    <w:qFormat/>
    <w:rPr>
      <w:sz w:val="18"/>
      <w:szCs w:val="18"/>
    </w:rPr>
  </w:style>
  <w:style w:type="paragraph" w:styleId="a7">
    <w:name w:val="footer"/>
    <w:basedOn w:val="a"/>
    <w:link w:val="a8"/>
    <w:uiPriority w:val="99"/>
    <w:unhideWhenUsed/>
    <w:qFormat/>
    <w:pPr>
      <w:tabs>
        <w:tab w:val="center" w:pos="4153"/>
        <w:tab w:val="right" w:pos="8306"/>
      </w:tabs>
      <w:snapToGrid w:val="0"/>
    </w:pPr>
    <w:rPr>
      <w:sz w:val="18"/>
      <w:szCs w:val="18"/>
    </w:rPr>
  </w:style>
  <w:style w:type="paragraph" w:styleId="a9">
    <w:name w:val="header"/>
    <w:basedOn w:val="a"/>
    <w:link w:val="aa"/>
    <w:uiPriority w:val="99"/>
    <w:unhideWhenUsed/>
    <w:qFormat/>
    <w:pPr>
      <w:pBdr>
        <w:bottom w:val="single" w:sz="6" w:space="1" w:color="auto"/>
      </w:pBdr>
      <w:tabs>
        <w:tab w:val="center" w:pos="4153"/>
        <w:tab w:val="right" w:pos="8306"/>
      </w:tabs>
      <w:snapToGrid w:val="0"/>
      <w:jc w:val="center"/>
    </w:pPr>
    <w:rPr>
      <w:sz w:val="18"/>
      <w:szCs w:val="18"/>
    </w:rPr>
  </w:style>
  <w:style w:type="paragraph" w:styleId="ab">
    <w:name w:val="annotation subject"/>
    <w:basedOn w:val="a3"/>
    <w:next w:val="a3"/>
    <w:link w:val="ac"/>
    <w:uiPriority w:val="99"/>
    <w:semiHidden/>
    <w:unhideWhenUsed/>
    <w:qFormat/>
    <w:rPr>
      <w:b/>
      <w:bCs/>
    </w:rPr>
  </w:style>
  <w:style w:type="table" w:styleId="ad">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trong"/>
    <w:basedOn w:val="a0"/>
    <w:uiPriority w:val="22"/>
    <w:qFormat/>
    <w:rPr>
      <w:b/>
      <w:bCs/>
    </w:rPr>
  </w:style>
  <w:style w:type="character" w:styleId="af">
    <w:name w:val="line number"/>
    <w:basedOn w:val="a0"/>
    <w:uiPriority w:val="99"/>
    <w:semiHidden/>
    <w:unhideWhenUsed/>
    <w:qFormat/>
  </w:style>
  <w:style w:type="character" w:styleId="af0">
    <w:name w:val="Hyperlink"/>
    <w:basedOn w:val="a0"/>
    <w:uiPriority w:val="99"/>
    <w:unhideWhenUsed/>
    <w:qFormat/>
    <w:rPr>
      <w:color w:val="0000FF"/>
      <w:u w:val="single"/>
    </w:rPr>
  </w:style>
  <w:style w:type="character" w:styleId="af1">
    <w:name w:val="annotation reference"/>
    <w:basedOn w:val="a0"/>
    <w:uiPriority w:val="99"/>
    <w:semiHidden/>
    <w:unhideWhenUsed/>
    <w:qFormat/>
    <w:rPr>
      <w:sz w:val="21"/>
      <w:szCs w:val="21"/>
    </w:rPr>
  </w:style>
  <w:style w:type="character" w:styleId="af2">
    <w:name w:val="footnote reference"/>
    <w:basedOn w:val="a0"/>
    <w:uiPriority w:val="99"/>
    <w:semiHidden/>
    <w:unhideWhenUsed/>
    <w:qFormat/>
    <w:rPr>
      <w:vertAlign w:val="superscript"/>
    </w:rPr>
  </w:style>
  <w:style w:type="character" w:customStyle="1" w:styleId="aa">
    <w:name w:val="页眉 字符"/>
    <w:basedOn w:val="a0"/>
    <w:link w:val="a9"/>
    <w:uiPriority w:val="99"/>
    <w:qFormat/>
    <w:rPr>
      <w:sz w:val="18"/>
      <w:szCs w:val="18"/>
    </w:rPr>
  </w:style>
  <w:style w:type="character" w:customStyle="1" w:styleId="a8">
    <w:name w:val="页脚 字符"/>
    <w:basedOn w:val="a0"/>
    <w:link w:val="a7"/>
    <w:uiPriority w:val="99"/>
    <w:qFormat/>
    <w:rPr>
      <w:sz w:val="18"/>
      <w:szCs w:val="18"/>
    </w:rPr>
  </w:style>
  <w:style w:type="paragraph" w:styleId="af3">
    <w:name w:val="List Paragraph"/>
    <w:basedOn w:val="a"/>
    <w:uiPriority w:val="34"/>
    <w:qFormat/>
    <w:pPr>
      <w:ind w:firstLineChars="200" w:firstLine="420"/>
    </w:pPr>
  </w:style>
  <w:style w:type="character" w:customStyle="1" w:styleId="a6">
    <w:name w:val="批注框文本 字符"/>
    <w:basedOn w:val="a0"/>
    <w:link w:val="a5"/>
    <w:uiPriority w:val="99"/>
    <w:semiHidden/>
    <w:qFormat/>
    <w:rPr>
      <w:sz w:val="18"/>
      <w:szCs w:val="18"/>
    </w:rPr>
  </w:style>
  <w:style w:type="character" w:customStyle="1" w:styleId="a4">
    <w:name w:val="批注文字 字符"/>
    <w:basedOn w:val="a0"/>
    <w:link w:val="a3"/>
    <w:uiPriority w:val="99"/>
    <w:semiHidden/>
    <w:qFormat/>
  </w:style>
  <w:style w:type="character" w:customStyle="1" w:styleId="ac">
    <w:name w:val="批注主题 字符"/>
    <w:basedOn w:val="a4"/>
    <w:link w:val="ab"/>
    <w:uiPriority w:val="99"/>
    <w:semiHidden/>
    <w:qFormat/>
    <w:rPr>
      <w:b/>
      <w:bCs/>
    </w:rPr>
  </w:style>
  <w:style w:type="table" w:customStyle="1" w:styleId="11">
    <w:name w:val="网格型1"/>
    <w:basedOn w:val="a1"/>
    <w:uiPriority w:val="39"/>
    <w:qFormat/>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修订1"/>
    <w:hidden/>
    <w:uiPriority w:val="99"/>
    <w:semiHidden/>
    <w:qFormat/>
    <w:rPr>
      <w:kern w:val="2"/>
      <w:sz w:val="21"/>
      <w:szCs w:val="22"/>
    </w:rPr>
  </w:style>
  <w:style w:type="character" w:customStyle="1" w:styleId="text">
    <w:name w:val="text"/>
    <w:basedOn w:val="a0"/>
    <w:qFormat/>
  </w:style>
  <w:style w:type="character" w:customStyle="1" w:styleId="20">
    <w:name w:val="标题 2 字符"/>
    <w:basedOn w:val="a0"/>
    <w:link w:val="2"/>
    <w:uiPriority w:val="9"/>
    <w:qFormat/>
    <w:rPr>
      <w:rFonts w:ascii="宋体" w:eastAsia="宋体" w:hAnsi="宋体" w:cs="宋体"/>
      <w:b/>
      <w:bCs/>
      <w:kern w:val="0"/>
      <w:sz w:val="36"/>
      <w:szCs w:val="36"/>
    </w:rPr>
  </w:style>
  <w:style w:type="character" w:customStyle="1" w:styleId="30">
    <w:name w:val="标题 3 字符"/>
    <w:basedOn w:val="a0"/>
    <w:link w:val="3"/>
    <w:uiPriority w:val="9"/>
    <w:semiHidden/>
    <w:qFormat/>
    <w:rPr>
      <w:b/>
      <w:bCs/>
      <w:sz w:val="32"/>
      <w:szCs w:val="32"/>
    </w:rPr>
  </w:style>
  <w:style w:type="character" w:customStyle="1" w:styleId="10">
    <w:name w:val="标题 1 字符"/>
    <w:basedOn w:val="a0"/>
    <w:link w:val="1"/>
    <w:uiPriority w:val="9"/>
    <w:qFormat/>
    <w:rPr>
      <w:rFonts w:ascii="宋体" w:eastAsia="宋体" w:hAnsi="宋体" w:cs="宋体"/>
      <w:b/>
      <w:bCs/>
      <w:kern w:val="36"/>
      <w:sz w:val="48"/>
      <w:szCs w:val="48"/>
    </w:rPr>
  </w:style>
  <w:style w:type="character" w:customStyle="1" w:styleId="13">
    <w:name w:val="未处理的提及1"/>
    <w:basedOn w:val="a0"/>
    <w:uiPriority w:val="99"/>
    <w:semiHidden/>
    <w:unhideWhenUsed/>
    <w:qFormat/>
    <w:rPr>
      <w:color w:val="605E5C"/>
      <w:shd w:val="clear" w:color="auto" w:fill="E1DFDD"/>
    </w:rPr>
  </w:style>
  <w:style w:type="character" w:customStyle="1" w:styleId="21">
    <w:name w:val="未处理的提及2"/>
    <w:basedOn w:val="a0"/>
    <w:uiPriority w:val="99"/>
    <w:semiHidden/>
    <w:unhideWhenUsed/>
    <w:qFormat/>
    <w:rPr>
      <w:color w:val="605E5C"/>
      <w:shd w:val="clear" w:color="auto" w:fill="E1DFDD"/>
    </w:rPr>
  </w:style>
  <w:style w:type="paragraph" w:customStyle="1" w:styleId="MDPI17abstract">
    <w:name w:val="MDPI_1.7_abstract"/>
    <w:next w:val="a"/>
    <w:autoRedefine/>
    <w:qFormat/>
    <w:rsid w:val="007B5B01"/>
    <w:pPr>
      <w:adjustRightInd w:val="0"/>
      <w:snapToGrid w:val="0"/>
      <w:spacing w:line="260" w:lineRule="atLeast"/>
      <w:ind w:firstLineChars="200" w:firstLine="360"/>
      <w:jc w:val="both"/>
    </w:pPr>
    <w:rPr>
      <w:rFonts w:ascii="Palatino Linotype" w:eastAsia="Times New Roman" w:hAnsi="Palatino Linotype" w:cs="Times New Roman"/>
      <w:color w:val="000000"/>
      <w:sz w:val="18"/>
      <w:szCs w:val="22"/>
      <w:lang w:eastAsia="de-DE" w:bidi="en-US"/>
    </w:rPr>
  </w:style>
  <w:style w:type="paragraph" w:styleId="af4">
    <w:name w:val="Bibliography"/>
    <w:basedOn w:val="a"/>
    <w:next w:val="a"/>
    <w:uiPriority w:val="37"/>
    <w:unhideWhenUsed/>
    <w:rsid w:val="005C4407"/>
    <w:pPr>
      <w:tabs>
        <w:tab w:val="left" w:pos="384"/>
      </w:tabs>
      <w:spacing w:line="480" w:lineRule="auto"/>
      <w:ind w:left="384" w:hanging="3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wmf"/><Relationship Id="rId26" Type="http://schemas.openxmlformats.org/officeDocument/2006/relationships/image" Target="media/image10.wmf"/><Relationship Id="rId39" Type="http://schemas.openxmlformats.org/officeDocument/2006/relationships/oleObject" Target="embeddings/oleObject16.bin"/><Relationship Id="rId21" Type="http://schemas.openxmlformats.org/officeDocument/2006/relationships/oleObject" Target="embeddings/oleObject7.bin"/><Relationship Id="rId34" Type="http://schemas.openxmlformats.org/officeDocument/2006/relationships/image" Target="media/image14.wmf"/><Relationship Id="rId42" Type="http://schemas.openxmlformats.org/officeDocument/2006/relationships/image" Target="media/image18.wmf"/><Relationship Id="rId47" Type="http://schemas.openxmlformats.org/officeDocument/2006/relationships/oleObject" Target="embeddings/oleObject20.bin"/><Relationship Id="rId50" Type="http://schemas.openxmlformats.org/officeDocument/2006/relationships/image" Target="media/image22.wmf"/><Relationship Id="rId55" Type="http://schemas.openxmlformats.org/officeDocument/2006/relationships/image" Target="media/image25.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wmf"/><Relationship Id="rId29" Type="http://schemas.openxmlformats.org/officeDocument/2006/relationships/oleObject" Target="embeddings/oleObject11.bin"/><Relationship Id="rId11" Type="http://schemas.openxmlformats.org/officeDocument/2006/relationships/oleObject" Target="embeddings/oleObject2.bin"/><Relationship Id="rId24" Type="http://schemas.openxmlformats.org/officeDocument/2006/relationships/image" Target="media/image9.wmf"/><Relationship Id="rId32" Type="http://schemas.openxmlformats.org/officeDocument/2006/relationships/image" Target="media/image13.wmf"/><Relationship Id="rId37" Type="http://schemas.openxmlformats.org/officeDocument/2006/relationships/oleObject" Target="embeddings/oleObject15.bin"/><Relationship Id="rId40" Type="http://schemas.openxmlformats.org/officeDocument/2006/relationships/image" Target="media/image17.wmf"/><Relationship Id="rId45" Type="http://schemas.openxmlformats.org/officeDocument/2006/relationships/oleObject" Target="embeddings/oleObject19.bin"/><Relationship Id="rId53" Type="http://schemas.openxmlformats.org/officeDocument/2006/relationships/oleObject" Target="embeddings/oleObject23.bin"/><Relationship Id="rId58" Type="http://schemas.openxmlformats.org/officeDocument/2006/relationships/image" Target="media/image28.tiff"/><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oleObject" Target="embeddings/oleObject6.bin"/><Relationship Id="rId14" Type="http://schemas.openxmlformats.org/officeDocument/2006/relationships/image" Target="media/image4.wmf"/><Relationship Id="rId22" Type="http://schemas.openxmlformats.org/officeDocument/2006/relationships/image" Target="media/image8.wmf"/><Relationship Id="rId27" Type="http://schemas.openxmlformats.org/officeDocument/2006/relationships/oleObject" Target="embeddings/oleObject10.bin"/><Relationship Id="rId30" Type="http://schemas.openxmlformats.org/officeDocument/2006/relationships/image" Target="media/image12.wmf"/><Relationship Id="rId35" Type="http://schemas.openxmlformats.org/officeDocument/2006/relationships/oleObject" Target="embeddings/oleObject14.bin"/><Relationship Id="rId43" Type="http://schemas.openxmlformats.org/officeDocument/2006/relationships/oleObject" Target="embeddings/oleObject18.bin"/><Relationship Id="rId48" Type="http://schemas.openxmlformats.org/officeDocument/2006/relationships/image" Target="media/image21.wmf"/><Relationship Id="rId56" Type="http://schemas.openxmlformats.org/officeDocument/2006/relationships/image" Target="media/image26.tiff"/><Relationship Id="rId8" Type="http://schemas.openxmlformats.org/officeDocument/2006/relationships/image" Target="media/image1.wmf"/><Relationship Id="rId51" Type="http://schemas.openxmlformats.org/officeDocument/2006/relationships/oleObject" Target="embeddings/oleObject22.bin"/><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6.wmf"/><Relationship Id="rId46" Type="http://schemas.openxmlformats.org/officeDocument/2006/relationships/image" Target="media/image20.wmf"/><Relationship Id="rId59" Type="http://schemas.openxmlformats.org/officeDocument/2006/relationships/footer" Target="footer1.xml"/><Relationship Id="rId20" Type="http://schemas.openxmlformats.org/officeDocument/2006/relationships/image" Target="media/image7.wmf"/><Relationship Id="rId41" Type="http://schemas.openxmlformats.org/officeDocument/2006/relationships/oleObject" Target="embeddings/oleObject17.bin"/><Relationship Id="rId54" Type="http://schemas.openxmlformats.org/officeDocument/2006/relationships/image" Target="media/image24.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wmf"/><Relationship Id="rId36" Type="http://schemas.openxmlformats.org/officeDocument/2006/relationships/image" Target="media/image15.wmf"/><Relationship Id="rId49" Type="http://schemas.openxmlformats.org/officeDocument/2006/relationships/oleObject" Target="embeddings/oleObject21.bin"/><Relationship Id="rId57" Type="http://schemas.openxmlformats.org/officeDocument/2006/relationships/image" Target="media/image27.tiff"/><Relationship Id="rId10" Type="http://schemas.openxmlformats.org/officeDocument/2006/relationships/image" Target="media/image2.wmf"/><Relationship Id="rId31" Type="http://schemas.openxmlformats.org/officeDocument/2006/relationships/oleObject" Target="embeddings/oleObject12.bin"/><Relationship Id="rId44" Type="http://schemas.openxmlformats.org/officeDocument/2006/relationships/image" Target="media/image19.wmf"/><Relationship Id="rId52" Type="http://schemas.openxmlformats.org/officeDocument/2006/relationships/image" Target="media/image23.w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FCF7ED-692C-4AF2-AA55-2E3DA531A6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TotalTime>
  <Pages>19</Pages>
  <Words>19523</Words>
  <Characters>111287</Characters>
  <Application>Microsoft Office Word</Application>
  <DocSecurity>0</DocSecurity>
  <Lines>927</Lines>
  <Paragraphs>261</Paragraphs>
  <ScaleCrop>false</ScaleCrop>
  <Company/>
  <LinksUpToDate>false</LinksUpToDate>
  <CharactersWithSpaces>130549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ran penglai</dc:creator>
  <cp:lastModifiedBy>Administrator</cp:lastModifiedBy>
  <cp:revision>45</cp:revision>
  <dcterms:created xsi:type="dcterms:W3CDTF">2024-06-05T13:24:00Z</dcterms:created>
  <dcterms:modified xsi:type="dcterms:W3CDTF">2025-03-26T03:43:00Z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DE27A22E7E7B46F1A9A6DFD259E716DA_12</vt:lpwstr>
  </property>
  <property fmtid="{D5CDD505-2E9C-101B-9397-08002B2CF9AE}" pid="4" name="ZOTERO_PREF_1">
    <vt:lpwstr>&lt;data data-version="3" zotero-version="6.0.36"&gt;&lt;session id="XUHWwCW8"/&gt;&lt;style id="http://www.zotero.org/styles/scientific-reports" hasBibliography="1" bibliographyStyleHasBeenSet="1"/&gt;&lt;prefs&gt;&lt;pref name="fieldType" value="Field"/&gt;&lt;/prefs&gt;&lt;/data&gt;</vt:lpwstr>
  </property>
</Properties>
</file>