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75C2FA" w14:textId="77777777" w:rsidR="007D2857" w:rsidRDefault="007D2857" w:rsidP="007D2857">
      <w:bookmarkStart w:id="0" w:name="_GoBack"/>
      <w:r>
        <w:t xml:space="preserve">Table S1. </w:t>
      </w:r>
      <w:r w:rsidRPr="00802589">
        <w:rPr>
          <w:rFonts w:ascii="Calibri" w:eastAsia="Times New Roman" w:hAnsi="Calibri" w:cs="Calibri"/>
          <w:sz w:val="24"/>
          <w:szCs w:val="24"/>
          <w:lang w:eastAsia="en-GB" w:bidi="he-IL"/>
        </w:rPr>
        <w:t>Estimated parameter values (median and quantiles)</w:t>
      </w:r>
      <w:r>
        <w:rPr>
          <w:rFonts w:ascii="Calibri" w:eastAsia="Times New Roman" w:hAnsi="Calibri" w:cs="Calibri"/>
          <w:sz w:val="24"/>
          <w:szCs w:val="24"/>
          <w:lang w:eastAsia="en-GB" w:bidi="he-IL"/>
        </w:rPr>
        <w:t xml:space="preserve"> for parameter sets that gave the </w:t>
      </w:r>
      <w:r w:rsidRPr="00D5308C">
        <w:rPr>
          <w:sz w:val="24"/>
          <w:szCs w:val="24"/>
        </w:rPr>
        <w:t xml:space="preserve">highest 10% of predicted overall cases in 2024 </w:t>
      </w:r>
      <w:r>
        <w:rPr>
          <w:rFonts w:ascii="Calibri" w:eastAsia="Times New Roman" w:hAnsi="Calibri" w:cs="Calibri"/>
          <w:sz w:val="24"/>
          <w:szCs w:val="24"/>
          <w:lang w:eastAsia="en-GB" w:bidi="he-IL"/>
        </w:rPr>
        <w:t>indicating a resurgence in 2024.</w:t>
      </w:r>
    </w:p>
    <w:p w14:paraId="45C5C45E" w14:textId="77777777" w:rsidR="007D2857" w:rsidRDefault="007D2857" w:rsidP="007D2857">
      <w:r w:rsidRPr="00BC271B">
        <w:rPr>
          <w:noProof/>
          <w:lang w:eastAsia="en-GB" w:bidi="he-IL"/>
        </w:rPr>
        <w:drawing>
          <wp:inline distT="0" distB="0" distL="0" distR="0" wp14:anchorId="003216AE" wp14:editId="1C9CBB53">
            <wp:extent cx="5636895" cy="1457325"/>
            <wp:effectExtent l="0" t="0" r="190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89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B11EE" w14:textId="77777777" w:rsidR="007D2857" w:rsidRDefault="007D2857" w:rsidP="007D2857"/>
    <w:p w14:paraId="76BBB1BF" w14:textId="77777777" w:rsidR="007D2857" w:rsidRDefault="007D2857" w:rsidP="007D2857">
      <w:pPr>
        <w:rPr>
          <w:rFonts w:ascii="Calibri" w:eastAsia="Times New Roman" w:hAnsi="Calibri" w:cs="Calibri"/>
          <w:sz w:val="24"/>
          <w:szCs w:val="24"/>
          <w:lang w:eastAsia="en-GB" w:bidi="he-IL"/>
        </w:rPr>
      </w:pPr>
      <w:r>
        <w:t xml:space="preserve">Table S2. </w:t>
      </w:r>
      <w:r w:rsidRPr="00802589">
        <w:rPr>
          <w:rFonts w:ascii="Calibri" w:eastAsia="Times New Roman" w:hAnsi="Calibri" w:cs="Calibri"/>
          <w:sz w:val="24"/>
          <w:szCs w:val="24"/>
          <w:lang w:eastAsia="en-GB" w:bidi="he-IL"/>
        </w:rPr>
        <w:t>Estimated parameter values (median and quantiles)</w:t>
      </w:r>
      <w:r>
        <w:rPr>
          <w:rFonts w:ascii="Calibri" w:eastAsia="Times New Roman" w:hAnsi="Calibri" w:cs="Calibri"/>
          <w:sz w:val="24"/>
          <w:szCs w:val="24"/>
          <w:lang w:eastAsia="en-GB" w:bidi="he-IL"/>
        </w:rPr>
        <w:t xml:space="preserve"> for parameter sets that gave less than one </w:t>
      </w:r>
      <w:r w:rsidRPr="00D5308C">
        <w:rPr>
          <w:sz w:val="24"/>
          <w:szCs w:val="24"/>
        </w:rPr>
        <w:t xml:space="preserve">overall case in 2024 </w:t>
      </w:r>
      <w:r>
        <w:rPr>
          <w:rFonts w:ascii="Calibri" w:eastAsia="Times New Roman" w:hAnsi="Calibri" w:cs="Calibri"/>
          <w:sz w:val="24"/>
          <w:szCs w:val="24"/>
          <w:lang w:eastAsia="en-GB" w:bidi="he-IL"/>
        </w:rPr>
        <w:t>indicating a resurgence later than 2024.</w:t>
      </w:r>
    </w:p>
    <w:p w14:paraId="199EE7DF" w14:textId="77777777" w:rsidR="007D2857" w:rsidRDefault="007D2857" w:rsidP="007D2857">
      <w:r w:rsidRPr="008D61ED">
        <w:rPr>
          <w:noProof/>
          <w:lang w:eastAsia="en-GB" w:bidi="he-IL"/>
        </w:rPr>
        <w:drawing>
          <wp:inline distT="0" distB="0" distL="0" distR="0" wp14:anchorId="43CB15C7" wp14:editId="610F451D">
            <wp:extent cx="5639435" cy="145669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435" cy="145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F37AC" w14:textId="6892EF5E" w:rsidR="009813DA" w:rsidRDefault="009813DA"/>
    <w:p w14:paraId="1DD07CB0" w14:textId="77777777" w:rsidR="009813DA" w:rsidRDefault="009813DA" w:rsidP="009813DA"/>
    <w:p w14:paraId="1554996B" w14:textId="67F5CFCC" w:rsidR="004D7485" w:rsidRDefault="004D7485" w:rsidP="009813DA"/>
    <w:p w14:paraId="246C33EF" w14:textId="464D61D7" w:rsidR="00F461EB" w:rsidRDefault="0063442F" w:rsidP="009813DA">
      <w:commentRangeStart w:id="1"/>
      <w:r>
        <w:rPr>
          <w:noProof/>
          <w:lang w:eastAsia="en-GB" w:bidi="he-IL"/>
        </w:rPr>
        <w:drawing>
          <wp:inline distT="0" distB="0" distL="0" distR="0" wp14:anchorId="7989C80A" wp14:editId="1D01895D">
            <wp:extent cx="5731510" cy="2970530"/>
            <wp:effectExtent l="0" t="0" r="2540" b="1270"/>
            <wp:docPr id="5" name="Picture 5" descr="A graph of a graph of a pers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aph of a graph of a person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commentRangeEnd w:id="1"/>
      <w:r>
        <w:rPr>
          <w:rStyle w:val="CommentReference"/>
        </w:rPr>
        <w:commentReference w:id="1"/>
      </w:r>
    </w:p>
    <w:p w14:paraId="3821CCAE" w14:textId="6ED62B34" w:rsidR="00F461EB" w:rsidRDefault="00F461EB" w:rsidP="00F461EB">
      <w:r>
        <w:lastRenderedPageBreak/>
        <w:t xml:space="preserve">Figure S1. </w:t>
      </w:r>
      <w:r w:rsidRPr="000F6912">
        <w:rPr>
          <w:rFonts w:cs="Arial"/>
        </w:rPr>
        <w:t>Model outputs for overall pertussis notifications from 2006 to 2054 under the existing aP primary and pre-school booster schedule without the reduced population mixing during the COVID-19 pandemic</w:t>
      </w:r>
      <w:r>
        <w:rPr>
          <w:rFonts w:cs="Arial"/>
        </w:rPr>
        <w:t xml:space="preserve">. A: without any drop in coverage and B: with a 10% drop in coverage for the primary and pre-school booster doses from January 2020 to December 2022. </w:t>
      </w:r>
      <w:r w:rsidRPr="000F6912">
        <w:rPr>
          <w:rFonts w:cs="Arial"/>
        </w:rPr>
        <w:t>Graphs show the median as a black line (minimum to maximum range in the pink shaded area) of the predicted annual pertussis notifications using the best fitting parameter sets from Choi et al (11).</w:t>
      </w:r>
    </w:p>
    <w:p w14:paraId="47D9357C" w14:textId="21BFB170" w:rsidR="00282970" w:rsidRDefault="00282970" w:rsidP="00693234">
      <w:r>
        <w:t xml:space="preserve">Table </w:t>
      </w:r>
      <w:r w:rsidR="00171E92">
        <w:t>S</w:t>
      </w:r>
      <w:r w:rsidR="008D61ED">
        <w:t>3</w:t>
      </w:r>
      <w:r>
        <w:t xml:space="preserve">. Medians </w:t>
      </w:r>
      <w:r w:rsidR="00693234">
        <w:t>(</w:t>
      </w:r>
      <w:r>
        <w:t xml:space="preserve">minimum </w:t>
      </w:r>
      <w:r w:rsidR="00693234">
        <w:t xml:space="preserve">to </w:t>
      </w:r>
      <w:r>
        <w:t xml:space="preserve">maximum </w:t>
      </w:r>
      <w:r w:rsidR="00693234">
        <w:t xml:space="preserve">range </w:t>
      </w:r>
      <w:r>
        <w:t>in brackets</w:t>
      </w:r>
      <w:r w:rsidR="00693234">
        <w:t>)</w:t>
      </w:r>
      <w:r>
        <w:t xml:space="preserve"> of </w:t>
      </w:r>
      <w:r w:rsidR="00F928AF">
        <w:t xml:space="preserve">notified </w:t>
      </w:r>
      <w:r w:rsidR="00C63FFA">
        <w:t xml:space="preserve">pertussis </w:t>
      </w:r>
      <w:r>
        <w:t xml:space="preserve">cases </w:t>
      </w:r>
      <w:r w:rsidR="00693234">
        <w:t xml:space="preserve">between 2015 and 2034 in England under the current vaccination schedule </w:t>
      </w:r>
      <w:r>
        <w:t xml:space="preserve">from the long-term simulation results of the pertussis transmission dynamic model by age group, with </w:t>
      </w:r>
      <w:r w:rsidRPr="00341641">
        <w:t xml:space="preserve">parameter sets that gave </w:t>
      </w:r>
      <w:r>
        <w:t xml:space="preserve">the highest 10% of predicted overall cases in 2024, and the mixing patterns adjusted according to the scaling matrix during the COVID-19 </w:t>
      </w:r>
      <w:r>
        <w:fldChar w:fldCharType="begin"/>
      </w:r>
      <w:r>
        <w:instrText xml:space="preserve"> ADDIN EN.CITE &lt;EndNote&gt;&lt;Cite&gt;&lt;Author&gt;Birrell&lt;/Author&gt;&lt;Year&gt;2021&lt;/Year&gt;&lt;RecNum&gt;357&lt;/RecNum&gt;&lt;DisplayText&gt;(12)&lt;/DisplayText&gt;&lt;record&gt;&lt;rec-number&gt;357&lt;/rec-number&gt;&lt;foreign-keys&gt;&lt;key app="EN" db-id="d2ffp5pp9dptrper0d65rf09deaadzzattrz" timestamp="1719480183"&gt;357&lt;/key&gt;&lt;/foreign-keys&gt;&lt;ref-type name="Journal Article"&gt;17&lt;/ref-type&gt;&lt;contributors&gt;&lt;authors&gt;&lt;author&gt;Birrell, Paul&lt;/author&gt;&lt;author&gt;Blake, Joshua&lt;/author&gt;&lt;author&gt;van Leeuwen, Edwin&lt;/author&gt;&lt;author&gt;Gent, Nick&lt;/author&gt;&lt;author&gt;De Angelis, Daniela&lt;/author&gt;&lt;/authors&gt;&lt;/contributors&gt;&lt;titles&gt;&lt;title&gt;Real-time nowcasting and forecasting of COVID-19 dynamics in England: the first wave&lt;/title&gt;&lt;secondary-title&gt;Philosophical Transactions of the Royal Society B: Biological Sciences&lt;/secondary-title&gt;&lt;/titles&gt;&lt;periodical&gt;&lt;full-title&gt;Philosophical Transactions of the Royal Society B: Biological Sciences&lt;/full-title&gt;&lt;/periodical&gt;&lt;pages&gt;20200279&lt;/pages&gt;&lt;volume&gt;376&lt;/volume&gt;&lt;number&gt;1829&lt;/number&gt;&lt;dates&gt;&lt;year&gt;2021&lt;/year&gt;&lt;/dates&gt;&lt;urls&gt;&lt;related-urls&gt;&lt;url&gt;https://royalsocietypublishing.org/doi/abs/10.1098/rstb.2020.0279&lt;/url&gt;&lt;/related-urls&gt;&lt;/urls&gt;&lt;electronic-resource-num&gt;doi:10.1098/rstb.2020.0279&lt;/electronic-resource-num&gt;&lt;/record&gt;&lt;/Cite&gt;&lt;/EndNote&gt;</w:instrText>
      </w:r>
      <w:r>
        <w:fldChar w:fldCharType="separate"/>
      </w:r>
      <w:r>
        <w:rPr>
          <w:noProof/>
        </w:rPr>
        <w:t>(12)</w:t>
      </w:r>
      <w:r>
        <w:fldChar w:fldCharType="end"/>
      </w:r>
      <w:r>
        <w:t xml:space="preserve"> </w:t>
      </w:r>
    </w:p>
    <w:p w14:paraId="6F2979B0" w14:textId="386AA0A2" w:rsidR="00282970" w:rsidRDefault="008D61ED">
      <w:r w:rsidRPr="008D61ED">
        <w:rPr>
          <w:noProof/>
          <w:lang w:eastAsia="en-GB" w:bidi="he-IL"/>
        </w:rPr>
        <w:drawing>
          <wp:inline distT="0" distB="0" distL="0" distR="0" wp14:anchorId="5187A201" wp14:editId="03F50E50">
            <wp:extent cx="5731510" cy="2453640"/>
            <wp:effectExtent l="0" t="0" r="254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E8E84" w14:textId="0E68F1CC" w:rsidR="009813DA" w:rsidRDefault="009813DA"/>
    <w:p w14:paraId="7226D533" w14:textId="78FA58AA" w:rsidR="00282970" w:rsidRDefault="00282970" w:rsidP="00693234">
      <w:r>
        <w:t xml:space="preserve">Table </w:t>
      </w:r>
      <w:r w:rsidR="00F928AF">
        <w:t>S</w:t>
      </w:r>
      <w:r w:rsidR="00C63FFA">
        <w:t>4</w:t>
      </w:r>
      <w:r>
        <w:t xml:space="preserve">. Medians </w:t>
      </w:r>
      <w:r w:rsidR="00693234">
        <w:t>(</w:t>
      </w:r>
      <w:r>
        <w:t xml:space="preserve">minimum </w:t>
      </w:r>
      <w:r w:rsidR="00693234">
        <w:t xml:space="preserve">to </w:t>
      </w:r>
      <w:r>
        <w:t xml:space="preserve">maximum </w:t>
      </w:r>
      <w:r w:rsidR="00693234">
        <w:t xml:space="preserve">range </w:t>
      </w:r>
      <w:r>
        <w:t>in brackets</w:t>
      </w:r>
      <w:r w:rsidR="00693234">
        <w:t>)</w:t>
      </w:r>
      <w:r>
        <w:t xml:space="preserve"> of </w:t>
      </w:r>
      <w:r w:rsidR="00134CFD">
        <w:t xml:space="preserve">notified </w:t>
      </w:r>
      <w:r w:rsidR="00C63FFA">
        <w:t xml:space="preserve">pertussis </w:t>
      </w:r>
      <w:r>
        <w:t xml:space="preserve">cases </w:t>
      </w:r>
      <w:r w:rsidR="00693234">
        <w:t xml:space="preserve">between 2015 and 2034 in England </w:t>
      </w:r>
      <w:r>
        <w:t xml:space="preserve">from the long-term simulation results of the pertussis transmission dynamic model by age group with </w:t>
      </w:r>
      <w:r w:rsidRPr="00341641">
        <w:t xml:space="preserve">parameter sets that gave </w:t>
      </w:r>
      <w:r>
        <w:t xml:space="preserve">the highest 10% of predicted overall cases in 2024, and the mixing patterns adjusted according to the scaling matrix during the COVID-19 </w:t>
      </w:r>
      <w:r>
        <w:fldChar w:fldCharType="begin"/>
      </w:r>
      <w:r>
        <w:instrText xml:space="preserve"> ADDIN EN.CITE &lt;EndNote&gt;&lt;Cite&gt;&lt;Author&gt;Birrell&lt;/Author&gt;&lt;Year&gt;2021&lt;/Year&gt;&lt;RecNum&gt;357&lt;/RecNum&gt;&lt;DisplayText&gt;(12)&lt;/DisplayText&gt;&lt;record&gt;&lt;rec-number&gt;357&lt;/rec-number&gt;&lt;foreign-keys&gt;&lt;key app="EN" db-id="d2ffp5pp9dptrper0d65rf09deaadzzattrz" timestamp="1719480183"&gt;357&lt;/key&gt;&lt;/foreign-keys&gt;&lt;ref-type name="Journal Article"&gt;17&lt;/ref-type&gt;&lt;contributors&gt;&lt;authors&gt;&lt;author&gt;Birrell, Paul&lt;/author&gt;&lt;author&gt;Blake, Joshua&lt;/author&gt;&lt;author&gt;van Leeuwen, Edwin&lt;/author&gt;&lt;author&gt;Gent, Nick&lt;/author&gt;&lt;author&gt;De Angelis, Daniela&lt;/author&gt;&lt;/authors&gt;&lt;/contributors&gt;&lt;titles&gt;&lt;title&gt;Real-time nowcasting and forecasting of COVID-19 dynamics in England: the first wave&lt;/title&gt;&lt;secondary-title&gt;Philosophical Transactions of the Royal Society B: Biological Sciences&lt;/secondary-title&gt;&lt;/titles&gt;&lt;periodical&gt;&lt;full-title&gt;Philosophical Transactions of the Royal Society B: Biological Sciences&lt;/full-title&gt;&lt;/periodical&gt;&lt;pages&gt;20200279&lt;/pages&gt;&lt;volume&gt;376&lt;/volume&gt;&lt;number&gt;1829&lt;/number&gt;&lt;dates&gt;&lt;year&gt;2021&lt;/year&gt;&lt;/dates&gt;&lt;urls&gt;&lt;related-urls&gt;&lt;url&gt;https://royalsocietypublishing.org/doi/abs/10.1098/rstb.2020.0279&lt;/url&gt;&lt;/related-urls&gt;&lt;/urls&gt;&lt;electronic-resource-num&gt;doi:10.1098/rstb.2020.0279&lt;/electronic-resource-num&gt;&lt;/record&gt;&lt;/Cite&gt;&lt;/EndNote&gt;</w:instrText>
      </w:r>
      <w:r>
        <w:fldChar w:fldCharType="separate"/>
      </w:r>
      <w:r>
        <w:rPr>
          <w:noProof/>
        </w:rPr>
        <w:t>(12)</w:t>
      </w:r>
      <w:r>
        <w:fldChar w:fldCharType="end"/>
      </w:r>
      <w:r>
        <w:t xml:space="preserve"> assuming the introduction of two </w:t>
      </w:r>
      <w:r w:rsidR="00693234">
        <w:t xml:space="preserve">additional </w:t>
      </w:r>
      <w:r>
        <w:t xml:space="preserve">booster </w:t>
      </w:r>
      <w:r w:rsidR="00693234">
        <w:t xml:space="preserve">doses </w:t>
      </w:r>
      <w:r>
        <w:t>at the age of 18 month and 14 year</w:t>
      </w:r>
      <w:r w:rsidR="00693234">
        <w:t>s</w:t>
      </w:r>
      <w:r>
        <w:t xml:space="preserve"> from the beginning of 2014.</w:t>
      </w:r>
    </w:p>
    <w:p w14:paraId="45C012DD" w14:textId="6089D2CC" w:rsidR="00282970" w:rsidRDefault="008D61ED">
      <w:r w:rsidRPr="008D61ED">
        <w:lastRenderedPageBreak/>
        <w:t xml:space="preserve"> </w:t>
      </w:r>
      <w:r w:rsidRPr="008D61ED">
        <w:rPr>
          <w:noProof/>
          <w:lang w:eastAsia="en-GB" w:bidi="he-IL"/>
        </w:rPr>
        <w:drawing>
          <wp:inline distT="0" distB="0" distL="0" distR="0" wp14:anchorId="4E200314" wp14:editId="2EACCE64">
            <wp:extent cx="5731510" cy="2701925"/>
            <wp:effectExtent l="0" t="0" r="254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5A4A9" w14:textId="77777777" w:rsidR="00522627" w:rsidRDefault="00522627">
      <w:r>
        <w:br w:type="page"/>
      </w:r>
    </w:p>
    <w:p w14:paraId="7F09B998" w14:textId="5ACF57C5" w:rsidR="00282970" w:rsidRDefault="00282970" w:rsidP="00EF5056">
      <w:r>
        <w:lastRenderedPageBreak/>
        <w:t xml:space="preserve">Table </w:t>
      </w:r>
      <w:r w:rsidR="00F928AF">
        <w:t>S</w:t>
      </w:r>
      <w:r w:rsidR="00693234">
        <w:t>5</w:t>
      </w:r>
      <w:r>
        <w:t xml:space="preserve">. Medians </w:t>
      </w:r>
      <w:r w:rsidR="00693234">
        <w:t>(</w:t>
      </w:r>
      <w:r>
        <w:t xml:space="preserve">minimum </w:t>
      </w:r>
      <w:r w:rsidR="00693234">
        <w:t xml:space="preserve">to </w:t>
      </w:r>
      <w:r>
        <w:t xml:space="preserve">maximum </w:t>
      </w:r>
      <w:r w:rsidR="00693234">
        <w:t xml:space="preserve">range </w:t>
      </w:r>
      <w:r>
        <w:t>in brackets</w:t>
      </w:r>
      <w:r w:rsidR="00693234">
        <w:t>)</w:t>
      </w:r>
      <w:r>
        <w:t xml:space="preserve"> of </w:t>
      </w:r>
      <w:r w:rsidR="00134CFD">
        <w:t xml:space="preserve">notified </w:t>
      </w:r>
      <w:r w:rsidR="00693234">
        <w:t xml:space="preserve">pertussis </w:t>
      </w:r>
      <w:r>
        <w:t xml:space="preserve">cases </w:t>
      </w:r>
      <w:r w:rsidR="00693234">
        <w:t xml:space="preserve">between 2015 and 2034 in England </w:t>
      </w:r>
      <w:r>
        <w:t xml:space="preserve">from the long-term simulation results of the pertussis transmission dynamic model by age group, with </w:t>
      </w:r>
      <w:r w:rsidRPr="00341641">
        <w:t xml:space="preserve">parameter sets that gave </w:t>
      </w:r>
      <w:r>
        <w:t xml:space="preserve">the highest 10% of predicted overall cases in 2024, in England and the mixing patterns adjusted according to the scaling matrix during the COVID-19 </w:t>
      </w:r>
      <w:r>
        <w:fldChar w:fldCharType="begin"/>
      </w:r>
      <w:r>
        <w:instrText xml:space="preserve"> ADDIN EN.CITE &lt;EndNote&gt;&lt;Cite&gt;&lt;Author&gt;Birrell&lt;/Author&gt;&lt;Year&gt;2021&lt;/Year&gt;&lt;RecNum&gt;357&lt;/RecNum&gt;&lt;DisplayText&gt;(12)&lt;/DisplayText&gt;&lt;record&gt;&lt;rec-number&gt;357&lt;/rec-number&gt;&lt;foreign-keys&gt;&lt;key app="EN" db-id="d2ffp5pp9dptrper0d65rf09deaadzzattrz" timestamp="1719480183"&gt;357&lt;/key&gt;&lt;/foreign-keys&gt;&lt;ref-type name="Journal Article"&gt;17&lt;/ref-type&gt;&lt;contributors&gt;&lt;authors&gt;&lt;author&gt;Birrell, Paul&lt;/author&gt;&lt;author&gt;Blake, Joshua&lt;/author&gt;&lt;author&gt;van Leeuwen, Edwin&lt;/author&gt;&lt;author&gt;Gent, Nick&lt;/author&gt;&lt;author&gt;De Angelis, Daniela&lt;/author&gt;&lt;/authors&gt;&lt;/contributors&gt;&lt;titles&gt;&lt;title&gt;Real-time nowcasting and forecasting of COVID-19 dynamics in England: the first wave&lt;/title&gt;&lt;secondary-title&gt;Philosophical Transactions of the Royal Society B: Biological Sciences&lt;/secondary-title&gt;&lt;/titles&gt;&lt;periodical&gt;&lt;full-title&gt;Philosophical Transactions of the Royal Society B: Biological Sciences&lt;/full-title&gt;&lt;/periodical&gt;&lt;pages&gt;20200279&lt;/pages&gt;&lt;volume&gt;376&lt;/volume&gt;&lt;number&gt;1829&lt;/number&gt;&lt;dates&gt;&lt;year&gt;2021&lt;/year&gt;&lt;/dates&gt;&lt;urls&gt;&lt;related-urls&gt;&lt;url&gt;https://royalsocietypublishing.org/doi/abs/10.1098/rstb.2020.0279&lt;/url&gt;&lt;/related-urls&gt;&lt;/urls&gt;&lt;electronic-resource-num&gt;doi:10.1098/rstb.2020.0279&lt;/electronic-resource-num&gt;&lt;/record&gt;&lt;/Cite&gt;&lt;/EndNote&gt;</w:instrText>
      </w:r>
      <w:r>
        <w:fldChar w:fldCharType="separate"/>
      </w:r>
      <w:r>
        <w:rPr>
          <w:noProof/>
        </w:rPr>
        <w:t>(12)</w:t>
      </w:r>
      <w:r>
        <w:fldChar w:fldCharType="end"/>
      </w:r>
      <w:r w:rsidR="00693234">
        <w:t xml:space="preserve">. Current programme until 2024 with the </w:t>
      </w:r>
      <w:r>
        <w:t>introduction of two</w:t>
      </w:r>
      <w:r w:rsidR="00693234">
        <w:t xml:space="preserve"> additional </w:t>
      </w:r>
      <w:r>
        <w:t xml:space="preserve">booster </w:t>
      </w:r>
      <w:r w:rsidR="00693234">
        <w:t xml:space="preserve">doses </w:t>
      </w:r>
      <w:r>
        <w:t>at the age of 18 month and 14 year</w:t>
      </w:r>
      <w:r w:rsidR="00693234">
        <w:t xml:space="preserve">s </w:t>
      </w:r>
      <w:r>
        <w:t>from the beginning of 2025.</w:t>
      </w:r>
    </w:p>
    <w:p w14:paraId="4D2E317A" w14:textId="6A3B030D" w:rsidR="00282970" w:rsidRDefault="008D61ED" w:rsidP="00522627">
      <w:r w:rsidRPr="008D61ED">
        <w:rPr>
          <w:noProof/>
          <w:lang w:eastAsia="en-GB" w:bidi="he-IL"/>
        </w:rPr>
        <w:drawing>
          <wp:inline distT="0" distB="0" distL="0" distR="0" wp14:anchorId="7CCA2612" wp14:editId="3E4C260A">
            <wp:extent cx="5731510" cy="2453640"/>
            <wp:effectExtent l="0" t="0" r="254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30815" w14:textId="4A7F61AF" w:rsidR="008034A0" w:rsidRDefault="008034A0"/>
    <w:p w14:paraId="0149A17F" w14:textId="7C171FA4" w:rsidR="00F67760" w:rsidRDefault="00F67760">
      <w:r>
        <w:br w:type="page"/>
      </w:r>
    </w:p>
    <w:p w14:paraId="304F5AE9" w14:textId="218E4B98" w:rsidR="008034A0" w:rsidRDefault="008034A0" w:rsidP="00F67760">
      <w:r>
        <w:lastRenderedPageBreak/>
        <w:t>Table S</w:t>
      </w:r>
      <w:r w:rsidR="00735B74">
        <w:t>6</w:t>
      </w:r>
      <w:r>
        <w:t xml:space="preserve">. </w:t>
      </w:r>
      <w:r w:rsidR="00F67760">
        <w:t xml:space="preserve">Predicted averted cases by age group compared with existing UK schedule if an 18  month and 14 year acellular pertussis vaccine boosters had been introduced in England in 2014 </w:t>
      </w:r>
      <w:r>
        <w:t>by age group</w:t>
      </w:r>
    </w:p>
    <w:p w14:paraId="3BC18B30" w14:textId="308927DC" w:rsidR="008034A0" w:rsidRDefault="00735B74" w:rsidP="00522627">
      <w:r w:rsidRPr="00735B74">
        <w:rPr>
          <w:noProof/>
          <w:lang w:eastAsia="en-GB" w:bidi="he-IL"/>
        </w:rPr>
        <w:drawing>
          <wp:inline distT="0" distB="0" distL="0" distR="0" wp14:anchorId="596EC12E" wp14:editId="658377E3">
            <wp:extent cx="5731510" cy="5765165"/>
            <wp:effectExtent l="0" t="0" r="254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6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D1C944" w14:textId="56C16D8D" w:rsidR="008034A0" w:rsidRDefault="008034A0">
      <w:r>
        <w:br w:type="page"/>
      </w:r>
    </w:p>
    <w:p w14:paraId="5917F05E" w14:textId="64E77945" w:rsidR="00D26BF2" w:rsidRDefault="008034A0" w:rsidP="00F67760">
      <w:r>
        <w:lastRenderedPageBreak/>
        <w:t xml:space="preserve">Table S7. </w:t>
      </w:r>
      <w:r w:rsidR="00F67760">
        <w:t>Predicted averted cases by age group compared with existing UK schedule if an 18 month and 14 year acellular pertussis vaccine boosters were to be introduced in England in 2025</w:t>
      </w:r>
    </w:p>
    <w:p w14:paraId="2D483E99" w14:textId="5C5E0D3C" w:rsidR="00F67760" w:rsidRDefault="00D26BF2" w:rsidP="00F67760">
      <w:r w:rsidRPr="00735B74">
        <w:rPr>
          <w:noProof/>
          <w:lang w:eastAsia="en-GB" w:bidi="he-IL"/>
        </w:rPr>
        <w:drawing>
          <wp:inline distT="0" distB="0" distL="0" distR="0" wp14:anchorId="1F2EA52B" wp14:editId="6D76378A">
            <wp:extent cx="5731510" cy="5791835"/>
            <wp:effectExtent l="0" t="0" r="254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9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7760">
        <w:t xml:space="preserve"> </w:t>
      </w:r>
    </w:p>
    <w:p w14:paraId="7185F877" w14:textId="543EAAB4" w:rsidR="008034A0" w:rsidRDefault="0063442F" w:rsidP="00F67760">
      <w:r>
        <w:rPr>
          <w:noProof/>
          <w:lang w:eastAsia="en-GB" w:bidi="he-IL"/>
        </w:rPr>
        <w:lastRenderedPageBreak/>
        <w:drawing>
          <wp:inline distT="0" distB="0" distL="0" distR="0" wp14:anchorId="7E033504" wp14:editId="2D0B13C0">
            <wp:extent cx="5731510" cy="2970530"/>
            <wp:effectExtent l="0" t="0" r="2540" b="1270"/>
            <wp:docPr id="12" name="Picture 12" descr="A graph of 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aph of a graph of a graph&#10;&#10;Description automatically generated with medium confidence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 w:bidi="he-IL"/>
        </w:rPr>
        <w:drawing>
          <wp:inline distT="0" distB="0" distL="0" distR="0" wp14:anchorId="1323DFDD" wp14:editId="2EFFF948">
            <wp:extent cx="5731510" cy="2970530"/>
            <wp:effectExtent l="0" t="0" r="2540" b="1270"/>
            <wp:docPr id="14" name="Picture 14" descr="A graph of a heart rat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graph of a heart rate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8D583" w14:textId="03278D24" w:rsidR="00BE5FF7" w:rsidRDefault="00BE5FF7" w:rsidP="00F67760"/>
    <w:p w14:paraId="1BCE31C5" w14:textId="34376DA5" w:rsidR="0063442F" w:rsidRDefault="0063442F" w:rsidP="0063442F">
      <w:r>
        <w:t xml:space="preserve">Figure S2. </w:t>
      </w:r>
      <w:r w:rsidRPr="0063442F">
        <w:rPr>
          <w:rFonts w:cs="Arial"/>
        </w:rPr>
        <w:t>Model outputs for pertussis notifications</w:t>
      </w:r>
      <w:r>
        <w:rPr>
          <w:rFonts w:cs="Arial"/>
        </w:rPr>
        <w:t xml:space="preserve"> from S1 and S2 compartments in Fig 1</w:t>
      </w:r>
      <w:r w:rsidRPr="0063442F">
        <w:rPr>
          <w:rFonts w:cs="Arial"/>
        </w:rPr>
        <w:t xml:space="preserve"> </w:t>
      </w:r>
      <w:r>
        <w:rPr>
          <w:rFonts w:cs="Arial"/>
        </w:rPr>
        <w:t>between</w:t>
      </w:r>
      <w:r w:rsidRPr="0063442F">
        <w:rPr>
          <w:rFonts w:cs="Arial"/>
        </w:rPr>
        <w:t xml:space="preserve"> 2006 </w:t>
      </w:r>
      <w:r>
        <w:rPr>
          <w:rFonts w:cs="Arial"/>
        </w:rPr>
        <w:t>and</w:t>
      </w:r>
      <w:r w:rsidRPr="0063442F">
        <w:rPr>
          <w:rFonts w:cs="Arial"/>
        </w:rPr>
        <w:t xml:space="preserve"> 2054 </w:t>
      </w:r>
      <w:r>
        <w:rPr>
          <w:rFonts w:cs="Arial"/>
        </w:rPr>
        <w:t xml:space="preserve">in England </w:t>
      </w:r>
      <w:r w:rsidRPr="0063442F">
        <w:rPr>
          <w:rFonts w:cs="Arial"/>
        </w:rPr>
        <w:t>by age group under the existing aP primary and pre-school booster schedule with the reduced population mixing during the COVID-19 pandemic. Graphs show the median as a black line (minimum to maximum range in the pink shaded area) of the predicted annual pertussis notifications with restriction of parameter sets to those that generate a resurgence in 2024 (n=66).</w:t>
      </w:r>
      <w:r>
        <w:rPr>
          <w:rFonts w:cs="Arial"/>
        </w:rPr>
        <w:t xml:space="preserve"> (This is the same as Fig 3 when the S1 and S2 are combined.)</w:t>
      </w:r>
    </w:p>
    <w:p w14:paraId="1382F4C5" w14:textId="77777777" w:rsidR="0063442F" w:rsidRDefault="0063442F" w:rsidP="00F67760"/>
    <w:bookmarkEnd w:id="0"/>
    <w:p w14:paraId="3536B600" w14:textId="1A629D71" w:rsidR="008034A0" w:rsidRDefault="008034A0" w:rsidP="00522627"/>
    <w:sectPr w:rsidR="008034A0">
      <w:headerReference w:type="default" r:id="rId18"/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Yoon Choi" w:date="2024-10-11T12:36:00Z" w:initials="YC">
    <w:p w14:paraId="2597EA79" w14:textId="77777777" w:rsidR="0063442F" w:rsidRDefault="0063442F" w:rsidP="001459CC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I have corrected the legion words.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597EA7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B39A3A" w16cex:dateUtc="2024-10-11T11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597EA79" w16cid:durableId="2AB39A3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83FC09" w14:textId="77777777" w:rsidR="009227A8" w:rsidRDefault="009227A8" w:rsidP="005E2144">
      <w:pPr>
        <w:spacing w:after="0" w:line="240" w:lineRule="auto"/>
      </w:pPr>
      <w:r>
        <w:separator/>
      </w:r>
    </w:p>
  </w:endnote>
  <w:endnote w:type="continuationSeparator" w:id="0">
    <w:p w14:paraId="4BF55D5D" w14:textId="77777777" w:rsidR="009227A8" w:rsidRDefault="009227A8" w:rsidP="005E21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38503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0B4109" w14:textId="57583AF1" w:rsidR="007D2857" w:rsidRDefault="007D28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242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38FD9112" w14:textId="77777777" w:rsidR="005E2144" w:rsidRDefault="005E21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28FEF2" w14:textId="77777777" w:rsidR="009227A8" w:rsidRDefault="009227A8" w:rsidP="005E2144">
      <w:pPr>
        <w:spacing w:after="0" w:line="240" w:lineRule="auto"/>
      </w:pPr>
      <w:r>
        <w:separator/>
      </w:r>
    </w:p>
  </w:footnote>
  <w:footnote w:type="continuationSeparator" w:id="0">
    <w:p w14:paraId="7E596D1C" w14:textId="77777777" w:rsidR="009227A8" w:rsidRDefault="009227A8" w:rsidP="005E21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85B7C" w14:textId="77777777" w:rsidR="005E2144" w:rsidRDefault="005E2144">
    <w:pPr>
      <w:pStyle w:val="Header"/>
    </w:pPr>
  </w:p>
  <w:p w14:paraId="47DB8BC4" w14:textId="77777777" w:rsidR="005E2144" w:rsidRDefault="005E2144">
    <w:pPr>
      <w:pStyle w:val="Header"/>
    </w:pPr>
  </w:p>
  <w:p w14:paraId="4C8DC1B5" w14:textId="77777777" w:rsidR="005E2144" w:rsidRDefault="005E2144">
    <w:pPr>
      <w:pStyle w:val="Header"/>
    </w:pPr>
  </w:p>
  <w:p w14:paraId="754D1EFB" w14:textId="77777777" w:rsidR="005E2144" w:rsidRDefault="005E2144">
    <w:pPr>
      <w:pStyle w:val="Header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Yoon Choi">
    <w15:presenceInfo w15:providerId="AD" w15:userId="S::Yoon.Choi@ukhsa.gov.uk::21f1387e-9607-4e9a-83f6-7bd63dda5ba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970"/>
    <w:rsid w:val="0002147F"/>
    <w:rsid w:val="000E0C6F"/>
    <w:rsid w:val="00134CFD"/>
    <w:rsid w:val="00171E92"/>
    <w:rsid w:val="001B242C"/>
    <w:rsid w:val="00203F7D"/>
    <w:rsid w:val="00282970"/>
    <w:rsid w:val="003278F2"/>
    <w:rsid w:val="003A7E42"/>
    <w:rsid w:val="003C01B1"/>
    <w:rsid w:val="004006B1"/>
    <w:rsid w:val="004D7485"/>
    <w:rsid w:val="004E4C04"/>
    <w:rsid w:val="00522627"/>
    <w:rsid w:val="005415C8"/>
    <w:rsid w:val="005800FF"/>
    <w:rsid w:val="005E2144"/>
    <w:rsid w:val="0063442F"/>
    <w:rsid w:val="00635380"/>
    <w:rsid w:val="0067717D"/>
    <w:rsid w:val="00693234"/>
    <w:rsid w:val="006C7AB5"/>
    <w:rsid w:val="00735B74"/>
    <w:rsid w:val="00786693"/>
    <w:rsid w:val="0079708F"/>
    <w:rsid w:val="007D2857"/>
    <w:rsid w:val="008034A0"/>
    <w:rsid w:val="008421A3"/>
    <w:rsid w:val="008D61ED"/>
    <w:rsid w:val="009227A8"/>
    <w:rsid w:val="00955A7A"/>
    <w:rsid w:val="009813DA"/>
    <w:rsid w:val="00996F39"/>
    <w:rsid w:val="009F365D"/>
    <w:rsid w:val="00A1537B"/>
    <w:rsid w:val="00AA0248"/>
    <w:rsid w:val="00BE5FF7"/>
    <w:rsid w:val="00C55542"/>
    <w:rsid w:val="00C63FFA"/>
    <w:rsid w:val="00CA32E0"/>
    <w:rsid w:val="00D26BF2"/>
    <w:rsid w:val="00D52143"/>
    <w:rsid w:val="00E360CC"/>
    <w:rsid w:val="00E4685F"/>
    <w:rsid w:val="00EC14AF"/>
    <w:rsid w:val="00EF5056"/>
    <w:rsid w:val="00F461EB"/>
    <w:rsid w:val="00F56A2C"/>
    <w:rsid w:val="00F67760"/>
    <w:rsid w:val="00F928AF"/>
    <w:rsid w:val="00FB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22F24"/>
  <w15:chartTrackingRefBased/>
  <w15:docId w15:val="{D402C3E6-BBD5-418A-B8F2-34CA11D66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21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144"/>
  </w:style>
  <w:style w:type="paragraph" w:styleId="Footer">
    <w:name w:val="footer"/>
    <w:basedOn w:val="Normal"/>
    <w:link w:val="FooterChar"/>
    <w:uiPriority w:val="99"/>
    <w:unhideWhenUsed/>
    <w:rsid w:val="005E21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144"/>
  </w:style>
  <w:style w:type="character" w:styleId="CommentReference">
    <w:name w:val="annotation reference"/>
    <w:basedOn w:val="DefaultParagraphFont"/>
    <w:uiPriority w:val="99"/>
    <w:semiHidden/>
    <w:unhideWhenUsed/>
    <w:rsid w:val="003C01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C01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C01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01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01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1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1B1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C555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 w:bidi="he-IL"/>
      <w14:ligatures w14:val="none"/>
    </w:rPr>
  </w:style>
  <w:style w:type="paragraph" w:styleId="Revision">
    <w:name w:val="Revision"/>
    <w:hidden/>
    <w:uiPriority w:val="99"/>
    <w:semiHidden/>
    <w:rsid w:val="00BE5F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6.emf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microsoft.com/office/2011/relationships/people" Target="people.xml"/><Relationship Id="rId7" Type="http://schemas.openxmlformats.org/officeDocument/2006/relationships/image" Target="media/image2.emf"/><Relationship Id="rId12" Type="http://schemas.openxmlformats.org/officeDocument/2006/relationships/image" Target="media/image5.emf"/><Relationship Id="rId17" Type="http://schemas.openxmlformats.org/officeDocument/2006/relationships/image" Target="media/image10.tiff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emf"/><Relationship Id="rId24" Type="http://schemas.microsoft.com/office/2016/09/relationships/commentsIds" Target="commentsIds.xml"/><Relationship Id="rId5" Type="http://schemas.openxmlformats.org/officeDocument/2006/relationships/endnotes" Target="endnotes.xml"/><Relationship Id="rId15" Type="http://schemas.openxmlformats.org/officeDocument/2006/relationships/image" Target="media/image8.emf"/><Relationship Id="rId23" Type="http://schemas.microsoft.com/office/2018/08/relationships/commentsExtensible" Target="commentsExtensible.xml"/><Relationship Id="rId10" Type="http://schemas.microsoft.com/office/2011/relationships/commentsExtended" Target="commentsExtended.xm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comments" Target="comments.xml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1032</Words>
  <Characters>5884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Yoon Choi</dc:creator>
  <cp:keywords/>
  <dc:description/>
  <cp:lastModifiedBy>Joseph Miller</cp:lastModifiedBy>
  <cp:revision>2</cp:revision>
  <dcterms:created xsi:type="dcterms:W3CDTF">2024-10-20T16:57:00Z</dcterms:created>
  <dcterms:modified xsi:type="dcterms:W3CDTF">2024-10-20T16:57:00Z</dcterms:modified>
</cp:coreProperties>
</file>