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F2B64">
      <w:pPr>
        <w:spacing w:line="360" w:lineRule="auto"/>
        <w:jc w:val="center"/>
        <w:rPr>
          <w:rFonts w:ascii="Times New Roman" w:hAnsi="Times New Roman" w:cs="Times New Roman"/>
          <w:b/>
          <w:bCs/>
          <w:sz w:val="28"/>
          <w:szCs w:val="36"/>
        </w:rPr>
      </w:pPr>
      <w:bookmarkStart w:id="0" w:name="OLE_LINK68"/>
      <w:bookmarkStart w:id="1" w:name="OLE_LINK419"/>
      <w:r>
        <w:rPr>
          <w:rFonts w:hint="eastAsia" w:ascii="Times New Roman" w:hAnsi="Times New Roman" w:cs="Times New Roman"/>
          <w:b/>
          <w:bCs/>
          <w:sz w:val="28"/>
          <w:szCs w:val="36"/>
        </w:rPr>
        <w:t xml:space="preserve">Combined vaccination of personalized tumor neoantigens and shared </w:t>
      </w:r>
      <w:bookmarkStart w:id="2" w:name="OLE_LINK65"/>
      <w:r>
        <w:rPr>
          <w:rFonts w:ascii="Times New Roman" w:hAnsi="Times New Roman" w:cs="Times New Roman"/>
          <w:b/>
          <w:bCs/>
          <w:sz w:val="28"/>
          <w:szCs w:val="36"/>
        </w:rPr>
        <w:t>MICB α3</w:t>
      </w:r>
      <w:bookmarkEnd w:id="2"/>
      <w:r>
        <w:rPr>
          <w:rFonts w:ascii="Times New Roman" w:hAnsi="Times New Roman" w:cs="Times New Roman"/>
          <w:b/>
          <w:bCs/>
          <w:sz w:val="28"/>
          <w:szCs w:val="36"/>
        </w:rPr>
        <w:t xml:space="preserve"> anti</w:t>
      </w:r>
      <w:r>
        <w:rPr>
          <w:rFonts w:hint="eastAsia" w:ascii="Times New Roman" w:hAnsi="Times New Roman" w:cs="Times New Roman"/>
          <w:b/>
          <w:bCs/>
          <w:sz w:val="28"/>
          <w:szCs w:val="36"/>
        </w:rPr>
        <w:t xml:space="preserve">gen </w:t>
      </w:r>
      <w:r>
        <w:rPr>
          <w:rFonts w:ascii="Times New Roman" w:hAnsi="Times New Roman" w:cs="Times New Roman"/>
          <w:b/>
          <w:bCs/>
          <w:sz w:val="28"/>
          <w:szCs w:val="36"/>
        </w:rPr>
        <w:t>enhance</w:t>
      </w:r>
      <w:r>
        <w:rPr>
          <w:rFonts w:hint="eastAsia" w:ascii="Times New Roman" w:hAnsi="Times New Roman" w:cs="Times New Roman"/>
          <w:b/>
          <w:bCs/>
          <w:sz w:val="28"/>
          <w:szCs w:val="36"/>
        </w:rPr>
        <w:t>s</w:t>
      </w:r>
      <w:r>
        <w:rPr>
          <w:rFonts w:ascii="Times New Roman" w:hAnsi="Times New Roman" w:cs="Times New Roman"/>
          <w:b/>
          <w:bCs/>
          <w:sz w:val="28"/>
          <w:szCs w:val="36"/>
        </w:rPr>
        <w:t xml:space="preserve"> the antitumor response by eliciting ILC1s-mediated tumor pyroptosis</w:t>
      </w:r>
      <w:bookmarkEnd w:id="0"/>
      <w:r>
        <w:rPr>
          <w:rFonts w:hint="eastAsia" w:ascii="Times New Roman" w:hAnsi="Times New Roman" w:cs="Times New Roman"/>
          <w:b/>
          <w:bCs/>
          <w:sz w:val="28"/>
          <w:szCs w:val="36"/>
        </w:rPr>
        <w:t xml:space="preserve"> </w:t>
      </w:r>
    </w:p>
    <w:p w14:paraId="688F2B65">
      <w:pPr>
        <w:adjustRightInd w:val="0"/>
        <w:snapToGrid w:val="0"/>
        <w:spacing w:line="480" w:lineRule="auto"/>
        <w:jc w:val="center"/>
        <w:rPr>
          <w:rFonts w:ascii="Times New Roman" w:hAnsi="Times New Roman" w:cs="Times New Roman"/>
          <w:sz w:val="24"/>
          <w:szCs w:val="32"/>
        </w:rPr>
      </w:pPr>
      <w:r>
        <w:rPr>
          <w:rFonts w:ascii="Times New Roman" w:hAnsi="Times New Roman"/>
          <w:sz w:val="24"/>
          <w:szCs w:val="32"/>
        </w:rPr>
        <w:t>Zhi</w:t>
      </w:r>
      <w:r>
        <w:rPr>
          <w:rFonts w:hint="eastAsia" w:ascii="Times New Roman" w:hAnsi="Times New Roman"/>
          <w:sz w:val="24"/>
          <w:szCs w:val="32"/>
        </w:rPr>
        <w:t>x</w:t>
      </w:r>
      <w:r>
        <w:rPr>
          <w:rFonts w:ascii="Times New Roman" w:hAnsi="Times New Roman"/>
          <w:sz w:val="24"/>
          <w:szCs w:val="32"/>
        </w:rPr>
        <w:t>iong Cai</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ascii="Times New Roman" w:hAnsi="Times New Roman" w:cs="Times New Roman"/>
          <w:sz w:val="24"/>
          <w:vertAlign w:val="superscript"/>
        </w:rPr>
        <w:t>,</w:t>
      </w:r>
      <w:r>
        <w:rPr>
          <w:rFonts w:hint="eastAsia" w:ascii="Times New Roman" w:hAnsi="Times New Roman" w:cs="Times New Roman"/>
          <w:sz w:val="24"/>
          <w:vertAlign w:val="superscript"/>
        </w:rPr>
        <w:t>4</w:t>
      </w:r>
      <w:r>
        <w:rPr>
          <w:rFonts w:hint="eastAsia" w:ascii="Times New Roman" w:hAnsi="Times New Roman" w:cs="Times New Roman"/>
          <w:sz w:val="24"/>
          <w:szCs w:val="32"/>
        </w:rPr>
        <w:t>, Honghao Ye</w:t>
      </w:r>
      <w:r>
        <w:rPr>
          <w:rFonts w:ascii="Times New Roman" w:hAnsi="Times New Roman" w:cs="Times New Roman"/>
          <w:sz w:val="24"/>
          <w:szCs w:val="32"/>
          <w:vertAlign w:val="superscript"/>
        </w:rPr>
        <w:t>1,2</w:t>
      </w:r>
      <w:bookmarkStart w:id="3" w:name="OLE_LINK93"/>
      <w:r>
        <w:rPr>
          <w:rFonts w:ascii="Times New Roman" w:hAnsi="Times New Roman" w:cs="Times New Roman"/>
          <w:sz w:val="24"/>
          <w:vertAlign w:val="superscript"/>
        </w:rPr>
        <w:t>,</w:t>
      </w:r>
      <w:bookmarkEnd w:id="3"/>
      <w:r>
        <w:rPr>
          <w:rFonts w:hint="eastAsia" w:ascii="Times New Roman" w:hAnsi="Times New Roman" w:cs="Times New Roman"/>
          <w:sz w:val="24"/>
          <w:vertAlign w:val="superscript"/>
        </w:rPr>
        <w:t>4</w:t>
      </w:r>
      <w:r>
        <w:rPr>
          <w:rFonts w:ascii="Times New Roman" w:hAnsi="Times New Roman" w:cs="Times New Roman"/>
          <w:sz w:val="24"/>
          <w:szCs w:val="32"/>
        </w:rPr>
        <w:t xml:space="preserve">, </w:t>
      </w:r>
      <w:r>
        <w:rPr>
          <w:rFonts w:ascii="Times New Roman" w:hAnsi="Times New Roman"/>
          <w:sz w:val="24"/>
          <w:szCs w:val="32"/>
        </w:rPr>
        <w:t>Geng Chen</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ascii="Times New Roman" w:hAnsi="Times New Roman" w:cs="Times New Roman"/>
          <w:sz w:val="24"/>
          <w:vertAlign w:val="superscript"/>
        </w:rPr>
        <w:t>,</w:t>
      </w:r>
      <w:r>
        <w:rPr>
          <w:rFonts w:hint="eastAsia" w:ascii="Times New Roman" w:hAnsi="Times New Roman" w:cs="Times New Roman"/>
          <w:sz w:val="24"/>
          <w:vertAlign w:val="superscript"/>
        </w:rPr>
        <w:t>4</w:t>
      </w:r>
      <w:r>
        <w:rPr>
          <w:rFonts w:hint="eastAsia" w:ascii="Times New Roman" w:hAnsi="Times New Roman"/>
          <w:sz w:val="24"/>
          <w:szCs w:val="32"/>
        </w:rPr>
        <w:t>,</w:t>
      </w:r>
      <w:r>
        <w:rPr>
          <w:rFonts w:ascii="Times New Roman" w:hAnsi="Times New Roman" w:cs="Times New Roman"/>
          <w:sz w:val="24"/>
          <w:szCs w:val="32"/>
        </w:rPr>
        <w:t xml:space="preserve"> </w:t>
      </w:r>
      <w:r>
        <w:rPr>
          <w:rFonts w:hint="eastAsia" w:ascii="Times New Roman" w:hAnsi="Times New Roman" w:cs="Times New Roman"/>
          <w:sz w:val="24"/>
          <w:szCs w:val="32"/>
        </w:rPr>
        <w:t>Xiuqing Dong</w:t>
      </w:r>
      <w:bookmarkStart w:id="4" w:name="OLE_LINK101"/>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bookmarkEnd w:id="4"/>
      <w:r>
        <w:rPr>
          <w:rFonts w:hint="eastAsia" w:ascii="Times New Roman" w:hAnsi="Times New Roman" w:cs="Times New Roman"/>
          <w:sz w:val="24"/>
          <w:szCs w:val="32"/>
        </w:rPr>
        <w:t>,</w:t>
      </w:r>
      <w:r>
        <w:rPr>
          <w:rFonts w:ascii="Times New Roman" w:hAnsi="Times New Roman" w:cs="Times New Roman"/>
          <w:sz w:val="24"/>
          <w:szCs w:val="32"/>
        </w:rPr>
        <w:t xml:space="preserve"> </w:t>
      </w:r>
      <w:r>
        <w:rPr>
          <w:rFonts w:hint="eastAsia" w:ascii="Times New Roman" w:hAnsi="Times New Roman" w:cs="Times New Roman"/>
          <w:sz w:val="24"/>
          <w:szCs w:val="32"/>
        </w:rPr>
        <w:t>Zhen</w:t>
      </w:r>
      <w:r>
        <w:rPr>
          <w:rFonts w:ascii="Times New Roman" w:hAnsi="Times New Roman" w:cs="Times New Roman"/>
          <w:sz w:val="24"/>
          <w:szCs w:val="32"/>
        </w:rPr>
        <w:t>l</w:t>
      </w:r>
      <w:r>
        <w:rPr>
          <w:rFonts w:hint="eastAsia" w:ascii="Times New Roman" w:hAnsi="Times New Roman" w:cs="Times New Roman"/>
          <w:sz w:val="24"/>
          <w:szCs w:val="32"/>
        </w:rPr>
        <w:t>i Li</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hint="eastAsia" w:ascii="Times New Roman" w:hAnsi="Times New Roman" w:cs="Times New Roman"/>
          <w:sz w:val="24"/>
          <w:szCs w:val="32"/>
        </w:rPr>
        <w:t>, Fangzhou Lin</w:t>
      </w:r>
      <w:r>
        <w:rPr>
          <w:rFonts w:ascii="Times New Roman" w:hAnsi="Times New Roman" w:cs="Times New Roman"/>
          <w:sz w:val="24"/>
          <w:szCs w:val="32"/>
          <w:vertAlign w:val="superscript"/>
        </w:rPr>
        <w:t>1,2</w:t>
      </w:r>
      <w:r>
        <w:rPr>
          <w:rFonts w:hint="eastAsia" w:ascii="Times New Roman" w:hAnsi="Times New Roman" w:cs="Times New Roman"/>
          <w:sz w:val="24"/>
          <w:szCs w:val="32"/>
        </w:rPr>
        <w:t xml:space="preserve">, </w:t>
      </w:r>
      <w:r>
        <w:rPr>
          <w:rFonts w:ascii="Times New Roman" w:hAnsi="Times New Roman" w:cs="Times New Roman"/>
          <w:sz w:val="24"/>
          <w:szCs w:val="32"/>
        </w:rPr>
        <w:t>Tingfeng Huang</w:t>
      </w:r>
      <w:r>
        <w:rPr>
          <w:rFonts w:ascii="Times New Roman" w:hAnsi="Times New Roman" w:cs="Times New Roman"/>
          <w:sz w:val="24"/>
          <w:szCs w:val="32"/>
          <w:vertAlign w:val="superscript"/>
        </w:rPr>
        <w:t>1,2</w:t>
      </w:r>
      <w:r>
        <w:rPr>
          <w:rFonts w:ascii="Times New Roman" w:hAnsi="Times New Roman" w:cs="Times New Roman"/>
          <w:sz w:val="24"/>
          <w:szCs w:val="32"/>
        </w:rPr>
        <w:t>, Liman Qiu</w:t>
      </w:r>
      <w:r>
        <w:rPr>
          <w:rFonts w:ascii="Times New Roman" w:hAnsi="Times New Roman" w:cs="Times New Roman"/>
          <w:sz w:val="24"/>
          <w:szCs w:val="32"/>
          <w:vertAlign w:val="superscript"/>
        </w:rPr>
        <w:t>1,2</w:t>
      </w:r>
      <w:r>
        <w:rPr>
          <w:rFonts w:ascii="Times New Roman" w:hAnsi="Times New Roman" w:cs="Times New Roman"/>
          <w:sz w:val="24"/>
          <w:szCs w:val="32"/>
        </w:rPr>
        <w:t>, Gengpin</w:t>
      </w:r>
      <w:r>
        <w:rPr>
          <w:rFonts w:hint="eastAsia" w:ascii="Times New Roman" w:hAnsi="Times New Roman" w:cs="Times New Roman"/>
          <w:sz w:val="24"/>
          <w:szCs w:val="32"/>
        </w:rPr>
        <w:t>g</w:t>
      </w:r>
      <w:r>
        <w:rPr>
          <w:rFonts w:ascii="Times New Roman" w:hAnsi="Times New Roman" w:cs="Times New Roman"/>
          <w:sz w:val="24"/>
          <w:szCs w:val="32"/>
        </w:rPr>
        <w:t xml:space="preserve"> Lin</w:t>
      </w:r>
      <w:r>
        <w:rPr>
          <w:rFonts w:ascii="Times New Roman" w:hAnsi="Times New Roman" w:cs="Times New Roman"/>
          <w:sz w:val="24"/>
          <w:szCs w:val="32"/>
          <w:vertAlign w:val="superscript"/>
        </w:rPr>
        <w:t>1,2</w:t>
      </w:r>
      <w:r>
        <w:rPr>
          <w:rFonts w:ascii="Times New Roman" w:hAnsi="Times New Roman" w:cs="Times New Roman"/>
          <w:sz w:val="24"/>
          <w:szCs w:val="32"/>
        </w:rPr>
        <w:t>,</w:t>
      </w:r>
      <w:r>
        <w:rPr>
          <w:rFonts w:hint="eastAsia" w:ascii="Times New Roman" w:hAnsi="Times New Roman" w:cs="Times New Roman"/>
          <w:sz w:val="24"/>
          <w:szCs w:val="32"/>
        </w:rPr>
        <w:t xml:space="preserve"> Ming Wu</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ascii="Times New Roman" w:hAnsi="Times New Roman" w:cs="Times New Roman"/>
          <w:sz w:val="24"/>
          <w:szCs w:val="32"/>
        </w:rPr>
        <w:t>,</w:t>
      </w:r>
      <w:r>
        <w:rPr>
          <w:rFonts w:hint="eastAsia" w:ascii="Times New Roman" w:hAnsi="Times New Roman" w:cs="Times New Roman"/>
          <w:sz w:val="24"/>
          <w:szCs w:val="32"/>
        </w:rPr>
        <w:t xml:space="preserve"> Haijun Yu</w:t>
      </w:r>
      <w:r>
        <w:rPr>
          <w:rFonts w:hint="eastAsia" w:ascii="Times New Roman" w:hAnsi="Times New Roman" w:cs="Times New Roman"/>
          <w:sz w:val="24"/>
          <w:szCs w:val="32"/>
          <w:vertAlign w:val="superscript"/>
        </w:rPr>
        <w:t>3</w:t>
      </w:r>
      <w:r>
        <w:rPr>
          <w:rFonts w:hint="eastAsia" w:ascii="Times New Roman" w:hAnsi="Times New Roman" w:cs="Times New Roman"/>
          <w:sz w:val="24"/>
          <w:szCs w:val="32"/>
        </w:rPr>
        <w:t>, Rui</w:t>
      </w:r>
      <w:r>
        <w:rPr>
          <w:rFonts w:ascii="Times New Roman" w:hAnsi="Times New Roman" w:cs="Times New Roman"/>
          <w:sz w:val="24"/>
          <w:szCs w:val="32"/>
        </w:rPr>
        <w:t>j</w:t>
      </w:r>
      <w:r>
        <w:rPr>
          <w:rFonts w:hint="eastAsia" w:ascii="Times New Roman" w:hAnsi="Times New Roman" w:cs="Times New Roman"/>
          <w:sz w:val="24"/>
          <w:szCs w:val="32"/>
        </w:rPr>
        <w:t>ing Tang</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ascii="Times New Roman" w:hAnsi="Times New Roman" w:cs="Times New Roman"/>
          <w:sz w:val="24"/>
          <w:szCs w:val="32"/>
          <w:vertAlign w:val="superscript"/>
        </w:rPr>
        <w:t>*</w:t>
      </w:r>
      <w:r>
        <w:rPr>
          <w:rFonts w:hint="eastAsia" w:ascii="Times New Roman" w:hAnsi="Times New Roman" w:cs="Times New Roman"/>
          <w:sz w:val="24"/>
          <w:szCs w:val="32"/>
        </w:rPr>
        <w:t xml:space="preserve">, </w:t>
      </w:r>
      <w:r>
        <w:rPr>
          <w:rFonts w:ascii="Times New Roman" w:hAnsi="Times New Roman"/>
          <w:sz w:val="24"/>
          <w:szCs w:val="32"/>
        </w:rPr>
        <w:t>Xiaolong Liu</w:t>
      </w:r>
      <w:r>
        <w:rPr>
          <w:rFonts w:ascii="Times New Roman" w:hAnsi="Times New Roman" w:cs="Times New Roman"/>
          <w:sz w:val="24"/>
          <w:szCs w:val="32"/>
          <w:vertAlign w:val="superscript"/>
        </w:rPr>
        <w:t>1</w:t>
      </w:r>
      <w:r>
        <w:rPr>
          <w:rFonts w:hint="eastAsia" w:ascii="Times New Roman" w:hAnsi="Times New Roman" w:cs="Times New Roman"/>
          <w:sz w:val="24"/>
          <w:szCs w:val="32"/>
          <w:vertAlign w:val="superscript"/>
        </w:rPr>
        <w:t>,2</w:t>
      </w:r>
      <w:r>
        <w:rPr>
          <w:rFonts w:ascii="Times New Roman" w:hAnsi="Times New Roman" w:cs="Times New Roman"/>
          <w:sz w:val="24"/>
          <w:szCs w:val="32"/>
          <w:vertAlign w:val="superscript"/>
        </w:rPr>
        <w:t>*</w:t>
      </w:r>
    </w:p>
    <w:p w14:paraId="688F2B66">
      <w:pPr>
        <w:adjustRightInd w:val="0"/>
        <w:snapToGrid w:val="0"/>
        <w:spacing w:line="480" w:lineRule="auto"/>
        <w:rPr>
          <w:rFonts w:ascii="Times New Roman" w:hAnsi="Times New Roman" w:cs="Times New Roman"/>
          <w:highlight w:val="yellow"/>
        </w:rPr>
      </w:pPr>
    </w:p>
    <w:p w14:paraId="688F2B67">
      <w:pPr>
        <w:adjustRightInd w:val="0"/>
        <w:snapToGrid w:val="0"/>
        <w:spacing w:line="48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vertAlign w:val="superscript"/>
          <w14:textFill>
            <w14:solidFill>
              <w14:schemeClr w14:val="tx1"/>
            </w14:solidFill>
          </w14:textFill>
        </w:rPr>
        <w:t>1</w:t>
      </w:r>
      <w:r>
        <w:rPr>
          <w:rFonts w:ascii="Times New Roman" w:hAnsi="Times New Roman" w:cs="Times New Roman"/>
          <w:color w:val="000000" w:themeColor="text1"/>
          <w14:textFill>
            <w14:solidFill>
              <w14:schemeClr w14:val="tx1"/>
            </w14:solidFill>
          </w14:textFill>
        </w:rPr>
        <w:t>The United Innovation of Mengchao Hepatobiliary Technology Key Laboratory of Fujian Province</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&amp; Mengchao Hepatobiliary Hospital of Fujian Medical University, Fuzhou, China</w:t>
      </w:r>
    </w:p>
    <w:p w14:paraId="688F2B68">
      <w:pPr>
        <w:adjustRightInd w:val="0"/>
        <w:snapToGrid w:val="0"/>
        <w:spacing w:line="480" w:lineRule="auto"/>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vertAlign w:val="superscript"/>
          <w14:textFill>
            <w14:solidFill>
              <w14:schemeClr w14:val="tx1"/>
            </w14:solidFill>
          </w14:textFill>
        </w:rPr>
        <w:t>2</w:t>
      </w:r>
      <w:r>
        <w:rPr>
          <w:rFonts w:ascii="Times New Roman" w:hAnsi="Times New Roman" w:cs="Times New Roman"/>
          <w:color w:val="000000" w:themeColor="text1"/>
          <w:vertAlign w:val="superscript"/>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The Liver Disease Research Center of Fujian Province, Fuzhou, China </w:t>
      </w:r>
    </w:p>
    <w:p w14:paraId="688F2B69">
      <w:pPr>
        <w:adjustRightInd w:val="0"/>
        <w:snapToGrid w:val="0"/>
        <w:spacing w:line="480" w:lineRule="auto"/>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vertAlign w:val="superscript"/>
          <w14:textFill>
            <w14:solidFill>
              <w14:schemeClr w14:val="tx1"/>
            </w14:solidFill>
          </w14:textFill>
        </w:rPr>
        <w:t>3</w:t>
      </w:r>
      <w:r>
        <w:rPr>
          <w:rFonts w:ascii="AvenirLTStd-Medium" w:hAnsi="AvenirLTStd-Medium" w:eastAsia="AvenirLTStd-Medium" w:cs="AvenirLTStd-Medium"/>
          <w:color w:val="231F20"/>
          <w:kern w:val="0"/>
          <w:sz w:val="12"/>
          <w:szCs w:val="12"/>
          <w:vertAlign w:val="superscript"/>
          <w:lang w:bidi="ar"/>
        </w:rPr>
        <w:t xml:space="preserve"> </w:t>
      </w:r>
      <w:r>
        <w:rPr>
          <w:rFonts w:ascii="Times New Roman" w:hAnsi="Times New Roman" w:cs="Times New Roman"/>
          <w:color w:val="000000" w:themeColor="text1"/>
          <w14:textFill>
            <w14:solidFill>
              <w14:schemeClr w14:val="tx1"/>
            </w14:solidFill>
          </w14:textFill>
        </w:rPr>
        <w:t xml:space="preserve">State Key Laboratory of Drug Research &amp; Center of Pharmaceutics, Shanghai Institute of </w:t>
      </w:r>
    </w:p>
    <w:p w14:paraId="688F2B6A">
      <w:pPr>
        <w:adjustRightInd w:val="0"/>
        <w:snapToGrid w:val="0"/>
        <w:spacing w:line="480" w:lineRule="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Materia Medica, Chinese Academy of Sciences, Shanghai, China</w:t>
      </w:r>
    </w:p>
    <w:p w14:paraId="688F2B6B">
      <w:pPr>
        <w:snapToGrid w:val="0"/>
        <w:spacing w:line="480" w:lineRule="auto"/>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 w:val="24"/>
          <w:vertAlign w:val="superscript"/>
          <w14:textFill>
            <w14:solidFill>
              <w14:schemeClr w14:val="tx1"/>
            </w14:solidFill>
          </w14:textFill>
        </w:rPr>
        <w:t xml:space="preserve">4 </w:t>
      </w:r>
      <w:r>
        <w:rPr>
          <w:rFonts w:ascii="Times New Roman" w:hAnsi="Times New Roman" w:eastAsia="仿宋" w:cs="Times New Roman"/>
          <w:bCs/>
          <w:color w:val="000000" w:themeColor="text1"/>
          <w:szCs w:val="21"/>
          <w14:textFill>
            <w14:solidFill>
              <w14:schemeClr w14:val="tx1"/>
            </w14:solidFill>
          </w14:textFill>
        </w:rPr>
        <w:t>These authors</w:t>
      </w:r>
      <w:r>
        <w:rPr>
          <w:rFonts w:ascii="Times New Roman" w:hAnsi="Times New Roman" w:cs="Times New Roman"/>
          <w:color w:val="000000" w:themeColor="text1"/>
          <w:szCs w:val="21"/>
          <w14:textFill>
            <w14:solidFill>
              <w14:schemeClr w14:val="tx1"/>
            </w14:solidFill>
          </w14:textFill>
        </w:rPr>
        <w:t xml:space="preserve"> contributed equally to this work.</w:t>
      </w:r>
    </w:p>
    <w:p w14:paraId="688F2B6C">
      <w:pPr>
        <w:spacing w:line="360" w:lineRule="auto"/>
        <w:rPr>
          <w:rFonts w:ascii="Times New Roman" w:hAnsi="Times New Roman" w:cs="Times New Roman"/>
          <w:b/>
          <w:bCs/>
          <w:sz w:val="24"/>
        </w:rPr>
      </w:pPr>
    </w:p>
    <w:p w14:paraId="688F2B6D">
      <w:pPr>
        <w:spacing w:line="360" w:lineRule="auto"/>
        <w:rPr>
          <w:rFonts w:ascii="Times New Roman" w:hAnsi="Times New Roman" w:cs="Times New Roman"/>
          <w:b/>
          <w:bCs/>
          <w:sz w:val="24"/>
        </w:rPr>
      </w:pPr>
    </w:p>
    <w:p w14:paraId="688F2B6E">
      <w:pPr>
        <w:spacing w:line="360" w:lineRule="auto"/>
        <w:rPr>
          <w:rFonts w:ascii="Times New Roman" w:hAnsi="Times New Roman" w:cs="Times New Roman"/>
          <w:b/>
          <w:bCs/>
          <w:sz w:val="24"/>
        </w:rPr>
      </w:pPr>
    </w:p>
    <w:p w14:paraId="688F2B6F">
      <w:pPr>
        <w:spacing w:line="360" w:lineRule="auto"/>
        <w:rPr>
          <w:rFonts w:ascii="Times New Roman" w:hAnsi="Times New Roman" w:cs="Times New Roman"/>
          <w:b/>
          <w:bCs/>
          <w:sz w:val="24"/>
        </w:rPr>
      </w:pPr>
      <w:r>
        <w:rPr>
          <w:rFonts w:ascii="Times New Roman" w:hAnsi="Times New Roman" w:cs="Times New Roman"/>
          <w:b/>
          <w:bCs/>
          <w:sz w:val="24"/>
        </w:rPr>
        <w:t xml:space="preserve">This PDF file includes: </w:t>
      </w:r>
    </w:p>
    <w:p w14:paraId="688F2B70">
      <w:pPr>
        <w:spacing w:line="360" w:lineRule="auto"/>
        <w:rPr>
          <w:rFonts w:ascii="Times New Roman" w:hAnsi="Times New Roman" w:cs="Times New Roman"/>
          <w:b/>
          <w:bCs/>
          <w:sz w:val="24"/>
        </w:rPr>
      </w:pPr>
      <w:r>
        <w:rPr>
          <w:rFonts w:ascii="Times New Roman" w:hAnsi="Times New Roman" w:cs="Times New Roman"/>
          <w:b/>
          <w:bCs/>
          <w:sz w:val="24"/>
        </w:rPr>
        <w:t xml:space="preserve">Supplementary Methods </w:t>
      </w:r>
    </w:p>
    <w:p w14:paraId="688F2B71">
      <w:pPr>
        <w:spacing w:line="360" w:lineRule="auto"/>
        <w:rPr>
          <w:rFonts w:ascii="Times New Roman" w:hAnsi="Times New Roman" w:cs="Times New Roman"/>
          <w:b/>
          <w:bCs/>
          <w:sz w:val="24"/>
        </w:rPr>
      </w:pPr>
      <w:r>
        <w:rPr>
          <w:rFonts w:ascii="Times New Roman" w:hAnsi="Times New Roman" w:cs="Times New Roman"/>
          <w:b/>
          <w:bCs/>
          <w:sz w:val="24"/>
        </w:rPr>
        <w:t>Supplementary Figures 1-</w:t>
      </w:r>
      <w:r>
        <w:rPr>
          <w:rFonts w:hint="eastAsia" w:ascii="Times New Roman" w:hAnsi="Times New Roman" w:cs="Times New Roman"/>
          <w:b/>
          <w:bCs/>
          <w:sz w:val="24"/>
        </w:rPr>
        <w:t>5</w:t>
      </w:r>
    </w:p>
    <w:p w14:paraId="688F2B72">
      <w:pPr>
        <w:spacing w:line="360" w:lineRule="auto"/>
        <w:rPr>
          <w:rFonts w:ascii="Times New Roman" w:hAnsi="Times New Roman" w:cs="Times New Roman"/>
          <w:b/>
          <w:bCs/>
          <w:sz w:val="24"/>
        </w:rPr>
      </w:pPr>
    </w:p>
    <w:p w14:paraId="688F2B73">
      <w:pPr>
        <w:spacing w:line="360" w:lineRule="auto"/>
        <w:rPr>
          <w:rFonts w:ascii="Times New Roman" w:hAnsi="Times New Roman" w:cs="Times New Roman"/>
          <w:b/>
          <w:bCs/>
          <w:sz w:val="24"/>
        </w:rPr>
      </w:pPr>
    </w:p>
    <w:p w14:paraId="688F2B74">
      <w:pPr>
        <w:spacing w:line="360" w:lineRule="auto"/>
        <w:rPr>
          <w:rFonts w:ascii="Times New Roman" w:hAnsi="Times New Roman" w:cs="Times New Roman"/>
          <w:b/>
          <w:bCs/>
          <w:sz w:val="24"/>
        </w:rPr>
      </w:pPr>
    </w:p>
    <w:p w14:paraId="688F2B75">
      <w:pPr>
        <w:spacing w:line="360" w:lineRule="auto"/>
        <w:rPr>
          <w:rFonts w:ascii="Times New Roman" w:hAnsi="Times New Roman" w:cs="Times New Roman"/>
          <w:b/>
          <w:bCs/>
          <w:sz w:val="24"/>
        </w:rPr>
      </w:pPr>
    </w:p>
    <w:p w14:paraId="688F2B76">
      <w:pPr>
        <w:spacing w:line="360" w:lineRule="auto"/>
        <w:rPr>
          <w:rFonts w:ascii="Times New Roman" w:hAnsi="Times New Roman" w:cs="Times New Roman"/>
          <w:b/>
          <w:bCs/>
          <w:sz w:val="24"/>
        </w:rPr>
      </w:pPr>
    </w:p>
    <w:p w14:paraId="688F2B77">
      <w:pPr>
        <w:spacing w:line="360" w:lineRule="auto"/>
        <w:rPr>
          <w:rFonts w:ascii="Times New Roman" w:hAnsi="Times New Roman" w:cs="Times New Roman"/>
          <w:b/>
          <w:bCs/>
          <w:sz w:val="24"/>
        </w:rPr>
      </w:pPr>
    </w:p>
    <w:p w14:paraId="688F2B78">
      <w:pPr>
        <w:spacing w:line="360" w:lineRule="auto"/>
        <w:rPr>
          <w:rFonts w:ascii="Times New Roman" w:hAnsi="Times New Roman" w:cs="Times New Roman"/>
          <w:b/>
          <w:bCs/>
          <w:sz w:val="24"/>
        </w:rPr>
      </w:pPr>
    </w:p>
    <w:p w14:paraId="688F2B79">
      <w:pPr>
        <w:spacing w:line="360" w:lineRule="auto"/>
        <w:rPr>
          <w:rFonts w:ascii="Times New Roman" w:hAnsi="Times New Roman" w:cs="Times New Roman"/>
          <w:b/>
          <w:bCs/>
          <w:sz w:val="24"/>
        </w:rPr>
      </w:pPr>
    </w:p>
    <w:p w14:paraId="688F2B7A">
      <w:pPr>
        <w:spacing w:line="360" w:lineRule="auto"/>
        <w:rPr>
          <w:rFonts w:ascii="Times New Roman" w:hAnsi="Times New Roman" w:cs="Times New Roman"/>
          <w:b/>
          <w:bCs/>
          <w:sz w:val="24"/>
        </w:rPr>
      </w:pPr>
    </w:p>
    <w:p w14:paraId="688F2B7B">
      <w:pPr>
        <w:spacing w:line="360" w:lineRule="auto"/>
        <w:rPr>
          <w:rFonts w:ascii="Times New Roman" w:hAnsi="Times New Roman" w:cs="Times New Roman"/>
          <w:b/>
          <w:bCs/>
          <w:sz w:val="24"/>
        </w:rPr>
      </w:pPr>
    </w:p>
    <w:p w14:paraId="688F2B7C">
      <w:pPr>
        <w:spacing w:line="360" w:lineRule="auto"/>
        <w:rPr>
          <w:rFonts w:ascii="Times New Roman" w:hAnsi="Times New Roman" w:cs="Times New Roman"/>
          <w:b/>
          <w:bCs/>
          <w:sz w:val="24"/>
        </w:rPr>
      </w:pPr>
      <w:r>
        <w:rPr>
          <w:rFonts w:ascii="Times New Roman" w:hAnsi="Times New Roman" w:cs="Times New Roman"/>
          <w:b/>
          <w:bCs/>
          <w:sz w:val="24"/>
        </w:rPr>
        <w:t xml:space="preserve">Supplementary Methods </w:t>
      </w:r>
    </w:p>
    <w:p w14:paraId="688F2B7D">
      <w:pPr>
        <w:spacing w:line="360" w:lineRule="auto"/>
        <w:rPr>
          <w:rFonts w:ascii="Times New Roman" w:hAnsi="Times New Roman" w:cs="Times New Roman"/>
          <w:b/>
          <w:bCs/>
          <w:sz w:val="24"/>
        </w:rPr>
      </w:pPr>
      <w:r>
        <w:rPr>
          <w:rFonts w:ascii="Times New Roman" w:hAnsi="Times New Roman" w:cs="Times New Roman"/>
          <w:b/>
          <w:bCs/>
          <w:sz w:val="24"/>
        </w:rPr>
        <w:t xml:space="preserve">mRNA </w:t>
      </w:r>
      <w:r>
        <w:rPr>
          <w:rFonts w:hint="eastAsia" w:ascii="Times New Roman" w:hAnsi="Times New Roman" w:cs="Times New Roman"/>
          <w:b/>
          <w:bCs/>
          <w:sz w:val="24"/>
        </w:rPr>
        <w:t>i</w:t>
      </w:r>
      <w:r>
        <w:rPr>
          <w:rFonts w:ascii="Times New Roman" w:hAnsi="Times New Roman" w:cs="Times New Roman"/>
          <w:b/>
          <w:bCs/>
          <w:sz w:val="24"/>
        </w:rPr>
        <w:t>solation and Quantitative PCR</w:t>
      </w:r>
    </w:p>
    <w:p w14:paraId="688F2B7E">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Total RNA was extracted from </w:t>
      </w:r>
      <w:r>
        <w:rPr>
          <w:rFonts w:hint="eastAsia" w:ascii="Times New Roman" w:hAnsi="Times New Roman" w:cs="Times New Roman"/>
          <w:sz w:val="24"/>
        </w:rPr>
        <w:t>tumor samples</w:t>
      </w:r>
      <w:r>
        <w:rPr>
          <w:rFonts w:ascii="Times New Roman" w:hAnsi="Times New Roman" w:cs="Times New Roman"/>
          <w:sz w:val="24"/>
        </w:rPr>
        <w:t xml:space="preserve"> using TRIzol Reagent (Invitrogen, Carlsbad, CA, USA) according to the manufacturer’s instructions. A total of 1 μg of RNA was used as a template for single-strand cDNA synthesis. Quantitative PCR (Q-PCR) for GSDMD (For: CCATCGGCCTTTGAGAAAGTG, Rev: ACACATGAATAACGGGGTTTCC), GSDME (For: TGCAACTTCTAAGTCTGGTGACC, Rev: CTCCACAACCACTGGACTGAG), IL1β (For: GCAACTGTTCCTGAACTCAACT, Rev: ATCTTTTGGGGTCCGTCAACT), IL18 (For: GACTCTTGCGTCAACTTCAAGG, Rev: CAGGCTGTCTTTTGTCAACGA), Cacpase-1 (For: ACAAGGCACGGGACCTATG, Rev: TCCCAGTCAGTCCTGGAAATG), Caspase-8 (For: TGCTTGGACTACATCCCACAC, Rev: TGCAGTCTAGGAAGTTGACCA) and NLRC-4 (For: ATCGTCATCACCGTGTGGAG, Rev: GCCAGACTCGCCTTCAATCA) was performed on an Applied Biosystems 7300 Sequence Detection System (Applied Biosystems, Foster City, CA, USA) using SYBR Green dye (Invitrogen, USA). The PCR program consisted of an initial denaturation at 95°C for 10 minutes, followed by 40 cycles of 95°C for 15 seconds, 60°C for 30 seconds, and 72°C for 30 seconds. Q-PCR data were</w:t>
      </w:r>
      <w:r>
        <w:rPr>
          <w:rFonts w:hint="eastAsia" w:ascii="Times New Roman" w:hAnsi="Times New Roman" w:cs="Times New Roman"/>
          <w:sz w:val="24"/>
        </w:rPr>
        <w:t xml:space="preserve"> </w:t>
      </w:r>
      <w:r>
        <w:rPr>
          <w:rFonts w:ascii="Times New Roman" w:hAnsi="Times New Roman" w:cs="Times New Roman"/>
          <w:sz w:val="24"/>
        </w:rPr>
        <w:t>analyzed using the 2</w:t>
      </w:r>
      <w:r>
        <w:rPr>
          <w:rFonts w:hint="eastAsia" w:ascii="Times New Roman" w:hAnsi="Times New Roman" w:cs="Times New Roman"/>
          <w:sz w:val="24"/>
          <w:vertAlign w:val="superscript"/>
        </w:rPr>
        <w:t>-</w:t>
      </w:r>
      <w:r>
        <w:rPr>
          <w:rFonts w:ascii="Times New Roman" w:hAnsi="Times New Roman" w:cs="Times New Roman"/>
          <w:sz w:val="24"/>
          <w:vertAlign w:val="superscript"/>
        </w:rPr>
        <w:t>ΔΔCt</w:t>
      </w:r>
      <w:r>
        <w:rPr>
          <w:rFonts w:ascii="Times New Roman" w:hAnsi="Times New Roman" w:cs="Times New Roman"/>
          <w:sz w:val="24"/>
        </w:rPr>
        <w:t xml:space="preserve"> method. All reactions were performed in triplicate.</w:t>
      </w:r>
    </w:p>
    <w:p w14:paraId="688F2B7F">
      <w:pPr>
        <w:spacing w:line="360" w:lineRule="auto"/>
        <w:rPr>
          <w:rFonts w:ascii="Times New Roman" w:hAnsi="Times New Roman" w:cs="Times New Roman"/>
          <w:b/>
          <w:bCs/>
          <w:sz w:val="24"/>
        </w:rPr>
      </w:pPr>
      <w:r>
        <w:rPr>
          <w:rFonts w:ascii="Times New Roman" w:hAnsi="Times New Roman" w:cs="Times New Roman"/>
          <w:b/>
          <w:bCs/>
          <w:sz w:val="24"/>
        </w:rPr>
        <w:t>Western blot analysis</w:t>
      </w:r>
    </w:p>
    <w:p w14:paraId="688F2B80">
      <w:pPr>
        <w:spacing w:line="360" w:lineRule="auto"/>
        <w:ind w:firstLine="480" w:firstLineChars="200"/>
        <w:rPr>
          <w:rFonts w:ascii="Times New Roman" w:hAnsi="Times New Roman" w:cs="Times New Roman"/>
          <w:sz w:val="24"/>
        </w:rPr>
      </w:pPr>
      <w:r>
        <w:rPr>
          <w:rFonts w:ascii="Times New Roman" w:hAnsi="Times New Roman" w:cs="Times New Roman"/>
          <w:sz w:val="24"/>
        </w:rPr>
        <w:t>The protein expression of OMVs was analyzed by Western blot analysis. All samples were lysed in UREA buffer (8 M Urea,1 M Thiourea, 0.5% CHAPS,50 mM DTT and 24 mM Spermine) for 15 min. After centrifugation at 12000g for 15 min, the supernatant with protein was collected. The protein samples were loaded on to a 10% SDS/PAGE for electrophoresis and transferred into PVDF membranes (Roche, Mannheim, Germany). Membranes were blocked in Tris-buffered saline with Tween 20 (TBST: 1 mM Tris-HCl, 150 mM NaCl, 0.05% Tween-20, pH 7.4) containing 5% BSA for 0.5 h and subsequently incubated overnight at 4 °C with diluted primary antibody against HA-tag (ab314237, Abcam), GSDMD (ab219800, Abcam) and GADPH (ab8245, Abcam). After washing three times using TBST, the membrane was incubated with HRP-conjugated goat anti-rabbit IgG or HRP-conjugated goat anti-mouse IgG for 1 h at room temperature. The bands were visualized using the FluorChem FC2 system (Alpha Innotech Corporation, St. Leonardo, CA, USA). The data was quantified by using ImageJ software.</w:t>
      </w:r>
    </w:p>
    <w:p w14:paraId="688F2B81">
      <w:pPr>
        <w:spacing w:line="360" w:lineRule="auto"/>
        <w:rPr>
          <w:rFonts w:ascii="Times New Roman" w:hAnsi="Times New Roman" w:cs="Times New Roman"/>
          <w:b/>
          <w:bCs/>
          <w:sz w:val="24"/>
        </w:rPr>
      </w:pPr>
      <w:r>
        <w:rPr>
          <w:rFonts w:ascii="Times New Roman" w:hAnsi="Times New Roman" w:cs="Times New Roman"/>
          <w:b/>
          <w:bCs/>
          <w:sz w:val="24"/>
        </w:rPr>
        <w:t>Enzyme-linked immunospot (ELISPOT) assay</w:t>
      </w:r>
    </w:p>
    <w:p w14:paraId="688F2B82">
      <w:pPr>
        <w:spacing w:line="360" w:lineRule="auto"/>
        <w:ind w:firstLine="480" w:firstLineChars="200"/>
        <w:rPr>
          <w:rFonts w:ascii="Times New Roman" w:hAnsi="Times New Roman" w:cs="Times New Roman"/>
          <w:sz w:val="24"/>
        </w:rPr>
      </w:pPr>
      <w:r>
        <w:rPr>
          <w:rFonts w:ascii="Times New Roman" w:hAnsi="Times New Roman" w:cs="Times New Roman"/>
          <w:sz w:val="24"/>
        </w:rPr>
        <w:t>The IFN-</w:t>
      </w:r>
      <w:r>
        <w:rPr>
          <w:rFonts w:ascii="Times New Roman" w:hAnsi="Times New Roman" w:eastAsia="宋体" w:cs="Times New Roman"/>
          <w:sz w:val="24"/>
        </w:rPr>
        <w:t xml:space="preserve">γ secretion of </w:t>
      </w:r>
      <w:r>
        <w:rPr>
          <w:rFonts w:ascii="Times New Roman" w:hAnsi="Times New Roman" w:cs="Times New Roman"/>
          <w:sz w:val="24"/>
        </w:rPr>
        <w:t xml:space="preserve">mouse splenic T cells were detected by Mouse Interferon-γ ELISPOT Kit (Mabtech, 4APT-10) as described previously </w:t>
      </w:r>
      <w:r>
        <w:rPr>
          <w:rFonts w:ascii="Times New Roman" w:hAnsi="Times New Roman" w:cs="Times New Roman"/>
          <w:sz w:val="24"/>
        </w:rPr>
        <w:fldChar w:fldCharType="begin">
          <w:fldData xml:space="preserve">PEVuZE5vdGU+PENpdGU+PEF1dGhvcj5DaGVuPC9BdXRob3I+PFllYXI+MjAyMjwvWWVhcj48UmVj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</w:fldData>
        </w:fldChar>
      </w:r>
      <w:r>
        <w:rPr>
          <w:rFonts w:hint="eastAsia" w:ascii="Times New Roman" w:hAnsi="Times New Roman" w:cs="Times New Roman"/>
          <w:sz w:val="24"/>
        </w:rPr>
        <w:instrText xml:space="preserve"> ADDIN EN.CITE </w:instrText>
      </w:r>
      <w:r>
        <w:rPr>
          <w:rFonts w:hint="eastAsia" w:ascii="Times New Roman" w:hAnsi="Times New Roman" w:cs="Times New Roman"/>
          <w:sz w:val="24"/>
        </w:rPr>
        <w:fldChar w:fldCharType="begin">
          <w:fldData xml:space="preserve">PEVuZE5vdGU+PENpdGU+PEF1dGhvcj5DaGVuPC9BdXRob3I+PFllYXI+MjAyMjwvWWVhcj48UmVj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</w:fldData>
        </w:fldChar>
      </w:r>
      <w:r>
        <w:rPr>
          <w:rFonts w:hint="eastAsia" w:ascii="Times New Roman" w:hAnsi="Times New Roman" w:cs="Times New Roman"/>
          <w:sz w:val="24"/>
        </w:rPr>
        <w:instrText xml:space="preserve"> ADDIN EN.CITE.DATA </w:instrText>
      </w:r>
      <w:r>
        <w:rPr>
          <w:rFonts w:ascii="Times New Roman" w:hAnsi="Times New Roman" w:cs="Times New Roman"/>
          <w:sz w:val="24"/>
        </w:rPr>
        <w:fldChar w:fldCharType="separate"/>
      </w:r>
      <w:r>
        <w:rPr>
          <w:rFonts w:hint="eastAsia" w:ascii="Times New Roman" w:hAnsi="Times New Roman" w:cs="Times New Roman"/>
          <w:sz w:val="24"/>
        </w:rPr>
        <w:fldChar w:fldCharType="end"/>
      </w:r>
      <w:r>
        <w:rPr>
          <w:rFonts w:ascii="Times New Roman" w:hAnsi="Times New Roman" w:cs="Times New Roman"/>
          <w:sz w:val="24"/>
        </w:rPr>
        <w:fldChar w:fldCharType="separate"/>
      </w:r>
      <w:r>
        <w:rPr>
          <w:rFonts w:hint="eastAsia" w:ascii="Times New Roman" w:hAnsi="Times New Roman" w:cs="Times New Roman"/>
          <w:sz w:val="24"/>
        </w:rPr>
        <w:t>(</w:t>
      </w:r>
      <w:r>
        <w:rPr>
          <w:rFonts w:hint="eastAsia" w:ascii="Times New Roman" w:hAnsi="Times New Roman" w:cs="Times New Roman"/>
          <w:i/>
          <w:sz w:val="24"/>
        </w:rPr>
        <w:t>50</w:t>
      </w:r>
      <w:r>
        <w:rPr>
          <w:rFonts w:hint="eastAsia" w:ascii="Times New Roman" w:hAnsi="Times New Roman" w:cs="Times New Roman"/>
          <w:sz w:val="24"/>
        </w:rPr>
        <w:t>)</w:t>
      </w:r>
      <w:r>
        <w:rPr>
          <w:rFonts w:ascii="Times New Roman" w:hAnsi="Times New Roman" w:cs="Times New Roman"/>
          <w:sz w:val="24"/>
        </w:rPr>
        <w:fldChar w:fldCharType="end"/>
      </w:r>
      <w:r>
        <w:rPr>
          <w:rFonts w:ascii="Times New Roman" w:hAnsi="Times New Roman" w:cs="Times New Roman"/>
          <w:sz w:val="24"/>
        </w:rPr>
        <w:t xml:space="preserve">. Briefly, bone narrow cells were flushed from the femurs and tibias of 8 weeks C57BL/6 mice, and cultured in RPMI 1640 supplemented with 10% FBS, 10 ng/mL IL-4, 20 ng/mL GM-CSF at </w:t>
      </w:r>
      <w:r>
        <w:rPr>
          <w:rFonts w:ascii="Times New Roman" w:hAnsi="Times New Roman" w:eastAsia="宋体" w:cs="Times New Roman"/>
          <w:sz w:val="24"/>
        </w:rPr>
        <w:t>37°C with 5% CO</w:t>
      </w:r>
      <w:r>
        <w:rPr>
          <w:rFonts w:ascii="Times New Roman" w:hAnsi="Times New Roman" w:eastAsia="宋体" w:cs="Times New Roman"/>
          <w:sz w:val="24"/>
          <w:vertAlign w:val="subscript"/>
        </w:rPr>
        <w:t>2</w:t>
      </w:r>
      <w:r>
        <w:rPr>
          <w:rFonts w:ascii="Times New Roman" w:hAnsi="Times New Roman" w:eastAsia="宋体" w:cs="Times New Roman"/>
          <w:sz w:val="24"/>
        </w:rPr>
        <w:t>.</w:t>
      </w:r>
      <w:r>
        <w:rPr>
          <w:rFonts w:ascii="Times New Roman" w:hAnsi="Times New Roman" w:cs="Times New Roman"/>
          <w:sz w:val="24"/>
        </w:rPr>
        <w:t xml:space="preserve"> After 6 days, </w:t>
      </w:r>
      <w:r>
        <w:rPr>
          <w:rFonts w:ascii="Times New Roman" w:hAnsi="Times New Roman" w:eastAsia="宋体" w:cs="Times New Roman"/>
          <w:sz w:val="24"/>
        </w:rPr>
        <w:t>3×10</w:t>
      </w:r>
      <w:r>
        <w:rPr>
          <w:rFonts w:ascii="Times New Roman" w:hAnsi="Times New Roman" w:eastAsia="宋体" w:cs="Times New Roman"/>
          <w:sz w:val="24"/>
          <w:vertAlign w:val="superscript"/>
        </w:rPr>
        <w:t xml:space="preserve">4 </w:t>
      </w:r>
      <w:r>
        <w:rPr>
          <w:rFonts w:ascii="Times New Roman" w:hAnsi="Times New Roman" w:cs="Times New Roman"/>
          <w:sz w:val="24"/>
        </w:rPr>
        <w:t>bone narrow-derived dendritic cells</w:t>
      </w:r>
      <w:r>
        <w:rPr>
          <w:rFonts w:ascii="Times New Roman" w:hAnsi="Times New Roman" w:eastAsia="宋体" w:cs="Times New Roman"/>
          <w:sz w:val="24"/>
        </w:rPr>
        <w:t xml:space="preserve"> (</w:t>
      </w:r>
      <w:r>
        <w:rPr>
          <w:rFonts w:ascii="Times New Roman" w:hAnsi="Times New Roman" w:cs="Times New Roman"/>
          <w:sz w:val="24"/>
        </w:rPr>
        <w:t>BMDCs) were pulsed with neoantigen peptide pool (4µg in total, 0.55µg per peptide) or each peptide (4µg) for 48h in a multiscreen 96-well filtration plate for 48h. After three times immunization by neoantigen peptides, 3</w:t>
      </w:r>
      <w:r>
        <w:rPr>
          <w:rFonts w:ascii="Times New Roman" w:hAnsi="Times New Roman" w:eastAsia="宋体" w:cs="Times New Roman"/>
          <w:sz w:val="24"/>
        </w:rPr>
        <w:t>×10</w:t>
      </w:r>
      <w:r>
        <w:rPr>
          <w:rFonts w:ascii="Times New Roman" w:hAnsi="Times New Roman" w:eastAsia="宋体" w:cs="Times New Roman"/>
          <w:sz w:val="24"/>
          <w:vertAlign w:val="superscript"/>
        </w:rPr>
        <w:t>5</w:t>
      </w:r>
      <w:r>
        <w:rPr>
          <w:rFonts w:ascii="Times New Roman" w:hAnsi="Times New Roman" w:cs="Times New Roman"/>
          <w:sz w:val="24"/>
        </w:rPr>
        <w:t xml:space="preserve"> splenic T cells from mice were isolated and added to the 96-well plate for 24h co-culture with BMDCs. Mean</w:t>
      </w:r>
      <w:r>
        <w:rPr>
          <w:rFonts w:hint="eastAsia" w:ascii="Times New Roman" w:hAnsi="Times New Roman" w:cs="Times New Roman"/>
          <w:sz w:val="24"/>
        </w:rPr>
        <w:t>while</w:t>
      </w:r>
      <w:r>
        <w:rPr>
          <w:rFonts w:ascii="Times New Roman" w:hAnsi="Times New Roman" w:cs="Times New Roman"/>
          <w:sz w:val="24"/>
        </w:rPr>
        <w:t xml:space="preserve">, the </w:t>
      </w:r>
      <w:r>
        <w:rPr>
          <w:rFonts w:ascii="Times New Roman" w:hAnsi="Times New Roman" w:eastAsia="宋体" w:cs="Times New Roman"/>
          <w:sz w:val="24"/>
        </w:rPr>
        <w:t xml:space="preserve">BMDCs pulsed with PBS served as the negative control, </w:t>
      </w:r>
      <w:r>
        <w:rPr>
          <w:rFonts w:hint="eastAsia" w:ascii="Times New Roman" w:hAnsi="Times New Roman" w:eastAsia="宋体" w:cs="Times New Roman"/>
          <w:sz w:val="24"/>
        </w:rPr>
        <w:t>and</w:t>
      </w:r>
      <w:r>
        <w:rPr>
          <w:rFonts w:ascii="Times New Roman" w:hAnsi="Times New Roman" w:eastAsia="宋体" w:cs="Times New Roman"/>
          <w:sz w:val="24"/>
        </w:rPr>
        <w:t xml:space="preserve"> splenic T cells co-incubated with CD3 antibody for T cell activation served as the positive control. </w:t>
      </w:r>
      <w:r>
        <w:rPr>
          <w:rFonts w:ascii="Times New Roman" w:hAnsi="Times New Roman" w:cs="Times New Roman"/>
          <w:sz w:val="24"/>
        </w:rPr>
        <w:t>Then, the plates were washed and subsequently incubated with detection antibody (R4-6A2-biotin, 1 µg/mL, 100 µl/well) for 2 hours at room temperature. Afterwards, the plates were washed again and then incubated with Streptavidin ALP (1:1000 dilution, 100 µl per well) for 1 hour at room temperature. Subsequently, 3, 3', 5, 5'-Tetramethylbenzidine (TMB) substrate solution was added to each well and incubated for 4-8 min at room temperature before adding deionized water to stop the reaction. Finally, IFN-γ spot-forming cells were imaged and analyzed by ELISPOT Analysis System (AT-Spot-2200, Beijing Antai Yongxin Medical Technology, China).</w:t>
      </w:r>
    </w:p>
    <w:p w14:paraId="688F2B83">
      <w:pPr>
        <w:spacing w:line="360" w:lineRule="auto"/>
        <w:rPr>
          <w:rFonts w:ascii="Times New Roman" w:hAnsi="Times New Roman" w:cs="Times New Roman"/>
          <w:b/>
          <w:bCs/>
          <w:sz w:val="24"/>
          <w:szCs w:val="32"/>
        </w:rPr>
      </w:pPr>
      <w:r>
        <w:rPr>
          <w:rFonts w:ascii="Times New Roman" w:hAnsi="Times New Roman" w:cs="Times New Roman"/>
          <w:b/>
          <w:bCs/>
          <w:sz w:val="24"/>
          <w:szCs w:val="32"/>
        </w:rPr>
        <w:t>Antigen-Specific IgG</w:t>
      </w:r>
      <w:r>
        <w:rPr>
          <w:rFonts w:hint="eastAsia" w:ascii="Times New Roman" w:hAnsi="Times New Roman" w:cs="Times New Roman"/>
          <w:b/>
          <w:bCs/>
          <w:sz w:val="24"/>
          <w:szCs w:val="32"/>
        </w:rPr>
        <w:t xml:space="preserve"> analysis and</w:t>
      </w:r>
      <w:r>
        <w:rPr>
          <w:rFonts w:ascii="Times New Roman" w:hAnsi="Times New Roman" w:cs="Times New Roman"/>
          <w:b/>
          <w:bCs/>
          <w:sz w:val="24"/>
          <w:szCs w:val="32"/>
        </w:rPr>
        <w:t xml:space="preserve"> ELISA</w:t>
      </w:r>
    </w:p>
    <w:p w14:paraId="688F2B84">
      <w:pPr>
        <w:spacing w:line="360" w:lineRule="auto"/>
        <w:ind w:firstLine="480" w:firstLineChars="200"/>
        <w:rPr>
          <w:rFonts w:ascii="Times New Roman" w:hAnsi="Times New Roman" w:cs="Times New Roman"/>
          <w:sz w:val="24"/>
          <w:szCs w:val="32"/>
        </w:rPr>
      </w:pPr>
      <w:r>
        <w:rPr>
          <w:rFonts w:ascii="Times New Roman" w:hAnsi="Times New Roman" w:cs="Times New Roman"/>
          <w:sz w:val="24"/>
          <w:szCs w:val="32"/>
        </w:rPr>
        <w:t>The antigen-specific IgG titers in mouse ser</w:t>
      </w:r>
      <w:r>
        <w:rPr>
          <w:rFonts w:hint="eastAsia" w:ascii="Times New Roman" w:hAnsi="Times New Roman" w:cs="Times New Roman"/>
          <w:sz w:val="24"/>
          <w:szCs w:val="32"/>
        </w:rPr>
        <w:t>um</w:t>
      </w:r>
      <w:r>
        <w:rPr>
          <w:rFonts w:ascii="Times New Roman" w:hAnsi="Times New Roman" w:cs="Times New Roman"/>
          <w:sz w:val="24"/>
          <w:szCs w:val="32"/>
        </w:rPr>
        <w:t xml:space="preserve"> induced by OMvac were assessed using a semi-quantitative ELISA. 96-well plates (Nunc) were coated with 100 µ</w:t>
      </w:r>
      <w:r>
        <w:rPr>
          <w:rFonts w:hint="eastAsia" w:ascii="Times New Roman" w:hAnsi="Times New Roman" w:cs="Times New Roman"/>
          <w:sz w:val="24"/>
          <w:szCs w:val="32"/>
        </w:rPr>
        <w:t>l</w:t>
      </w:r>
      <w:r>
        <w:rPr>
          <w:rFonts w:ascii="Times New Roman" w:hAnsi="Times New Roman" w:cs="Times New Roman"/>
          <w:sz w:val="24"/>
          <w:szCs w:val="32"/>
        </w:rPr>
        <w:t xml:space="preserve"> per well of 0.5 µg recombinant MICB protein (HY-P73294, MedChemExpress, USA) prepared in PBS. After overnight incubation at 4 °C, the plates were washed </w:t>
      </w:r>
      <w:r>
        <w:rPr>
          <w:rFonts w:hint="eastAsia" w:ascii="Times New Roman" w:hAnsi="Times New Roman" w:cs="Times New Roman"/>
          <w:sz w:val="24"/>
          <w:szCs w:val="32"/>
        </w:rPr>
        <w:t>three</w:t>
      </w:r>
      <w:r>
        <w:rPr>
          <w:rFonts w:ascii="Times New Roman" w:hAnsi="Times New Roman" w:cs="Times New Roman"/>
          <w:sz w:val="24"/>
          <w:szCs w:val="32"/>
        </w:rPr>
        <w:t xml:space="preserve"> times with PBS-Tween 20 (0.05% v/v) and blocked for 1h at 37 °C with 200 µl per well of blocking buffer (1% BSA w/v in PBS-Tween 20, 0.05% v/v).</w:t>
      </w:r>
      <w:r>
        <w:rPr>
          <w:rFonts w:hint="eastAsia" w:ascii="Times New Roman" w:hAnsi="Times New Roman" w:cs="Times New Roman"/>
          <w:sz w:val="24"/>
          <w:szCs w:val="32"/>
        </w:rPr>
        <w:t xml:space="preserve"> The diluted </w:t>
      </w:r>
      <w:r>
        <w:rPr>
          <w:rFonts w:ascii="Times New Roman" w:hAnsi="Times New Roman" w:cs="Times New Roman"/>
          <w:sz w:val="24"/>
          <w:szCs w:val="32"/>
        </w:rPr>
        <w:t xml:space="preserve">mouse </w:t>
      </w:r>
      <w:r>
        <w:rPr>
          <w:rFonts w:hint="eastAsia" w:ascii="Times New Roman" w:hAnsi="Times New Roman" w:cs="Times New Roman"/>
          <w:sz w:val="24"/>
          <w:szCs w:val="32"/>
        </w:rPr>
        <w:t>serum</w:t>
      </w:r>
      <w:r>
        <w:rPr>
          <w:rFonts w:ascii="Times New Roman" w:hAnsi="Times New Roman" w:cs="Times New Roman"/>
          <w:sz w:val="24"/>
          <w:szCs w:val="32"/>
        </w:rPr>
        <w:t xml:space="preserve"> was then added in the plates and incubated for 30min. After another </w:t>
      </w:r>
      <w:r>
        <w:rPr>
          <w:rFonts w:hint="eastAsia" w:ascii="Times New Roman" w:hAnsi="Times New Roman" w:cs="Times New Roman"/>
          <w:sz w:val="24"/>
          <w:szCs w:val="32"/>
        </w:rPr>
        <w:t>three</w:t>
      </w:r>
      <w:r>
        <w:rPr>
          <w:rFonts w:ascii="Times New Roman" w:hAnsi="Times New Roman" w:cs="Times New Roman"/>
          <w:sz w:val="24"/>
          <w:szCs w:val="32"/>
        </w:rPr>
        <w:t>-time washing by PBS, 1:1000 dilution of goat anti-mouse IgG/HRP (</w:t>
      </w:r>
      <w:r>
        <w:rPr>
          <w:rFonts w:hint="eastAsia" w:ascii="Times New Roman" w:hAnsi="Times New Roman" w:cs="Times New Roman"/>
          <w:sz w:val="24"/>
          <w:szCs w:val="32"/>
        </w:rPr>
        <w:t>SE31</w:t>
      </w:r>
      <w:r>
        <w:rPr>
          <w:rFonts w:ascii="Times New Roman" w:hAnsi="Times New Roman" w:cs="Times New Roman"/>
          <w:sz w:val="24"/>
          <w:szCs w:val="32"/>
        </w:rPr>
        <w:t>, S</w:t>
      </w:r>
      <w:r>
        <w:rPr>
          <w:rFonts w:hint="eastAsia" w:ascii="Times New Roman" w:hAnsi="Times New Roman" w:cs="Times New Roman"/>
          <w:sz w:val="24"/>
          <w:szCs w:val="32"/>
        </w:rPr>
        <w:t>olarbio</w:t>
      </w:r>
      <w:r>
        <w:rPr>
          <w:rFonts w:ascii="Times New Roman" w:hAnsi="Times New Roman" w:cs="Times New Roman"/>
          <w:sz w:val="24"/>
          <w:szCs w:val="32"/>
        </w:rPr>
        <w:t>, China) were incubated for 1h at 37 °C. After final washing, plates were developed using 50 µl per well of TMB (3,3′, 5,5′-tetramethylbenzidine) substrate, and the reaction was stopped after 5min with 50 µl per well of stop solution (Boster Biological Technology, Wuhan, China). The absorbance was read at 450 nm using Spectramax m5e (Molecular Devices, USA).</w:t>
      </w:r>
    </w:p>
    <w:p w14:paraId="688F2B85">
      <w:pPr>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To detect the effect of anti-human</w:t>
      </w:r>
      <w:r>
        <w:rPr>
          <w:rFonts w:hint="eastAsia" w:ascii="Times New Roman" w:hAnsi="Times New Roman" w:cs="Times New Roman"/>
          <w:sz w:val="24"/>
        </w:rPr>
        <w:t xml:space="preserve"> </w:t>
      </w:r>
      <w:r>
        <w:rPr>
          <w:rFonts w:ascii="Times New Roman" w:hAnsi="Times New Roman" w:cs="Times New Roman"/>
          <w:sz w:val="24"/>
        </w:rPr>
        <w:t xml:space="preserve">MICB α3 antibody in inhibiting the shedding of MICB protein on the surface of tumor cells, 8 weeks C57BL/6 mice were pre-immunized three times with OMvac, and the mouse serum was collected and added to the medium </w:t>
      </w:r>
      <w:r>
        <w:rPr>
          <w:rFonts w:hint="eastAsia" w:ascii="Times New Roman" w:hAnsi="Times New Roman" w:cs="Times New Roman"/>
          <w:sz w:val="24"/>
        </w:rPr>
        <w:t>for</w:t>
      </w:r>
      <w:r>
        <w:rPr>
          <w:rFonts w:ascii="Times New Roman" w:hAnsi="Times New Roman" w:cs="Times New Roman"/>
          <w:sz w:val="24"/>
        </w:rPr>
        <w:t xml:space="preserve"> </w:t>
      </w:r>
      <w:r>
        <w:rPr>
          <w:rFonts w:hint="eastAsia" w:ascii="Times New Roman" w:hAnsi="Times New Roman" w:cs="Times New Roman"/>
          <w:sz w:val="24"/>
        </w:rPr>
        <w:t>the</w:t>
      </w:r>
      <w:r>
        <w:rPr>
          <w:rFonts w:ascii="Times New Roman" w:hAnsi="Times New Roman" w:cs="Times New Roman"/>
          <w:sz w:val="24"/>
        </w:rPr>
        <w:t xml:space="preserve"> </w:t>
      </w:r>
      <w:r>
        <w:rPr>
          <w:rFonts w:hint="eastAsia" w:ascii="Times New Roman" w:hAnsi="Times New Roman" w:cs="Times New Roman"/>
          <w:sz w:val="24"/>
        </w:rPr>
        <w:t>co</w:t>
      </w:r>
      <w:r>
        <w:rPr>
          <w:rFonts w:ascii="Times New Roman" w:hAnsi="Times New Roman" w:cs="Times New Roman"/>
          <w:sz w:val="24"/>
        </w:rPr>
        <w:t>culture</w:t>
      </w:r>
      <w:r>
        <w:rPr>
          <w:rFonts w:hint="eastAsia" w:ascii="Times New Roman" w:hAnsi="Times New Roman" w:cs="Times New Roman"/>
          <w:sz w:val="24"/>
        </w:rPr>
        <w:t xml:space="preserve"> of</w:t>
      </w:r>
      <w:r>
        <w:rPr>
          <w:rFonts w:ascii="Times New Roman" w:hAnsi="Times New Roman" w:cs="Times New Roman"/>
          <w:sz w:val="24"/>
        </w:rPr>
        <w:t xml:space="preserve"> Hepa1-6-hMICB cell</w:t>
      </w:r>
      <w:r>
        <w:rPr>
          <w:rFonts w:hint="eastAsia" w:ascii="Times New Roman" w:hAnsi="Times New Roman" w:cs="Times New Roman"/>
          <w:sz w:val="24"/>
        </w:rPr>
        <w:t>s</w:t>
      </w:r>
      <w:r>
        <w:rPr>
          <w:rFonts w:ascii="Times New Roman" w:hAnsi="Times New Roman" w:cs="Times New Roman"/>
          <w:sz w:val="24"/>
        </w:rPr>
        <w:t xml:space="preserve">. Then, the cell culture supernatant was </w:t>
      </w:r>
      <w:r>
        <w:rPr>
          <w:rFonts w:hint="eastAsia" w:ascii="Times New Roman" w:hAnsi="Times New Roman" w:cs="Times New Roman"/>
          <w:sz w:val="24"/>
        </w:rPr>
        <w:t>collect</w:t>
      </w:r>
      <w:r>
        <w:rPr>
          <w:rFonts w:ascii="Times New Roman" w:hAnsi="Times New Roman" w:cs="Times New Roman"/>
          <w:sz w:val="24"/>
        </w:rPr>
        <w:t>ed at 24h, 48h and 72h, and the shed MICB protein content in the supernatant was detected by Human MICB ELISA kit (EK0963, Boster Biological Technology, USA)</w:t>
      </w:r>
      <w:r>
        <w:rPr>
          <w:rFonts w:hint="eastAsia" w:ascii="Times New Roman" w:hAnsi="Times New Roman" w:cs="Times New Roman"/>
          <w:sz w:val="24"/>
        </w:rPr>
        <w:t xml:space="preserve"> </w:t>
      </w:r>
      <w:r>
        <w:rPr>
          <w:rFonts w:ascii="Times New Roman" w:hAnsi="Times New Roman" w:cs="Times New Roman"/>
          <w:sz w:val="24"/>
        </w:rPr>
        <w:t>following manual.</w:t>
      </w:r>
    </w:p>
    <w:p w14:paraId="688F2B86">
      <w:pPr>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Additionally, to assess cytokine levels in the tumors, the collected tumors were lysed in RIPA lysis buffer containing 1% phenylmethylsulfonyl fluoride (PMSF) and 2% protease inhibitor cocktail. The tissue was then ground with grinding beads using a tissue homogenizer at low temperature for 6 minutes. The resulting suspension was centrifuged at 12000 g at 4°C for 5 minutes. The supernatants were subsequently analyzed using ELISA kits (Boster Biological Technology, USA) to measure IL-1β, IL-18 and IL-15, following the standard protocols.</w:t>
      </w:r>
    </w:p>
    <w:p w14:paraId="688F2B87">
      <w:pPr>
        <w:spacing w:line="360" w:lineRule="auto"/>
        <w:rPr>
          <w:rFonts w:ascii="Times New Roman" w:hAnsi="Times New Roman" w:cs="Times New Roman"/>
          <w:b/>
          <w:bCs/>
          <w:sz w:val="24"/>
        </w:rPr>
      </w:pPr>
      <w:r>
        <w:rPr>
          <w:rFonts w:ascii="Times New Roman" w:hAnsi="Times New Roman" w:cs="Times New Roman"/>
          <w:b/>
          <w:bCs/>
          <w:sz w:val="24"/>
        </w:rPr>
        <w:t>Flow cytometry</w:t>
      </w:r>
    </w:p>
    <w:p w14:paraId="688F2B88">
      <w:pPr>
        <w:spacing w:line="360" w:lineRule="auto"/>
        <w:ind w:firstLine="480" w:firstLineChars="200"/>
        <w:rPr>
          <w:rFonts w:ascii="Times New Roman" w:hAnsi="Times New Roman" w:cs="Times New Roman"/>
          <w:sz w:val="24"/>
        </w:rPr>
      </w:pPr>
      <w:r>
        <w:rPr>
          <w:rFonts w:ascii="Times New Roman" w:hAnsi="Times New Roman" w:cs="Times New Roman"/>
          <w:sz w:val="24"/>
        </w:rPr>
        <w:t>For flow cytometry analysis, single cell suspensions from tumor, spleen and lymph nodes were stained with different combinations of antibodies for 30 min under dark, including anti-mouse CD3-</w:t>
      </w:r>
      <w:r>
        <w:rPr>
          <w:rFonts w:hint="eastAsia" w:ascii="Times New Roman" w:hAnsi="Times New Roman" w:cs="Times New Roman"/>
          <w:sz w:val="24"/>
        </w:rPr>
        <w:t>FITC</w:t>
      </w:r>
      <w:r>
        <w:rPr>
          <w:rFonts w:ascii="Times New Roman" w:hAnsi="Times New Roman" w:cs="Times New Roman"/>
          <w:sz w:val="24"/>
        </w:rPr>
        <w:t xml:space="preserve"> (</w:t>
      </w:r>
      <w:r>
        <w:rPr>
          <w:rFonts w:ascii="Times New Roman" w:hAnsi="Times New Roman" w:cs="Times New Roman"/>
          <w:kern w:val="0"/>
          <w:sz w:val="24"/>
        </w:rPr>
        <w:t>#100204</w:t>
      </w:r>
      <w:r>
        <w:rPr>
          <w:rFonts w:ascii="Times New Roman" w:hAnsi="Times New Roman" w:cs="Times New Roman"/>
          <w:sz w:val="24"/>
        </w:rPr>
        <w:t>,</w:t>
      </w:r>
      <w:r>
        <w:rPr>
          <w:rFonts w:hint="eastAsia" w:ascii="Times New Roman" w:hAnsi="Times New Roman" w:cs="Times New Roman"/>
          <w:sz w:val="24"/>
        </w:rPr>
        <w:t xml:space="preserve"> </w:t>
      </w:r>
      <w:r>
        <w:rPr>
          <w:rFonts w:ascii="Times New Roman" w:hAnsi="Times New Roman" w:cs="Times New Roman"/>
          <w:sz w:val="24"/>
        </w:rPr>
        <w:t>Biolegend), anti-mouse CD8-APC (</w:t>
      </w:r>
      <w:r>
        <w:rPr>
          <w:rFonts w:ascii="Times New Roman" w:hAnsi="Times New Roman" w:cs="Times New Roman"/>
          <w:kern w:val="0"/>
          <w:sz w:val="24"/>
        </w:rPr>
        <w:t>#140410</w:t>
      </w:r>
      <w:r>
        <w:rPr>
          <w:rFonts w:ascii="Times New Roman" w:hAnsi="Times New Roman" w:cs="Times New Roman"/>
          <w:sz w:val="24"/>
        </w:rPr>
        <w:t>, Biolegend</w:t>
      </w:r>
      <w:r>
        <w:rPr>
          <w:rFonts w:hint="eastAsia" w:ascii="Times New Roman" w:hAnsi="Times New Roman" w:cs="Times New Roman"/>
          <w:sz w:val="24"/>
        </w:rPr>
        <w:t>)</w:t>
      </w:r>
      <w:r>
        <w:rPr>
          <w:rFonts w:ascii="Times New Roman" w:hAnsi="Times New Roman" w:cs="Times New Roman"/>
          <w:sz w:val="24"/>
        </w:rPr>
        <w:t>, anti-mouse CD4-PE (</w:t>
      </w:r>
      <w:r>
        <w:rPr>
          <w:rFonts w:ascii="Times New Roman" w:hAnsi="Times New Roman" w:cs="Times New Roman"/>
          <w:kern w:val="0"/>
          <w:sz w:val="24"/>
        </w:rPr>
        <w:t>#</w:t>
      </w:r>
      <w:r>
        <w:rPr>
          <w:rFonts w:ascii="Times New Roman" w:hAnsi="Times New Roman" w:cs="Times New Roman"/>
          <w:sz w:val="24"/>
        </w:rPr>
        <w:t>100408, Biolegend), anti-mouse CD11c-APC (#117310, Biolegend), anti-mouse CD80-PE mAb (#104708, Biolegend), anti-mouse CD86-PE-Cyanine7 (</w:t>
      </w:r>
      <w:r>
        <w:rPr>
          <w:rFonts w:ascii="Times New Roman" w:hAnsi="Times New Roman" w:cs="Times New Roman"/>
          <w:kern w:val="0"/>
          <w:sz w:val="24"/>
        </w:rPr>
        <w:t>#105014</w:t>
      </w:r>
      <w:r>
        <w:rPr>
          <w:rFonts w:ascii="Times New Roman" w:hAnsi="Times New Roman" w:cs="Times New Roman"/>
          <w:sz w:val="24"/>
        </w:rPr>
        <w:t>, Biolegend), anti-mouse CD44-PE-Cyanine7 mAb (</w:t>
      </w:r>
      <w:r>
        <w:rPr>
          <w:rFonts w:ascii="Times New Roman" w:hAnsi="Times New Roman" w:cs="Times New Roman"/>
          <w:kern w:val="0"/>
          <w:sz w:val="24"/>
        </w:rPr>
        <w:t>#103030</w:t>
      </w:r>
      <w:r>
        <w:rPr>
          <w:rFonts w:ascii="Times New Roman" w:hAnsi="Times New Roman" w:cs="Times New Roman"/>
          <w:sz w:val="24"/>
        </w:rPr>
        <w:t>, Biolegend), anti-mouse CD62L-PerCP/Cy5.5 mAb (</w:t>
      </w:r>
      <w:r>
        <w:rPr>
          <w:rFonts w:ascii="Times New Roman" w:hAnsi="Times New Roman" w:cs="Times New Roman"/>
          <w:kern w:val="0"/>
          <w:sz w:val="24"/>
        </w:rPr>
        <w:t>#104430</w:t>
      </w:r>
      <w:r>
        <w:rPr>
          <w:rFonts w:ascii="Times New Roman" w:hAnsi="Times New Roman" w:cs="Times New Roman"/>
          <w:sz w:val="24"/>
        </w:rPr>
        <w:t>, Biolegend), anti-mouse CD49a-APC mAb (</w:t>
      </w:r>
      <w:r>
        <w:rPr>
          <w:rFonts w:ascii="Times New Roman" w:hAnsi="Times New Roman" w:cs="Times New Roman"/>
          <w:kern w:val="0"/>
          <w:sz w:val="24"/>
        </w:rPr>
        <w:t>#142605</w:t>
      </w:r>
      <w:r>
        <w:rPr>
          <w:rFonts w:ascii="Times New Roman" w:hAnsi="Times New Roman" w:cs="Times New Roman"/>
          <w:sz w:val="24"/>
        </w:rPr>
        <w:t>, Biolegend), and anti-mouse CD103-PE mAb (</w:t>
      </w:r>
      <w:r>
        <w:rPr>
          <w:rFonts w:ascii="Times New Roman" w:hAnsi="Times New Roman" w:cs="Times New Roman"/>
          <w:kern w:val="0"/>
          <w:sz w:val="24"/>
        </w:rPr>
        <w:t>#110903</w:t>
      </w:r>
      <w:r>
        <w:rPr>
          <w:rFonts w:ascii="Times New Roman" w:hAnsi="Times New Roman" w:cs="Times New Roman"/>
          <w:sz w:val="24"/>
        </w:rPr>
        <w:t xml:space="preserve">, Biolegend). After staining, the samples were washed two times by PBS and finally resuspended by 300 </w:t>
      </w:r>
      <w:r>
        <w:rPr>
          <w:rFonts w:ascii="Times New Roman" w:hAnsi="Times New Roman" w:cs="Times New Roman"/>
          <w:kern w:val="0"/>
          <w:sz w:val="24"/>
        </w:rPr>
        <w:t xml:space="preserve">µl PBS for detection. </w:t>
      </w:r>
      <w:r>
        <w:rPr>
          <w:rFonts w:ascii="Times New Roman" w:hAnsi="Times New Roman" w:cs="Times New Roman"/>
          <w:sz w:val="24"/>
        </w:rPr>
        <w:t>The anti-mouse Slc16a13 (p. 234-241: YVHLVANL)-specific tetramer-PE and anti-mouse Ptpn2 (p. 376-384: RWLYWQPTL) were purchased from BioReagent Unit of Cancer Research Center of Xiamen University (Xiamen, China). Tumor single cell suspensions were stained with 2 μl tetramer for 20 minutes at room temperature, then anti-mouse CD8 antibody was added and incubated for another 20 minutes at room temperature. All samples were analyzed on a flow cytometer (BD FACSVerseTM, USA), and data were analyzed by FlowJo v.10.</w:t>
      </w:r>
    </w:p>
    <w:p w14:paraId="688F2B89">
      <w:pPr>
        <w:spacing w:line="360" w:lineRule="auto"/>
        <w:rPr>
          <w:rFonts w:ascii="Times New Roman" w:hAnsi="Times New Roman" w:cs="Times New Roman"/>
          <w:sz w:val="24"/>
        </w:rPr>
      </w:pPr>
      <w:r>
        <w:rPr>
          <w:rFonts w:ascii="Times New Roman" w:hAnsi="Times New Roman" w:cs="Times New Roman"/>
          <w:b/>
          <w:bCs/>
          <w:sz w:val="24"/>
        </w:rPr>
        <w:t>Immunohistochemistry</w:t>
      </w:r>
    </w:p>
    <w:p w14:paraId="688F2B8A">
      <w:pPr>
        <w:spacing w:line="360" w:lineRule="auto"/>
        <w:ind w:firstLine="600" w:firstLineChars="250"/>
        <w:rPr>
          <w:rFonts w:ascii="Times New Roman" w:hAnsi="Times New Roman" w:cs="Times New Roman"/>
          <w:sz w:val="24"/>
        </w:rPr>
      </w:pPr>
      <w:r>
        <w:rPr>
          <w:rFonts w:ascii="Times New Roman" w:hAnsi="Times New Roman" w:cs="Times New Roman"/>
          <w:sz w:val="24"/>
        </w:rPr>
        <w:t>For immunohistochemistry, standardized procedures were followed. Tumor tissues from mice were fixed, paraffin-embedded, sectioned, dewaxed, and blocked. They were then incubated overnight with primary antibodies, including anti-mouse CD4 (ab217344, Abcam, 1:2000), anti-mouse CD8 (ab183685, Abcam, 1:1000), and anti-mouse NK1.1 (A25457, Abclonal, 1:1000). Afterward, the tissues were incubated with secondary antibodies, stained with DAB, and mounted. QuPath software was used to analyze the positive cell rate in the IHC images.</w:t>
      </w:r>
    </w:p>
    <w:p w14:paraId="688F2B8B">
      <w:pPr>
        <w:spacing w:line="360" w:lineRule="auto"/>
        <w:rPr>
          <w:rFonts w:ascii="Times New Roman" w:hAnsi="Times New Roman" w:cs="Times New Roman"/>
          <w:sz w:val="24"/>
        </w:rPr>
      </w:pPr>
      <w:r>
        <w:rPr>
          <w:rFonts w:ascii="Times New Roman" w:hAnsi="Times New Roman" w:cs="Times New Roman"/>
          <w:b/>
          <w:bCs/>
          <w:sz w:val="24"/>
        </w:rPr>
        <w:t>Immunofluorescence and Multi-color Immunofluorescence</w:t>
      </w:r>
    </w:p>
    <w:p w14:paraId="688F2B8C">
      <w:pPr>
        <w:spacing w:line="360" w:lineRule="auto"/>
        <w:ind w:firstLine="600" w:firstLineChars="250"/>
        <w:rPr>
          <w:rFonts w:ascii="Times New Roman" w:hAnsi="Times New Roman" w:cs="Times New Roman"/>
          <w:sz w:val="24"/>
        </w:rPr>
      </w:pPr>
      <w:r>
        <w:rPr>
          <w:rFonts w:ascii="Times New Roman" w:hAnsi="Times New Roman" w:cs="Times New Roman"/>
          <w:sz w:val="24"/>
        </w:rPr>
        <w:t>For Immunofluorescence analysis, tumor tissue slides were stained according to the IHC procedures, using anti-Calreticulin (ab315210, Abcam, 1:250) as the primary antibody, the secondary antibody was labeled by Alexa Fluor 690, and the nucleuses were counterstained with DAPI. For Multi-color Immunofluorescence analysis, the Muti-color immunofluorescence is performed according to 6-Plex Detection Kit (AFIHC027, AiFang biological). Briefly, slides were stained with anti-mouse CD4 (ab183685, Abcam, 1:100), anti-mouse CD8 (ab217344, Abcam, 1:100), anti-mouse-NK1.1 (A25457, Abclonal, 1:50), anti-mouse</w:t>
      </w:r>
      <w:r>
        <w:rPr>
          <w:rFonts w:hint="eastAsia" w:ascii="Times New Roman" w:hAnsi="Times New Roman" w:cs="Times New Roman"/>
          <w:sz w:val="24"/>
        </w:rPr>
        <w:t xml:space="preserve"> </w:t>
      </w:r>
      <w:r>
        <w:rPr>
          <w:rFonts w:ascii="Times New Roman" w:hAnsi="Times New Roman" w:cs="Times New Roman"/>
          <w:sz w:val="24"/>
        </w:rPr>
        <w:t>NKG2D (GTX50988, Genetex, 1:50) and anti-mouse TNF-α (11948, CST, 1:100). The slides were scanned and analyzed by PhenoCycle-Fusion 2.0 (Akoya Bioscience). The phenoptrReports R Package was downloaded from the official Akoya website to analyze the obtained data.</w:t>
      </w:r>
    </w:p>
    <w:p w14:paraId="688F2B8D">
      <w:pPr>
        <w:spacing w:line="360" w:lineRule="auto"/>
        <w:rPr>
          <w:rFonts w:ascii="Times New Roman" w:hAnsi="Times New Roman" w:cs="Times New Roman"/>
          <w:b/>
          <w:bCs/>
          <w:sz w:val="24"/>
        </w:rPr>
      </w:pPr>
    </w:p>
    <w:p w14:paraId="688F2B8E">
      <w:pPr>
        <w:spacing w:line="360" w:lineRule="auto"/>
        <w:rPr>
          <w:rFonts w:ascii="Times New Roman" w:hAnsi="Times New Roman" w:cs="Times New Roman"/>
          <w:b/>
          <w:bCs/>
          <w:sz w:val="24"/>
        </w:rPr>
      </w:pPr>
    </w:p>
    <w:p w14:paraId="688F2B8F">
      <w:pPr>
        <w:spacing w:line="360" w:lineRule="auto"/>
        <w:rPr>
          <w:rFonts w:ascii="Times New Roman" w:hAnsi="Times New Roman" w:cs="Times New Roman"/>
          <w:b/>
          <w:bCs/>
          <w:sz w:val="24"/>
        </w:rPr>
      </w:pPr>
    </w:p>
    <w:p w14:paraId="688F2B90">
      <w:pPr>
        <w:spacing w:line="360" w:lineRule="auto"/>
        <w:rPr>
          <w:rFonts w:ascii="Times New Roman" w:hAnsi="Times New Roman" w:cs="Times New Roman"/>
          <w:b/>
          <w:bCs/>
          <w:sz w:val="24"/>
        </w:rPr>
      </w:pPr>
    </w:p>
    <w:p w14:paraId="688F2B91">
      <w:pPr>
        <w:spacing w:line="360" w:lineRule="auto"/>
        <w:rPr>
          <w:rFonts w:ascii="Times New Roman" w:hAnsi="Times New Roman" w:cs="Times New Roman"/>
          <w:b/>
          <w:bCs/>
          <w:sz w:val="24"/>
        </w:rPr>
      </w:pPr>
    </w:p>
    <w:p w14:paraId="688F2B92">
      <w:pPr>
        <w:spacing w:line="360" w:lineRule="auto"/>
        <w:rPr>
          <w:rFonts w:ascii="Times New Roman" w:hAnsi="Times New Roman" w:cs="Times New Roman"/>
          <w:b/>
          <w:bCs/>
          <w:sz w:val="24"/>
        </w:rPr>
      </w:pPr>
    </w:p>
    <w:p w14:paraId="688F2B93">
      <w:pPr>
        <w:spacing w:line="360" w:lineRule="auto"/>
        <w:rPr>
          <w:rFonts w:ascii="Times New Roman" w:hAnsi="Times New Roman" w:cs="Times New Roman"/>
          <w:b/>
          <w:bCs/>
          <w:sz w:val="24"/>
        </w:rPr>
      </w:pPr>
    </w:p>
    <w:p w14:paraId="688F2B94">
      <w:pPr>
        <w:spacing w:line="360" w:lineRule="auto"/>
        <w:rPr>
          <w:rFonts w:ascii="Times New Roman" w:hAnsi="Times New Roman" w:cs="Times New Roman"/>
          <w:b/>
          <w:bCs/>
          <w:sz w:val="24"/>
        </w:rPr>
      </w:pPr>
    </w:p>
    <w:p w14:paraId="688F2B95">
      <w:pPr>
        <w:spacing w:line="360" w:lineRule="auto"/>
        <w:rPr>
          <w:rFonts w:ascii="Times New Roman" w:hAnsi="Times New Roman" w:cs="Times New Roman"/>
          <w:b/>
          <w:bCs/>
          <w:sz w:val="24"/>
        </w:rPr>
      </w:pPr>
    </w:p>
    <w:p w14:paraId="688F2B96">
      <w:pPr>
        <w:spacing w:line="360" w:lineRule="auto"/>
        <w:rPr>
          <w:rFonts w:ascii="Times New Roman" w:hAnsi="Times New Roman" w:cs="Times New Roman"/>
          <w:b/>
          <w:bCs/>
          <w:sz w:val="24"/>
        </w:rPr>
      </w:pPr>
    </w:p>
    <w:p w14:paraId="688F2B97">
      <w:pPr>
        <w:spacing w:line="360" w:lineRule="auto"/>
        <w:rPr>
          <w:rFonts w:ascii="Times New Roman" w:hAnsi="Times New Roman" w:cs="Times New Roman"/>
          <w:b/>
          <w:bCs/>
          <w:sz w:val="24"/>
        </w:rPr>
      </w:pPr>
    </w:p>
    <w:p w14:paraId="688F2B98">
      <w:pPr>
        <w:spacing w:line="360" w:lineRule="auto"/>
        <w:rPr>
          <w:rFonts w:ascii="Times New Roman" w:hAnsi="Times New Roman" w:cs="Times New Roman"/>
          <w:b/>
          <w:bCs/>
          <w:sz w:val="24"/>
        </w:rPr>
      </w:pPr>
    </w:p>
    <w:p w14:paraId="688F2B99">
      <w:pPr>
        <w:spacing w:line="360" w:lineRule="auto"/>
        <w:rPr>
          <w:rFonts w:ascii="Times New Roman" w:hAnsi="Times New Roman" w:cs="Times New Roman"/>
          <w:b/>
          <w:bCs/>
          <w:sz w:val="24"/>
        </w:rPr>
      </w:pPr>
    </w:p>
    <w:p w14:paraId="688F2B9A">
      <w:pPr>
        <w:spacing w:line="360" w:lineRule="auto"/>
        <w:rPr>
          <w:rFonts w:ascii="Times New Roman" w:hAnsi="Times New Roman" w:cs="Times New Roman"/>
          <w:b/>
          <w:bCs/>
          <w:sz w:val="24"/>
        </w:rPr>
      </w:pPr>
    </w:p>
    <w:p w14:paraId="688F2B9B">
      <w:pPr>
        <w:spacing w:line="360" w:lineRule="auto"/>
        <w:rPr>
          <w:rFonts w:ascii="Times New Roman" w:hAnsi="Times New Roman" w:cs="Times New Roman"/>
          <w:b/>
          <w:bCs/>
          <w:sz w:val="24"/>
        </w:rPr>
      </w:pPr>
    </w:p>
    <w:p w14:paraId="688F2B9C">
      <w:pPr>
        <w:spacing w:line="360" w:lineRule="auto"/>
        <w:rPr>
          <w:rFonts w:ascii="Times New Roman" w:hAnsi="Times New Roman" w:cs="Times New Roman"/>
          <w:b/>
          <w:bCs/>
          <w:sz w:val="24"/>
        </w:rPr>
      </w:pPr>
    </w:p>
    <w:p w14:paraId="688F2B9D">
      <w:pPr>
        <w:spacing w:line="360" w:lineRule="auto"/>
        <w:rPr>
          <w:rFonts w:ascii="Times New Roman" w:hAnsi="Times New Roman" w:cs="Times New Roman"/>
          <w:b/>
          <w:bCs/>
          <w:sz w:val="24"/>
        </w:rPr>
      </w:pPr>
    </w:p>
    <w:p w14:paraId="688F2B9E">
      <w:pPr>
        <w:spacing w:line="360" w:lineRule="auto"/>
        <w:rPr>
          <w:rFonts w:ascii="Times New Roman" w:hAnsi="Times New Roman" w:cs="Times New Roman"/>
          <w:b/>
          <w:bCs/>
          <w:sz w:val="24"/>
        </w:rPr>
      </w:pPr>
    </w:p>
    <w:p w14:paraId="688F2B9F">
      <w:pPr>
        <w:spacing w:line="360" w:lineRule="auto"/>
        <w:rPr>
          <w:rFonts w:ascii="Times New Roman" w:hAnsi="Times New Roman" w:cs="Times New Roman"/>
          <w:b/>
          <w:bCs/>
          <w:sz w:val="24"/>
        </w:rPr>
      </w:pPr>
    </w:p>
    <w:p w14:paraId="688F2BA0">
      <w:pPr>
        <w:spacing w:line="360" w:lineRule="auto"/>
        <w:rPr>
          <w:rFonts w:ascii="Times New Roman" w:hAnsi="Times New Roman" w:cs="Times New Roman"/>
          <w:b/>
          <w:bCs/>
          <w:sz w:val="24"/>
        </w:rPr>
      </w:pPr>
    </w:p>
    <w:p w14:paraId="688F2BA1">
      <w:pPr>
        <w:spacing w:line="360" w:lineRule="auto"/>
        <w:rPr>
          <w:rFonts w:ascii="Times New Roman" w:hAnsi="Times New Roman" w:cs="Times New Roman"/>
          <w:b/>
          <w:bCs/>
          <w:sz w:val="24"/>
        </w:rPr>
      </w:pPr>
    </w:p>
    <w:p w14:paraId="688F2BA2">
      <w:pPr>
        <w:spacing w:line="360" w:lineRule="auto"/>
        <w:rPr>
          <w:rFonts w:ascii="Times New Roman" w:hAnsi="Times New Roman" w:cs="Times New Roman"/>
          <w:b/>
          <w:bCs/>
          <w:sz w:val="24"/>
        </w:rPr>
      </w:pPr>
    </w:p>
    <w:p w14:paraId="688F2BA3">
      <w:pPr>
        <w:spacing w:line="360" w:lineRule="auto"/>
        <w:rPr>
          <w:rFonts w:ascii="Times New Roman" w:hAnsi="Times New Roman" w:cs="Times New Roman"/>
          <w:b/>
          <w:bCs/>
          <w:sz w:val="24"/>
        </w:rPr>
      </w:pPr>
    </w:p>
    <w:p w14:paraId="688F2BA4">
      <w:pPr>
        <w:spacing w:line="360" w:lineRule="auto"/>
        <w:rPr>
          <w:rFonts w:ascii="Times New Roman" w:hAnsi="Times New Roman" w:cs="Times New Roman"/>
          <w:b/>
          <w:bCs/>
          <w:sz w:val="24"/>
        </w:rPr>
      </w:pPr>
    </w:p>
    <w:p w14:paraId="688F2BA5">
      <w:pPr>
        <w:spacing w:line="360" w:lineRule="auto"/>
        <w:rPr>
          <w:rFonts w:ascii="Times New Roman" w:hAnsi="Times New Roman" w:cs="Times New Roman"/>
          <w:b/>
          <w:bCs/>
          <w:sz w:val="24"/>
        </w:rPr>
      </w:pPr>
    </w:p>
    <w:p w14:paraId="688F2BA6">
      <w:pPr>
        <w:spacing w:line="360" w:lineRule="auto"/>
        <w:rPr>
          <w:rFonts w:ascii="Times New Roman" w:hAnsi="Times New Roman" w:cs="Times New Roman"/>
          <w:b/>
          <w:bCs/>
          <w:sz w:val="24"/>
        </w:rPr>
      </w:pPr>
    </w:p>
    <w:p w14:paraId="688F2BA7">
      <w:pPr>
        <w:spacing w:line="360" w:lineRule="auto"/>
        <w:rPr>
          <w:rFonts w:ascii="Times New Roman" w:hAnsi="Times New Roman" w:cs="Times New Roman"/>
          <w:b/>
          <w:bCs/>
          <w:sz w:val="24"/>
        </w:rPr>
      </w:pPr>
    </w:p>
    <w:p w14:paraId="6E24461D">
      <w:pPr>
        <w:spacing w:line="360" w:lineRule="auto"/>
        <w:rPr>
          <w:rFonts w:ascii="Times New Roman" w:hAnsi="Times New Roman" w:cs="Times New Roman"/>
          <w:b/>
          <w:bCs/>
          <w:sz w:val="24"/>
        </w:rPr>
      </w:pPr>
    </w:p>
    <w:p w14:paraId="5F63E720">
      <w:pPr>
        <w:spacing w:line="360" w:lineRule="auto"/>
        <w:rPr>
          <w:rFonts w:ascii="Times New Roman" w:hAnsi="Times New Roman" w:cs="Times New Roman"/>
          <w:b/>
          <w:bCs/>
          <w:sz w:val="24"/>
        </w:rPr>
      </w:pPr>
      <w:r>
        <w:rPr>
          <w:rFonts w:ascii="Times New Roman" w:hAnsi="Times New Roman" w:cs="Times New Roman"/>
          <w:b/>
          <w:bCs/>
          <w:sz w:val="24"/>
        </w:rPr>
        <w:t>Supplement figure</w:t>
      </w:r>
      <w:bookmarkEnd w:id="1"/>
      <w:r>
        <w:rPr>
          <w:rFonts w:ascii="Times New Roman" w:hAnsi="Times New Roman" w:cs="Times New Roman"/>
          <w:b/>
          <w:bCs/>
          <w:sz w:val="24"/>
        </w:rPr>
        <w:t>s</w:t>
      </w:r>
    </w:p>
    <w:p w14:paraId="6F1F0620">
      <w:pPr>
        <w:spacing w:line="360" w:lineRule="auto"/>
        <w:rPr>
          <w:rFonts w:ascii="Times New Roman" w:hAnsi="Times New Roman" w:cs="Times New Roman"/>
          <w:b/>
          <w:bCs/>
          <w:sz w:val="24"/>
        </w:rPr>
      </w:pPr>
    </w:p>
    <w:p w14:paraId="688F2BAA">
      <w:pPr>
        <w:spacing w:line="360" w:lineRule="auto"/>
        <w:rPr>
          <w:rFonts w:ascii="Times New Roman" w:hAnsi="Times New Roman" w:cs="Times New Roman"/>
          <w:b/>
          <w:bCs/>
          <w:sz w:val="24"/>
        </w:rPr>
      </w:pPr>
      <w:r>
        <w:rPr>
          <w:rFonts w:ascii="Times New Roman" w:hAnsi="Times New Roman" w:cs="Times New Roman"/>
          <w:b/>
          <w:bCs/>
          <w:sz w:val="24"/>
        </w:rPr>
        <w:drawing>
          <wp:inline distT="0" distB="0" distL="0" distR="0">
            <wp:extent cx="5274310" cy="4219575"/>
            <wp:effectExtent l="0" t="0" r="0" b="0"/>
            <wp:docPr id="462394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394832" name="图片 1"/>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4219575"/>
                    </a:xfrm>
                    <a:prstGeom prst="rect">
                      <a:avLst/>
                    </a:prstGeom>
                  </pic:spPr>
                </pic:pic>
              </a:graphicData>
            </a:graphic>
          </wp:inline>
        </w:drawing>
      </w:r>
    </w:p>
    <w:p w14:paraId="688F2BAB">
      <w:pPr>
        <w:spacing w:line="360" w:lineRule="auto"/>
        <w:rPr>
          <w:rFonts w:ascii="Times New Roman" w:hAnsi="Times New Roman" w:cs="Times New Roman"/>
          <w:sz w:val="24"/>
        </w:rPr>
      </w:pPr>
      <w:r>
        <w:rPr>
          <w:rFonts w:ascii="Times New Roman" w:hAnsi="Times New Roman" w:cs="Times New Roman"/>
          <w:b/>
          <w:bCs/>
          <w:sz w:val="24"/>
        </w:rPr>
        <w:t>Supplement figure 1.</w:t>
      </w:r>
      <w:r>
        <w:rPr>
          <w:rFonts w:ascii="Times New Roman" w:hAnsi="Times New Roman" w:cs="Times New Roman"/>
          <w:sz w:val="24"/>
        </w:rPr>
        <w:t xml:space="preserve"> </w:t>
      </w:r>
      <w:r>
        <w:rPr>
          <w:rFonts w:ascii="Times New Roman" w:hAnsi="Times New Roman" w:cs="Times New Roman"/>
          <w:b/>
          <w:bCs/>
          <w:sz w:val="24"/>
        </w:rPr>
        <w:t>A.</w:t>
      </w:r>
      <w:r>
        <w:rPr>
          <w:rFonts w:ascii="Times New Roman" w:hAnsi="Times New Roman" w:cs="Times New Roman"/>
          <w:sz w:val="24"/>
        </w:rPr>
        <w:t xml:space="preserve"> Dynamic light scattering (DLS) analysis of ONvac. </w:t>
      </w:r>
      <w:r>
        <w:rPr>
          <w:rFonts w:ascii="Times New Roman" w:hAnsi="Times New Roman" w:cs="Times New Roman"/>
          <w:b/>
          <w:bCs/>
          <w:sz w:val="24"/>
        </w:rPr>
        <w:t>B.</w:t>
      </w:r>
      <w:r>
        <w:rPr>
          <w:rFonts w:ascii="Times New Roman" w:hAnsi="Times New Roman" w:cs="Times New Roman"/>
          <w:sz w:val="24"/>
        </w:rPr>
        <w:t xml:space="preserve"> Flow cytometry analysis of CD80</w:t>
      </w:r>
      <w:r>
        <w:rPr>
          <w:rFonts w:ascii="Times New Roman" w:hAnsi="Times New Roman" w:cs="Times New Roman"/>
          <w:sz w:val="24"/>
          <w:vertAlign w:val="superscript"/>
        </w:rPr>
        <w:t>+</w:t>
      </w:r>
      <w:r>
        <w:rPr>
          <w:rFonts w:ascii="Times New Roman" w:hAnsi="Times New Roman" w:cs="Times New Roman"/>
          <w:sz w:val="24"/>
        </w:rPr>
        <w:t xml:space="preserve"> and CD86</w:t>
      </w:r>
      <w:r>
        <w:rPr>
          <w:rFonts w:ascii="Times New Roman" w:hAnsi="Times New Roman" w:cs="Times New Roman"/>
          <w:sz w:val="24"/>
          <w:vertAlign w:val="superscript"/>
        </w:rPr>
        <w:t>+</w:t>
      </w:r>
      <w:r>
        <w:rPr>
          <w:rFonts w:ascii="Times New Roman" w:hAnsi="Times New Roman" w:cs="Times New Roman"/>
          <w:sz w:val="24"/>
        </w:rPr>
        <w:t xml:space="preserve"> cells in CD11c</w:t>
      </w:r>
      <w:r>
        <w:rPr>
          <w:rFonts w:ascii="Times New Roman" w:hAnsi="Times New Roman" w:cs="Times New Roman"/>
          <w:sz w:val="24"/>
          <w:vertAlign w:val="superscript"/>
        </w:rPr>
        <w:t>+</w:t>
      </w:r>
      <w:r>
        <w:rPr>
          <w:rFonts w:ascii="Times New Roman" w:hAnsi="Times New Roman" w:cs="Times New Roman"/>
          <w:sz w:val="24"/>
        </w:rPr>
        <w:t xml:space="preserve"> cells following treatment with PBS, OMVs and ONvac. </w:t>
      </w:r>
      <w:r>
        <w:rPr>
          <w:rFonts w:ascii="Times New Roman" w:hAnsi="Times New Roman" w:cs="Times New Roman"/>
          <w:b/>
          <w:bCs/>
          <w:sz w:val="24"/>
        </w:rPr>
        <w:t>C.</w:t>
      </w:r>
      <w:r>
        <w:rPr>
          <w:rFonts w:ascii="Times New Roman" w:hAnsi="Times New Roman" w:cs="Times New Roman"/>
          <w:sz w:val="24"/>
        </w:rPr>
        <w:t xml:space="preserve"> Flow cytometry showing the percentage of apoptotic cells. </w:t>
      </w:r>
      <w:r>
        <w:rPr>
          <w:rFonts w:ascii="Times New Roman" w:hAnsi="Times New Roman" w:cs="Times New Roman"/>
          <w:b/>
          <w:bCs/>
          <w:sz w:val="24"/>
        </w:rPr>
        <w:t>D.</w:t>
      </w:r>
      <w:r>
        <w:rPr>
          <w:rFonts w:ascii="Times New Roman" w:hAnsi="Times New Roman" w:cs="Times New Roman"/>
          <w:sz w:val="24"/>
        </w:rPr>
        <w:t xml:space="preserve"> Flow cytometry showing the percentage of DC maturation in axillary lymph nodes. </w:t>
      </w:r>
      <w:r>
        <w:rPr>
          <w:rFonts w:ascii="Times New Roman" w:hAnsi="Times New Roman" w:cs="Times New Roman"/>
          <w:b/>
          <w:bCs/>
          <w:sz w:val="24"/>
        </w:rPr>
        <w:t>E.</w:t>
      </w:r>
      <w:r>
        <w:rPr>
          <w:rFonts w:ascii="Times New Roman" w:hAnsi="Times New Roman" w:cs="Times New Roman"/>
          <w:sz w:val="24"/>
        </w:rPr>
        <w:t xml:space="preserve"> DLS analysis of OMvac.</w:t>
      </w:r>
    </w:p>
    <w:p w14:paraId="57100210">
      <w:pPr>
        <w:spacing w:line="360" w:lineRule="auto"/>
        <w:rPr>
          <w:rFonts w:ascii="Times New Roman" w:hAnsi="Times New Roman" w:cs="Times New Roman"/>
          <w:sz w:val="24"/>
        </w:rPr>
      </w:pPr>
    </w:p>
    <w:p w14:paraId="7608F280">
      <w:pPr>
        <w:spacing w:line="360" w:lineRule="auto"/>
        <w:rPr>
          <w:rFonts w:ascii="Times New Roman" w:hAnsi="Times New Roman" w:cs="Times New Roman"/>
          <w:sz w:val="24"/>
        </w:rPr>
      </w:pPr>
    </w:p>
    <w:p w14:paraId="2A25F8A0">
      <w:pPr>
        <w:spacing w:line="360" w:lineRule="auto"/>
        <w:rPr>
          <w:rFonts w:ascii="Times New Roman" w:hAnsi="Times New Roman" w:cs="Times New Roman"/>
          <w:sz w:val="24"/>
        </w:rPr>
      </w:pPr>
    </w:p>
    <w:p w14:paraId="11C97BE2">
      <w:pPr>
        <w:spacing w:line="360" w:lineRule="auto"/>
        <w:rPr>
          <w:rFonts w:ascii="Times New Roman" w:hAnsi="Times New Roman" w:cs="Times New Roman"/>
          <w:sz w:val="24"/>
        </w:rPr>
      </w:pPr>
    </w:p>
    <w:p w14:paraId="2C7F55A5">
      <w:pPr>
        <w:spacing w:line="360" w:lineRule="auto"/>
        <w:rPr>
          <w:rFonts w:ascii="Times New Roman" w:hAnsi="Times New Roman" w:cs="Times New Roman"/>
          <w:sz w:val="24"/>
        </w:rPr>
      </w:pPr>
    </w:p>
    <w:p w14:paraId="244C9ED2">
      <w:pPr>
        <w:spacing w:line="360" w:lineRule="auto"/>
        <w:rPr>
          <w:rFonts w:ascii="Times New Roman" w:hAnsi="Times New Roman" w:cs="Times New Roman"/>
          <w:sz w:val="24"/>
        </w:rPr>
      </w:pPr>
    </w:p>
    <w:p w14:paraId="34D4B5BC">
      <w:pPr>
        <w:spacing w:line="360" w:lineRule="auto"/>
        <w:rPr>
          <w:rFonts w:ascii="Times New Roman" w:hAnsi="Times New Roman" w:cs="Times New Roman"/>
          <w:sz w:val="24"/>
        </w:rPr>
      </w:pPr>
    </w:p>
    <w:p w14:paraId="688F2BAC">
      <w:pPr>
        <w:widowControl/>
        <w:jc w:val="left"/>
        <w:rPr>
          <w:rFonts w:ascii="Times New Roman" w:hAnsi="Times New Roman" w:cs="Times New Roman"/>
          <w:sz w:val="24"/>
        </w:rPr>
      </w:pPr>
      <w:r>
        <w:rPr>
          <w:rFonts w:ascii="Times New Roman" w:hAnsi="Times New Roman" w:cs="Times New Roman"/>
          <w:sz w:val="24"/>
        </w:rPr>
        <w:br w:type="page"/>
      </w:r>
    </w:p>
    <w:p w14:paraId="688F2BAD">
      <w:pPr>
        <w:spacing w:line="360" w:lineRule="auto"/>
        <w:rPr>
          <w:rFonts w:ascii="Times New Roman" w:hAnsi="Times New Roman" w:cs="Times New Roman"/>
          <w:sz w:val="24"/>
        </w:rPr>
      </w:pPr>
      <w:r>
        <w:rPr>
          <w:rFonts w:ascii="Times New Roman" w:hAnsi="Times New Roman" w:cs="Times New Roman"/>
          <w:sz w:val="24"/>
        </w:rPr>
        <w:drawing>
          <wp:inline distT="0" distB="0" distL="0" distR="0">
            <wp:extent cx="5274310" cy="6382385"/>
            <wp:effectExtent l="0" t="0" r="0" b="0"/>
            <wp:docPr id="545140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140744" name="图片 1"/>
                    <pic:cNvPicPr>
                      <a:picLocks noChangeAspect="1"/>
                    </pic:cNvPicPr>
                  </pic:nvPicPr>
                  <pic:blipFill>
                    <a:blip r:embed="rId5"/>
                    <a:stretch>
                      <a:fillRect/>
                    </a:stretch>
                  </pic:blipFill>
                  <pic:spPr>
                    <a:xfrm>
                      <a:off x="0" y="0"/>
                      <a:ext cx="5274310" cy="6382385"/>
                    </a:xfrm>
                    <a:prstGeom prst="rect">
                      <a:avLst/>
                    </a:prstGeom>
                  </pic:spPr>
                </pic:pic>
              </a:graphicData>
            </a:graphic>
          </wp:inline>
        </w:drawing>
      </w:r>
    </w:p>
    <w:p w14:paraId="688F2BAE">
      <w:pPr>
        <w:spacing w:line="360" w:lineRule="auto"/>
        <w:rPr>
          <w:rFonts w:ascii="Times New Roman" w:hAnsi="Times New Roman" w:cs="Times New Roman"/>
          <w:sz w:val="24"/>
        </w:rPr>
      </w:pPr>
      <w:r>
        <w:rPr>
          <w:rFonts w:ascii="Times New Roman" w:hAnsi="Times New Roman" w:cs="Times New Roman"/>
          <w:b/>
          <w:bCs/>
          <w:sz w:val="24"/>
        </w:rPr>
        <w:t>Supplement figure 2.</w:t>
      </w:r>
      <w:r>
        <w:rPr>
          <w:rFonts w:ascii="Times New Roman" w:hAnsi="Times New Roman" w:cs="Times New Roman"/>
          <w:sz w:val="24"/>
        </w:rPr>
        <w:t xml:space="preserve"> </w:t>
      </w:r>
      <w:r>
        <w:rPr>
          <w:rFonts w:ascii="Times New Roman" w:hAnsi="Times New Roman" w:cs="Times New Roman"/>
          <w:b/>
          <w:bCs/>
          <w:sz w:val="24"/>
        </w:rPr>
        <w:t>A.</w:t>
      </w:r>
      <w:r>
        <w:rPr>
          <w:rFonts w:ascii="Times New Roman" w:hAnsi="Times New Roman" w:cs="Times New Roman"/>
          <w:sz w:val="24"/>
        </w:rPr>
        <w:t xml:space="preserve"> Scheme showing the Hepa1-6-hMICB orthotopic HCC recurrence rechallenge model. </w:t>
      </w:r>
      <w:r>
        <w:rPr>
          <w:rFonts w:ascii="Times New Roman" w:hAnsi="Times New Roman" w:cs="Times New Roman"/>
          <w:b/>
          <w:bCs/>
          <w:sz w:val="24"/>
        </w:rPr>
        <w:t>B.</w:t>
      </w:r>
      <w:r>
        <w:rPr>
          <w:rFonts w:ascii="Times New Roman" w:hAnsi="Times New Roman" w:cs="Times New Roman"/>
          <w:sz w:val="24"/>
        </w:rPr>
        <w:t xml:space="preserve"> Tumor burden monitoring of recurrence rechallenge in mice by bioluminescence imaging. </w:t>
      </w:r>
      <w:r>
        <w:rPr>
          <w:rFonts w:ascii="Times New Roman" w:hAnsi="Times New Roman" w:cs="Times New Roman"/>
          <w:b/>
          <w:bCs/>
          <w:sz w:val="24"/>
        </w:rPr>
        <w:t>C and D.</w:t>
      </w:r>
      <w:r>
        <w:rPr>
          <w:rFonts w:ascii="Times New Roman" w:hAnsi="Times New Roman" w:cs="Times New Roman"/>
          <w:sz w:val="24"/>
        </w:rPr>
        <w:t xml:space="preserve"> Flow cytometry </w:t>
      </w:r>
      <w:bookmarkStart w:id="5" w:name="OLE_LINK21"/>
      <w:r>
        <w:rPr>
          <w:rFonts w:ascii="Times New Roman" w:hAnsi="Times New Roman" w:cs="Times New Roman"/>
          <w:sz w:val="24"/>
        </w:rPr>
        <w:t>analysis</w:t>
      </w:r>
      <w:bookmarkEnd w:id="5"/>
      <w:r>
        <w:rPr>
          <w:rFonts w:ascii="Times New Roman" w:hAnsi="Times New Roman" w:cs="Times New Roman"/>
          <w:sz w:val="24"/>
        </w:rPr>
        <w:t xml:space="preserve"> of DC maturation in axillary lymph nodes (C), effector memory T cells (CD8</w:t>
      </w:r>
      <w:r>
        <w:rPr>
          <w:rFonts w:ascii="Times New Roman" w:hAnsi="Times New Roman" w:cs="Times New Roman"/>
          <w:sz w:val="24"/>
          <w:vertAlign w:val="superscript"/>
        </w:rPr>
        <w:t>+</w:t>
      </w:r>
      <w:r>
        <w:rPr>
          <w:rFonts w:ascii="Times New Roman" w:hAnsi="Times New Roman" w:cs="Times New Roman"/>
          <w:sz w:val="24"/>
        </w:rPr>
        <w:t xml:space="preserve"> Tem) in spleen (D). </w:t>
      </w:r>
      <w:r>
        <w:rPr>
          <w:rFonts w:ascii="Times New Roman" w:hAnsi="Times New Roman" w:cs="Times New Roman"/>
          <w:b/>
          <w:bCs/>
          <w:sz w:val="24"/>
        </w:rPr>
        <w:t>E.</w:t>
      </w:r>
      <w:r>
        <w:rPr>
          <w:rFonts w:ascii="Times New Roman" w:hAnsi="Times New Roman" w:cs="Times New Roman"/>
          <w:sz w:val="24"/>
        </w:rPr>
        <w:t xml:space="preserve"> ELISPOT assay for neoantigen-specific immune response induced by different treatment strategy in the Hepa1-6-hMICB orthotopic HCC mouse model (n=5). </w:t>
      </w:r>
      <w:r>
        <w:rPr>
          <w:rFonts w:ascii="Times New Roman" w:hAnsi="Times New Roman" w:cs="Times New Roman"/>
          <w:b/>
          <w:bCs/>
          <w:sz w:val="24"/>
        </w:rPr>
        <w:t>F.</w:t>
      </w:r>
      <w:r>
        <w:rPr>
          <w:rFonts w:ascii="Times New Roman" w:hAnsi="Times New Roman" w:cs="Times New Roman"/>
          <w:sz w:val="24"/>
        </w:rPr>
        <w:t xml:space="preserve"> Flow cytometry analysis of CD4</w:t>
      </w:r>
      <w:r>
        <w:rPr>
          <w:rFonts w:ascii="Times New Roman" w:hAnsi="Times New Roman" w:cs="Times New Roman"/>
          <w:sz w:val="24"/>
          <w:vertAlign w:val="superscript"/>
        </w:rPr>
        <w:t>+</w:t>
      </w:r>
      <w:r>
        <w:rPr>
          <w:rFonts w:ascii="Times New Roman" w:hAnsi="Times New Roman" w:cs="Times New Roman"/>
          <w:sz w:val="24"/>
        </w:rPr>
        <w:t xml:space="preserve"> TIL and CD8</w:t>
      </w:r>
      <w:r>
        <w:rPr>
          <w:rFonts w:ascii="Times New Roman" w:hAnsi="Times New Roman" w:cs="Times New Roman"/>
          <w:sz w:val="24"/>
          <w:vertAlign w:val="superscript"/>
        </w:rPr>
        <w:t>+</w:t>
      </w:r>
      <w:r>
        <w:rPr>
          <w:rFonts w:ascii="Times New Roman" w:hAnsi="Times New Roman" w:cs="Times New Roman"/>
          <w:sz w:val="24"/>
        </w:rPr>
        <w:t xml:space="preserve"> TIL. </w:t>
      </w:r>
      <w:r>
        <w:rPr>
          <w:rFonts w:ascii="Times New Roman" w:hAnsi="Times New Roman" w:cs="Times New Roman"/>
          <w:b/>
          <w:bCs/>
          <w:sz w:val="24"/>
        </w:rPr>
        <w:t>G and H.</w:t>
      </w:r>
      <w:r>
        <w:rPr>
          <w:rFonts w:ascii="Times New Roman" w:hAnsi="Times New Roman" w:cs="Times New Roman"/>
          <w:sz w:val="24"/>
        </w:rPr>
        <w:t xml:space="preserve"> The cell density of NKG2D</w:t>
      </w:r>
      <w:r>
        <w:rPr>
          <w:rFonts w:ascii="Times New Roman" w:hAnsi="Times New Roman" w:cs="Times New Roman"/>
          <w:sz w:val="24"/>
          <w:vertAlign w:val="superscript"/>
        </w:rPr>
        <w:t>+</w:t>
      </w:r>
      <w:r>
        <w:rPr>
          <w:rFonts w:ascii="Times New Roman" w:hAnsi="Times New Roman" w:cs="Times New Roman"/>
          <w:sz w:val="24"/>
        </w:rPr>
        <w:t xml:space="preserve"> cells (G), TNF-a</w:t>
      </w:r>
      <w:r>
        <w:rPr>
          <w:rFonts w:ascii="Times New Roman" w:hAnsi="Times New Roman" w:cs="Times New Roman"/>
          <w:sz w:val="24"/>
          <w:vertAlign w:val="superscript"/>
        </w:rPr>
        <w:t>+</w:t>
      </w:r>
      <w:r>
        <w:rPr>
          <w:rFonts w:ascii="Times New Roman" w:hAnsi="Times New Roman" w:cs="Times New Roman"/>
          <w:sz w:val="24"/>
        </w:rPr>
        <w:t xml:space="preserve"> cells (H) of entire tumor section was shown in statistical scatter plots (n = 3 slides from different mouse per group). </w:t>
      </w:r>
      <w:r>
        <w:rPr>
          <w:rFonts w:ascii="Times New Roman" w:hAnsi="Times New Roman" w:cs="Times New Roman"/>
          <w:b/>
          <w:bCs/>
          <w:sz w:val="24"/>
        </w:rPr>
        <w:t>I and J.</w:t>
      </w:r>
      <w:r>
        <w:rPr>
          <w:rFonts w:ascii="Times New Roman" w:hAnsi="Times New Roman" w:cs="Times New Roman"/>
          <w:sz w:val="24"/>
        </w:rPr>
        <w:t xml:space="preserve"> Flow cytometry analysis of 4-1BB</w:t>
      </w:r>
      <w:r>
        <w:rPr>
          <w:rFonts w:ascii="Times New Roman" w:hAnsi="Times New Roman" w:cs="Times New Roman"/>
          <w:sz w:val="24"/>
          <w:vertAlign w:val="superscript"/>
        </w:rPr>
        <w:t>+</w:t>
      </w:r>
      <w:r>
        <w:rPr>
          <w:rFonts w:ascii="Times New Roman" w:hAnsi="Times New Roman" w:cs="Times New Roman"/>
          <w:sz w:val="24"/>
        </w:rPr>
        <w:t>CD8</w:t>
      </w:r>
      <w:r>
        <w:rPr>
          <w:rFonts w:ascii="Times New Roman" w:hAnsi="Times New Roman" w:cs="Times New Roman"/>
          <w:sz w:val="24"/>
          <w:vertAlign w:val="superscript"/>
        </w:rPr>
        <w:t>+</w:t>
      </w:r>
      <w:r>
        <w:rPr>
          <w:rFonts w:ascii="Times New Roman" w:hAnsi="Times New Roman" w:cs="Times New Roman"/>
          <w:sz w:val="24"/>
        </w:rPr>
        <w:t xml:space="preserve"> TIL (I), and Ptpn2 tetramer</w:t>
      </w:r>
      <w:r>
        <w:rPr>
          <w:rFonts w:ascii="Times New Roman" w:hAnsi="Times New Roman" w:cs="Times New Roman"/>
          <w:sz w:val="24"/>
          <w:vertAlign w:val="superscript"/>
        </w:rPr>
        <w:t>+</w:t>
      </w:r>
      <w:r>
        <w:rPr>
          <w:rFonts w:ascii="Times New Roman" w:hAnsi="Times New Roman" w:cs="Times New Roman"/>
          <w:sz w:val="24"/>
        </w:rPr>
        <w:t xml:space="preserve"> specific CD8</w:t>
      </w:r>
      <w:r>
        <w:rPr>
          <w:rFonts w:ascii="Times New Roman" w:hAnsi="Times New Roman" w:cs="Times New Roman"/>
          <w:sz w:val="24"/>
          <w:vertAlign w:val="superscript"/>
        </w:rPr>
        <w:t>+</w:t>
      </w:r>
      <w:r>
        <w:rPr>
          <w:rFonts w:ascii="Times New Roman" w:hAnsi="Times New Roman" w:cs="Times New Roman"/>
          <w:sz w:val="24"/>
        </w:rPr>
        <w:t xml:space="preserve"> T cells in CD8</w:t>
      </w:r>
      <w:r>
        <w:rPr>
          <w:rFonts w:ascii="Times New Roman" w:hAnsi="Times New Roman" w:cs="Times New Roman"/>
          <w:sz w:val="24"/>
          <w:vertAlign w:val="superscript"/>
        </w:rPr>
        <w:t>+</w:t>
      </w:r>
      <w:r>
        <w:rPr>
          <w:rFonts w:ascii="Times New Roman" w:hAnsi="Times New Roman" w:cs="Times New Roman"/>
          <w:sz w:val="24"/>
        </w:rPr>
        <w:t xml:space="preserve"> TILs (J).</w:t>
      </w:r>
    </w:p>
    <w:p w14:paraId="688F2BAF">
      <w:pPr>
        <w:widowControl/>
        <w:jc w:val="left"/>
        <w:rPr>
          <w:rFonts w:ascii="Times New Roman" w:hAnsi="Times New Roman" w:cs="Times New Roman"/>
          <w:sz w:val="24"/>
        </w:rPr>
      </w:pPr>
      <w:r>
        <w:rPr>
          <w:rFonts w:ascii="Times New Roman" w:hAnsi="Times New Roman" w:cs="Times New Roman"/>
          <w:sz w:val="24"/>
        </w:rPr>
        <w:br w:type="page"/>
      </w:r>
    </w:p>
    <w:p w14:paraId="688F2BB0">
      <w:pPr>
        <w:spacing w:line="360" w:lineRule="auto"/>
        <w:rPr>
          <w:rFonts w:ascii="Times New Roman" w:hAnsi="Times New Roman" w:cs="Times New Roman"/>
          <w:sz w:val="24"/>
        </w:rPr>
      </w:pPr>
      <w:r>
        <w:rPr>
          <w:rFonts w:ascii="Times New Roman" w:hAnsi="Times New Roman" w:cs="Times New Roman"/>
          <w:sz w:val="24"/>
        </w:rPr>
        <w:drawing>
          <wp:inline distT="0" distB="0" distL="0" distR="0">
            <wp:extent cx="5274310" cy="7190105"/>
            <wp:effectExtent l="0" t="0" r="0" b="0"/>
            <wp:docPr id="17990340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34009"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190105"/>
                    </a:xfrm>
                    <a:prstGeom prst="rect">
                      <a:avLst/>
                    </a:prstGeom>
                  </pic:spPr>
                </pic:pic>
              </a:graphicData>
            </a:graphic>
          </wp:inline>
        </w:drawing>
      </w:r>
    </w:p>
    <w:p w14:paraId="688F2BB1">
      <w:pPr>
        <w:spacing w:line="360" w:lineRule="auto"/>
        <w:rPr>
          <w:rFonts w:ascii="Times New Roman" w:hAnsi="Times New Roman" w:cs="Times New Roman"/>
          <w:sz w:val="24"/>
        </w:rPr>
      </w:pPr>
      <w:r>
        <w:rPr>
          <w:rFonts w:ascii="Times New Roman" w:hAnsi="Times New Roman" w:cs="Times New Roman"/>
          <w:b/>
          <w:bCs/>
          <w:sz w:val="24"/>
        </w:rPr>
        <w:t>Supplement figure 3.</w:t>
      </w:r>
      <w:r>
        <w:rPr>
          <w:rFonts w:ascii="Times New Roman" w:hAnsi="Times New Roman" w:cs="Times New Roman"/>
          <w:sz w:val="24"/>
        </w:rPr>
        <w:t xml:space="preserve"> The antitumor effects by the combined treatment of ONvac plus OMvac in metastasis PCLM model. </w:t>
      </w:r>
      <w:r>
        <w:rPr>
          <w:rFonts w:ascii="Times New Roman" w:hAnsi="Times New Roman" w:cs="Times New Roman"/>
          <w:b/>
          <w:bCs/>
          <w:sz w:val="24"/>
        </w:rPr>
        <w:t>A.</w:t>
      </w:r>
      <w:r>
        <w:rPr>
          <w:rFonts w:ascii="Times New Roman" w:hAnsi="Times New Roman" w:cs="Times New Roman"/>
          <w:sz w:val="24"/>
        </w:rPr>
        <w:t xml:space="preserve"> Scheme showing the metastasis PCLM model and the treatment procedure timeline. </w:t>
      </w:r>
      <w:r>
        <w:rPr>
          <w:rFonts w:ascii="Times New Roman" w:hAnsi="Times New Roman" w:cs="Times New Roman"/>
          <w:b/>
          <w:bCs/>
          <w:sz w:val="24"/>
        </w:rPr>
        <w:t>B.</w:t>
      </w:r>
      <w:r>
        <w:rPr>
          <w:rFonts w:ascii="Times New Roman" w:hAnsi="Times New Roman" w:cs="Times New Roman"/>
          <w:sz w:val="24"/>
        </w:rPr>
        <w:t xml:space="preserve"> Tumor burden monitoring of PBS, OMvac, ONvac and Combine (ONvac plus OMvac) treated mice by bioluminescence imaging (n=7). </w:t>
      </w:r>
      <w:r>
        <w:rPr>
          <w:rFonts w:ascii="Times New Roman" w:hAnsi="Times New Roman" w:cs="Times New Roman"/>
          <w:b/>
          <w:bCs/>
          <w:sz w:val="24"/>
        </w:rPr>
        <w:t>C.</w:t>
      </w:r>
      <w:r>
        <w:rPr>
          <w:rFonts w:ascii="Times New Roman" w:hAnsi="Times New Roman" w:cs="Times New Roman"/>
          <w:sz w:val="24"/>
        </w:rPr>
        <w:t xml:space="preserve"> Kaplan-Meier survival curves of each group (n=7). </w:t>
      </w:r>
      <w:r>
        <w:rPr>
          <w:rFonts w:ascii="Times New Roman" w:hAnsi="Times New Roman" w:cs="Times New Roman"/>
          <w:b/>
          <w:bCs/>
          <w:sz w:val="24"/>
        </w:rPr>
        <w:t>D-G.</w:t>
      </w:r>
      <w:r>
        <w:rPr>
          <w:rFonts w:ascii="Times New Roman" w:hAnsi="Times New Roman" w:cs="Times New Roman"/>
          <w:sz w:val="24"/>
        </w:rPr>
        <w:t xml:space="preserve"> Flow cytometry showing the percentage of DC maturation in axillary lymph nodes, effector memory T cells (CD8</w:t>
      </w:r>
      <w:r>
        <w:rPr>
          <w:rFonts w:ascii="Times New Roman" w:hAnsi="Times New Roman" w:cs="Times New Roman"/>
          <w:sz w:val="24"/>
          <w:vertAlign w:val="superscript"/>
        </w:rPr>
        <w:t>+</w:t>
      </w:r>
      <w:r>
        <w:rPr>
          <w:rFonts w:ascii="Times New Roman" w:hAnsi="Times New Roman" w:cs="Times New Roman"/>
          <w:sz w:val="24"/>
        </w:rPr>
        <w:t xml:space="preserve"> Tem) in spleen (D), CD4</w:t>
      </w:r>
      <w:r>
        <w:rPr>
          <w:rFonts w:ascii="Times New Roman" w:hAnsi="Times New Roman" w:cs="Times New Roman"/>
          <w:sz w:val="24"/>
          <w:vertAlign w:val="superscript"/>
        </w:rPr>
        <w:t>+</w:t>
      </w:r>
      <w:r>
        <w:rPr>
          <w:rFonts w:ascii="Times New Roman" w:hAnsi="Times New Roman" w:cs="Times New Roman"/>
          <w:sz w:val="24"/>
        </w:rPr>
        <w:t xml:space="preserve"> TIL (E), CD8</w:t>
      </w:r>
      <w:r>
        <w:rPr>
          <w:rFonts w:ascii="Times New Roman" w:hAnsi="Times New Roman" w:cs="Times New Roman"/>
          <w:sz w:val="24"/>
          <w:vertAlign w:val="superscript"/>
        </w:rPr>
        <w:t>+</w:t>
      </w:r>
      <w:r>
        <w:rPr>
          <w:rFonts w:ascii="Times New Roman" w:hAnsi="Times New Roman" w:cs="Times New Roman"/>
          <w:sz w:val="24"/>
        </w:rPr>
        <w:t xml:space="preserve"> TIL (F) and Ptpn2 tetramer</w:t>
      </w:r>
      <w:r>
        <w:rPr>
          <w:rFonts w:ascii="Times New Roman" w:hAnsi="Times New Roman" w:cs="Times New Roman"/>
          <w:sz w:val="24"/>
          <w:vertAlign w:val="superscript"/>
        </w:rPr>
        <w:t>+</w:t>
      </w:r>
      <w:r>
        <w:rPr>
          <w:rFonts w:ascii="Times New Roman" w:hAnsi="Times New Roman" w:cs="Times New Roman"/>
          <w:sz w:val="24"/>
        </w:rPr>
        <w:t xml:space="preserve"> specific CD8</w:t>
      </w:r>
      <w:r>
        <w:rPr>
          <w:rFonts w:ascii="Times New Roman" w:hAnsi="Times New Roman" w:cs="Times New Roman"/>
          <w:sz w:val="24"/>
          <w:vertAlign w:val="superscript"/>
        </w:rPr>
        <w:t>+</w:t>
      </w:r>
      <w:r>
        <w:rPr>
          <w:rFonts w:ascii="Times New Roman" w:hAnsi="Times New Roman" w:cs="Times New Roman"/>
          <w:sz w:val="24"/>
        </w:rPr>
        <w:t xml:space="preserve"> in CD8</w:t>
      </w:r>
      <w:r>
        <w:rPr>
          <w:rFonts w:ascii="Times New Roman" w:hAnsi="Times New Roman" w:cs="Times New Roman"/>
          <w:sz w:val="24"/>
          <w:vertAlign w:val="superscript"/>
        </w:rPr>
        <w:t>+</w:t>
      </w:r>
      <w:r>
        <w:rPr>
          <w:rFonts w:ascii="Times New Roman" w:hAnsi="Times New Roman" w:cs="Times New Roman"/>
          <w:sz w:val="24"/>
        </w:rPr>
        <w:t xml:space="preserve"> TILs (G) (n = 5).</w:t>
      </w:r>
    </w:p>
    <w:p w14:paraId="688F2BB2">
      <w:pPr>
        <w:widowControl/>
        <w:jc w:val="left"/>
        <w:rPr>
          <w:rFonts w:ascii="Times New Roman" w:hAnsi="Times New Roman" w:cs="Times New Roman"/>
          <w:sz w:val="24"/>
        </w:rPr>
      </w:pPr>
      <w:r>
        <w:rPr>
          <w:rFonts w:ascii="Times New Roman" w:hAnsi="Times New Roman" w:cs="Times New Roman"/>
          <w:sz w:val="24"/>
        </w:rPr>
        <w:br w:type="page"/>
      </w:r>
    </w:p>
    <w:p w14:paraId="688F2BB3">
      <w:pPr>
        <w:spacing w:line="360" w:lineRule="auto"/>
        <w:rPr>
          <w:rFonts w:ascii="Times New Roman" w:hAnsi="Times New Roman" w:cs="Times New Roman"/>
          <w:sz w:val="24"/>
        </w:rPr>
      </w:pPr>
      <w:r>
        <w:rPr>
          <w:rFonts w:ascii="Times New Roman" w:hAnsi="Times New Roman" w:cs="Times New Roman"/>
          <w:sz w:val="24"/>
        </w:rPr>
        <w:drawing>
          <wp:inline distT="0" distB="0" distL="0" distR="0">
            <wp:extent cx="5274310" cy="8082915"/>
            <wp:effectExtent l="0" t="0" r="0" b="0"/>
            <wp:docPr id="213075699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756993" name="图片 4"/>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8082915"/>
                    </a:xfrm>
                    <a:prstGeom prst="rect">
                      <a:avLst/>
                    </a:prstGeom>
                  </pic:spPr>
                </pic:pic>
              </a:graphicData>
            </a:graphic>
          </wp:inline>
        </w:drawing>
      </w:r>
    </w:p>
    <w:p w14:paraId="688F2BB4">
      <w:pPr>
        <w:spacing w:line="360" w:lineRule="auto"/>
        <w:rPr>
          <w:rFonts w:ascii="Times New Roman" w:hAnsi="Times New Roman" w:cs="Times New Roman"/>
          <w:sz w:val="24"/>
        </w:rPr>
      </w:pPr>
      <w:r>
        <w:rPr>
          <w:rFonts w:ascii="Times New Roman" w:hAnsi="Times New Roman" w:cs="Times New Roman"/>
          <w:b/>
          <w:bCs/>
          <w:sz w:val="24"/>
        </w:rPr>
        <w:t>Supplement figure 4.</w:t>
      </w:r>
      <w:r>
        <w:rPr>
          <w:rFonts w:ascii="Times New Roman" w:hAnsi="Times New Roman" w:cs="Times New Roman"/>
          <w:sz w:val="24"/>
        </w:rPr>
        <w:t xml:space="preserve"> Safety evaluation of the combined treatment strategy. </w:t>
      </w:r>
      <w:r>
        <w:rPr>
          <w:rFonts w:ascii="Times New Roman" w:hAnsi="Times New Roman" w:cs="Times New Roman"/>
          <w:b/>
          <w:bCs/>
          <w:sz w:val="24"/>
        </w:rPr>
        <w:t>A.</w:t>
      </w:r>
      <w:r>
        <w:rPr>
          <w:rFonts w:ascii="Times New Roman" w:hAnsi="Times New Roman" w:cs="Times New Roman"/>
          <w:sz w:val="24"/>
        </w:rPr>
        <w:t xml:space="preserve"> H&amp;E staining of </w:t>
      </w:r>
      <w:r>
        <w:rPr>
          <w:rFonts w:hint="eastAsia" w:ascii="Times New Roman" w:hAnsi="Times New Roman" w:cs="Times New Roman"/>
          <w:sz w:val="24"/>
        </w:rPr>
        <w:t>major</w:t>
      </w:r>
      <w:r>
        <w:rPr>
          <w:rFonts w:ascii="Times New Roman" w:hAnsi="Times New Roman" w:cs="Times New Roman"/>
          <w:sz w:val="24"/>
        </w:rPr>
        <w:t xml:space="preserve"> organs (heart, liver, spleen, lung and kidney) in the different treatment groups of mice in Hepa1-6-hMICB orthotopic HCC models. </w:t>
      </w:r>
      <w:r>
        <w:rPr>
          <w:rFonts w:ascii="Times New Roman" w:hAnsi="Times New Roman" w:cs="Times New Roman"/>
          <w:b/>
          <w:bCs/>
          <w:sz w:val="24"/>
        </w:rPr>
        <w:t>B.</w:t>
      </w:r>
      <w:r>
        <w:rPr>
          <w:rFonts w:ascii="Times New Roman" w:hAnsi="Times New Roman" w:cs="Times New Roman"/>
          <w:sz w:val="24"/>
        </w:rPr>
        <w:t xml:space="preserve"> Changes in serum biochemical indices including alanine aminotransferase (ALT), aspartate aminotransferase (AST), albumin (ALB), total bilirubin (TBil), total protein (TP), Globulin (GLB), urea (Urea) and creatinine (Creatine). </w:t>
      </w:r>
    </w:p>
    <w:p w14:paraId="688F2BB5">
      <w:pPr>
        <w:widowControl/>
        <w:jc w:val="left"/>
        <w:rPr>
          <w:rFonts w:ascii="Times New Roman" w:hAnsi="Times New Roman" w:cs="Times New Roman"/>
          <w:sz w:val="24"/>
        </w:rPr>
      </w:pPr>
      <w:r>
        <w:rPr>
          <w:rFonts w:ascii="Times New Roman" w:hAnsi="Times New Roman" w:cs="Times New Roman"/>
          <w:sz w:val="24"/>
        </w:rPr>
        <w:br w:type="page"/>
      </w:r>
    </w:p>
    <w:p w14:paraId="688F2BB6">
      <w:pPr>
        <w:spacing w:line="360" w:lineRule="auto"/>
        <w:rPr>
          <w:rFonts w:ascii="Times New Roman" w:hAnsi="Times New Roman" w:cs="Times New Roman"/>
          <w:sz w:val="24"/>
        </w:rPr>
      </w:pPr>
      <w:r>
        <w:rPr>
          <w:rFonts w:ascii="Times New Roman" w:hAnsi="Times New Roman" w:cs="Times New Roman"/>
          <w:sz w:val="24"/>
        </w:rPr>
        <w:drawing>
          <wp:inline distT="0" distB="0" distL="0" distR="0">
            <wp:extent cx="5274310" cy="3902075"/>
            <wp:effectExtent l="0" t="0" r="0" b="0"/>
            <wp:docPr id="1194354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354516"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902075"/>
                    </a:xfrm>
                    <a:prstGeom prst="rect">
                      <a:avLst/>
                    </a:prstGeom>
                  </pic:spPr>
                </pic:pic>
              </a:graphicData>
            </a:graphic>
          </wp:inline>
        </w:drawing>
      </w:r>
    </w:p>
    <w:p w14:paraId="688F2BB7">
      <w:pPr>
        <w:spacing w:line="360" w:lineRule="auto"/>
        <w:rPr>
          <w:rFonts w:ascii="Times New Roman" w:hAnsi="Times New Roman" w:cs="Times New Roman"/>
          <w:sz w:val="24"/>
        </w:rPr>
      </w:pPr>
      <w:r>
        <w:rPr>
          <w:rFonts w:ascii="Times New Roman" w:hAnsi="Times New Roman" w:cs="Times New Roman"/>
          <w:b/>
          <w:bCs/>
          <w:sz w:val="24"/>
        </w:rPr>
        <w:t>Supplement figure 5.</w:t>
      </w:r>
      <w:r>
        <w:rPr>
          <w:rFonts w:ascii="Times New Roman" w:hAnsi="Times New Roman" w:cs="Times New Roman"/>
          <w:sz w:val="24"/>
        </w:rPr>
        <w:t xml:space="preserve"> </w:t>
      </w:r>
      <w:r>
        <w:rPr>
          <w:rFonts w:ascii="Times New Roman" w:hAnsi="Times New Roman" w:cs="Times New Roman"/>
          <w:b/>
          <w:bCs/>
          <w:sz w:val="24"/>
        </w:rPr>
        <w:t>A.</w:t>
      </w:r>
      <w:r>
        <w:rPr>
          <w:rFonts w:ascii="Times New Roman" w:hAnsi="Times New Roman" w:cs="Times New Roman"/>
          <w:sz w:val="24"/>
        </w:rPr>
        <w:t xml:space="preserve"> Western blot showing the knockout efficiency of </w:t>
      </w:r>
      <w:r>
        <w:rPr>
          <w:rFonts w:ascii="Times New Roman" w:hAnsi="Times New Roman" w:cs="Times New Roman"/>
          <w:i/>
          <w:iCs/>
          <w:sz w:val="24"/>
        </w:rPr>
        <w:t>GSDMD</w:t>
      </w:r>
      <w:r>
        <w:rPr>
          <w:rFonts w:ascii="Times New Roman" w:hAnsi="Times New Roman" w:cs="Times New Roman"/>
          <w:sz w:val="24"/>
        </w:rPr>
        <w:t xml:space="preserve"> in Hepa1-6 cells. </w:t>
      </w:r>
      <w:r>
        <w:rPr>
          <w:rFonts w:ascii="Times New Roman" w:hAnsi="Times New Roman" w:cs="Times New Roman"/>
          <w:b/>
          <w:bCs/>
          <w:sz w:val="24"/>
        </w:rPr>
        <w:t>B and</w:t>
      </w:r>
      <w:r>
        <w:rPr>
          <w:rFonts w:ascii="Times New Roman" w:hAnsi="Times New Roman" w:cs="Times New Roman"/>
          <w:sz w:val="24"/>
        </w:rPr>
        <w:t xml:space="preserve"> </w:t>
      </w:r>
      <w:r>
        <w:rPr>
          <w:rFonts w:ascii="Times New Roman" w:hAnsi="Times New Roman" w:cs="Times New Roman"/>
          <w:b/>
          <w:bCs/>
          <w:sz w:val="24"/>
        </w:rPr>
        <w:t>C.</w:t>
      </w:r>
      <w:r>
        <w:rPr>
          <w:rFonts w:ascii="Times New Roman" w:hAnsi="Times New Roman" w:cs="Times New Roman"/>
          <w:sz w:val="24"/>
        </w:rPr>
        <w:t xml:space="preserve"> Statistics for the fluorescence intensity assessed by bioluminescence imaging in HCC mouse model.</w:t>
      </w:r>
    </w:p>
    <w:p w14:paraId="77271DA8">
      <w:pPr>
        <w:spacing w:line="360" w:lineRule="auto"/>
        <w:rPr>
          <w:rFonts w:ascii="Times New Roman" w:hAnsi="Times New Roman" w:cs="Times New Roman"/>
          <w:sz w:val="24"/>
        </w:rPr>
      </w:pPr>
    </w:p>
    <w:p w14:paraId="3020773E">
      <w:pPr>
        <w:spacing w:line="360" w:lineRule="auto"/>
        <w:rPr>
          <w:rFonts w:ascii="Times New Roman" w:hAnsi="Times New Roman" w:cs="Times New Roman"/>
          <w:sz w:val="24"/>
        </w:rPr>
      </w:pPr>
    </w:p>
    <w:p w14:paraId="44077947">
      <w:pPr>
        <w:spacing w:line="360" w:lineRule="auto"/>
        <w:rPr>
          <w:rFonts w:ascii="Times New Roman" w:hAnsi="Times New Roman" w:cs="Times New Roman"/>
          <w:sz w:val="24"/>
        </w:rPr>
      </w:pPr>
    </w:p>
    <w:p w14:paraId="436061F3">
      <w:pPr>
        <w:spacing w:line="360" w:lineRule="auto"/>
        <w:rPr>
          <w:rFonts w:ascii="Times New Roman" w:hAnsi="Times New Roman" w:cs="Times New Roman"/>
          <w:sz w:val="24"/>
        </w:rPr>
      </w:pPr>
    </w:p>
    <w:p w14:paraId="39AB89D2">
      <w:pPr>
        <w:spacing w:line="360" w:lineRule="auto"/>
        <w:rPr>
          <w:rFonts w:ascii="Times New Roman" w:hAnsi="Times New Roman" w:cs="Times New Roman"/>
          <w:sz w:val="24"/>
        </w:rPr>
      </w:pPr>
    </w:p>
    <w:p w14:paraId="30704711">
      <w:pPr>
        <w:spacing w:line="360" w:lineRule="auto"/>
        <w:rPr>
          <w:rFonts w:ascii="Times New Roman" w:hAnsi="Times New Roman" w:cs="Times New Roman"/>
          <w:sz w:val="24"/>
        </w:rPr>
      </w:pPr>
    </w:p>
    <w:p w14:paraId="1E311A11">
      <w:pPr>
        <w:spacing w:line="360" w:lineRule="auto"/>
        <w:rPr>
          <w:rFonts w:ascii="Times New Roman" w:hAnsi="Times New Roman" w:cs="Times New Roman"/>
          <w:sz w:val="24"/>
        </w:rPr>
      </w:pPr>
    </w:p>
    <w:p w14:paraId="113B9DA4">
      <w:pPr>
        <w:spacing w:line="360" w:lineRule="auto"/>
        <w:rPr>
          <w:rFonts w:ascii="Times New Roman" w:hAnsi="Times New Roman" w:cs="Times New Roman"/>
          <w:sz w:val="24"/>
        </w:rPr>
      </w:pPr>
    </w:p>
    <w:p w14:paraId="2DE95A1D">
      <w:pPr>
        <w:spacing w:line="360" w:lineRule="auto"/>
        <w:rPr>
          <w:rFonts w:ascii="Times New Roman" w:hAnsi="Times New Roman" w:cs="Times New Roman"/>
          <w:sz w:val="24"/>
        </w:rPr>
      </w:pPr>
    </w:p>
    <w:p w14:paraId="74484CE2">
      <w:pPr>
        <w:spacing w:line="360" w:lineRule="auto"/>
        <w:rPr>
          <w:rFonts w:ascii="Times New Roman" w:hAnsi="Times New Roman" w:cs="Times New Roman"/>
          <w:sz w:val="24"/>
        </w:rPr>
      </w:pPr>
    </w:p>
    <w:p w14:paraId="406CE2B1">
      <w:pPr>
        <w:spacing w:line="360" w:lineRule="auto"/>
        <w:rPr>
          <w:rFonts w:ascii="Times New Roman" w:hAnsi="Times New Roman" w:cs="Times New Roman"/>
          <w:sz w:val="24"/>
        </w:rPr>
      </w:pPr>
    </w:p>
    <w:p w14:paraId="4AAAC6A5">
      <w:pPr>
        <w:spacing w:line="360" w:lineRule="auto"/>
        <w:rPr>
          <w:rFonts w:hint="eastAsia" w:ascii="Times New Roman" w:hAnsi="Times New Roman" w:eastAsia="等线" w:cs="Times New Roman"/>
          <w:b/>
          <w:bCs/>
          <w:color w:val="000000"/>
          <w:kern w:val="0"/>
          <w:sz w:val="15"/>
          <w:szCs w:val="15"/>
          <w14:ligatures w14:val="none"/>
        </w:rPr>
      </w:pPr>
    </w:p>
    <w:p w14:paraId="44AE559B">
      <w:pPr>
        <w:spacing w:line="360" w:lineRule="auto"/>
        <w:rPr>
          <w:rFonts w:hint="eastAsia" w:ascii="Times New Roman" w:hAnsi="Times New Roman" w:eastAsia="等线" w:cs="Times New Roman"/>
          <w:b/>
          <w:bCs/>
          <w:color w:val="000000"/>
          <w:kern w:val="0"/>
          <w:sz w:val="15"/>
          <w:szCs w:val="15"/>
          <w14:ligatures w14:val="none"/>
        </w:rPr>
      </w:pPr>
    </w:p>
    <w:tbl>
      <w:tblPr>
        <w:tblStyle w:val="13"/>
        <w:tblpPr w:leftFromText="180" w:rightFromText="180" w:vertAnchor="page" w:horzAnchor="page" w:tblpX="1806" w:tblpY="3213"/>
        <w:tblW w:w="8599" w:type="dxa"/>
        <w:tblInd w:w="0" w:type="dxa"/>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43"/>
        <w:gridCol w:w="1843"/>
        <w:gridCol w:w="944"/>
        <w:gridCol w:w="1134"/>
        <w:gridCol w:w="2835"/>
      </w:tblGrid>
      <w:tr w14:paraId="78174E43">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1843" w:type="dxa"/>
            <w:tcBorders>
              <w:bottom w:val="single" w:color="000000" w:themeColor="text1" w:sz="8" w:space="0"/>
            </w:tcBorders>
            <w:shd w:val="clear" w:color="auto" w:fill="auto"/>
            <w:tcMar>
              <w:top w:w="9" w:type="dxa"/>
              <w:left w:w="9" w:type="dxa"/>
              <w:bottom w:w="0" w:type="dxa"/>
              <w:right w:w="9" w:type="dxa"/>
            </w:tcMar>
            <w:vAlign w:val="bottom"/>
          </w:tcPr>
          <w:p w14:paraId="2C8559EA">
            <w:pPr>
              <w:jc w:val="center"/>
              <w:rPr>
                <w:rFonts w:hint="default" w:ascii="Times New Roman" w:hAnsi="Times New Roman" w:cs="Times New Roman" w:eastAsiaTheme="minorEastAsia"/>
                <w:b/>
                <w:bCs/>
                <w:sz w:val="20"/>
                <w:szCs w:val="20"/>
                <w:lang w:val="en-US" w:eastAsia="zh-CN"/>
              </w:rPr>
            </w:pPr>
            <w:r>
              <w:rPr>
                <w:rFonts w:hint="eastAsia" w:ascii="Times New Roman" w:hAnsi="Times New Roman" w:cs="Times New Roman"/>
                <w:b/>
                <w:bCs/>
                <w:sz w:val="20"/>
                <w:szCs w:val="20"/>
                <w:lang w:val="en-US" w:eastAsia="zh-CN"/>
              </w:rPr>
              <w:t>Cell line</w:t>
            </w:r>
          </w:p>
        </w:tc>
        <w:tc>
          <w:tcPr>
            <w:tcW w:w="1843" w:type="dxa"/>
            <w:tcBorders>
              <w:bottom w:val="single" w:color="000000" w:themeColor="text1" w:sz="8" w:space="0"/>
            </w:tcBorders>
            <w:shd w:val="clear" w:color="auto" w:fill="auto"/>
            <w:tcMar>
              <w:top w:w="9" w:type="dxa"/>
              <w:left w:w="9" w:type="dxa"/>
              <w:bottom w:w="0" w:type="dxa"/>
              <w:right w:w="9" w:type="dxa"/>
            </w:tcMar>
            <w:vAlign w:val="bottom"/>
          </w:tcPr>
          <w:p w14:paraId="4CC0A063">
            <w:pPr>
              <w:jc w:val="center"/>
              <w:rPr>
                <w:rFonts w:ascii="Times New Roman" w:hAnsi="Times New Roman" w:cs="Times New Roman"/>
                <w:sz w:val="20"/>
                <w:szCs w:val="20"/>
              </w:rPr>
            </w:pPr>
            <w:r>
              <w:rPr>
                <w:rFonts w:ascii="Times New Roman" w:hAnsi="Times New Roman" w:cs="Times New Roman"/>
                <w:b/>
                <w:bCs/>
                <w:sz w:val="20"/>
                <w:szCs w:val="20"/>
              </w:rPr>
              <w:t>ID</w:t>
            </w:r>
          </w:p>
        </w:tc>
        <w:tc>
          <w:tcPr>
            <w:tcW w:w="944" w:type="dxa"/>
            <w:tcBorders>
              <w:bottom w:val="single" w:color="000000" w:themeColor="text1" w:sz="8" w:space="0"/>
            </w:tcBorders>
            <w:shd w:val="clear" w:color="auto" w:fill="auto"/>
            <w:tcMar>
              <w:top w:w="9" w:type="dxa"/>
              <w:left w:w="9" w:type="dxa"/>
              <w:bottom w:w="0" w:type="dxa"/>
              <w:right w:w="9" w:type="dxa"/>
            </w:tcMar>
            <w:vAlign w:val="bottom"/>
          </w:tcPr>
          <w:p w14:paraId="24287DE9">
            <w:pPr>
              <w:jc w:val="center"/>
              <w:rPr>
                <w:rFonts w:ascii="Times New Roman" w:hAnsi="Times New Roman" w:cs="Times New Roman"/>
                <w:sz w:val="20"/>
                <w:szCs w:val="20"/>
              </w:rPr>
            </w:pPr>
            <w:r>
              <w:rPr>
                <w:rFonts w:ascii="Times New Roman" w:hAnsi="Times New Roman" w:cs="Times New Roman"/>
                <w:b/>
                <w:bCs/>
                <w:sz w:val="20"/>
                <w:szCs w:val="20"/>
              </w:rPr>
              <w:t>Gene</w:t>
            </w:r>
          </w:p>
        </w:tc>
        <w:tc>
          <w:tcPr>
            <w:tcW w:w="1134" w:type="dxa"/>
            <w:tcBorders>
              <w:bottom w:val="single" w:color="000000" w:themeColor="text1" w:sz="8" w:space="0"/>
            </w:tcBorders>
            <w:shd w:val="clear" w:color="auto" w:fill="auto"/>
            <w:tcMar>
              <w:top w:w="9" w:type="dxa"/>
              <w:left w:w="9" w:type="dxa"/>
              <w:bottom w:w="0" w:type="dxa"/>
              <w:right w:w="9" w:type="dxa"/>
            </w:tcMar>
            <w:vAlign w:val="bottom"/>
          </w:tcPr>
          <w:p w14:paraId="64D91390">
            <w:pPr>
              <w:jc w:val="center"/>
              <w:rPr>
                <w:rFonts w:ascii="Times New Roman" w:hAnsi="Times New Roman" w:cs="Times New Roman"/>
                <w:sz w:val="20"/>
                <w:szCs w:val="20"/>
              </w:rPr>
            </w:pPr>
            <w:r>
              <w:rPr>
                <w:rFonts w:ascii="Times New Roman" w:hAnsi="Times New Roman" w:cs="Times New Roman"/>
                <w:b/>
                <w:bCs/>
                <w:sz w:val="20"/>
                <w:szCs w:val="20"/>
              </w:rPr>
              <w:t>Mutation</w:t>
            </w:r>
          </w:p>
        </w:tc>
        <w:tc>
          <w:tcPr>
            <w:tcW w:w="2835" w:type="dxa"/>
            <w:tcBorders>
              <w:bottom w:val="single" w:color="000000" w:themeColor="text1" w:sz="8" w:space="0"/>
            </w:tcBorders>
            <w:shd w:val="clear" w:color="auto" w:fill="auto"/>
            <w:tcMar>
              <w:top w:w="9" w:type="dxa"/>
              <w:left w:w="9" w:type="dxa"/>
              <w:bottom w:w="0" w:type="dxa"/>
              <w:right w:w="9" w:type="dxa"/>
            </w:tcMar>
            <w:vAlign w:val="bottom"/>
          </w:tcPr>
          <w:p w14:paraId="4D12D73B">
            <w:pPr>
              <w:jc w:val="center"/>
              <w:rPr>
                <w:rFonts w:ascii="Times New Roman" w:hAnsi="Times New Roman" w:cs="Times New Roman"/>
                <w:sz w:val="20"/>
                <w:szCs w:val="20"/>
              </w:rPr>
            </w:pPr>
            <w:r>
              <w:rPr>
                <w:rFonts w:ascii="Times New Roman" w:hAnsi="Times New Roman" w:cs="Times New Roman"/>
                <w:b/>
                <w:bCs/>
                <w:sz w:val="20"/>
                <w:szCs w:val="20"/>
              </w:rPr>
              <w:t>Peptide (MT</w:t>
            </w:r>
            <w:r>
              <w:rPr>
                <w:rFonts w:ascii="Times New Roman" w:hAnsi="Times New Roman" w:cs="Times New Roman"/>
                <w:b/>
                <w:bCs/>
                <w:sz w:val="20"/>
                <w:szCs w:val="20"/>
                <w:vertAlign w:val="superscript"/>
              </w:rPr>
              <w:t>b</w:t>
            </w:r>
            <w:r>
              <w:rPr>
                <w:rFonts w:ascii="Times New Roman" w:hAnsi="Times New Roman" w:cs="Times New Roman"/>
                <w:b/>
                <w:bCs/>
                <w:sz w:val="20"/>
                <w:szCs w:val="20"/>
              </w:rPr>
              <w:t>)</w:t>
            </w:r>
          </w:p>
        </w:tc>
      </w:tr>
      <w:tr w14:paraId="3998BB96">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op w:val="single" w:color="000000" w:themeColor="text1" w:sz="8" w:space="0"/>
              <w:tl2br w:val="nil"/>
              <w:tr2bl w:val="nil"/>
            </w:tcBorders>
            <w:shd w:val="clear" w:color="auto" w:fill="auto"/>
            <w:tcMar>
              <w:top w:w="9" w:type="dxa"/>
              <w:left w:w="9" w:type="dxa"/>
              <w:bottom w:w="0" w:type="dxa"/>
              <w:right w:w="9" w:type="dxa"/>
            </w:tcMar>
            <w:vAlign w:val="bottom"/>
          </w:tcPr>
          <w:p w14:paraId="40C6658E">
            <w:pPr>
              <w:jc w:val="center"/>
              <w:rPr>
                <w:rFonts w:hint="default"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Hepa 1-6</w:t>
            </w:r>
          </w:p>
        </w:tc>
        <w:tc>
          <w:tcPr>
            <w:tcW w:w="1843" w:type="dxa"/>
            <w:tcBorders>
              <w:top w:val="single" w:color="000000" w:themeColor="text1" w:sz="8" w:space="0"/>
              <w:tl2br w:val="nil"/>
              <w:tr2bl w:val="nil"/>
            </w:tcBorders>
            <w:shd w:val="clear" w:color="auto" w:fill="auto"/>
            <w:tcMar>
              <w:top w:w="9" w:type="dxa"/>
              <w:left w:w="9" w:type="dxa"/>
              <w:bottom w:w="0" w:type="dxa"/>
              <w:right w:w="9" w:type="dxa"/>
            </w:tcMar>
            <w:vAlign w:val="bottom"/>
          </w:tcPr>
          <w:p w14:paraId="6C214542">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chr7_126764306</w:t>
            </w:r>
          </w:p>
        </w:tc>
        <w:tc>
          <w:tcPr>
            <w:tcW w:w="944" w:type="dxa"/>
            <w:tcBorders>
              <w:top w:val="single" w:color="000000" w:themeColor="text1" w:sz="8" w:space="0"/>
              <w:tl2br w:val="nil"/>
              <w:tr2bl w:val="nil"/>
            </w:tcBorders>
            <w:shd w:val="clear" w:color="auto" w:fill="auto"/>
            <w:tcMar>
              <w:top w:w="9" w:type="dxa"/>
              <w:left w:w="9" w:type="dxa"/>
              <w:bottom w:w="0" w:type="dxa"/>
              <w:right w:w="9" w:type="dxa"/>
            </w:tcMar>
            <w:vAlign w:val="bottom"/>
          </w:tcPr>
          <w:p w14:paraId="683792AD">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Mapk3</w:t>
            </w:r>
          </w:p>
        </w:tc>
        <w:tc>
          <w:tcPr>
            <w:tcW w:w="1134" w:type="dxa"/>
            <w:tcBorders>
              <w:top w:val="single" w:color="000000" w:themeColor="text1" w:sz="8" w:space="0"/>
              <w:tl2br w:val="nil"/>
              <w:tr2bl w:val="nil"/>
            </w:tcBorders>
            <w:shd w:val="clear" w:color="auto" w:fill="auto"/>
            <w:tcMar>
              <w:top w:w="9" w:type="dxa"/>
              <w:left w:w="9" w:type="dxa"/>
              <w:bottom w:w="0" w:type="dxa"/>
              <w:right w:w="9" w:type="dxa"/>
            </w:tcMar>
            <w:vAlign w:val="bottom"/>
          </w:tcPr>
          <w:p w14:paraId="0B70340D">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S284F</w:t>
            </w:r>
          </w:p>
        </w:tc>
        <w:tc>
          <w:tcPr>
            <w:tcW w:w="2835" w:type="dxa"/>
            <w:tcBorders>
              <w:top w:val="single" w:color="000000" w:themeColor="text1" w:sz="8" w:space="0"/>
              <w:tl2br w:val="nil"/>
              <w:tr2bl w:val="nil"/>
            </w:tcBorders>
            <w:shd w:val="clear" w:color="auto" w:fill="auto"/>
            <w:tcMar>
              <w:top w:w="9" w:type="dxa"/>
              <w:left w:w="9" w:type="dxa"/>
              <w:bottom w:w="0" w:type="dxa"/>
              <w:right w:w="9" w:type="dxa"/>
            </w:tcMar>
            <w:vAlign w:val="bottom"/>
          </w:tcPr>
          <w:p w14:paraId="3A81B086">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MKARNYLQFLPSKTKVA</w:t>
            </w:r>
          </w:p>
        </w:tc>
      </w:tr>
      <w:tr w14:paraId="5FC4CD67">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bottom"/>
          </w:tcPr>
          <w:p w14:paraId="66D4A84E">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67760FDF">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chr1_181821532</w:t>
            </w:r>
          </w:p>
        </w:tc>
        <w:tc>
          <w:tcPr>
            <w:tcW w:w="944" w:type="dxa"/>
            <w:tcBorders>
              <w:tl2br w:val="nil"/>
              <w:tr2bl w:val="nil"/>
            </w:tcBorders>
            <w:shd w:val="clear" w:color="auto" w:fill="auto"/>
            <w:tcMar>
              <w:top w:w="9" w:type="dxa"/>
              <w:left w:w="9" w:type="dxa"/>
              <w:bottom w:w="0" w:type="dxa"/>
              <w:right w:w="9" w:type="dxa"/>
            </w:tcMar>
            <w:vAlign w:val="bottom"/>
          </w:tcPr>
          <w:p w14:paraId="26F574C6">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Lbr</w:t>
            </w:r>
          </w:p>
        </w:tc>
        <w:tc>
          <w:tcPr>
            <w:tcW w:w="1134" w:type="dxa"/>
            <w:tcBorders>
              <w:tl2br w:val="nil"/>
              <w:tr2bl w:val="nil"/>
            </w:tcBorders>
            <w:shd w:val="clear" w:color="auto" w:fill="auto"/>
            <w:tcMar>
              <w:top w:w="9" w:type="dxa"/>
              <w:left w:w="9" w:type="dxa"/>
              <w:bottom w:w="0" w:type="dxa"/>
              <w:right w:w="9" w:type="dxa"/>
            </w:tcMar>
            <w:vAlign w:val="bottom"/>
          </w:tcPr>
          <w:p w14:paraId="1A9A1A2C">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A341P</w:t>
            </w:r>
          </w:p>
        </w:tc>
        <w:tc>
          <w:tcPr>
            <w:tcW w:w="2835" w:type="dxa"/>
            <w:tcBorders>
              <w:tl2br w:val="nil"/>
              <w:tr2bl w:val="nil"/>
            </w:tcBorders>
            <w:shd w:val="clear" w:color="auto" w:fill="auto"/>
            <w:tcMar>
              <w:top w:w="9" w:type="dxa"/>
              <w:left w:w="9" w:type="dxa"/>
              <w:bottom w:w="0" w:type="dxa"/>
              <w:right w:w="9" w:type="dxa"/>
            </w:tcMar>
            <w:vAlign w:val="bottom"/>
          </w:tcPr>
          <w:p w14:paraId="2528CB5B">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LYTHFLQLPLAATGFSV</w:t>
            </w:r>
          </w:p>
        </w:tc>
      </w:tr>
      <w:tr w14:paraId="2E304B3F">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1843" w:type="dxa"/>
            <w:tcBorders>
              <w:tl2br w:val="nil"/>
              <w:tr2bl w:val="nil"/>
            </w:tcBorders>
            <w:shd w:val="clear" w:color="auto" w:fill="auto"/>
            <w:tcMar>
              <w:top w:w="9" w:type="dxa"/>
              <w:left w:w="9" w:type="dxa"/>
              <w:bottom w:w="0" w:type="dxa"/>
              <w:right w:w="9" w:type="dxa"/>
            </w:tcMar>
            <w:vAlign w:val="bottom"/>
          </w:tcPr>
          <w:p w14:paraId="1497E53E">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109A6317">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chr17_24511368</w:t>
            </w:r>
          </w:p>
        </w:tc>
        <w:tc>
          <w:tcPr>
            <w:tcW w:w="944" w:type="dxa"/>
            <w:tcBorders>
              <w:tl2br w:val="nil"/>
              <w:tr2bl w:val="nil"/>
            </w:tcBorders>
            <w:shd w:val="clear" w:color="auto" w:fill="auto"/>
            <w:tcMar>
              <w:top w:w="9" w:type="dxa"/>
              <w:left w:w="9" w:type="dxa"/>
              <w:bottom w:w="0" w:type="dxa"/>
              <w:right w:w="9" w:type="dxa"/>
            </w:tcMar>
            <w:vAlign w:val="bottom"/>
          </w:tcPr>
          <w:p w14:paraId="41AFB709">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Traf7</w:t>
            </w:r>
          </w:p>
        </w:tc>
        <w:tc>
          <w:tcPr>
            <w:tcW w:w="1134" w:type="dxa"/>
            <w:tcBorders>
              <w:tl2br w:val="nil"/>
              <w:tr2bl w:val="nil"/>
            </w:tcBorders>
            <w:shd w:val="clear" w:color="auto" w:fill="auto"/>
            <w:tcMar>
              <w:top w:w="9" w:type="dxa"/>
              <w:left w:w="9" w:type="dxa"/>
              <w:bottom w:w="0" w:type="dxa"/>
              <w:right w:w="9" w:type="dxa"/>
            </w:tcMar>
            <w:vAlign w:val="bottom"/>
          </w:tcPr>
          <w:p w14:paraId="6EB983BE">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C403W</w:t>
            </w:r>
          </w:p>
        </w:tc>
        <w:tc>
          <w:tcPr>
            <w:tcW w:w="2835" w:type="dxa"/>
            <w:tcBorders>
              <w:tl2br w:val="nil"/>
              <w:tr2bl w:val="nil"/>
            </w:tcBorders>
            <w:shd w:val="clear" w:color="auto" w:fill="auto"/>
            <w:tcMar>
              <w:top w:w="9" w:type="dxa"/>
              <w:left w:w="9" w:type="dxa"/>
              <w:bottom w:w="0" w:type="dxa"/>
              <w:right w:w="9" w:type="dxa"/>
            </w:tcMar>
            <w:vAlign w:val="bottom"/>
          </w:tcPr>
          <w:p w14:paraId="44754D3D">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WDTCTTYKWQKTLEGHD</w:t>
            </w:r>
          </w:p>
        </w:tc>
      </w:tr>
      <w:tr w14:paraId="607BB817">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20" w:hRule="atLeast"/>
        </w:trPr>
        <w:tc>
          <w:tcPr>
            <w:tcW w:w="1843" w:type="dxa"/>
            <w:tcBorders>
              <w:tl2br w:val="nil"/>
              <w:tr2bl w:val="nil"/>
            </w:tcBorders>
            <w:shd w:val="clear" w:color="auto" w:fill="auto"/>
            <w:tcMar>
              <w:top w:w="9" w:type="dxa"/>
              <w:left w:w="9" w:type="dxa"/>
              <w:bottom w:w="0" w:type="dxa"/>
              <w:right w:w="9" w:type="dxa"/>
            </w:tcMar>
            <w:vAlign w:val="bottom"/>
          </w:tcPr>
          <w:p w14:paraId="456C42D9">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5252CEAB">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chr6_3375005</w:t>
            </w:r>
          </w:p>
        </w:tc>
        <w:tc>
          <w:tcPr>
            <w:tcW w:w="944" w:type="dxa"/>
            <w:tcBorders>
              <w:tl2br w:val="nil"/>
              <w:tr2bl w:val="nil"/>
            </w:tcBorders>
            <w:shd w:val="clear" w:color="auto" w:fill="auto"/>
            <w:tcMar>
              <w:top w:w="9" w:type="dxa"/>
              <w:left w:w="9" w:type="dxa"/>
              <w:bottom w:w="0" w:type="dxa"/>
              <w:right w:w="9" w:type="dxa"/>
            </w:tcMar>
            <w:vAlign w:val="bottom"/>
          </w:tcPr>
          <w:p w14:paraId="5009ECC2">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Samd9l</w:t>
            </w:r>
          </w:p>
        </w:tc>
        <w:tc>
          <w:tcPr>
            <w:tcW w:w="1134" w:type="dxa"/>
            <w:tcBorders>
              <w:tl2br w:val="nil"/>
              <w:tr2bl w:val="nil"/>
            </w:tcBorders>
            <w:shd w:val="clear" w:color="auto" w:fill="auto"/>
            <w:tcMar>
              <w:top w:w="9" w:type="dxa"/>
              <w:left w:w="9" w:type="dxa"/>
              <w:bottom w:w="0" w:type="dxa"/>
              <w:right w:w="9" w:type="dxa"/>
            </w:tcMar>
            <w:vAlign w:val="bottom"/>
          </w:tcPr>
          <w:p w14:paraId="15F7BC6B">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K752M</w:t>
            </w:r>
          </w:p>
        </w:tc>
        <w:tc>
          <w:tcPr>
            <w:tcW w:w="2835" w:type="dxa"/>
            <w:tcBorders>
              <w:tl2br w:val="nil"/>
              <w:tr2bl w:val="nil"/>
            </w:tcBorders>
            <w:shd w:val="clear" w:color="auto" w:fill="auto"/>
            <w:tcMar>
              <w:top w:w="9" w:type="dxa"/>
              <w:left w:w="9" w:type="dxa"/>
              <w:bottom w:w="0" w:type="dxa"/>
              <w:right w:w="9" w:type="dxa"/>
            </w:tcMar>
            <w:vAlign w:val="bottom"/>
          </w:tcPr>
          <w:p w14:paraId="512E8ECA">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HVLWDLKQMFRCAVLKN</w:t>
            </w:r>
          </w:p>
        </w:tc>
      </w:tr>
      <w:tr w14:paraId="0F866559">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1843" w:type="dxa"/>
            <w:tcBorders>
              <w:tl2br w:val="nil"/>
              <w:tr2bl w:val="nil"/>
            </w:tcBorders>
            <w:shd w:val="clear" w:color="auto" w:fill="auto"/>
            <w:tcMar>
              <w:top w:w="9" w:type="dxa"/>
              <w:left w:w="9" w:type="dxa"/>
              <w:bottom w:w="0" w:type="dxa"/>
              <w:right w:w="9" w:type="dxa"/>
            </w:tcMar>
            <w:vAlign w:val="bottom"/>
          </w:tcPr>
          <w:p w14:paraId="5AF7188D">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15BB9FE6">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chr18_67672646</w:t>
            </w:r>
          </w:p>
        </w:tc>
        <w:tc>
          <w:tcPr>
            <w:tcW w:w="944" w:type="dxa"/>
            <w:tcBorders>
              <w:tl2br w:val="nil"/>
              <w:tr2bl w:val="nil"/>
            </w:tcBorders>
            <w:shd w:val="clear" w:color="auto" w:fill="auto"/>
            <w:tcMar>
              <w:top w:w="9" w:type="dxa"/>
              <w:left w:w="9" w:type="dxa"/>
              <w:bottom w:w="0" w:type="dxa"/>
              <w:right w:w="9" w:type="dxa"/>
            </w:tcMar>
            <w:vAlign w:val="bottom"/>
          </w:tcPr>
          <w:p w14:paraId="45724622">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Ptpn2</w:t>
            </w:r>
          </w:p>
        </w:tc>
        <w:tc>
          <w:tcPr>
            <w:tcW w:w="1134" w:type="dxa"/>
            <w:tcBorders>
              <w:tl2br w:val="nil"/>
              <w:tr2bl w:val="nil"/>
            </w:tcBorders>
            <w:shd w:val="clear" w:color="auto" w:fill="auto"/>
            <w:tcMar>
              <w:top w:w="9" w:type="dxa"/>
              <w:left w:w="9" w:type="dxa"/>
              <w:bottom w:w="0" w:type="dxa"/>
              <w:right w:w="9" w:type="dxa"/>
            </w:tcMar>
            <w:vAlign w:val="bottom"/>
          </w:tcPr>
          <w:p w14:paraId="0F521D58">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I383T</w:t>
            </w:r>
          </w:p>
        </w:tc>
        <w:tc>
          <w:tcPr>
            <w:tcW w:w="2835" w:type="dxa"/>
            <w:tcBorders>
              <w:tl2br w:val="nil"/>
              <w:tr2bl w:val="nil"/>
            </w:tcBorders>
            <w:shd w:val="clear" w:color="auto" w:fill="auto"/>
            <w:tcMar>
              <w:top w:w="9" w:type="dxa"/>
              <w:left w:w="9" w:type="dxa"/>
              <w:bottom w:w="0" w:type="dxa"/>
              <w:right w:w="9" w:type="dxa"/>
            </w:tcMar>
            <w:vAlign w:val="bottom"/>
          </w:tcPr>
          <w:p w14:paraId="08D721B1">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KRWLYWQPTLTKMGFVS</w:t>
            </w:r>
          </w:p>
        </w:tc>
      </w:tr>
      <w:tr w14:paraId="23FA6893">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bottom"/>
          </w:tcPr>
          <w:p w14:paraId="35B383BA">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0E564AB7">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chr17_25662545</w:t>
            </w:r>
          </w:p>
        </w:tc>
        <w:tc>
          <w:tcPr>
            <w:tcW w:w="944" w:type="dxa"/>
            <w:tcBorders>
              <w:tl2br w:val="nil"/>
              <w:tr2bl w:val="nil"/>
            </w:tcBorders>
            <w:shd w:val="clear" w:color="auto" w:fill="auto"/>
            <w:tcMar>
              <w:top w:w="9" w:type="dxa"/>
              <w:left w:w="9" w:type="dxa"/>
              <w:bottom w:w="0" w:type="dxa"/>
              <w:right w:w="9" w:type="dxa"/>
            </w:tcMar>
            <w:vAlign w:val="bottom"/>
          </w:tcPr>
          <w:p w14:paraId="6F6EDB9A">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Lmf1</w:t>
            </w:r>
          </w:p>
        </w:tc>
        <w:tc>
          <w:tcPr>
            <w:tcW w:w="1134" w:type="dxa"/>
            <w:tcBorders>
              <w:tl2br w:val="nil"/>
              <w:tr2bl w:val="nil"/>
            </w:tcBorders>
            <w:shd w:val="clear" w:color="auto" w:fill="auto"/>
            <w:tcMar>
              <w:top w:w="9" w:type="dxa"/>
              <w:left w:w="9" w:type="dxa"/>
              <w:bottom w:w="0" w:type="dxa"/>
              <w:right w:w="9" w:type="dxa"/>
            </w:tcMar>
            <w:vAlign w:val="bottom"/>
          </w:tcPr>
          <w:p w14:paraId="2CDFB2A4">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F523V</w:t>
            </w:r>
          </w:p>
        </w:tc>
        <w:tc>
          <w:tcPr>
            <w:tcW w:w="2835" w:type="dxa"/>
            <w:tcBorders>
              <w:tl2br w:val="nil"/>
              <w:tr2bl w:val="nil"/>
            </w:tcBorders>
            <w:shd w:val="clear" w:color="auto" w:fill="auto"/>
            <w:tcMar>
              <w:top w:w="9" w:type="dxa"/>
              <w:left w:w="9" w:type="dxa"/>
              <w:bottom w:w="0" w:type="dxa"/>
              <w:right w:w="9" w:type="dxa"/>
            </w:tcMar>
            <w:vAlign w:val="bottom"/>
          </w:tcPr>
          <w:p w14:paraId="1B53BDC3">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RGEHYRYKVSLPGGQHA</w:t>
            </w:r>
          </w:p>
        </w:tc>
      </w:tr>
      <w:tr w14:paraId="1AB363C0">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bottom"/>
          </w:tcPr>
          <w:p w14:paraId="4C304D72">
            <w:pPr>
              <w:jc w:val="center"/>
              <w:rPr>
                <w:rFonts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Hepa 1-6</w:t>
            </w:r>
          </w:p>
        </w:tc>
        <w:tc>
          <w:tcPr>
            <w:tcW w:w="1843" w:type="dxa"/>
            <w:tcBorders>
              <w:tl2br w:val="nil"/>
              <w:tr2bl w:val="nil"/>
            </w:tcBorders>
            <w:shd w:val="clear" w:color="auto" w:fill="auto"/>
            <w:tcMar>
              <w:top w:w="9" w:type="dxa"/>
              <w:left w:w="9" w:type="dxa"/>
              <w:bottom w:w="0" w:type="dxa"/>
              <w:right w:w="9" w:type="dxa"/>
            </w:tcMar>
            <w:vAlign w:val="bottom"/>
          </w:tcPr>
          <w:p w14:paraId="7934FB7A">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chr12_3591957</w:t>
            </w:r>
          </w:p>
        </w:tc>
        <w:tc>
          <w:tcPr>
            <w:tcW w:w="944" w:type="dxa"/>
            <w:tcBorders>
              <w:tl2br w:val="nil"/>
              <w:tr2bl w:val="nil"/>
            </w:tcBorders>
            <w:shd w:val="clear" w:color="auto" w:fill="auto"/>
            <w:tcMar>
              <w:top w:w="9" w:type="dxa"/>
              <w:left w:w="9" w:type="dxa"/>
              <w:bottom w:w="0" w:type="dxa"/>
              <w:right w:w="9" w:type="dxa"/>
            </w:tcMar>
            <w:vAlign w:val="bottom"/>
          </w:tcPr>
          <w:p w14:paraId="3691B4B7">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Dtnb</w:t>
            </w:r>
          </w:p>
        </w:tc>
        <w:tc>
          <w:tcPr>
            <w:tcW w:w="1134" w:type="dxa"/>
            <w:tcBorders>
              <w:tl2br w:val="nil"/>
              <w:tr2bl w:val="nil"/>
            </w:tcBorders>
            <w:shd w:val="clear" w:color="auto" w:fill="auto"/>
            <w:tcMar>
              <w:top w:w="9" w:type="dxa"/>
              <w:left w:w="9" w:type="dxa"/>
              <w:bottom w:w="0" w:type="dxa"/>
              <w:right w:w="9" w:type="dxa"/>
            </w:tcMar>
            <w:vAlign w:val="bottom"/>
          </w:tcPr>
          <w:p w14:paraId="20449510">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K40T</w:t>
            </w:r>
          </w:p>
        </w:tc>
        <w:tc>
          <w:tcPr>
            <w:tcW w:w="2835" w:type="dxa"/>
            <w:tcBorders>
              <w:tl2br w:val="nil"/>
              <w:tr2bl w:val="nil"/>
            </w:tcBorders>
            <w:shd w:val="clear" w:color="auto" w:fill="auto"/>
            <w:tcMar>
              <w:top w:w="9" w:type="dxa"/>
              <w:left w:w="9" w:type="dxa"/>
              <w:bottom w:w="0" w:type="dxa"/>
              <w:right w:w="9" w:type="dxa"/>
            </w:tcMar>
            <w:vAlign w:val="bottom"/>
          </w:tcPr>
          <w:p w14:paraId="447E9A83">
            <w:pPr>
              <w:jc w:val="center"/>
              <w:rPr>
                <w:rFonts w:ascii="Times New Roman" w:hAnsi="Times New Roman" w:cs="Times New Roman"/>
                <w:b w:val="0"/>
                <w:bCs w:val="0"/>
                <w:sz w:val="21"/>
                <w:szCs w:val="21"/>
                <w:highlight w:val="none"/>
              </w:rPr>
            </w:pPr>
            <w:r>
              <w:rPr>
                <w:rFonts w:ascii="Times New Roman" w:hAnsi="Times New Roman" w:cs="Times New Roman"/>
                <w:b w:val="0"/>
                <w:bCs w:val="0"/>
                <w:sz w:val="21"/>
                <w:szCs w:val="21"/>
                <w:highlight w:val="none"/>
              </w:rPr>
              <w:t>LSTYRTACTLRFVQKRC</w:t>
            </w:r>
          </w:p>
        </w:tc>
      </w:tr>
      <w:tr w14:paraId="4EF67A08">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bottom"/>
          </w:tcPr>
          <w:p w14:paraId="1B098A5C">
            <w:pPr>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bottom"/>
          </w:tcPr>
          <w:p w14:paraId="401B427A">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chr5</w:t>
            </w:r>
            <w:r>
              <w:rPr>
                <w:rFonts w:hint="eastAsia" w:ascii="Times New Roman" w:hAnsi="Times New Roman" w:eastAsia="等线" w:cs="Times New Roman"/>
                <w:b w:val="0"/>
                <w:bCs w:val="0"/>
                <w:kern w:val="0"/>
                <w:sz w:val="21"/>
                <w:szCs w:val="21"/>
                <w:highlight w:val="none"/>
                <w:lang w:val="en-US" w:eastAsia="zh-CN"/>
                <w14:ligatures w14:val="none"/>
              </w:rPr>
              <w:t>_</w:t>
            </w:r>
            <w:r>
              <w:rPr>
                <w:rFonts w:ascii="Times New Roman" w:hAnsi="Times New Roman" w:eastAsia="等线" w:cs="Times New Roman"/>
                <w:b w:val="0"/>
                <w:bCs w:val="0"/>
                <w:kern w:val="0"/>
                <w:sz w:val="21"/>
                <w:szCs w:val="21"/>
                <w:highlight w:val="none"/>
                <w14:ligatures w14:val="none"/>
              </w:rPr>
              <w:t>143478447</w:t>
            </w:r>
          </w:p>
        </w:tc>
        <w:tc>
          <w:tcPr>
            <w:tcW w:w="944" w:type="dxa"/>
            <w:tcBorders>
              <w:tl2br w:val="nil"/>
              <w:tr2bl w:val="nil"/>
            </w:tcBorders>
            <w:shd w:val="clear" w:color="auto" w:fill="auto"/>
            <w:tcMar>
              <w:top w:w="9" w:type="dxa"/>
              <w:left w:w="9" w:type="dxa"/>
              <w:bottom w:w="0" w:type="dxa"/>
              <w:right w:w="9" w:type="dxa"/>
            </w:tcMar>
            <w:vAlign w:val="center"/>
          </w:tcPr>
          <w:p w14:paraId="1B662EC4">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Daglb</w:t>
            </w:r>
          </w:p>
        </w:tc>
        <w:tc>
          <w:tcPr>
            <w:tcW w:w="1134" w:type="dxa"/>
            <w:tcBorders>
              <w:tl2br w:val="nil"/>
              <w:tr2bl w:val="nil"/>
            </w:tcBorders>
            <w:shd w:val="clear" w:color="auto" w:fill="auto"/>
            <w:tcMar>
              <w:top w:w="9" w:type="dxa"/>
              <w:left w:w="9" w:type="dxa"/>
              <w:bottom w:w="0" w:type="dxa"/>
              <w:right w:w="9" w:type="dxa"/>
            </w:tcMar>
            <w:vAlign w:val="center"/>
          </w:tcPr>
          <w:p w14:paraId="38A89C22">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G238C</w:t>
            </w:r>
          </w:p>
        </w:tc>
        <w:tc>
          <w:tcPr>
            <w:tcW w:w="2835" w:type="dxa"/>
            <w:tcBorders>
              <w:tl2br w:val="nil"/>
              <w:tr2bl w:val="nil"/>
            </w:tcBorders>
            <w:shd w:val="clear" w:color="auto" w:fill="auto"/>
            <w:tcMar>
              <w:top w:w="9" w:type="dxa"/>
              <w:left w:w="9" w:type="dxa"/>
              <w:bottom w:w="0" w:type="dxa"/>
              <w:right w:w="9" w:type="dxa"/>
            </w:tcMar>
            <w:vAlign w:val="bottom"/>
          </w:tcPr>
          <w:p w14:paraId="2320E670">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LVPSDIAACFTLLHQQQ</w:t>
            </w:r>
          </w:p>
        </w:tc>
      </w:tr>
      <w:tr w14:paraId="6BCE4887">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bottom"/>
          </w:tcPr>
          <w:p w14:paraId="4AF3CDC6">
            <w:pPr>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bottom"/>
          </w:tcPr>
          <w:p w14:paraId="7D947C9E">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chr11</w:t>
            </w:r>
            <w:r>
              <w:rPr>
                <w:rFonts w:hint="eastAsia" w:ascii="Times New Roman" w:hAnsi="Times New Roman" w:eastAsia="等线" w:cs="Times New Roman"/>
                <w:b w:val="0"/>
                <w:bCs w:val="0"/>
                <w:kern w:val="0"/>
                <w:sz w:val="21"/>
                <w:szCs w:val="21"/>
                <w:highlight w:val="none"/>
                <w:lang w:val="en-US" w:eastAsia="zh-CN"/>
                <w14:ligatures w14:val="none"/>
              </w:rPr>
              <w:t>_</w:t>
            </w:r>
            <w:r>
              <w:rPr>
                <w:rFonts w:ascii="Times New Roman" w:hAnsi="Times New Roman" w:eastAsia="等线" w:cs="Times New Roman"/>
                <w:b w:val="0"/>
                <w:bCs w:val="0"/>
                <w:kern w:val="0"/>
                <w:sz w:val="21"/>
                <w:szCs w:val="21"/>
                <w:highlight w:val="none"/>
                <w14:ligatures w14:val="none"/>
              </w:rPr>
              <w:t>70218956</w:t>
            </w:r>
          </w:p>
        </w:tc>
        <w:tc>
          <w:tcPr>
            <w:tcW w:w="944" w:type="dxa"/>
            <w:tcBorders>
              <w:tl2br w:val="nil"/>
              <w:tr2bl w:val="nil"/>
            </w:tcBorders>
            <w:shd w:val="clear" w:color="auto" w:fill="auto"/>
            <w:tcMar>
              <w:top w:w="9" w:type="dxa"/>
              <w:left w:w="9" w:type="dxa"/>
              <w:bottom w:w="0" w:type="dxa"/>
              <w:right w:w="9" w:type="dxa"/>
            </w:tcMar>
            <w:vAlign w:val="bottom"/>
          </w:tcPr>
          <w:p w14:paraId="6FC1E877">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Slc16a13</w:t>
            </w:r>
          </w:p>
        </w:tc>
        <w:tc>
          <w:tcPr>
            <w:tcW w:w="1134" w:type="dxa"/>
            <w:tcBorders>
              <w:tl2br w:val="nil"/>
              <w:tr2bl w:val="nil"/>
            </w:tcBorders>
            <w:shd w:val="clear" w:color="auto" w:fill="auto"/>
            <w:tcMar>
              <w:top w:w="9" w:type="dxa"/>
              <w:left w:w="9" w:type="dxa"/>
              <w:bottom w:w="0" w:type="dxa"/>
              <w:right w:w="9" w:type="dxa"/>
            </w:tcMar>
            <w:vAlign w:val="bottom"/>
          </w:tcPr>
          <w:p w14:paraId="60864A44">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H240N</w:t>
            </w:r>
          </w:p>
        </w:tc>
        <w:tc>
          <w:tcPr>
            <w:tcW w:w="2835" w:type="dxa"/>
            <w:tcBorders>
              <w:tl2br w:val="nil"/>
              <w:tr2bl w:val="nil"/>
            </w:tcBorders>
            <w:shd w:val="clear" w:color="auto" w:fill="auto"/>
            <w:tcMar>
              <w:top w:w="9" w:type="dxa"/>
              <w:left w:w="9" w:type="dxa"/>
              <w:bottom w:w="0" w:type="dxa"/>
              <w:right w:w="9" w:type="dxa"/>
            </w:tcMar>
            <w:vAlign w:val="bottom"/>
          </w:tcPr>
          <w:p w14:paraId="1A714623">
            <w:pPr>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IPYVHLVANLQDLGWDP</w:t>
            </w:r>
          </w:p>
        </w:tc>
      </w:tr>
      <w:tr w14:paraId="6118C72D">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6ED6EAF8">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721F4E9F">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w:t>
            </w:r>
            <w:r>
              <w:rPr>
                <w:rFonts w:hint="eastAsia" w:ascii="Times New Roman" w:hAnsi="Times New Roman" w:eastAsia="等线" w:cs="Times New Roman"/>
                <w:b w:val="0"/>
                <w:bCs w:val="0"/>
                <w:kern w:val="0"/>
                <w:sz w:val="21"/>
                <w:szCs w:val="21"/>
                <w:highlight w:val="none"/>
                <w:lang w:val="en-US" w:eastAsia="zh-CN"/>
                <w14:ligatures w14:val="none"/>
              </w:rPr>
              <w:t>9_</w:t>
            </w:r>
            <w:r>
              <w:rPr>
                <w:rFonts w:ascii="Times New Roman" w:hAnsi="Times New Roman" w:eastAsia="等线" w:cs="Times New Roman"/>
                <w:b w:val="0"/>
                <w:bCs w:val="0"/>
                <w:kern w:val="0"/>
                <w:sz w:val="21"/>
                <w:szCs w:val="21"/>
                <w:highlight w:val="none"/>
                <w14:ligatures w14:val="none"/>
              </w:rPr>
              <w:t>49028206</w:t>
            </w:r>
          </w:p>
        </w:tc>
        <w:tc>
          <w:tcPr>
            <w:tcW w:w="944" w:type="dxa"/>
            <w:tcBorders>
              <w:tl2br w:val="nil"/>
              <w:tr2bl w:val="nil"/>
            </w:tcBorders>
            <w:shd w:val="clear" w:color="auto" w:fill="auto"/>
            <w:tcMar>
              <w:top w:w="9" w:type="dxa"/>
              <w:left w:w="9" w:type="dxa"/>
              <w:bottom w:w="0" w:type="dxa"/>
              <w:right w:w="9" w:type="dxa"/>
            </w:tcMar>
            <w:vAlign w:val="center"/>
          </w:tcPr>
          <w:p w14:paraId="1BE0D557">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Usp28</w:t>
            </w:r>
          </w:p>
        </w:tc>
        <w:tc>
          <w:tcPr>
            <w:tcW w:w="1134" w:type="dxa"/>
            <w:tcBorders>
              <w:tl2br w:val="nil"/>
              <w:tr2bl w:val="nil"/>
            </w:tcBorders>
            <w:shd w:val="clear" w:color="auto" w:fill="auto"/>
            <w:tcMar>
              <w:top w:w="9" w:type="dxa"/>
              <w:left w:w="9" w:type="dxa"/>
              <w:bottom w:w="0" w:type="dxa"/>
              <w:right w:w="9" w:type="dxa"/>
            </w:tcMar>
            <w:vAlign w:val="center"/>
          </w:tcPr>
          <w:p w14:paraId="39476CB4">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W631L</w:t>
            </w:r>
          </w:p>
        </w:tc>
        <w:tc>
          <w:tcPr>
            <w:tcW w:w="2835" w:type="dxa"/>
            <w:tcBorders>
              <w:tl2br w:val="nil"/>
              <w:tr2bl w:val="nil"/>
            </w:tcBorders>
            <w:shd w:val="clear" w:color="auto" w:fill="auto"/>
            <w:tcMar>
              <w:top w:w="9" w:type="dxa"/>
              <w:left w:w="9" w:type="dxa"/>
              <w:bottom w:w="0" w:type="dxa"/>
              <w:right w:w="9" w:type="dxa"/>
            </w:tcMar>
            <w:vAlign w:val="center"/>
          </w:tcPr>
          <w:p w14:paraId="121B4826">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DISVTESSLEELERDSY</w:t>
            </w:r>
          </w:p>
        </w:tc>
      </w:tr>
      <w:tr w14:paraId="71AAAE79">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7E1A96C3">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4D40EAA1">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chr1</w:t>
            </w:r>
            <w:r>
              <w:rPr>
                <w:rFonts w:hint="eastAsia" w:ascii="Times New Roman" w:hAnsi="Times New Roman" w:eastAsia="等线" w:cs="Times New Roman"/>
                <w:b w:val="0"/>
                <w:bCs w:val="0"/>
                <w:kern w:val="0"/>
                <w:sz w:val="21"/>
                <w:szCs w:val="21"/>
                <w:highlight w:val="none"/>
                <w:lang w:val="en-US" w:eastAsia="zh-CN"/>
                <w14:ligatures w14:val="none"/>
              </w:rPr>
              <w:t>5_</w:t>
            </w:r>
            <w:r>
              <w:rPr>
                <w:rFonts w:ascii="Times New Roman" w:hAnsi="Times New Roman" w:eastAsia="等线" w:cs="Times New Roman"/>
                <w:b w:val="0"/>
                <w:bCs w:val="0"/>
                <w:kern w:val="0"/>
                <w:sz w:val="21"/>
                <w:szCs w:val="21"/>
                <w:highlight w:val="none"/>
                <w14:ligatures w14:val="none"/>
              </w:rPr>
              <w:t>100169290</w:t>
            </w:r>
          </w:p>
        </w:tc>
        <w:tc>
          <w:tcPr>
            <w:tcW w:w="944" w:type="dxa"/>
            <w:tcBorders>
              <w:tl2br w:val="nil"/>
              <w:tr2bl w:val="nil"/>
            </w:tcBorders>
            <w:shd w:val="clear" w:color="auto" w:fill="auto"/>
            <w:tcMar>
              <w:top w:w="9" w:type="dxa"/>
              <w:left w:w="9" w:type="dxa"/>
              <w:bottom w:w="0" w:type="dxa"/>
              <w:right w:w="9" w:type="dxa"/>
            </w:tcMar>
            <w:vAlign w:val="center"/>
          </w:tcPr>
          <w:p w14:paraId="304E5B2E">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Dip2b</w:t>
            </w:r>
          </w:p>
        </w:tc>
        <w:tc>
          <w:tcPr>
            <w:tcW w:w="1134" w:type="dxa"/>
            <w:tcBorders>
              <w:tl2br w:val="nil"/>
              <w:tr2bl w:val="nil"/>
            </w:tcBorders>
            <w:shd w:val="clear" w:color="auto" w:fill="auto"/>
            <w:tcMar>
              <w:top w:w="9" w:type="dxa"/>
              <w:left w:w="9" w:type="dxa"/>
              <w:bottom w:w="0" w:type="dxa"/>
              <w:right w:w="9" w:type="dxa"/>
            </w:tcMar>
            <w:vAlign w:val="center"/>
          </w:tcPr>
          <w:p w14:paraId="14E0AB40">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D558H</w:t>
            </w:r>
          </w:p>
        </w:tc>
        <w:tc>
          <w:tcPr>
            <w:tcW w:w="2835" w:type="dxa"/>
            <w:tcBorders>
              <w:tl2br w:val="nil"/>
              <w:tr2bl w:val="nil"/>
            </w:tcBorders>
            <w:shd w:val="clear" w:color="auto" w:fill="auto"/>
            <w:tcMar>
              <w:top w:w="9" w:type="dxa"/>
              <w:left w:w="9" w:type="dxa"/>
              <w:bottom w:w="0" w:type="dxa"/>
              <w:right w:w="9" w:type="dxa"/>
            </w:tcMar>
            <w:vAlign w:val="center"/>
          </w:tcPr>
          <w:p w14:paraId="7B007C0E">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GETVVNVLHFKKDAGLW</w:t>
            </w:r>
          </w:p>
        </w:tc>
      </w:tr>
      <w:tr w14:paraId="36F9EE83">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5421F707">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2CD3B645">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w:t>
            </w:r>
            <w:r>
              <w:rPr>
                <w:rFonts w:hint="eastAsia" w:ascii="Times New Roman" w:hAnsi="Times New Roman" w:eastAsia="等线" w:cs="Times New Roman"/>
                <w:b w:val="0"/>
                <w:bCs w:val="0"/>
                <w:kern w:val="0"/>
                <w:sz w:val="21"/>
                <w:szCs w:val="21"/>
                <w:highlight w:val="none"/>
                <w:lang w:val="en-US" w:eastAsia="zh-CN"/>
                <w14:ligatures w14:val="none"/>
              </w:rPr>
              <w:t>2_</w:t>
            </w:r>
            <w:r>
              <w:rPr>
                <w:rFonts w:ascii="Times New Roman" w:hAnsi="Times New Roman" w:eastAsia="等线" w:cs="Times New Roman"/>
                <w:b w:val="0"/>
                <w:bCs w:val="0"/>
                <w:kern w:val="0"/>
                <w:sz w:val="21"/>
                <w:szCs w:val="21"/>
                <w:highlight w:val="none"/>
                <w14:ligatures w14:val="none"/>
              </w:rPr>
              <w:t>25051725</w:t>
            </w:r>
          </w:p>
        </w:tc>
        <w:tc>
          <w:tcPr>
            <w:tcW w:w="944" w:type="dxa"/>
            <w:tcBorders>
              <w:tl2br w:val="nil"/>
              <w:tr2bl w:val="nil"/>
            </w:tcBorders>
            <w:shd w:val="clear" w:color="auto" w:fill="auto"/>
            <w:tcMar>
              <w:top w:w="9" w:type="dxa"/>
              <w:left w:w="9" w:type="dxa"/>
              <w:bottom w:w="0" w:type="dxa"/>
              <w:right w:w="9" w:type="dxa"/>
            </w:tcMar>
            <w:vAlign w:val="center"/>
          </w:tcPr>
          <w:p w14:paraId="64922ABD">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Pnpla7</w:t>
            </w:r>
          </w:p>
        </w:tc>
        <w:tc>
          <w:tcPr>
            <w:tcW w:w="1134" w:type="dxa"/>
            <w:tcBorders>
              <w:tl2br w:val="nil"/>
              <w:tr2bl w:val="nil"/>
            </w:tcBorders>
            <w:shd w:val="clear" w:color="auto" w:fill="auto"/>
            <w:tcMar>
              <w:top w:w="9" w:type="dxa"/>
              <w:left w:w="9" w:type="dxa"/>
              <w:bottom w:w="0" w:type="dxa"/>
              <w:right w:w="9" w:type="dxa"/>
            </w:tcMar>
            <w:vAlign w:val="center"/>
          </w:tcPr>
          <w:p w14:paraId="69FE6A0E">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W1153C</w:t>
            </w:r>
          </w:p>
        </w:tc>
        <w:tc>
          <w:tcPr>
            <w:tcW w:w="2835" w:type="dxa"/>
            <w:tcBorders>
              <w:tl2br w:val="nil"/>
              <w:tr2bl w:val="nil"/>
            </w:tcBorders>
            <w:shd w:val="clear" w:color="auto" w:fill="auto"/>
            <w:tcMar>
              <w:top w:w="9" w:type="dxa"/>
              <w:left w:w="9" w:type="dxa"/>
              <w:bottom w:w="0" w:type="dxa"/>
              <w:right w:w="9" w:type="dxa"/>
            </w:tcMar>
            <w:vAlign w:val="center"/>
          </w:tcPr>
          <w:p w14:paraId="33477BF9">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GWWLLWKRCNPLATKVK</w:t>
            </w:r>
          </w:p>
        </w:tc>
      </w:tr>
      <w:tr w14:paraId="0343686F">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61B34685">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46C8144E">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chr1</w:t>
            </w:r>
            <w:r>
              <w:rPr>
                <w:rFonts w:hint="eastAsia" w:ascii="Times New Roman" w:hAnsi="Times New Roman" w:eastAsia="等线" w:cs="Times New Roman"/>
                <w:b w:val="0"/>
                <w:bCs w:val="0"/>
                <w:kern w:val="0"/>
                <w:sz w:val="21"/>
                <w:szCs w:val="21"/>
                <w:highlight w:val="none"/>
                <w:lang w:val="en-US" w:eastAsia="zh-CN"/>
                <w14:ligatures w14:val="none"/>
              </w:rPr>
              <w:t>5_</w:t>
            </w:r>
            <w:r>
              <w:rPr>
                <w:rFonts w:ascii="Times New Roman" w:hAnsi="Times New Roman" w:eastAsia="等线" w:cs="Times New Roman"/>
                <w:b w:val="0"/>
                <w:bCs w:val="0"/>
                <w:kern w:val="0"/>
                <w:sz w:val="21"/>
                <w:szCs w:val="21"/>
                <w:highlight w:val="none"/>
                <w14:ligatures w14:val="none"/>
              </w:rPr>
              <w:t>98125587</w:t>
            </w:r>
          </w:p>
        </w:tc>
        <w:tc>
          <w:tcPr>
            <w:tcW w:w="944" w:type="dxa"/>
            <w:tcBorders>
              <w:tl2br w:val="nil"/>
              <w:tr2bl w:val="nil"/>
            </w:tcBorders>
            <w:shd w:val="clear" w:color="auto" w:fill="auto"/>
            <w:tcMar>
              <w:top w:w="9" w:type="dxa"/>
              <w:left w:w="9" w:type="dxa"/>
              <w:bottom w:w="0" w:type="dxa"/>
              <w:right w:w="9" w:type="dxa"/>
            </w:tcMar>
            <w:vAlign w:val="center"/>
          </w:tcPr>
          <w:p w14:paraId="011CFE43">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Pfkm</w:t>
            </w:r>
          </w:p>
        </w:tc>
        <w:tc>
          <w:tcPr>
            <w:tcW w:w="1134" w:type="dxa"/>
            <w:tcBorders>
              <w:tl2br w:val="nil"/>
              <w:tr2bl w:val="nil"/>
            </w:tcBorders>
            <w:shd w:val="clear" w:color="auto" w:fill="auto"/>
            <w:tcMar>
              <w:top w:w="9" w:type="dxa"/>
              <w:left w:w="9" w:type="dxa"/>
              <w:bottom w:w="0" w:type="dxa"/>
              <w:right w:w="9" w:type="dxa"/>
            </w:tcMar>
            <w:vAlign w:val="center"/>
          </w:tcPr>
          <w:p w14:paraId="372A9476">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A389S</w:t>
            </w:r>
          </w:p>
        </w:tc>
        <w:tc>
          <w:tcPr>
            <w:tcW w:w="2835" w:type="dxa"/>
            <w:tcBorders>
              <w:tl2br w:val="nil"/>
              <w:tr2bl w:val="nil"/>
            </w:tcBorders>
            <w:shd w:val="clear" w:color="auto" w:fill="auto"/>
            <w:tcMar>
              <w:top w:w="9" w:type="dxa"/>
              <w:left w:w="9" w:type="dxa"/>
              <w:bottom w:w="0" w:type="dxa"/>
              <w:right w:w="9" w:type="dxa"/>
            </w:tcMar>
            <w:vAlign w:val="center"/>
          </w:tcPr>
          <w:p w14:paraId="00986974">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NWEVYKLLSHVRPPVSK</w:t>
            </w:r>
          </w:p>
        </w:tc>
      </w:tr>
      <w:tr w14:paraId="0A64F956">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0B12ACEF">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559F2C20">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w:t>
            </w:r>
            <w:r>
              <w:rPr>
                <w:rFonts w:hint="eastAsia" w:ascii="Times New Roman" w:hAnsi="Times New Roman" w:eastAsia="等线" w:cs="Times New Roman"/>
                <w:b w:val="0"/>
                <w:bCs w:val="0"/>
                <w:kern w:val="0"/>
                <w:sz w:val="21"/>
                <w:szCs w:val="21"/>
                <w:highlight w:val="none"/>
                <w:lang w:val="en-US" w:eastAsia="zh-CN"/>
                <w14:ligatures w14:val="none"/>
              </w:rPr>
              <w:t>2_</w:t>
            </w:r>
            <w:r>
              <w:rPr>
                <w:rFonts w:ascii="Times New Roman" w:hAnsi="Times New Roman" w:eastAsia="等线" w:cs="Times New Roman"/>
                <w:b w:val="0"/>
                <w:bCs w:val="0"/>
                <w:kern w:val="0"/>
                <w:sz w:val="21"/>
                <w:szCs w:val="21"/>
                <w:highlight w:val="none"/>
                <w14:ligatures w14:val="none"/>
              </w:rPr>
              <w:t>121189374</w:t>
            </w:r>
          </w:p>
        </w:tc>
        <w:tc>
          <w:tcPr>
            <w:tcW w:w="944" w:type="dxa"/>
            <w:tcBorders>
              <w:tl2br w:val="nil"/>
              <w:tr2bl w:val="nil"/>
            </w:tcBorders>
            <w:shd w:val="clear" w:color="auto" w:fill="auto"/>
            <w:tcMar>
              <w:top w:w="9" w:type="dxa"/>
              <w:left w:w="9" w:type="dxa"/>
              <w:bottom w:w="0" w:type="dxa"/>
              <w:right w:w="9" w:type="dxa"/>
            </w:tcMar>
            <w:vAlign w:val="center"/>
          </w:tcPr>
          <w:p w14:paraId="3BE3F6AC">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Tubgcp4</w:t>
            </w:r>
          </w:p>
        </w:tc>
        <w:tc>
          <w:tcPr>
            <w:tcW w:w="1134" w:type="dxa"/>
            <w:tcBorders>
              <w:tl2br w:val="nil"/>
              <w:tr2bl w:val="nil"/>
            </w:tcBorders>
            <w:shd w:val="clear" w:color="auto" w:fill="auto"/>
            <w:tcMar>
              <w:top w:w="9" w:type="dxa"/>
              <w:left w:w="9" w:type="dxa"/>
              <w:bottom w:w="0" w:type="dxa"/>
              <w:right w:w="9" w:type="dxa"/>
            </w:tcMar>
            <w:vAlign w:val="center"/>
          </w:tcPr>
          <w:p w14:paraId="424204CC">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A395G</w:t>
            </w:r>
          </w:p>
        </w:tc>
        <w:tc>
          <w:tcPr>
            <w:tcW w:w="2835" w:type="dxa"/>
            <w:tcBorders>
              <w:tl2br w:val="nil"/>
              <w:tr2bl w:val="nil"/>
            </w:tcBorders>
            <w:shd w:val="clear" w:color="auto" w:fill="auto"/>
            <w:tcMar>
              <w:top w:w="9" w:type="dxa"/>
              <w:left w:w="9" w:type="dxa"/>
              <w:bottom w:w="0" w:type="dxa"/>
              <w:right w:w="9" w:type="dxa"/>
            </w:tcMar>
            <w:vAlign w:val="center"/>
          </w:tcPr>
          <w:p w14:paraId="2232B696">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VTEHDVNVGFQQSAHKV</w:t>
            </w:r>
          </w:p>
        </w:tc>
      </w:tr>
      <w:tr w14:paraId="64B469F4">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1843" w:type="dxa"/>
            <w:tcBorders>
              <w:tl2br w:val="nil"/>
              <w:tr2bl w:val="nil"/>
            </w:tcBorders>
            <w:shd w:val="clear" w:color="auto" w:fill="auto"/>
            <w:tcMar>
              <w:top w:w="9" w:type="dxa"/>
              <w:left w:w="9" w:type="dxa"/>
              <w:bottom w:w="0" w:type="dxa"/>
              <w:right w:w="9" w:type="dxa"/>
            </w:tcMar>
            <w:vAlign w:val="center"/>
          </w:tcPr>
          <w:p w14:paraId="463682EB">
            <w:pPr>
              <w:widowControl/>
              <w:jc w:val="center"/>
              <w:rPr>
                <w:rFonts w:ascii="Times New Roman" w:hAnsi="Times New Roman" w:eastAsia="等线" w:cs="Times New Roman"/>
                <w:b w:val="0"/>
                <w:bCs w:val="0"/>
                <w:kern w:val="0"/>
                <w:sz w:val="21"/>
                <w:szCs w:val="21"/>
                <w:highlight w:val="none"/>
                <w14:ligatures w14:val="none"/>
              </w:rPr>
            </w:pPr>
            <w:r>
              <w:rPr>
                <w:rFonts w:hint="eastAsia" w:ascii="Times New Roman" w:hAnsi="Times New Roman" w:eastAsia="等线" w:cs="Times New Roman"/>
                <w:b w:val="0"/>
                <w:bCs w:val="0"/>
                <w:color w:val="000000"/>
                <w:kern w:val="0"/>
                <w:sz w:val="21"/>
                <w:szCs w:val="21"/>
                <w:highlight w:val="none"/>
                <w:lang w:val="en-US" w:eastAsia="zh-CN"/>
                <w14:ligatures w14:val="none"/>
              </w:rPr>
              <w:t>P</w:t>
            </w:r>
            <w:r>
              <w:rPr>
                <w:rFonts w:hint="eastAsia" w:ascii="Times New Roman" w:hAnsi="Times New Roman" w:eastAsia="等线" w:cs="Times New Roman"/>
                <w:b w:val="0"/>
                <w:bCs w:val="0"/>
                <w:color w:val="000000"/>
                <w:kern w:val="0"/>
                <w:sz w:val="21"/>
                <w:szCs w:val="21"/>
                <w:highlight w:val="none"/>
                <w14:ligatures w14:val="none"/>
              </w:rPr>
              <w:t>anc02</w:t>
            </w:r>
          </w:p>
        </w:tc>
        <w:tc>
          <w:tcPr>
            <w:tcW w:w="1843" w:type="dxa"/>
            <w:tcBorders>
              <w:tl2br w:val="nil"/>
              <w:tr2bl w:val="nil"/>
            </w:tcBorders>
            <w:shd w:val="clear" w:color="auto" w:fill="auto"/>
            <w:tcMar>
              <w:top w:w="9" w:type="dxa"/>
              <w:left w:w="9" w:type="dxa"/>
              <w:bottom w:w="0" w:type="dxa"/>
              <w:right w:w="9" w:type="dxa"/>
            </w:tcMar>
            <w:vAlign w:val="center"/>
          </w:tcPr>
          <w:p w14:paraId="735F72A5">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Chr</w:t>
            </w:r>
            <w:r>
              <w:rPr>
                <w:rFonts w:hint="eastAsia" w:ascii="Times New Roman" w:hAnsi="Times New Roman" w:eastAsia="等线" w:cs="Times New Roman"/>
                <w:b w:val="0"/>
                <w:bCs w:val="0"/>
                <w:kern w:val="0"/>
                <w:sz w:val="21"/>
                <w:szCs w:val="21"/>
                <w:highlight w:val="none"/>
                <w:lang w:val="en-US" w:eastAsia="zh-CN"/>
                <w14:ligatures w14:val="none"/>
              </w:rPr>
              <w:t>9_</w:t>
            </w:r>
            <w:r>
              <w:rPr>
                <w:rFonts w:ascii="Times New Roman" w:hAnsi="Times New Roman" w:eastAsia="等线" w:cs="Times New Roman"/>
                <w:b w:val="0"/>
                <w:bCs w:val="0"/>
                <w:kern w:val="0"/>
                <w:sz w:val="21"/>
                <w:szCs w:val="21"/>
                <w:highlight w:val="none"/>
                <w14:ligatures w14:val="none"/>
              </w:rPr>
              <w:t>20438211</w:t>
            </w:r>
          </w:p>
        </w:tc>
        <w:tc>
          <w:tcPr>
            <w:tcW w:w="944" w:type="dxa"/>
            <w:tcBorders>
              <w:tl2br w:val="nil"/>
              <w:tr2bl w:val="nil"/>
            </w:tcBorders>
            <w:shd w:val="clear" w:color="auto" w:fill="auto"/>
            <w:tcMar>
              <w:top w:w="9" w:type="dxa"/>
              <w:left w:w="9" w:type="dxa"/>
              <w:bottom w:w="0" w:type="dxa"/>
              <w:right w:w="9" w:type="dxa"/>
            </w:tcMar>
            <w:vAlign w:val="center"/>
          </w:tcPr>
          <w:p w14:paraId="62DB1B61">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Zfp26</w:t>
            </w:r>
          </w:p>
        </w:tc>
        <w:tc>
          <w:tcPr>
            <w:tcW w:w="1134" w:type="dxa"/>
            <w:tcBorders>
              <w:tl2br w:val="nil"/>
              <w:tr2bl w:val="nil"/>
            </w:tcBorders>
            <w:shd w:val="clear" w:color="auto" w:fill="auto"/>
            <w:tcMar>
              <w:top w:w="9" w:type="dxa"/>
              <w:left w:w="9" w:type="dxa"/>
              <w:bottom w:w="0" w:type="dxa"/>
              <w:right w:w="9" w:type="dxa"/>
            </w:tcMar>
            <w:vAlign w:val="center"/>
          </w:tcPr>
          <w:p w14:paraId="63B9AF39">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F352L</w:t>
            </w:r>
          </w:p>
        </w:tc>
        <w:tc>
          <w:tcPr>
            <w:tcW w:w="2835" w:type="dxa"/>
            <w:tcBorders>
              <w:tl2br w:val="nil"/>
              <w:tr2bl w:val="nil"/>
            </w:tcBorders>
            <w:shd w:val="clear" w:color="auto" w:fill="auto"/>
            <w:tcMar>
              <w:top w:w="9" w:type="dxa"/>
              <w:left w:w="9" w:type="dxa"/>
              <w:bottom w:w="0" w:type="dxa"/>
              <w:right w:w="9" w:type="dxa"/>
            </w:tcMar>
            <w:vAlign w:val="center"/>
          </w:tcPr>
          <w:p w14:paraId="30EA9892">
            <w:pPr>
              <w:widowControl/>
              <w:jc w:val="center"/>
              <w:rPr>
                <w:rFonts w:ascii="Times New Roman" w:hAnsi="Times New Roman" w:cs="Times New Roman"/>
                <w:b w:val="0"/>
                <w:bCs w:val="0"/>
                <w:sz w:val="21"/>
                <w:szCs w:val="21"/>
                <w:highlight w:val="none"/>
              </w:rPr>
            </w:pPr>
            <w:r>
              <w:rPr>
                <w:rFonts w:ascii="Times New Roman" w:hAnsi="Times New Roman" w:eastAsia="等线" w:cs="Times New Roman"/>
                <w:b w:val="0"/>
                <w:bCs w:val="0"/>
                <w:kern w:val="0"/>
                <w:sz w:val="21"/>
                <w:szCs w:val="21"/>
                <w:highlight w:val="none"/>
                <w14:ligatures w14:val="none"/>
              </w:rPr>
              <w:t>YECKKCEKLFTHPVYLN</w:t>
            </w:r>
          </w:p>
        </w:tc>
      </w:tr>
    </w:tbl>
    <w:p w14:paraId="471674A9">
      <w:pPr>
        <w:spacing w:line="360" w:lineRule="auto"/>
        <w:rPr>
          <w:rFonts w:hint="eastAsia" w:ascii="Times New Roman" w:hAnsi="Times New Roman" w:cs="Times New Roman"/>
          <w:sz w:val="24"/>
        </w:rPr>
      </w:pPr>
    </w:p>
    <w:p w14:paraId="7AC32B43">
      <w:pPr>
        <w:spacing w:line="360" w:lineRule="auto"/>
        <w:rPr>
          <w:rFonts w:ascii="Times New Roman" w:hAnsi="Times New Roman" w:cs="Times New Roman"/>
          <w:sz w:val="24"/>
        </w:rPr>
      </w:pPr>
      <w:r>
        <w:rPr>
          <w:rFonts w:hint="eastAsia" w:ascii="Times New Roman" w:hAnsi="Times New Roman" w:cs="Times New Roman"/>
          <w:b/>
          <w:bCs/>
          <w:sz w:val="24"/>
        </w:rPr>
        <w:t>Table</w:t>
      </w:r>
      <w:r>
        <w:rPr>
          <w:rFonts w:hint="eastAsia" w:ascii="Times New Roman" w:hAnsi="Times New Roman" w:cs="Times New Roman"/>
          <w:b/>
          <w:bCs/>
          <w:sz w:val="24"/>
          <w:lang w:val="en-US" w:eastAsia="zh-CN"/>
        </w:rPr>
        <w:t xml:space="preserve"> S1</w:t>
      </w:r>
      <w:r>
        <w:rPr>
          <w:rFonts w:hint="eastAsia" w:ascii="Times New Roman" w:hAnsi="Times New Roman" w:cs="Times New Roman"/>
          <w:b/>
          <w:bCs/>
          <w:sz w:val="24"/>
        </w:rPr>
        <w:t>.</w:t>
      </w:r>
      <w:r>
        <w:rPr>
          <w:rFonts w:hint="eastAsia" w:ascii="Times New Roman" w:hAnsi="Times New Roman" w:cs="Times New Roman"/>
          <w:sz w:val="24"/>
        </w:rPr>
        <w:t xml:space="preserve"> Information of neoantigen mutation</w:t>
      </w:r>
      <w:r>
        <w:rPr>
          <w:rFonts w:hint="eastAsia" w:ascii="Times New Roman" w:hAnsi="Times New Roman" w:cs="Times New Roman"/>
          <w:sz w:val="24"/>
          <w:lang w:val="en-US" w:eastAsia="zh-CN"/>
        </w:rPr>
        <w:t xml:space="preserve"> peptide</w:t>
      </w:r>
      <w:r>
        <w:rPr>
          <w:rFonts w:hint="eastAsia" w:ascii="Times New Roman" w:hAnsi="Times New Roman" w:cs="Times New Roman"/>
          <w:sz w:val="24"/>
        </w:rPr>
        <w:t xml:space="preserve">s derived from </w:t>
      </w:r>
      <w:r>
        <w:rPr>
          <w:rFonts w:hint="eastAsia" w:ascii="Times New Roman" w:hAnsi="Times New Roman" w:cs="Times New Roman"/>
          <w:sz w:val="24"/>
          <w:lang w:val="en-US" w:eastAsia="zh-CN"/>
        </w:rPr>
        <w:t>Hepa 1-6 and P</w:t>
      </w:r>
      <w:r>
        <w:rPr>
          <w:rFonts w:hint="eastAsia" w:ascii="Times New Roman" w:hAnsi="Times New Roman" w:cs="Times New Roman"/>
          <w:sz w:val="24"/>
        </w:rPr>
        <w:t>anc02 cell line</w:t>
      </w:r>
      <w:bookmarkStart w:id="13" w:name="_GoBack"/>
      <w:bookmarkEnd w:id="13"/>
    </w:p>
    <w:p w14:paraId="34B9C0C3">
      <w:pPr>
        <w:rPr>
          <w:rFonts w:hint="eastAsia" w:ascii="Times New Roman" w:hAnsi="Times New Roman" w:cs="Times New Roman"/>
          <w:sz w:val="15"/>
          <w:szCs w:val="15"/>
        </w:rPr>
      </w:pPr>
    </w:p>
    <w:p w14:paraId="47262CFB">
      <w:pPr>
        <w:spacing w:line="360" w:lineRule="auto"/>
        <w:rPr>
          <w:rFonts w:ascii="Times New Roman" w:hAnsi="Times New Roman" w:cs="Times New Roman"/>
          <w:b/>
          <w:bCs/>
          <w:kern w:val="0"/>
          <w:sz w:val="24"/>
        </w:rPr>
      </w:pPr>
    </w:p>
    <w:p w14:paraId="12F607B8">
      <w:pPr>
        <w:spacing w:line="360" w:lineRule="auto"/>
        <w:rPr>
          <w:rFonts w:ascii="Times New Roman" w:hAnsi="Times New Roman" w:cs="Times New Roman"/>
          <w:b/>
          <w:bCs/>
          <w:kern w:val="0"/>
          <w:sz w:val="24"/>
        </w:rPr>
      </w:pPr>
    </w:p>
    <w:p w14:paraId="527AE54C">
      <w:pPr>
        <w:spacing w:line="360" w:lineRule="auto"/>
        <w:rPr>
          <w:rFonts w:ascii="Times New Roman" w:hAnsi="Times New Roman" w:cs="Times New Roman"/>
          <w:b/>
          <w:bCs/>
          <w:kern w:val="0"/>
          <w:sz w:val="24"/>
        </w:rPr>
      </w:pPr>
    </w:p>
    <w:p w14:paraId="464AE237">
      <w:pPr>
        <w:spacing w:line="360" w:lineRule="auto"/>
        <w:rPr>
          <w:rFonts w:ascii="Times New Roman" w:hAnsi="Times New Roman" w:cs="Times New Roman"/>
          <w:b/>
          <w:bCs/>
          <w:kern w:val="0"/>
          <w:sz w:val="24"/>
        </w:rPr>
      </w:pPr>
    </w:p>
    <w:p w14:paraId="69263990">
      <w:pPr>
        <w:spacing w:line="360" w:lineRule="auto"/>
        <w:rPr>
          <w:rFonts w:ascii="Times New Roman" w:hAnsi="Times New Roman" w:cs="Times New Roman"/>
          <w:b/>
          <w:bCs/>
          <w:kern w:val="0"/>
          <w:sz w:val="24"/>
        </w:rPr>
      </w:pPr>
    </w:p>
    <w:p w14:paraId="773AF5F7">
      <w:pPr>
        <w:spacing w:line="360" w:lineRule="auto"/>
        <w:rPr>
          <w:rFonts w:ascii="Times New Roman" w:hAnsi="Times New Roman" w:cs="Times New Roman"/>
          <w:b/>
          <w:bCs/>
          <w:kern w:val="0"/>
          <w:sz w:val="24"/>
        </w:rPr>
      </w:pPr>
    </w:p>
    <w:p w14:paraId="1A645A4B">
      <w:pPr>
        <w:spacing w:line="360" w:lineRule="auto"/>
        <w:rPr>
          <w:rFonts w:ascii="Times New Roman" w:hAnsi="Times New Roman" w:cs="Times New Roman"/>
          <w:b/>
          <w:bCs/>
          <w:kern w:val="0"/>
          <w:sz w:val="24"/>
        </w:rPr>
      </w:pPr>
    </w:p>
    <w:p w14:paraId="4531B8C9">
      <w:pPr>
        <w:spacing w:line="360" w:lineRule="auto"/>
        <w:rPr>
          <w:rFonts w:ascii="Times New Roman" w:hAnsi="Times New Roman" w:cs="Times New Roman"/>
          <w:b/>
          <w:bCs/>
          <w:kern w:val="0"/>
          <w:sz w:val="24"/>
        </w:rPr>
      </w:pPr>
    </w:p>
    <w:p w14:paraId="64CFEB6F">
      <w:pPr>
        <w:spacing w:line="360" w:lineRule="auto"/>
        <w:rPr>
          <w:rFonts w:ascii="Times New Roman" w:hAnsi="Times New Roman" w:cs="Times New Roman"/>
          <w:b/>
          <w:bCs/>
          <w:kern w:val="0"/>
          <w:sz w:val="24"/>
        </w:rPr>
      </w:pPr>
    </w:p>
    <w:p w14:paraId="299C2541">
      <w:pPr>
        <w:spacing w:line="360" w:lineRule="auto"/>
        <w:rPr>
          <w:rFonts w:ascii="Times New Roman" w:hAnsi="Times New Roman" w:cs="Times New Roman"/>
          <w:b/>
          <w:bCs/>
          <w:kern w:val="0"/>
          <w:sz w:val="24"/>
        </w:rPr>
      </w:pPr>
    </w:p>
    <w:p w14:paraId="6681D845">
      <w:pPr>
        <w:spacing w:line="360" w:lineRule="auto"/>
        <w:rPr>
          <w:rFonts w:ascii="Times New Roman" w:hAnsi="Times New Roman" w:cs="Times New Roman"/>
          <w:b/>
          <w:bCs/>
          <w:kern w:val="0"/>
          <w:sz w:val="24"/>
        </w:rPr>
      </w:pPr>
    </w:p>
    <w:p w14:paraId="623D851C">
      <w:pPr>
        <w:spacing w:line="360" w:lineRule="auto"/>
        <w:rPr>
          <w:rFonts w:ascii="Times New Roman" w:hAnsi="Times New Roman" w:cs="Times New Roman"/>
          <w:b/>
          <w:bCs/>
          <w:kern w:val="0"/>
          <w:sz w:val="24"/>
        </w:rPr>
      </w:pPr>
    </w:p>
    <w:p w14:paraId="21060994">
      <w:pPr>
        <w:spacing w:line="360" w:lineRule="auto"/>
        <w:rPr>
          <w:rFonts w:ascii="Times New Roman" w:hAnsi="Times New Roman" w:cs="Times New Roman"/>
          <w:b/>
          <w:bCs/>
          <w:kern w:val="0"/>
          <w:sz w:val="24"/>
        </w:rPr>
      </w:pPr>
    </w:p>
    <w:p w14:paraId="63344C89">
      <w:pPr>
        <w:spacing w:line="360" w:lineRule="auto"/>
        <w:rPr>
          <w:rFonts w:ascii="Times New Roman" w:hAnsi="Times New Roman" w:cs="Times New Roman"/>
          <w:b/>
          <w:bCs/>
          <w:kern w:val="0"/>
          <w:sz w:val="24"/>
        </w:rPr>
      </w:pPr>
    </w:p>
    <w:p w14:paraId="27FE163F">
      <w:pPr>
        <w:spacing w:line="360" w:lineRule="auto"/>
        <w:rPr>
          <w:rFonts w:ascii="Times New Roman" w:hAnsi="Times New Roman" w:cs="Times New Roman"/>
          <w:b/>
          <w:bCs/>
          <w:kern w:val="0"/>
          <w:sz w:val="24"/>
        </w:rPr>
      </w:pPr>
    </w:p>
    <w:p w14:paraId="21EB0419">
      <w:pPr>
        <w:spacing w:line="360" w:lineRule="auto"/>
        <w:rPr>
          <w:rFonts w:ascii="Times New Roman" w:hAnsi="Times New Roman" w:cs="Times New Roman"/>
          <w:b/>
          <w:bCs/>
          <w:kern w:val="0"/>
          <w:sz w:val="24"/>
        </w:rPr>
      </w:pPr>
    </w:p>
    <w:p w14:paraId="721B0CC5">
      <w:pPr>
        <w:spacing w:line="360" w:lineRule="auto"/>
        <w:rPr>
          <w:rFonts w:ascii="Times New Roman" w:hAnsi="Times New Roman" w:cs="Times New Roman"/>
          <w:b w:val="0"/>
          <w:bCs w:val="0"/>
          <w:sz w:val="24"/>
        </w:rPr>
      </w:pPr>
      <w:r>
        <w:rPr>
          <w:rFonts w:ascii="Times New Roman" w:hAnsi="Times New Roman" w:cs="Times New Roman"/>
          <w:b/>
          <w:bCs/>
          <w:kern w:val="0"/>
          <w:sz w:val="24"/>
        </w:rPr>
        <w:t xml:space="preserve">Table </w:t>
      </w:r>
      <w:r>
        <w:rPr>
          <w:rFonts w:hint="eastAsia" w:ascii="Times New Roman" w:hAnsi="Times New Roman" w:cs="Times New Roman"/>
          <w:b/>
          <w:bCs/>
          <w:kern w:val="0"/>
          <w:sz w:val="24"/>
          <w:lang w:val="en-US" w:eastAsia="zh-CN"/>
        </w:rPr>
        <w:t>S2</w:t>
      </w:r>
      <w:r>
        <w:rPr>
          <w:rFonts w:ascii="Times New Roman" w:hAnsi="Times New Roman" w:cs="Times New Roman"/>
          <w:b/>
          <w:bCs/>
          <w:sz w:val="24"/>
        </w:rPr>
        <w:t>.</w:t>
      </w:r>
      <w:r>
        <w:rPr>
          <w:rFonts w:ascii="Times New Roman" w:hAnsi="Times New Roman" w:cs="Times New Roman"/>
          <w:b w:val="0"/>
          <w:bCs w:val="0"/>
          <w:sz w:val="24"/>
        </w:rPr>
        <w:t xml:space="preserve"> The sequences of plasmids used in the study</w:t>
      </w:r>
    </w:p>
    <w:p w14:paraId="7878B3BC">
      <w:pPr>
        <w:spacing w:line="360" w:lineRule="auto"/>
        <w:rPr>
          <w:rFonts w:ascii="Times New Roman" w:hAnsi="Times New Roman" w:cs="Times New Roman"/>
          <w:b/>
          <w:bCs/>
          <w:sz w:val="24"/>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5466"/>
      </w:tblGrid>
      <w:tr w14:paraId="5CDD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Pr>
          <w:p w14:paraId="65A80101">
            <w:pPr>
              <w:pStyle w:val="29"/>
              <w:numPr>
                <w:ilvl w:val="0"/>
                <w:numId w:val="0"/>
              </w:numPr>
              <w:spacing w:line="360" w:lineRule="auto"/>
              <w:ind w:leftChars="0"/>
              <w:contextualSpacing w:val="0"/>
              <w:jc w:val="center"/>
              <w:rPr>
                <w:rFonts w:hint="default" w:ascii="Times New Roman" w:hAnsi="Times New Roman" w:cs="Times New Roman" w:eastAsiaTheme="minorEastAsia"/>
                <w:sz w:val="24"/>
                <w:lang w:val="en-US" w:eastAsia="zh-CN"/>
              </w:rPr>
            </w:pPr>
            <w:bookmarkStart w:id="6" w:name="OLE_LINK222"/>
            <w:bookmarkStart w:id="7" w:name="OLE_LINK11"/>
            <w:r>
              <w:rPr>
                <w:rFonts w:hint="eastAsia" w:ascii="Times New Roman" w:hAnsi="Times New Roman" w:cs="Times New Roman"/>
                <w:sz w:val="24"/>
                <w:lang w:val="en-US" w:eastAsia="zh-CN"/>
              </w:rPr>
              <w:t>Plasmid</w:t>
            </w:r>
          </w:p>
        </w:tc>
        <w:tc>
          <w:tcPr>
            <w:tcW w:w="5466" w:type="dxa"/>
            <w:vAlign w:val="center"/>
          </w:tcPr>
          <w:p w14:paraId="73B4509E">
            <w:pPr>
              <w:spacing w:line="0" w:lineRule="atLeast"/>
              <w:jc w:val="center"/>
              <w:rPr>
                <w:rFonts w:hint="default" w:ascii="Times New Roman" w:hAnsi="Times New Roman" w:cs="Times New Roman" w:eastAsiaTheme="minorEastAsia"/>
                <w:color w:val="A02B93" w:themeColor="accent5"/>
                <w:sz w:val="20"/>
                <w:szCs w:val="20"/>
                <w:lang w:val="en-US" w:eastAsia="zh-CN"/>
                <w14:textFill>
                  <w14:solidFill>
                    <w14:schemeClr w14:val="accent5"/>
                  </w14:solidFill>
                </w14:textFill>
              </w:rPr>
            </w:pPr>
            <w:r>
              <w:rPr>
                <w:rFonts w:hint="eastAsia" w:ascii="Times New Roman" w:hAnsi="Times New Roman" w:eastAsia="等线" w:cs="Times New Roman"/>
                <w:b w:val="0"/>
                <w:bCs w:val="0"/>
                <w:kern w:val="0"/>
                <w:sz w:val="21"/>
                <w:szCs w:val="21"/>
                <w:highlight w:val="none"/>
                <w:lang w:val="en-US" w:eastAsia="zh-CN"/>
                <w14:ligatures w14:val="none"/>
              </w:rPr>
              <w:t>DNA Sequence</w:t>
            </w:r>
          </w:p>
        </w:tc>
      </w:tr>
      <w:tr w14:paraId="27CF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Pr>
          <w:p w14:paraId="1E3EB97A">
            <w:pPr>
              <w:pStyle w:val="29"/>
              <w:numPr>
                <w:ilvl w:val="0"/>
                <w:numId w:val="1"/>
              </w:numPr>
              <w:spacing w:line="360" w:lineRule="auto"/>
              <w:contextualSpacing w:val="0"/>
              <w:rPr>
                <w:rFonts w:ascii="Times New Roman" w:hAnsi="Times New Roman" w:cs="Times New Roman"/>
                <w:sz w:val="24"/>
              </w:rPr>
            </w:pPr>
            <w:r>
              <w:rPr>
                <w:rFonts w:hint="eastAsia" w:ascii="Times New Roman" w:hAnsi="Times New Roman" w:cs="Times New Roman"/>
                <w:sz w:val="24"/>
              </w:rPr>
              <w:t>p</w:t>
            </w:r>
            <w:r>
              <w:rPr>
                <w:rFonts w:ascii="Times New Roman" w:hAnsi="Times New Roman" w:cs="Times New Roman"/>
                <w:sz w:val="24"/>
              </w:rPr>
              <w:t>ET28a-</w:t>
            </w:r>
            <w:bookmarkEnd w:id="6"/>
            <w:bookmarkStart w:id="8" w:name="OLE_LINK10"/>
            <w:r>
              <w:rPr>
                <w:rFonts w:ascii="Times New Roman" w:hAnsi="Times New Roman" w:cs="Times New Roman"/>
                <w:sz w:val="24"/>
              </w:rPr>
              <w:t>ClyA-Hepa1-6(Neoantigens)-Fc</w:t>
            </w:r>
            <w:bookmarkEnd w:id="7"/>
            <w:bookmarkEnd w:id="8"/>
          </w:p>
        </w:tc>
        <w:tc>
          <w:tcPr>
            <w:tcW w:w="5466" w:type="dxa"/>
          </w:tcPr>
          <w:p w14:paraId="1FC72D9E">
            <w:pPr>
              <w:spacing w:line="0" w:lineRule="atLeast"/>
              <w:rPr>
                <w:rFonts w:hint="eastAsia" w:ascii="Times New Roman" w:hAnsi="Times New Roman" w:cs="Times New Roman"/>
                <w:color w:val="000000" w:themeColor="text1"/>
                <w:sz w:val="24"/>
                <w:lang w:val="en-US" w:eastAsia="zh-CN"/>
                <w14:textFill>
                  <w14:solidFill>
                    <w14:schemeClr w14:val="tx1"/>
                  </w14:solidFill>
                </w14:textFill>
              </w:rPr>
            </w:pPr>
            <w:bookmarkStart w:id="9" w:name="OLE_LINK12"/>
            <w:r>
              <w:rPr>
                <w:rFonts w:hint="eastAsia" w:ascii="Times New Roman" w:hAnsi="Times New Roman" w:cs="Times New Roman"/>
                <w:color w:val="000000" w:themeColor="text1"/>
                <w:sz w:val="24"/>
                <w:lang w:val="en-US" w:eastAsia="zh-CN"/>
                <w14:textFill>
                  <w14:solidFill>
                    <w14:schemeClr w14:val="tx1"/>
                  </w14:solidFill>
                </w14:textFill>
              </w:rPr>
              <w:t>T</w:t>
            </w:r>
            <w:r>
              <w:rPr>
                <w:rFonts w:ascii="Times New Roman" w:hAnsi="Times New Roman" w:cs="Times New Roman"/>
                <w:color w:val="000000" w:themeColor="text1"/>
                <w:sz w:val="24"/>
                <w14:textFill>
                  <w14:solidFill>
                    <w14:schemeClr w14:val="tx1"/>
                  </w14:solidFill>
                </w14:textFill>
              </w:rPr>
              <w:t>he sequence of</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A02B93" w:themeColor="accent5"/>
                <w:sz w:val="24"/>
                <w14:textFill>
                  <w14:solidFill>
                    <w14:schemeClr w14:val="accent5"/>
                  </w14:solidFill>
                </w14:textFill>
              </w:rPr>
              <w:t>ClyA</w:t>
            </w:r>
            <w:r>
              <w:rPr>
                <w:rFonts w:ascii="Times New Roman" w:hAnsi="Times New Roman" w:cs="Times New Roman"/>
                <w:sz w:val="24"/>
              </w:rPr>
              <w:t>-</w:t>
            </w:r>
            <w:r>
              <w:rPr>
                <w:rFonts w:ascii="Times New Roman" w:hAnsi="Times New Roman" w:cs="Times New Roman"/>
                <w:color w:val="00B050"/>
                <w:sz w:val="24"/>
              </w:rPr>
              <w:t>HA</w:t>
            </w:r>
            <w:r>
              <w:rPr>
                <w:rFonts w:ascii="Times New Roman" w:hAnsi="Times New Roman" w:cs="Times New Roman"/>
                <w:sz w:val="24"/>
              </w:rPr>
              <w:t>-</w:t>
            </w:r>
            <w:r>
              <w:rPr>
                <w:rFonts w:ascii="Times New Roman" w:hAnsi="Times New Roman" w:cs="Times New Roman"/>
                <w:color w:val="FF0000"/>
                <w:sz w:val="24"/>
              </w:rPr>
              <w:t>Hepa1-6 (Neo)</w:t>
            </w:r>
            <w:r>
              <w:rPr>
                <w:rFonts w:ascii="Times New Roman" w:hAnsi="Times New Roman" w:cs="Times New Roman"/>
                <w:sz w:val="24"/>
              </w:rPr>
              <w:t>-</w:t>
            </w:r>
            <w:r>
              <w:rPr>
                <w:rFonts w:ascii="Times New Roman" w:hAnsi="Times New Roman" w:cs="Times New Roman"/>
                <w:color w:val="0F9ED5" w:themeColor="accent4"/>
                <w:sz w:val="24"/>
                <w14:textFill>
                  <w14:solidFill>
                    <w14:schemeClr w14:val="accent4"/>
                  </w14:solidFill>
                </w14:textFill>
              </w:rPr>
              <w:t>Fc</w:t>
            </w:r>
            <w:r>
              <w:rPr>
                <w:rFonts w:ascii="Times New Roman" w:hAnsi="Times New Roman" w:cs="Times New Roman"/>
                <w:color w:val="000000" w:themeColor="text1"/>
                <w:sz w:val="24"/>
                <w14:textFill>
                  <w14:solidFill>
                    <w14:schemeClr w14:val="tx1"/>
                  </w14:solidFill>
                </w14:textFill>
              </w:rPr>
              <w:t xml:space="preserve"> as shown</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in </w:t>
            </w:r>
            <w:r>
              <w:rPr>
                <w:rFonts w:hint="eastAsia" w:ascii="Times New Roman" w:hAnsi="Times New Roman" w:cs="Times New Roman"/>
                <w:color w:val="000000" w:themeColor="text1"/>
                <w:sz w:val="24"/>
                <w:lang w:val="en-US" w:eastAsia="zh-CN"/>
                <w14:textFill>
                  <w14:solidFill>
                    <w14:schemeClr w14:val="tx1"/>
                  </w14:solidFill>
                </w14:textFill>
              </w:rPr>
              <w:t>the bottom</w:t>
            </w:r>
            <w:r>
              <w:rPr>
                <w:rFonts w:ascii="Times New Roman" w:hAnsi="Times New Roman" w:cs="Times New Roman"/>
                <w:color w:val="000000" w:themeColor="text1"/>
                <w:sz w:val="24"/>
                <w14:textFill>
                  <w14:solidFill>
                    <w14:schemeClr w14:val="tx1"/>
                  </w14:solidFill>
                </w14:textFill>
              </w:rPr>
              <w:t xml:space="preserve"> was inserted into</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the </w:t>
            </w:r>
            <w:r>
              <w:rPr>
                <w:rFonts w:hint="eastAsia" w:ascii="Times New Roman" w:hAnsi="Times New Roman" w:cs="Times New Roman"/>
                <w:sz w:val="24"/>
              </w:rPr>
              <w:t>p</w:t>
            </w:r>
            <w:r>
              <w:rPr>
                <w:rFonts w:ascii="Times New Roman" w:hAnsi="Times New Roman" w:cs="Times New Roman"/>
                <w:sz w:val="24"/>
              </w:rPr>
              <w:t>ET28a</w:t>
            </w:r>
            <w:r>
              <w:rPr>
                <w:rFonts w:ascii="Times New Roman" w:hAnsi="Times New Roman" w:cs="Times New Roman"/>
                <w:color w:val="000000" w:themeColor="text1"/>
                <w:sz w:val="24"/>
                <w14:textFill>
                  <w14:solidFill>
                    <w14:schemeClr w14:val="tx1"/>
                  </w14:solidFill>
                </w14:textFill>
              </w:rPr>
              <w:t xml:space="preserve"> back bone</w:t>
            </w:r>
            <w:r>
              <w:rPr>
                <w:rFonts w:hint="eastAsia" w:ascii="Times New Roman" w:hAnsi="Times New Roman" w:cs="Times New Roman"/>
                <w:color w:val="000000" w:themeColor="text1"/>
                <w:sz w:val="24"/>
                <w:lang w:val="en-US" w:eastAsia="zh-CN"/>
                <w14:textFill>
                  <w14:solidFill>
                    <w14:schemeClr w14:val="tx1"/>
                  </w14:solidFill>
                </w14:textFill>
              </w:rPr>
              <w:t>:</w:t>
            </w:r>
          </w:p>
          <w:p w14:paraId="675E4D7E">
            <w:pPr>
              <w:spacing w:line="0" w:lineRule="atLeast"/>
              <w:rPr>
                <w:rFonts w:ascii="Times New Roman" w:hAnsi="Times New Roman" w:cs="Times New Roman"/>
                <w:color w:val="A02B93" w:themeColor="accent5"/>
                <w:sz w:val="20"/>
                <w:szCs w:val="20"/>
                <w14:textFill>
                  <w14:solidFill>
                    <w14:schemeClr w14:val="accent5"/>
                  </w14:solidFill>
                </w14:textFill>
              </w:rPr>
            </w:pPr>
            <w:r>
              <w:rPr>
                <w:rFonts w:ascii="Times New Roman" w:hAnsi="Times New Roman" w:cs="Times New Roman"/>
                <w:color w:val="A02B93" w:themeColor="accent5"/>
                <w:sz w:val="20"/>
                <w:szCs w:val="20"/>
                <w14:textFill>
                  <w14:solidFill>
                    <w14:schemeClr w14:val="accent5"/>
                  </w14:solidFill>
                </w14:textFill>
              </w:rPr>
              <w:t>atgactgaaatcgttgcagataaaacggtagaagtagttaaaaacgcaatcgaaaccgcagatggagcattagatctttataataaatatctcgatcaggtcatcccctggcagacctttgatgaaaccataaaagagttaagtcgctttaaacaggagtattcacaggcagcctccgttttagtcggcgatattaaaaccttacttatggatagccaggataagtattttgaagcaacccaaacagtgtatgaatggtgtggtgttgcgacgcaattgctcgcagcgtatattttgctatttgatgagtacaatgagaagaaagcatccgcccagaaagacattctcattaaggtactggatgacggcatcacgaagctgaatgaagcgcaaaaatccctgctggtaagctcacaaagtttcaacaacgcttccgggaaactgctggcgttagatagccagttaaccaatgatttttcagaaaaaagcagctatttccagtcacaggtagataaaatcaggaaggaagcatatgccggtgccgcagccggtgtcgtcgccggtccatttggattaatcatttcctattctattgctgcgggcgtagttgaaggaaaactgattccagaattgaagaacaagttaaaatctgtgcagaatttctttaccaccctgtctaacacggttaaacaagcgaataaagatatcgatgccgccaaattgaaattaaccaccgaaatagccgccatcggtgagataaaaacggaaactgaaacaaccagattctacgttgattatgatgatttaatgctttctttgctaaaagaagcggccaaaaaaatgattaacacctgtaatgagtatcagaaaagacacggtaaaaagacactctttgaggtacctgaagtc</w:t>
            </w:r>
            <w:r>
              <w:rPr>
                <w:rFonts w:ascii="Times New Roman" w:hAnsi="Times New Roman" w:cs="Times New Roman"/>
                <w:color w:val="000000" w:themeColor="text1"/>
                <w:sz w:val="20"/>
                <w:szCs w:val="20"/>
                <w14:textFill>
                  <w14:solidFill>
                    <w14:schemeClr w14:val="tx1"/>
                  </w14:solidFill>
                </w14:textFill>
              </w:rPr>
              <w:t>ggaggc</w:t>
            </w:r>
            <w:r>
              <w:rPr>
                <w:rFonts w:ascii="Times New Roman" w:hAnsi="Times New Roman" w:cs="Times New Roman"/>
                <w:color w:val="4EA72E" w:themeColor="accent6"/>
                <w:sz w:val="20"/>
                <w:szCs w:val="20"/>
                <w14:textFill>
                  <w14:solidFill>
                    <w14:schemeClr w14:val="accent6"/>
                  </w14:solidFill>
                </w14:textFill>
              </w:rPr>
              <w:t>tacccatacgatgttccagattacgcttacccatacgatgttccagattacgcttacccatacgatgttccagattacgct</w:t>
            </w:r>
            <w:r>
              <w:rPr>
                <w:rFonts w:ascii="Times New Roman" w:hAnsi="Times New Roman" w:cs="Times New Roman"/>
                <w:color w:val="000000" w:themeColor="text1"/>
                <w:sz w:val="20"/>
                <w:szCs w:val="20"/>
                <w14:textFill>
                  <w14:solidFill>
                    <w14:schemeClr w14:val="tx1"/>
                  </w14:solidFill>
                </w14:textFill>
              </w:rPr>
              <w:t>ggaggcggatcc</w:t>
            </w:r>
            <w:r>
              <w:rPr>
                <w:rFonts w:ascii="Times New Roman" w:hAnsi="Times New Roman" w:cs="Times New Roman"/>
                <w:color w:val="FF0000"/>
                <w:sz w:val="20"/>
                <w:szCs w:val="20"/>
              </w:rPr>
              <w:t>atgaaggcccggaactacctgcagttcctgcccagcaagaccaaggtggcccggggccggaagcggcggagccggggcgagcactaccggtacaaggtgagcctgcccggcggccagcacgcccggggccggaagcggcggagccacgtgctgtgggacctgaagcagatgttccggtgcgccgtgctgaagaaccggggccggaagcggcggagctgggacacctgcaccacctacaagtggcagaagaccctggagggccacgaccggggccggaagcggcggagcctgagcacctaccggaccgcctgcaccctgcggttcgtgcagaagcggtgccggggccggaagcggcggagcctgtacacccacttcctgcagctgcccctggccgccaccggcttcagcgtgcggggccggaagcggcggagcaagcggtggctgtactggcagcccaccctgaccaagatgggcttcgtgagc</w:t>
            </w:r>
            <w:r>
              <w:rPr>
                <w:rFonts w:ascii="Times New Roman" w:hAnsi="Times New Roman" w:cs="Times New Roman"/>
                <w:color w:val="000000" w:themeColor="text1"/>
                <w:sz w:val="20"/>
                <w:szCs w:val="20"/>
                <w14:textFill>
                  <w14:solidFill>
                    <w14:schemeClr w14:val="tx1"/>
                  </w14:solidFill>
                </w14:textFill>
              </w:rPr>
              <w:t>gaattcggaggtggcggatct</w:t>
            </w:r>
            <w:r>
              <w:rPr>
                <w:rFonts w:ascii="Times New Roman" w:hAnsi="Times New Roman" w:cs="Times New Roman"/>
                <w:color w:val="00B0F0"/>
                <w:sz w:val="20"/>
                <w:szCs w:val="20"/>
              </w:rPr>
              <w:t>atggaagtgagcagcgtgtttatttttccgccgaaaccgaaagatgtgctgaccattaccctgaccccgaaagtgacctgcgtggtggtggatattagcaaagatgatccggaagtgcagtttagctggtttgtggatgatgtggaagtgcataccgcgcagacccagccgcgcgaagaacagtttaacagcacctttcgcagcgtgagcgaactgccgattatgcatcaggattggctgaacggcaaagaatttaaatgccgcgtgaacagcgcggcgtttccggcgccgattgaaaaaaccattagcaaaaccaaaggccgcccgaaagcgccgcaggtgtataccattccgccgccgaaagaacagatggcgaaagataaagtgagcctgacctgcatgattaccgatttttttccggaagatattaccgtggaatggcagtggaacggccagccggcggaaaactataaaaacacccagccgattatggataccgatggcagctattttgtgtatagcaaactgaacgtgcagaaaagcaactgggaagcgggcaacacctttacctgcagcgtgctgcatgaaggcctgcataaccatcataccgaaaaaagcctgagccatagcccgggcaaagaa</w:t>
            </w:r>
            <w:r>
              <w:rPr>
                <w:rFonts w:ascii="Times New Roman" w:hAnsi="Times New Roman" w:cs="Times New Roman"/>
                <w:color w:val="000000" w:themeColor="text1"/>
                <w:sz w:val="20"/>
                <w:szCs w:val="20"/>
                <w14:textFill>
                  <w14:solidFill>
                    <w14:schemeClr w14:val="tx1"/>
                  </w14:solidFill>
                </w14:textFill>
              </w:rPr>
              <w:t>taatag</w:t>
            </w:r>
            <w:bookmarkEnd w:id="9"/>
          </w:p>
        </w:tc>
      </w:tr>
      <w:tr w14:paraId="73FE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Pr>
          <w:p w14:paraId="685BE52B">
            <w:pPr>
              <w:pStyle w:val="29"/>
              <w:numPr>
                <w:ilvl w:val="0"/>
                <w:numId w:val="1"/>
              </w:numPr>
              <w:spacing w:line="360" w:lineRule="auto"/>
              <w:contextualSpacing w:val="0"/>
              <w:rPr>
                <w:rFonts w:ascii="Times New Roman" w:hAnsi="Times New Roman" w:cs="Times New Roman"/>
                <w:sz w:val="24"/>
              </w:rPr>
            </w:pPr>
            <w:bookmarkStart w:id="10" w:name="OLE_LINK13"/>
            <w:r>
              <w:rPr>
                <w:rFonts w:hint="eastAsia" w:ascii="Times New Roman" w:hAnsi="Times New Roman" w:cs="Times New Roman"/>
                <w:sz w:val="24"/>
              </w:rPr>
              <w:t>p</w:t>
            </w:r>
            <w:r>
              <w:rPr>
                <w:rFonts w:ascii="Times New Roman" w:hAnsi="Times New Roman" w:cs="Times New Roman"/>
                <w:sz w:val="24"/>
              </w:rPr>
              <w:t>ET28a-ClyA-Hepa1-6(Neoantigens)-Fc</w:t>
            </w:r>
            <w:bookmarkEnd w:id="10"/>
          </w:p>
        </w:tc>
        <w:tc>
          <w:tcPr>
            <w:tcW w:w="5466" w:type="dxa"/>
          </w:tcPr>
          <w:p w14:paraId="27A460A9">
            <w:pPr>
              <w:spacing w:line="0" w:lineRule="atLeast"/>
              <w:rPr>
                <w:rFonts w:ascii="Times New Roman" w:hAnsi="Times New Roman" w:cs="Times New Roman"/>
                <w:color w:val="000000" w:themeColor="text1"/>
                <w:sz w:val="24"/>
                <w14:textFill>
                  <w14:solidFill>
                    <w14:schemeClr w14:val="tx1"/>
                  </w14:solidFill>
                </w14:textFill>
              </w:rPr>
            </w:pPr>
            <w:bookmarkStart w:id="11" w:name="OLE_LINK15"/>
            <w:r>
              <w:rPr>
                <w:rFonts w:hint="eastAsia" w:ascii="Times New Roman" w:hAnsi="Times New Roman" w:cs="Times New Roman"/>
                <w:color w:val="000000" w:themeColor="text1"/>
                <w:sz w:val="24"/>
                <w:lang w:val="en-US" w:eastAsia="zh-CN"/>
                <w14:textFill>
                  <w14:solidFill>
                    <w14:schemeClr w14:val="tx1"/>
                  </w14:solidFill>
                </w14:textFill>
              </w:rPr>
              <w:t>T</w:t>
            </w:r>
            <w:r>
              <w:rPr>
                <w:rFonts w:ascii="Times New Roman" w:hAnsi="Times New Roman" w:cs="Times New Roman"/>
                <w:color w:val="000000" w:themeColor="text1"/>
                <w:sz w:val="24"/>
                <w14:textFill>
                  <w14:solidFill>
                    <w14:schemeClr w14:val="tx1"/>
                  </w14:solidFill>
                </w14:textFill>
              </w:rPr>
              <w:t>he sequence of</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A02B93" w:themeColor="accent5"/>
                <w:sz w:val="24"/>
                <w14:textFill>
                  <w14:solidFill>
                    <w14:schemeClr w14:val="accent5"/>
                  </w14:solidFill>
                </w14:textFill>
              </w:rPr>
              <w:t>ClyA</w:t>
            </w:r>
            <w:r>
              <w:rPr>
                <w:rFonts w:ascii="Times New Roman" w:hAnsi="Times New Roman" w:cs="Times New Roman"/>
                <w:sz w:val="24"/>
              </w:rPr>
              <w:t>-</w:t>
            </w:r>
            <w:r>
              <w:rPr>
                <w:rFonts w:ascii="Times New Roman" w:hAnsi="Times New Roman" w:cs="Times New Roman"/>
                <w:color w:val="00B050"/>
                <w:sz w:val="24"/>
              </w:rPr>
              <w:t>HA</w:t>
            </w:r>
            <w:r>
              <w:rPr>
                <w:rFonts w:ascii="Times New Roman" w:hAnsi="Times New Roman" w:cs="Times New Roman"/>
                <w:sz w:val="24"/>
              </w:rPr>
              <w:t>-</w:t>
            </w:r>
            <w:r>
              <w:rPr>
                <w:rFonts w:ascii="Times New Roman" w:hAnsi="Times New Roman" w:cs="Times New Roman"/>
                <w:color w:val="FF0000"/>
                <w:sz w:val="24"/>
              </w:rPr>
              <w:t>Panc02 (Neo)</w:t>
            </w:r>
            <w:r>
              <w:rPr>
                <w:rFonts w:ascii="Times New Roman" w:hAnsi="Times New Roman" w:cs="Times New Roman"/>
                <w:sz w:val="24"/>
              </w:rPr>
              <w:t>-</w:t>
            </w:r>
            <w:r>
              <w:rPr>
                <w:rFonts w:ascii="Times New Roman" w:hAnsi="Times New Roman" w:cs="Times New Roman"/>
                <w:color w:val="0F9ED5" w:themeColor="accent4"/>
                <w:sz w:val="24"/>
                <w14:textFill>
                  <w14:solidFill>
                    <w14:schemeClr w14:val="accent4"/>
                  </w14:solidFill>
                </w14:textFill>
              </w:rPr>
              <w:t>Fc</w:t>
            </w:r>
            <w:r>
              <w:rPr>
                <w:rFonts w:ascii="Times New Roman" w:hAnsi="Times New Roman" w:cs="Times New Roman"/>
                <w:color w:val="000000" w:themeColor="text1"/>
                <w:sz w:val="24"/>
                <w14:textFill>
                  <w14:solidFill>
                    <w14:schemeClr w14:val="tx1"/>
                  </w14:solidFill>
                </w14:textFill>
              </w:rPr>
              <w:t xml:space="preserve"> as shown</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in </w:t>
            </w:r>
            <w:r>
              <w:rPr>
                <w:rFonts w:hint="eastAsia" w:ascii="Times New Roman" w:hAnsi="Times New Roman" w:cs="Times New Roman"/>
                <w:color w:val="000000" w:themeColor="text1"/>
                <w:sz w:val="24"/>
                <w:lang w:val="en-US" w:eastAsia="zh-CN"/>
                <w14:textFill>
                  <w14:solidFill>
                    <w14:schemeClr w14:val="tx1"/>
                  </w14:solidFill>
                </w14:textFill>
              </w:rPr>
              <w:t>the bottom</w:t>
            </w:r>
            <w:r>
              <w:rPr>
                <w:rFonts w:ascii="Times New Roman" w:hAnsi="Times New Roman" w:cs="Times New Roman"/>
                <w:color w:val="000000" w:themeColor="text1"/>
                <w:sz w:val="24"/>
                <w14:textFill>
                  <w14:solidFill>
                    <w14:schemeClr w14:val="tx1"/>
                  </w14:solidFill>
                </w14:textFill>
              </w:rPr>
              <w:t xml:space="preserve"> was inserted into</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the </w:t>
            </w:r>
            <w:r>
              <w:rPr>
                <w:rFonts w:hint="eastAsia" w:ascii="Times New Roman" w:hAnsi="Times New Roman" w:cs="Times New Roman"/>
                <w:sz w:val="24"/>
              </w:rPr>
              <w:t>p</w:t>
            </w:r>
            <w:r>
              <w:rPr>
                <w:rFonts w:ascii="Times New Roman" w:hAnsi="Times New Roman" w:cs="Times New Roman"/>
                <w:sz w:val="24"/>
              </w:rPr>
              <w:t>ET28a</w:t>
            </w:r>
            <w:r>
              <w:rPr>
                <w:rFonts w:ascii="Times New Roman" w:hAnsi="Times New Roman" w:cs="Times New Roman"/>
                <w:color w:val="000000" w:themeColor="text1"/>
                <w:sz w:val="24"/>
                <w14:textFill>
                  <w14:solidFill>
                    <w14:schemeClr w14:val="tx1"/>
                  </w14:solidFill>
                </w14:textFill>
              </w:rPr>
              <w:t xml:space="preserve"> back bone.</w:t>
            </w:r>
          </w:p>
          <w:p w14:paraId="28738D3F">
            <w:pPr>
              <w:spacing w:line="0" w:lineRule="atLeast"/>
              <w:rPr>
                <w:rFonts w:ascii="Times New Roman" w:hAnsi="Times New Roman" w:cs="Times New Roman"/>
                <w:color w:val="A02B93" w:themeColor="accent5"/>
                <w:sz w:val="20"/>
                <w:szCs w:val="20"/>
                <w14:textFill>
                  <w14:solidFill>
                    <w14:schemeClr w14:val="accent5"/>
                  </w14:solidFill>
                </w14:textFill>
              </w:rPr>
            </w:pPr>
            <w:r>
              <w:rPr>
                <w:rFonts w:ascii="Times New Roman" w:hAnsi="Times New Roman" w:cs="Times New Roman"/>
                <w:color w:val="A02B93" w:themeColor="accent5"/>
                <w:sz w:val="20"/>
                <w:szCs w:val="20"/>
                <w14:textFill>
                  <w14:solidFill>
                    <w14:schemeClr w14:val="accent5"/>
                  </w14:solidFill>
                </w14:textFill>
              </w:rPr>
              <w:t>atgactgaaatcgttgcagataaaacggtagaagtagttaaaaacgcaatcgaaaccgcagatggagcattagatctttataataaatatctcgatcaggtcatcccctggcagacctttgatgaaaccataaaagagttaagtcgctttaaacaggagtattcacaggcagcctccgttttagtcggcgatattaaaaccttacttatggatagccaggataagtattttgaagcaacccaaacagtgtatgaatggtgtggtgttgcgacgcaattgctcgcagcgtatattttgctatttgatgagtacaatgagaagaaagcatccgcccagaaagacattctcattaaggtactggatgacggcatcacgaagctgaatgaagcgcaaaaatccctgctggtaagctcacaaagtttcaacaacgcttccgggaaactgctggcgttagatagccagttaaccaatgatttttcagaaaaaagcagctatttccagtcacaggtagataaaatcaggaaggaagcatatgccggtgccgcagccggtgtcgtcgccggtccatttggattaatcatttcctattctattgctgcgggcgtagttgaaggaaaactgattccagaattgaagaacaagttaaaatctgtgcagaatttctttaccaccctgtctaacacggttaaacaagcgaataaagatatcgatgccgccaaattgaaattaaccaccgaaatagccgccatcggtgagataaaaacggaaactgaaacaaccagattctacgttgattatgatgatttaatgctttctttgctaaaagaagcggccaaaaaaatgattaacacctgtaatgagtatcagaaaagacacggtaaaaagacactctttgaggtacctgaagtc</w:t>
            </w:r>
            <w:r>
              <w:rPr>
                <w:rFonts w:ascii="Times New Roman" w:hAnsi="Times New Roman" w:cs="Times New Roman"/>
                <w:color w:val="000000" w:themeColor="text1"/>
                <w:sz w:val="20"/>
                <w:szCs w:val="20"/>
                <w14:textFill>
                  <w14:solidFill>
                    <w14:schemeClr w14:val="tx1"/>
                  </w14:solidFill>
                </w14:textFill>
              </w:rPr>
              <w:t>ggaggc</w:t>
            </w:r>
            <w:r>
              <w:rPr>
                <w:rFonts w:ascii="Times New Roman" w:hAnsi="Times New Roman" w:cs="Times New Roman"/>
                <w:color w:val="4EA72E" w:themeColor="accent6"/>
                <w:sz w:val="20"/>
                <w:szCs w:val="20"/>
                <w14:textFill>
                  <w14:solidFill>
                    <w14:schemeClr w14:val="accent6"/>
                  </w14:solidFill>
                </w14:textFill>
              </w:rPr>
              <w:t>tacccatacgatgttccagattacgcttacccatacgatgttccagattacgcttacccatacgatgttccagattacgct</w:t>
            </w:r>
            <w:r>
              <w:rPr>
                <w:rFonts w:ascii="Times New Roman" w:hAnsi="Times New Roman" w:cs="Times New Roman"/>
                <w:color w:val="000000" w:themeColor="text1"/>
                <w:sz w:val="20"/>
                <w:szCs w:val="20"/>
                <w14:textFill>
                  <w14:solidFill>
                    <w14:schemeClr w14:val="tx1"/>
                  </w14:solidFill>
                </w14:textFill>
              </w:rPr>
              <w:t>ggaggcggatcc</w:t>
            </w:r>
            <w:r>
              <w:rPr>
                <w:rFonts w:ascii="Times New Roman" w:hAnsi="Times New Roman" w:cs="Times New Roman"/>
                <w:color w:val="FF0000"/>
                <w:sz w:val="20"/>
                <w:szCs w:val="20"/>
              </w:rPr>
              <w:t>ctggttccgagcgatattgcggcctgctttaccctgctgcatcagcagcagcggggccggaagcggcggagcattccgtacgtgcatctggtggcgaacctgcaggatctgggctgggacccgcggggccggaagcggcggagcgatattagcgtgacggaaagctcactggaagaactggaacgcgatagctatcggggccggaagcggcggagcggcgaaaccgtggtgaacgttctgcacttcaaaaaagatgcgggtctgtggcggggccggaagcggcggagcggctggtggctgctgtggaaacgctgcaatccgctggccaccaaagtgaaacggggccggaagcggcggagcaactgggaagtttacaaactgctgagccatgtgcgcccgccggtgagcaaacggggccggaagcggcggagcgtgaccgaacatgatgtgaatgtgggctttcagcagagcgcgcacaaagtgcggggccggaagcggcggagctatgaatgtaaaaaatgcgaaaaactgtttacccacccggtgtacctgaat</w:t>
            </w:r>
            <w:r>
              <w:rPr>
                <w:rFonts w:ascii="Times New Roman" w:hAnsi="Times New Roman" w:cs="Times New Roman"/>
                <w:color w:val="000000" w:themeColor="text1"/>
                <w:sz w:val="20"/>
                <w:szCs w:val="20"/>
                <w14:textFill>
                  <w14:solidFill>
                    <w14:schemeClr w14:val="tx1"/>
                  </w14:solidFill>
                </w14:textFill>
              </w:rPr>
              <w:t>gaattcggaggtggcggatct</w:t>
            </w:r>
            <w:r>
              <w:rPr>
                <w:rFonts w:ascii="Times New Roman" w:hAnsi="Times New Roman" w:cs="Times New Roman"/>
                <w:color w:val="00B0F0"/>
                <w:sz w:val="20"/>
                <w:szCs w:val="20"/>
              </w:rPr>
              <w:t>atggaagtgagcagcgtgtttatttttccgccgaaaccgaaagatgtgctgaccattaccctgaccccgaaagtgacctgcgtggtggtggatattagcaaagatgatccggaagtgcagtttagctggtttgtggatgatgtggaagtgcataccgcgcagacccagccgcgcgaagaacagtttaacagcacctttcgcagcgtgagcgaactgccgattatgcatcaggattggctgaacggcaaagaatttaaatgccgcgtgaacagcgcggcgtttccggcgccgattgaaaaaaccattagcaaaaccaaaggccgcccgaaagcgccgcaggtgtataccattccgccgccgaaagaacagatggcgaaagataaagtgagcctgacctgcatgattaccgatttttttccggaagatattaccgtggaatggcagtggaacggccagccggcggaaaactataaaaacacccagccgattatggataccgatggcagctattttgtgtatagcaaactgaacgtgcagaaaagcaactgggaagcgggcaacacctttacctgcagcgtgctgcatgaaggcctgcataaccatcataccgaaaaaagcctgagccatagcccgggcaaagaa</w:t>
            </w:r>
            <w:r>
              <w:rPr>
                <w:rFonts w:ascii="Times New Roman" w:hAnsi="Times New Roman" w:cs="Times New Roman"/>
                <w:color w:val="000000" w:themeColor="text1"/>
                <w:sz w:val="20"/>
                <w:szCs w:val="20"/>
                <w14:textFill>
                  <w14:solidFill>
                    <w14:schemeClr w14:val="tx1"/>
                  </w14:solidFill>
                </w14:textFill>
              </w:rPr>
              <w:t>taatag</w:t>
            </w:r>
            <w:bookmarkEnd w:id="11"/>
          </w:p>
        </w:tc>
      </w:tr>
      <w:tr w14:paraId="442FB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tcPr>
          <w:p w14:paraId="030B0B09">
            <w:pPr>
              <w:pStyle w:val="29"/>
              <w:numPr>
                <w:ilvl w:val="0"/>
                <w:numId w:val="1"/>
              </w:numPr>
              <w:spacing w:line="360" w:lineRule="auto"/>
              <w:contextualSpacing w:val="0"/>
              <w:rPr>
                <w:rFonts w:ascii="Times New Roman" w:hAnsi="Times New Roman" w:cs="Times New Roman"/>
                <w:sz w:val="24"/>
              </w:rPr>
            </w:pPr>
            <w:r>
              <w:rPr>
                <w:rFonts w:hint="eastAsia" w:ascii="Times New Roman" w:hAnsi="Times New Roman" w:cs="Times New Roman"/>
                <w:sz w:val="24"/>
              </w:rPr>
              <w:t>p</w:t>
            </w:r>
            <w:r>
              <w:rPr>
                <w:rFonts w:ascii="Times New Roman" w:hAnsi="Times New Roman" w:cs="Times New Roman"/>
                <w:sz w:val="24"/>
              </w:rPr>
              <w:t>ET28a-ClyA-</w:t>
            </w:r>
            <w:bookmarkStart w:id="12" w:name="OLE_LINK14"/>
            <w:r>
              <w:rPr>
                <w:rFonts w:ascii="Times New Roman" w:hAnsi="Times New Roman" w:cs="Times New Roman"/>
                <w:sz w:val="24"/>
              </w:rPr>
              <w:t>MICB (a3)</w:t>
            </w:r>
            <w:bookmarkEnd w:id="12"/>
          </w:p>
        </w:tc>
        <w:tc>
          <w:tcPr>
            <w:tcW w:w="5466" w:type="dxa"/>
          </w:tcPr>
          <w:p w14:paraId="0F36D073">
            <w:pPr>
              <w:spacing w:line="0" w:lineRule="atLeas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the sequence of</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A02B93" w:themeColor="accent5"/>
                <w:sz w:val="24"/>
                <w14:textFill>
                  <w14:solidFill>
                    <w14:schemeClr w14:val="accent5"/>
                  </w14:solidFill>
                </w14:textFill>
              </w:rPr>
              <w:t>ClyA</w:t>
            </w:r>
            <w:r>
              <w:rPr>
                <w:rFonts w:ascii="Times New Roman" w:hAnsi="Times New Roman" w:cs="Times New Roman"/>
                <w:sz w:val="24"/>
              </w:rPr>
              <w:t>-</w:t>
            </w:r>
            <w:r>
              <w:rPr>
                <w:rFonts w:ascii="Times New Roman" w:hAnsi="Times New Roman" w:cs="Times New Roman"/>
                <w:color w:val="00B050"/>
                <w:sz w:val="24"/>
              </w:rPr>
              <w:t>HA</w:t>
            </w:r>
            <w:r>
              <w:rPr>
                <w:rFonts w:ascii="Times New Roman" w:hAnsi="Times New Roman" w:cs="Times New Roman"/>
                <w:sz w:val="24"/>
              </w:rPr>
              <w:t>-</w:t>
            </w:r>
            <w:r>
              <w:rPr>
                <w:rFonts w:ascii="Times New Roman" w:hAnsi="Times New Roman" w:cs="Times New Roman"/>
                <w:color w:val="FF0000"/>
                <w:sz w:val="24"/>
              </w:rPr>
              <w:t>MICB (a3)</w:t>
            </w:r>
            <w:r>
              <w:rPr>
                <w:rFonts w:ascii="Times New Roman" w:hAnsi="Times New Roman" w:cs="Times New Roman"/>
                <w:color w:val="000000" w:themeColor="text1"/>
                <w:sz w:val="24"/>
                <w14:textFill>
                  <w14:solidFill>
                    <w14:schemeClr w14:val="tx1"/>
                  </w14:solidFill>
                </w14:textFill>
              </w:rPr>
              <w:t xml:space="preserve"> as shown</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in </w:t>
            </w:r>
            <w:r>
              <w:rPr>
                <w:rFonts w:hint="eastAsia" w:ascii="Times New Roman" w:hAnsi="Times New Roman" w:cs="Times New Roman"/>
                <w:color w:val="000000" w:themeColor="text1"/>
                <w:sz w:val="24"/>
                <w:lang w:val="en-US" w:eastAsia="zh-CN"/>
                <w14:textFill>
                  <w14:solidFill>
                    <w14:schemeClr w14:val="tx1"/>
                  </w14:solidFill>
                </w14:textFill>
              </w:rPr>
              <w:t>the bottom</w:t>
            </w:r>
            <w:r>
              <w:rPr>
                <w:rFonts w:ascii="Times New Roman" w:hAnsi="Times New Roman" w:cs="Times New Roman"/>
                <w:color w:val="000000" w:themeColor="text1"/>
                <w:sz w:val="24"/>
                <w14:textFill>
                  <w14:solidFill>
                    <w14:schemeClr w14:val="tx1"/>
                  </w14:solidFill>
                </w14:textFill>
              </w:rPr>
              <w:t xml:space="preserve"> was inserted into</w:t>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 xml:space="preserve">the </w:t>
            </w:r>
            <w:r>
              <w:rPr>
                <w:rFonts w:hint="eastAsia" w:ascii="Times New Roman" w:hAnsi="Times New Roman" w:cs="Times New Roman"/>
                <w:sz w:val="24"/>
              </w:rPr>
              <w:t>p</w:t>
            </w:r>
            <w:r>
              <w:rPr>
                <w:rFonts w:ascii="Times New Roman" w:hAnsi="Times New Roman" w:cs="Times New Roman"/>
                <w:sz w:val="24"/>
              </w:rPr>
              <w:t>ET28a</w:t>
            </w:r>
            <w:r>
              <w:rPr>
                <w:rFonts w:ascii="Times New Roman" w:hAnsi="Times New Roman" w:cs="Times New Roman"/>
                <w:color w:val="000000" w:themeColor="text1"/>
                <w:sz w:val="24"/>
                <w14:textFill>
                  <w14:solidFill>
                    <w14:schemeClr w14:val="tx1"/>
                  </w14:solidFill>
                </w14:textFill>
              </w:rPr>
              <w:t xml:space="preserve"> back bone.</w:t>
            </w:r>
          </w:p>
          <w:p w14:paraId="59B30766">
            <w:pPr>
              <w:spacing w:line="0" w:lineRule="atLeast"/>
              <w:rPr>
                <w:rFonts w:ascii="Times New Roman" w:hAnsi="Times New Roman" w:cs="Times New Roman"/>
                <w:color w:val="A02B93" w:themeColor="accent5"/>
                <w:sz w:val="20"/>
                <w:szCs w:val="20"/>
                <w14:textFill>
                  <w14:solidFill>
                    <w14:schemeClr w14:val="accent5"/>
                  </w14:solidFill>
                </w14:textFill>
              </w:rPr>
            </w:pPr>
            <w:r>
              <w:rPr>
                <w:rFonts w:ascii="Times New Roman" w:hAnsi="Times New Roman" w:cs="Times New Roman"/>
                <w:color w:val="A02B93" w:themeColor="accent5"/>
                <w:sz w:val="20"/>
                <w:szCs w:val="20"/>
                <w14:textFill>
                  <w14:solidFill>
                    <w14:schemeClr w14:val="accent5"/>
                  </w14:solidFill>
                </w14:textFill>
              </w:rPr>
              <w:t>atgactgaaatcgttgcagataaaacggtagaagtagttaaaaacgcaatcgaaaccgcagatggagcattagatctttataataaatatctcgatcaggtcatcccctggcagacctttgatgaaaccataaaagagttaagtcgctttaaacaggagtattcacaggcagcctccgttttagtcggcgatattaaaaccttacttatggatagccaggataagtattttgaagcaacccaaacagtgtatgaatggtgtggtgttgcgacgcaattgctcgcagcgtatattttgctatttgatgagtacaatgagaagaaagcatccgcccagaaagacattctcattaaggtactggatgacggcatcacgaagctgaatgaagcgcaaaaatccctgctggtaagctcacaaagtttcaacaacgcttccgggaaactgctggcgttagatagccagttaaccaatgatttttcagaaaaaagcagctatttccagtcacaggtagataaaatcaggaaggaagcatatgccggtgccgcagccggtgtcgtcgccggtccatttggattaatcatttcctattctattgctgcgggcgtagttgaaggaaaactgattccagaattgaagaacaagttaaaatctgtgcagaatttctttaccaccctgtctaacacggttaaacaagcgaataaagatatcgatgccgccaaattgaaattaaccaccgaaatagccgccatcggtgagataaaaacggaaactgaaacaaccagattctacgttgattatgatgatttaatgctttctttgctaaaagaagcggccaaaaaaatgattaacacctgtaatgagtatcagaaaagacacggtaaaaagacactctttgaggtacctgaagtc</w:t>
            </w:r>
            <w:r>
              <w:rPr>
                <w:rFonts w:ascii="Times New Roman" w:hAnsi="Times New Roman" w:cs="Times New Roman"/>
                <w:color w:val="000000" w:themeColor="text1"/>
                <w:sz w:val="20"/>
                <w:szCs w:val="20"/>
                <w14:textFill>
                  <w14:solidFill>
                    <w14:schemeClr w14:val="tx1"/>
                  </w14:solidFill>
                </w14:textFill>
              </w:rPr>
              <w:t>ggaggc</w:t>
            </w:r>
            <w:r>
              <w:rPr>
                <w:rFonts w:ascii="Times New Roman" w:hAnsi="Times New Roman" w:cs="Times New Roman"/>
                <w:color w:val="4EA72E" w:themeColor="accent6"/>
                <w:sz w:val="20"/>
                <w:szCs w:val="20"/>
                <w14:textFill>
                  <w14:solidFill>
                    <w14:schemeClr w14:val="accent6"/>
                  </w14:solidFill>
                </w14:textFill>
              </w:rPr>
              <w:t>tacccatacgatgttccagattacgcttacccatacgatgttccagattacgcttacccatacgatgttccagattacgct</w:t>
            </w:r>
            <w:r>
              <w:rPr>
                <w:rFonts w:ascii="Times New Roman" w:hAnsi="Times New Roman" w:cs="Times New Roman"/>
                <w:color w:val="000000" w:themeColor="text1"/>
                <w:sz w:val="20"/>
                <w:szCs w:val="20"/>
                <w14:textFill>
                  <w14:solidFill>
                    <w14:schemeClr w14:val="tx1"/>
                  </w14:solidFill>
                </w14:textFill>
              </w:rPr>
              <w:t>ggaggcggatcc</w:t>
            </w:r>
            <w:r>
              <w:rPr>
                <w:rFonts w:ascii="Times New Roman" w:hAnsi="Times New Roman" w:cs="Times New Roman"/>
                <w:color w:val="FF0000"/>
                <w:sz w:val="20"/>
                <w:szCs w:val="20"/>
              </w:rPr>
              <w:t>gtgcctcctatggtgaacgtgacttgcagcgaggtgagcgagggcaatatcaccgtgacctgccgggcctccagcttttacccaagaaatatcaccctgacctggaggcaggacggcgtgtctctgagccataacacccagcagtggggcgacgtgctgcccgatggaaacggcacctatcagacatgggtggctacaagaatccggcagggagaggaacagagattcacctgctatatggagcacagcggaaaccatggaacacaccccgtgccatccggaaaagccctggtgctgcagtcccag</w:t>
            </w:r>
            <w:r>
              <w:rPr>
                <w:rFonts w:ascii="Times New Roman" w:hAnsi="Times New Roman" w:cs="Times New Roman"/>
                <w:color w:val="000000" w:themeColor="text1"/>
                <w:sz w:val="20"/>
                <w:szCs w:val="20"/>
                <w14:textFill>
                  <w14:solidFill>
                    <w14:schemeClr w14:val="tx1"/>
                  </w14:solidFill>
                </w14:textFill>
              </w:rPr>
              <w:t>taatag</w:t>
            </w:r>
          </w:p>
        </w:tc>
      </w:tr>
    </w:tbl>
    <w:p w14:paraId="20E9A209">
      <w:pPr>
        <w:spacing w:line="360" w:lineRule="auto"/>
        <w:rPr>
          <w:rFonts w:ascii="Times New Roman" w:hAnsi="Times New Roman" w:cs="Times New Roman"/>
          <w:sz w:val="2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venirLTStd-Medium">
    <w:altName w:val="Segoe Print"/>
    <w:panose1 w:val="020B0604020202020204"/>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1F4886"/>
    <w:multiLevelType w:val="multilevel"/>
    <w:tmpl w:val="591F488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mYzY0MTQwMjA1ZDEwNjdiYzIwNzk3OWQ5MmU2ZTgifQ=="/>
  </w:docVars>
  <w:rsids>
    <w:rsidRoot w:val="008274D8"/>
    <w:rsid w:val="00021C16"/>
    <w:rsid w:val="000276F0"/>
    <w:rsid w:val="000331D6"/>
    <w:rsid w:val="00083541"/>
    <w:rsid w:val="00090F35"/>
    <w:rsid w:val="00092939"/>
    <w:rsid w:val="000955FA"/>
    <w:rsid w:val="00096AED"/>
    <w:rsid w:val="000A42BD"/>
    <w:rsid w:val="000B3D4B"/>
    <w:rsid w:val="000C0739"/>
    <w:rsid w:val="000C6097"/>
    <w:rsid w:val="0011588E"/>
    <w:rsid w:val="00120B71"/>
    <w:rsid w:val="0015172A"/>
    <w:rsid w:val="001615D9"/>
    <w:rsid w:val="00163B51"/>
    <w:rsid w:val="001667C5"/>
    <w:rsid w:val="00172B47"/>
    <w:rsid w:val="001773DF"/>
    <w:rsid w:val="001815E1"/>
    <w:rsid w:val="00194491"/>
    <w:rsid w:val="001947E3"/>
    <w:rsid w:val="001A4E43"/>
    <w:rsid w:val="001C7B72"/>
    <w:rsid w:val="001E082D"/>
    <w:rsid w:val="00201154"/>
    <w:rsid w:val="00203E1B"/>
    <w:rsid w:val="00225329"/>
    <w:rsid w:val="00277E38"/>
    <w:rsid w:val="00291466"/>
    <w:rsid w:val="0029188B"/>
    <w:rsid w:val="002A7F0C"/>
    <w:rsid w:val="002B002A"/>
    <w:rsid w:val="002B47BD"/>
    <w:rsid w:val="002D1759"/>
    <w:rsid w:val="002D20A7"/>
    <w:rsid w:val="002F39BF"/>
    <w:rsid w:val="003100BA"/>
    <w:rsid w:val="003132DE"/>
    <w:rsid w:val="0033139A"/>
    <w:rsid w:val="00336012"/>
    <w:rsid w:val="00346FDF"/>
    <w:rsid w:val="00385DD6"/>
    <w:rsid w:val="003A0C13"/>
    <w:rsid w:val="003A1DE3"/>
    <w:rsid w:val="003A2773"/>
    <w:rsid w:val="003A4E10"/>
    <w:rsid w:val="003B0284"/>
    <w:rsid w:val="003B3ACF"/>
    <w:rsid w:val="003B625C"/>
    <w:rsid w:val="00420522"/>
    <w:rsid w:val="004212FC"/>
    <w:rsid w:val="0042345D"/>
    <w:rsid w:val="00424DAB"/>
    <w:rsid w:val="004505D9"/>
    <w:rsid w:val="00472B6B"/>
    <w:rsid w:val="004760E1"/>
    <w:rsid w:val="004A0AAB"/>
    <w:rsid w:val="004C037D"/>
    <w:rsid w:val="004C7759"/>
    <w:rsid w:val="004D1B67"/>
    <w:rsid w:val="004F51F0"/>
    <w:rsid w:val="00511573"/>
    <w:rsid w:val="00513DCE"/>
    <w:rsid w:val="00524063"/>
    <w:rsid w:val="00525B9C"/>
    <w:rsid w:val="00530AAD"/>
    <w:rsid w:val="0054254C"/>
    <w:rsid w:val="00547C19"/>
    <w:rsid w:val="00583CBC"/>
    <w:rsid w:val="005A2CE4"/>
    <w:rsid w:val="005B74ED"/>
    <w:rsid w:val="005F633A"/>
    <w:rsid w:val="00614D93"/>
    <w:rsid w:val="00617487"/>
    <w:rsid w:val="006360F5"/>
    <w:rsid w:val="00654749"/>
    <w:rsid w:val="00665270"/>
    <w:rsid w:val="00680F61"/>
    <w:rsid w:val="006A5B99"/>
    <w:rsid w:val="006A6295"/>
    <w:rsid w:val="006B14F7"/>
    <w:rsid w:val="006B6AE8"/>
    <w:rsid w:val="006D6B1F"/>
    <w:rsid w:val="00707123"/>
    <w:rsid w:val="007501D2"/>
    <w:rsid w:val="007759F9"/>
    <w:rsid w:val="00785CD3"/>
    <w:rsid w:val="00795A10"/>
    <w:rsid w:val="0079779A"/>
    <w:rsid w:val="007A3796"/>
    <w:rsid w:val="007A4157"/>
    <w:rsid w:val="007B4184"/>
    <w:rsid w:val="007E0310"/>
    <w:rsid w:val="007F76D5"/>
    <w:rsid w:val="007F7B14"/>
    <w:rsid w:val="008248F2"/>
    <w:rsid w:val="008274D8"/>
    <w:rsid w:val="008327CD"/>
    <w:rsid w:val="00854641"/>
    <w:rsid w:val="00864489"/>
    <w:rsid w:val="00876167"/>
    <w:rsid w:val="00886506"/>
    <w:rsid w:val="00893E90"/>
    <w:rsid w:val="008A0D81"/>
    <w:rsid w:val="008C2898"/>
    <w:rsid w:val="008D27A4"/>
    <w:rsid w:val="008E0038"/>
    <w:rsid w:val="009328DE"/>
    <w:rsid w:val="00933D6F"/>
    <w:rsid w:val="00940ABB"/>
    <w:rsid w:val="00945592"/>
    <w:rsid w:val="00974C36"/>
    <w:rsid w:val="00980EC3"/>
    <w:rsid w:val="009A4DC6"/>
    <w:rsid w:val="009A6FA3"/>
    <w:rsid w:val="009C5441"/>
    <w:rsid w:val="009E24C7"/>
    <w:rsid w:val="009E757E"/>
    <w:rsid w:val="00A45678"/>
    <w:rsid w:val="00A76D24"/>
    <w:rsid w:val="00A94A39"/>
    <w:rsid w:val="00A95013"/>
    <w:rsid w:val="00AA057F"/>
    <w:rsid w:val="00AE1B89"/>
    <w:rsid w:val="00AF0682"/>
    <w:rsid w:val="00B06C56"/>
    <w:rsid w:val="00B17780"/>
    <w:rsid w:val="00B24A5B"/>
    <w:rsid w:val="00B46F1E"/>
    <w:rsid w:val="00B506F2"/>
    <w:rsid w:val="00B53973"/>
    <w:rsid w:val="00B55C16"/>
    <w:rsid w:val="00B66A88"/>
    <w:rsid w:val="00BA2231"/>
    <w:rsid w:val="00BA39A2"/>
    <w:rsid w:val="00BB4365"/>
    <w:rsid w:val="00BD1A4C"/>
    <w:rsid w:val="00BE45A6"/>
    <w:rsid w:val="00BF29DE"/>
    <w:rsid w:val="00C0314B"/>
    <w:rsid w:val="00C0343A"/>
    <w:rsid w:val="00C03BE9"/>
    <w:rsid w:val="00C127A2"/>
    <w:rsid w:val="00C36B53"/>
    <w:rsid w:val="00C42000"/>
    <w:rsid w:val="00C433B5"/>
    <w:rsid w:val="00C43AC8"/>
    <w:rsid w:val="00C54107"/>
    <w:rsid w:val="00C56D7A"/>
    <w:rsid w:val="00C6257B"/>
    <w:rsid w:val="00C778AD"/>
    <w:rsid w:val="00C77D7B"/>
    <w:rsid w:val="00CA0B86"/>
    <w:rsid w:val="00CA4009"/>
    <w:rsid w:val="00CA7E48"/>
    <w:rsid w:val="00CB5747"/>
    <w:rsid w:val="00CB7165"/>
    <w:rsid w:val="00CE31BD"/>
    <w:rsid w:val="00D148CB"/>
    <w:rsid w:val="00D174BE"/>
    <w:rsid w:val="00D211B0"/>
    <w:rsid w:val="00D224CF"/>
    <w:rsid w:val="00D35965"/>
    <w:rsid w:val="00D6600C"/>
    <w:rsid w:val="00D71CC5"/>
    <w:rsid w:val="00DB2089"/>
    <w:rsid w:val="00DB7B36"/>
    <w:rsid w:val="00DE6A6D"/>
    <w:rsid w:val="00E01D48"/>
    <w:rsid w:val="00E36FD8"/>
    <w:rsid w:val="00E702AC"/>
    <w:rsid w:val="00E8365D"/>
    <w:rsid w:val="00EB2833"/>
    <w:rsid w:val="00EE1C33"/>
    <w:rsid w:val="00EE1EE4"/>
    <w:rsid w:val="00EE6C22"/>
    <w:rsid w:val="00F02772"/>
    <w:rsid w:val="00F05852"/>
    <w:rsid w:val="00F06AAE"/>
    <w:rsid w:val="00F14E89"/>
    <w:rsid w:val="00F32DFE"/>
    <w:rsid w:val="00F3541C"/>
    <w:rsid w:val="00F51A79"/>
    <w:rsid w:val="00F5572E"/>
    <w:rsid w:val="00F738D2"/>
    <w:rsid w:val="00F74C5F"/>
    <w:rsid w:val="00FA403C"/>
    <w:rsid w:val="00FA5139"/>
    <w:rsid w:val="00FB3487"/>
    <w:rsid w:val="00FB642C"/>
    <w:rsid w:val="00FB6D3E"/>
    <w:rsid w:val="00FC668B"/>
    <w:rsid w:val="00FE1834"/>
    <w:rsid w:val="00FF3944"/>
    <w:rsid w:val="00FF7F1F"/>
    <w:rsid w:val="2107693C"/>
    <w:rsid w:val="36356E7C"/>
    <w:rsid w:val="5C31212D"/>
    <w:rsid w:val="5E2B5BB5"/>
    <w:rsid w:val="725E34B2"/>
    <w:rsid w:val="7E3D5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4">
    <w:name w:val="Table Grid"/>
    <w:basedOn w:val="13"/>
    <w:qFormat/>
    <w:uiPriority w:val="39"/>
    <w:rPr>
      <w:rFonts w:asciiTheme="minorHAnsi" w:hAnsiTheme="minorHAnsi" w:eastAsiaTheme="minorEastAsia" w:cstheme="minorBidi"/>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rPr>
  </w:style>
  <w:style w:type="character" w:customStyle="1" w:styleId="21">
    <w:name w:val="标题 6 字符"/>
    <w:basedOn w:val="15"/>
    <w:link w:val="7"/>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2"/>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明显强调1"/>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明显参考1"/>
    <w:basedOn w:val="15"/>
    <w:qFormat/>
    <w:uiPriority w:val="32"/>
    <w:rPr>
      <w:b/>
      <w:bCs/>
      <w:smallCaps/>
      <w:color w:val="104862" w:themeColor="accent1" w:themeShade="BF"/>
      <w:spacing w:val="5"/>
    </w:rPr>
  </w:style>
  <w:style w:type="paragraph" w:customStyle="1" w:styleId="34">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1919</Words>
  <Characters>17220</Characters>
  <Lines>129</Lines>
  <Paragraphs>36</Paragraphs>
  <TotalTime>3</TotalTime>
  <ScaleCrop>false</ScaleCrop>
  <LinksUpToDate>false</LinksUpToDate>
  <CharactersWithSpaces>19020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2024-10-19T08:11:00Z</dcterms:created>
  <dc:creator>Ruijing Tang</dc:creator>
  <cp:lastModifiedBy>蔡志雄</cp:lastModifiedBy>
  <dcterms:modified xsi:type="dcterms:W3CDTF">2024-11-14T07:27:58Z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7452078E309340B08CA727B24DA3854A_13</vt:lpwstr>
  </property>
</Properties>
</file>