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CAF1D" w14:textId="7006EA1B" w:rsidR="00BE69AB" w:rsidRPr="005C0434" w:rsidRDefault="00BE69AB" w:rsidP="00BE69AB">
      <w:pPr>
        <w:pStyle w:val="NormalWeb"/>
        <w:rPr>
          <w:rFonts w:ascii="Aptos" w:hAnsi="Aptos"/>
          <w:sz w:val="28"/>
          <w:szCs w:val="28"/>
        </w:rPr>
      </w:pPr>
      <w:r w:rsidRPr="005C0434">
        <w:rPr>
          <w:rFonts w:ascii="Aptos" w:hAnsi="Aptos"/>
          <w:noProof/>
          <w:sz w:val="28"/>
          <w:szCs w:val="28"/>
        </w:rPr>
        <w:drawing>
          <wp:inline distT="0" distB="0" distL="0" distR="0" wp14:anchorId="6FF3FE38" wp14:editId="37DE9E31">
            <wp:extent cx="5943600" cy="3673475"/>
            <wp:effectExtent l="0" t="0" r="0" b="3175"/>
            <wp:docPr id="939278230" name="Picture 1" descr="A graph with 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78230" name="Picture 1" descr="A graph with 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8D96A" w14:textId="0A1670EF" w:rsidR="001C61C4" w:rsidRPr="00CC6556" w:rsidRDefault="00BE69AB">
      <w:pPr>
        <w:rPr>
          <w:rFonts w:ascii="Aptos" w:hAnsi="Aptos"/>
          <w:b/>
          <w:bCs/>
          <w:sz w:val="24"/>
          <w:szCs w:val="24"/>
        </w:rPr>
      </w:pPr>
      <w:r w:rsidRPr="005C0434">
        <w:rPr>
          <w:rFonts w:ascii="Aptos" w:hAnsi="Aptos"/>
          <w:b/>
          <w:bCs/>
          <w:sz w:val="24"/>
          <w:szCs w:val="24"/>
        </w:rPr>
        <w:t xml:space="preserve">Supplementary Figure </w:t>
      </w:r>
      <w:r w:rsidR="004A3146">
        <w:rPr>
          <w:rFonts w:ascii="Aptos" w:hAnsi="Aptos"/>
          <w:b/>
          <w:bCs/>
          <w:sz w:val="24"/>
          <w:szCs w:val="24"/>
        </w:rPr>
        <w:t>4</w:t>
      </w:r>
      <w:r w:rsidRPr="005C0434">
        <w:rPr>
          <w:rFonts w:ascii="Aptos" w:hAnsi="Aptos"/>
          <w:b/>
          <w:bCs/>
          <w:sz w:val="24"/>
          <w:szCs w:val="24"/>
        </w:rPr>
        <w:t>:</w:t>
      </w:r>
      <w:r w:rsidRPr="005C0434">
        <w:rPr>
          <w:rFonts w:ascii="Aptos" w:hAnsi="Aptos"/>
          <w:sz w:val="24"/>
          <w:szCs w:val="24"/>
        </w:rPr>
        <w:t xml:space="preserve"> Relationship between total read count and remaining contigs. The number of contigs shows a linear increase as the total read count rises from 20 to 60 million reads, indicating a strong correlation between sequencing depth and contig assembly.</w:t>
      </w:r>
    </w:p>
    <w:sectPr w:rsidR="001C61C4" w:rsidRPr="00CC65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zNjUysTAyMDI2NDBR0lEKTi0uzszPAykwrgUAKKBA+iwAAAA="/>
  </w:docVars>
  <w:rsids>
    <w:rsidRoot w:val="00BE69AB"/>
    <w:rsid w:val="001C61C4"/>
    <w:rsid w:val="004A3146"/>
    <w:rsid w:val="005C0434"/>
    <w:rsid w:val="00BE69AB"/>
    <w:rsid w:val="00CC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54E7C"/>
  <w15:chartTrackingRefBased/>
  <w15:docId w15:val="{18C879C9-35D9-4240-9B6F-D441E50D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Kipa Tamrakar</dc:creator>
  <cp:keywords/>
  <dc:description/>
  <cp:lastModifiedBy>Kipa.Tamrakar</cp:lastModifiedBy>
  <cp:revision>4</cp:revision>
  <dcterms:created xsi:type="dcterms:W3CDTF">2024-10-05T20:54:00Z</dcterms:created>
  <dcterms:modified xsi:type="dcterms:W3CDTF">2024-11-11T23:33:00Z</dcterms:modified>
</cp:coreProperties>
</file>