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33E11" w14:textId="2B2B4B61" w:rsidR="00DB6405" w:rsidRPr="003B0168" w:rsidRDefault="00DB6405">
      <w:pPr>
        <w:rPr>
          <w:rFonts w:ascii="Times New Roman" w:hAnsi="Times New Roman" w:cs="Times New Roman"/>
          <w:b/>
          <w:bCs/>
        </w:rPr>
      </w:pPr>
      <w:r w:rsidRPr="003B0168">
        <w:rPr>
          <w:rFonts w:ascii="Times New Roman" w:hAnsi="Times New Roman" w:cs="Times New Roman"/>
          <w:b/>
          <w:bCs/>
        </w:rPr>
        <w:t>Supplementary Table 1:</w:t>
      </w:r>
      <w:r w:rsidR="00E26F16" w:rsidRPr="003B0168">
        <w:rPr>
          <w:rFonts w:ascii="Times New Roman" w:hAnsi="Times New Roman" w:cs="Times New Roman"/>
          <w:b/>
          <w:bCs/>
        </w:rPr>
        <w:t xml:space="preserve"> Mat</w:t>
      </w:r>
      <w:r w:rsidR="00902F48" w:rsidRPr="003B0168">
        <w:rPr>
          <w:rFonts w:ascii="Times New Roman" w:hAnsi="Times New Roman" w:cs="Times New Roman"/>
          <w:b/>
          <w:bCs/>
        </w:rPr>
        <w:t xml:space="preserve">ching variable definitions and categorical values. </w:t>
      </w:r>
    </w:p>
    <w:p w14:paraId="4711445C" w14:textId="39091ABB" w:rsidR="00DB6405" w:rsidRPr="00541EB2" w:rsidRDefault="00DB6405">
      <w:pPr>
        <w:rPr>
          <w:rFonts w:ascii="Times New Roman" w:hAnsi="Times New Roman" w:cs="Times New Roman"/>
          <w:sz w:val="22"/>
          <w:szCs w:val="22"/>
        </w:rPr>
      </w:pPr>
      <w:r w:rsidRPr="00541EB2">
        <w:rPr>
          <w:rFonts w:ascii="Times New Roman" w:hAnsi="Times New Roman" w:cs="Times New Roman"/>
          <w:sz w:val="22"/>
          <w:szCs w:val="22"/>
        </w:rPr>
        <w:t xml:space="preserve"> </w:t>
      </w:r>
    </w:p>
    <w:tbl>
      <w:tblPr>
        <w:tblStyle w:val="TableGrid"/>
        <w:tblW w:w="13045" w:type="dxa"/>
        <w:tblLook w:val="04A0" w:firstRow="1" w:lastRow="0" w:firstColumn="1" w:lastColumn="0" w:noHBand="0" w:noVBand="1"/>
      </w:tblPr>
      <w:tblGrid>
        <w:gridCol w:w="1524"/>
        <w:gridCol w:w="2196"/>
        <w:gridCol w:w="3745"/>
        <w:gridCol w:w="1501"/>
        <w:gridCol w:w="4079"/>
      </w:tblGrid>
      <w:tr w:rsidR="00DB6405" w:rsidRPr="00541EB2" w14:paraId="570BCADE" w14:textId="414EDB58" w:rsidTr="00107340">
        <w:tc>
          <w:tcPr>
            <w:tcW w:w="1524" w:type="dxa"/>
          </w:tcPr>
          <w:p w14:paraId="309CAA5E" w14:textId="14162A78" w:rsidR="00D27580" w:rsidRPr="00107340" w:rsidRDefault="00D27580" w:rsidP="009D4E58">
            <w:pPr>
              <w:rPr>
                <w:rFonts w:ascii="Times New Roman" w:hAnsi="Times New Roman" w:cs="Times New Roman"/>
                <w:b/>
                <w:bCs/>
                <w:sz w:val="18"/>
                <w:szCs w:val="18"/>
              </w:rPr>
            </w:pPr>
            <w:r w:rsidRPr="00107340">
              <w:rPr>
                <w:rFonts w:ascii="Times New Roman" w:hAnsi="Times New Roman" w:cs="Times New Roman"/>
                <w:b/>
                <w:bCs/>
                <w:sz w:val="18"/>
                <w:szCs w:val="18"/>
              </w:rPr>
              <w:t>Matching variable</w:t>
            </w:r>
          </w:p>
        </w:tc>
        <w:tc>
          <w:tcPr>
            <w:tcW w:w="2196" w:type="dxa"/>
          </w:tcPr>
          <w:p w14:paraId="0540A52E" w14:textId="77777777" w:rsidR="00D27580" w:rsidRPr="00107340" w:rsidRDefault="00D27580" w:rsidP="009D4E58">
            <w:pPr>
              <w:rPr>
                <w:rFonts w:ascii="Times New Roman" w:hAnsi="Times New Roman" w:cs="Times New Roman"/>
                <w:b/>
                <w:bCs/>
                <w:sz w:val="18"/>
                <w:szCs w:val="18"/>
              </w:rPr>
            </w:pPr>
            <w:r w:rsidRPr="00107340">
              <w:rPr>
                <w:rFonts w:ascii="Times New Roman" w:hAnsi="Times New Roman" w:cs="Times New Roman"/>
                <w:b/>
                <w:bCs/>
                <w:sz w:val="18"/>
                <w:szCs w:val="18"/>
              </w:rPr>
              <w:t>Data source</w:t>
            </w:r>
          </w:p>
        </w:tc>
        <w:tc>
          <w:tcPr>
            <w:tcW w:w="3745" w:type="dxa"/>
          </w:tcPr>
          <w:p w14:paraId="1C0D7EB3" w14:textId="77777777" w:rsidR="00D27580" w:rsidRPr="00107340" w:rsidRDefault="00D27580" w:rsidP="009D4E58">
            <w:pPr>
              <w:rPr>
                <w:rFonts w:ascii="Times New Roman" w:hAnsi="Times New Roman" w:cs="Times New Roman"/>
                <w:b/>
                <w:bCs/>
                <w:sz w:val="18"/>
                <w:szCs w:val="18"/>
              </w:rPr>
            </w:pPr>
            <w:r w:rsidRPr="00107340">
              <w:rPr>
                <w:rFonts w:ascii="Times New Roman" w:hAnsi="Times New Roman" w:cs="Times New Roman"/>
                <w:b/>
                <w:bCs/>
                <w:sz w:val="18"/>
                <w:szCs w:val="18"/>
              </w:rPr>
              <w:t>Definition</w:t>
            </w:r>
          </w:p>
        </w:tc>
        <w:tc>
          <w:tcPr>
            <w:tcW w:w="1501" w:type="dxa"/>
          </w:tcPr>
          <w:p w14:paraId="4CC25A37" w14:textId="4DABD5ED" w:rsidR="00D27580" w:rsidRPr="00107340" w:rsidRDefault="00D27580" w:rsidP="009D4E58">
            <w:pPr>
              <w:rPr>
                <w:rFonts w:ascii="Times New Roman" w:hAnsi="Times New Roman" w:cs="Times New Roman"/>
                <w:b/>
                <w:bCs/>
                <w:sz w:val="18"/>
                <w:szCs w:val="18"/>
              </w:rPr>
            </w:pPr>
            <w:r w:rsidRPr="00107340">
              <w:rPr>
                <w:rFonts w:ascii="Times New Roman" w:hAnsi="Times New Roman" w:cs="Times New Roman"/>
                <w:b/>
                <w:bCs/>
                <w:sz w:val="18"/>
                <w:szCs w:val="18"/>
              </w:rPr>
              <w:t>Period of measurement</w:t>
            </w:r>
          </w:p>
        </w:tc>
        <w:tc>
          <w:tcPr>
            <w:tcW w:w="4079" w:type="dxa"/>
          </w:tcPr>
          <w:p w14:paraId="09419238" w14:textId="650E0FF7" w:rsidR="00D27580" w:rsidRPr="00107340" w:rsidRDefault="003B03D4" w:rsidP="009D4E58">
            <w:pPr>
              <w:rPr>
                <w:rFonts w:ascii="Times New Roman" w:hAnsi="Times New Roman" w:cs="Times New Roman"/>
                <w:b/>
                <w:bCs/>
                <w:sz w:val="18"/>
                <w:szCs w:val="18"/>
              </w:rPr>
            </w:pPr>
            <w:r w:rsidRPr="00107340">
              <w:rPr>
                <w:rFonts w:ascii="Times New Roman" w:hAnsi="Times New Roman" w:cs="Times New Roman"/>
                <w:b/>
                <w:bCs/>
                <w:sz w:val="18"/>
                <w:szCs w:val="18"/>
              </w:rPr>
              <w:t>Values</w:t>
            </w:r>
          </w:p>
        </w:tc>
      </w:tr>
      <w:tr w:rsidR="007868ED" w:rsidRPr="00541EB2" w14:paraId="1858C24B" w14:textId="77777777" w:rsidTr="00107340">
        <w:tc>
          <w:tcPr>
            <w:tcW w:w="1524" w:type="dxa"/>
          </w:tcPr>
          <w:p w14:paraId="25500036" w14:textId="4E394C89" w:rsidR="007868ED" w:rsidRPr="00107340" w:rsidRDefault="007868ED" w:rsidP="009D4E58">
            <w:pPr>
              <w:rPr>
                <w:rFonts w:ascii="Times New Roman" w:hAnsi="Times New Roman" w:cs="Times New Roman"/>
                <w:sz w:val="18"/>
                <w:szCs w:val="18"/>
              </w:rPr>
            </w:pPr>
            <w:r w:rsidRPr="00107340">
              <w:rPr>
                <w:rFonts w:ascii="Times New Roman" w:hAnsi="Times New Roman" w:cs="Times New Roman"/>
                <w:sz w:val="18"/>
                <w:szCs w:val="18"/>
              </w:rPr>
              <w:t>Age</w:t>
            </w:r>
          </w:p>
        </w:tc>
        <w:tc>
          <w:tcPr>
            <w:tcW w:w="2196" w:type="dxa"/>
          </w:tcPr>
          <w:p w14:paraId="0924DF67" w14:textId="7EFA4004" w:rsidR="007868ED" w:rsidRPr="00107340" w:rsidRDefault="007868ED" w:rsidP="009D4E58">
            <w:pPr>
              <w:rPr>
                <w:rFonts w:ascii="Times New Roman" w:hAnsi="Times New Roman" w:cs="Times New Roman"/>
                <w:sz w:val="18"/>
                <w:szCs w:val="18"/>
              </w:rPr>
            </w:pPr>
            <w:r w:rsidRPr="00107340">
              <w:rPr>
                <w:rFonts w:ascii="Times New Roman" w:hAnsi="Times New Roman" w:cs="Times New Roman"/>
                <w:sz w:val="18"/>
                <w:szCs w:val="18"/>
              </w:rPr>
              <w:t>Danish National Population Register</w:t>
            </w:r>
          </w:p>
        </w:tc>
        <w:tc>
          <w:tcPr>
            <w:tcW w:w="3745" w:type="dxa"/>
          </w:tcPr>
          <w:p w14:paraId="669B2657" w14:textId="66084C7E" w:rsidR="007868ED" w:rsidRPr="00107340" w:rsidRDefault="007868ED" w:rsidP="009D4E58">
            <w:pPr>
              <w:rPr>
                <w:rFonts w:ascii="Times New Roman" w:hAnsi="Times New Roman" w:cs="Times New Roman"/>
                <w:sz w:val="18"/>
                <w:szCs w:val="18"/>
              </w:rPr>
            </w:pPr>
            <w:r w:rsidRPr="00107340">
              <w:rPr>
                <w:rFonts w:ascii="Times New Roman" w:hAnsi="Times New Roman" w:cs="Times New Roman"/>
                <w:sz w:val="18"/>
                <w:szCs w:val="18"/>
              </w:rPr>
              <w:t>Age in years at the end of the calendar year, binned</w:t>
            </w:r>
          </w:p>
        </w:tc>
        <w:tc>
          <w:tcPr>
            <w:tcW w:w="1501" w:type="dxa"/>
          </w:tcPr>
          <w:p w14:paraId="691AD316" w14:textId="0A11A920" w:rsidR="007868ED" w:rsidRPr="00107340" w:rsidRDefault="007868ED" w:rsidP="009D4E58">
            <w:pPr>
              <w:rPr>
                <w:rFonts w:ascii="Times New Roman" w:hAnsi="Times New Roman" w:cs="Times New Roman"/>
                <w:sz w:val="18"/>
                <w:szCs w:val="18"/>
              </w:rPr>
            </w:pPr>
            <w:r w:rsidRPr="00107340">
              <w:rPr>
                <w:rFonts w:ascii="Times New Roman" w:hAnsi="Times New Roman" w:cs="Times New Roman"/>
                <w:sz w:val="18"/>
                <w:szCs w:val="18"/>
              </w:rPr>
              <w:t>Match year</w:t>
            </w:r>
          </w:p>
        </w:tc>
        <w:tc>
          <w:tcPr>
            <w:tcW w:w="4079" w:type="dxa"/>
          </w:tcPr>
          <w:p w14:paraId="4520DA05" w14:textId="1129C2B3" w:rsidR="007868ED" w:rsidRPr="00107340" w:rsidRDefault="007868ED" w:rsidP="009D4E58">
            <w:pPr>
              <w:rPr>
                <w:rFonts w:ascii="Times New Roman" w:hAnsi="Times New Roman" w:cs="Times New Roman"/>
                <w:sz w:val="18"/>
                <w:szCs w:val="18"/>
              </w:rPr>
            </w:pPr>
            <w:r w:rsidRPr="00107340">
              <w:rPr>
                <w:rFonts w:ascii="Times New Roman" w:hAnsi="Times New Roman" w:cs="Times New Roman"/>
                <w:sz w:val="18"/>
                <w:szCs w:val="18"/>
              </w:rPr>
              <w:t>19-29, 30-34, 35-39, 40-4</w:t>
            </w:r>
            <w:r w:rsidR="008F3E49" w:rsidRPr="00107340">
              <w:rPr>
                <w:rFonts w:ascii="Times New Roman" w:hAnsi="Times New Roman" w:cs="Times New Roman"/>
                <w:sz w:val="18"/>
                <w:szCs w:val="18"/>
              </w:rPr>
              <w:t>4, 45-49, 50-54, 55-59, 60-64, 65-69, 70-74, 75-79, 80-84, 85-89, 90+</w:t>
            </w:r>
          </w:p>
        </w:tc>
      </w:tr>
      <w:tr w:rsidR="00DB6405" w:rsidRPr="00541EB2" w14:paraId="042B24B6" w14:textId="33931A41" w:rsidTr="00107340">
        <w:tc>
          <w:tcPr>
            <w:tcW w:w="1524" w:type="dxa"/>
          </w:tcPr>
          <w:p w14:paraId="20939783" w14:textId="20E77C76" w:rsidR="00D27580" w:rsidRPr="00107340" w:rsidRDefault="00D27580" w:rsidP="009D4E58">
            <w:pPr>
              <w:rPr>
                <w:rFonts w:ascii="Times New Roman" w:hAnsi="Times New Roman" w:cs="Times New Roman"/>
                <w:sz w:val="18"/>
                <w:szCs w:val="18"/>
              </w:rPr>
            </w:pPr>
            <w:r w:rsidRPr="00107340">
              <w:rPr>
                <w:rFonts w:ascii="Times New Roman" w:hAnsi="Times New Roman" w:cs="Times New Roman"/>
                <w:sz w:val="18"/>
                <w:szCs w:val="18"/>
              </w:rPr>
              <w:t>Personal income at baseline</w:t>
            </w:r>
          </w:p>
        </w:tc>
        <w:tc>
          <w:tcPr>
            <w:tcW w:w="2196" w:type="dxa"/>
          </w:tcPr>
          <w:p w14:paraId="59284DE3" w14:textId="0667796B" w:rsidR="00D27580" w:rsidRPr="00107340" w:rsidRDefault="003B03D4" w:rsidP="009D4E58">
            <w:pPr>
              <w:rPr>
                <w:rFonts w:ascii="Times New Roman" w:hAnsi="Times New Roman" w:cs="Times New Roman"/>
                <w:sz w:val="18"/>
                <w:szCs w:val="18"/>
              </w:rPr>
            </w:pPr>
            <w:r w:rsidRPr="00107340">
              <w:rPr>
                <w:rFonts w:ascii="Times New Roman" w:hAnsi="Times New Roman" w:cs="Times New Roman"/>
                <w:sz w:val="18"/>
                <w:szCs w:val="18"/>
              </w:rPr>
              <w:t>Danish Income Statistics Registry</w:t>
            </w:r>
          </w:p>
        </w:tc>
        <w:tc>
          <w:tcPr>
            <w:tcW w:w="3745" w:type="dxa"/>
          </w:tcPr>
          <w:p w14:paraId="7A40DA5F" w14:textId="37045121" w:rsidR="00D27580" w:rsidRPr="00107340" w:rsidRDefault="003B03D4" w:rsidP="009D4E58">
            <w:pPr>
              <w:rPr>
                <w:rFonts w:ascii="Times New Roman" w:hAnsi="Times New Roman" w:cs="Times New Roman"/>
                <w:sz w:val="18"/>
                <w:szCs w:val="18"/>
              </w:rPr>
            </w:pPr>
            <w:r w:rsidRPr="00107340">
              <w:rPr>
                <w:rFonts w:ascii="Times New Roman" w:hAnsi="Times New Roman" w:cs="Times New Roman"/>
                <w:sz w:val="18"/>
                <w:szCs w:val="18"/>
              </w:rPr>
              <w:t>Annual disposable personal income, 2023 EUR</w:t>
            </w:r>
          </w:p>
        </w:tc>
        <w:tc>
          <w:tcPr>
            <w:tcW w:w="1501" w:type="dxa"/>
          </w:tcPr>
          <w:p w14:paraId="250677B5" w14:textId="314EC56D" w:rsidR="00D2758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Match year</w:t>
            </w:r>
          </w:p>
        </w:tc>
        <w:tc>
          <w:tcPr>
            <w:tcW w:w="4079" w:type="dxa"/>
          </w:tcPr>
          <w:p w14:paraId="2D62F406" w14:textId="7B185CDC" w:rsidR="00DB6405" w:rsidRPr="00107340" w:rsidRDefault="00DB6405" w:rsidP="00C002B8">
            <w:pPr>
              <w:rPr>
                <w:rFonts w:ascii="Times New Roman" w:hAnsi="Times New Roman" w:cs="Times New Roman"/>
                <w:sz w:val="18"/>
                <w:szCs w:val="18"/>
              </w:rPr>
            </w:pPr>
            <w:r w:rsidRPr="00107340">
              <w:rPr>
                <w:rFonts w:ascii="Times New Roman" w:hAnsi="Times New Roman" w:cs="Times New Roman"/>
                <w:sz w:val="18"/>
                <w:szCs w:val="18"/>
              </w:rPr>
              <w:t>25</w:t>
            </w:r>
            <w:r w:rsidRPr="00107340">
              <w:rPr>
                <w:rFonts w:ascii="Times New Roman" w:hAnsi="Times New Roman" w:cs="Times New Roman"/>
                <w:sz w:val="18"/>
                <w:szCs w:val="18"/>
                <w:vertAlign w:val="superscript"/>
              </w:rPr>
              <w:t>th</w:t>
            </w:r>
            <w:r w:rsidRPr="00107340">
              <w:rPr>
                <w:rFonts w:ascii="Times New Roman" w:hAnsi="Times New Roman" w:cs="Times New Roman"/>
                <w:sz w:val="18"/>
                <w:szCs w:val="18"/>
              </w:rPr>
              <w:t>, 50</w:t>
            </w:r>
            <w:r w:rsidRPr="00107340">
              <w:rPr>
                <w:rFonts w:ascii="Times New Roman" w:hAnsi="Times New Roman" w:cs="Times New Roman"/>
                <w:sz w:val="18"/>
                <w:szCs w:val="18"/>
                <w:vertAlign w:val="superscript"/>
              </w:rPr>
              <w:t>th</w:t>
            </w:r>
            <w:r w:rsidRPr="00107340">
              <w:rPr>
                <w:rFonts w:ascii="Times New Roman" w:hAnsi="Times New Roman" w:cs="Times New Roman"/>
                <w:sz w:val="18"/>
                <w:szCs w:val="18"/>
              </w:rPr>
              <w:t>, and 75</w:t>
            </w:r>
            <w:r w:rsidRPr="00107340">
              <w:rPr>
                <w:rFonts w:ascii="Times New Roman" w:hAnsi="Times New Roman" w:cs="Times New Roman"/>
                <w:sz w:val="18"/>
                <w:szCs w:val="18"/>
                <w:vertAlign w:val="superscript"/>
              </w:rPr>
              <w:t>th</w:t>
            </w:r>
            <w:r w:rsidRPr="00107340">
              <w:rPr>
                <w:rFonts w:ascii="Times New Roman" w:hAnsi="Times New Roman" w:cs="Times New Roman"/>
                <w:sz w:val="18"/>
                <w:szCs w:val="18"/>
              </w:rPr>
              <w:t xml:space="preserve"> percentiles of personal income in each year </w:t>
            </w:r>
          </w:p>
        </w:tc>
      </w:tr>
      <w:tr w:rsidR="00DB6405" w:rsidRPr="00541EB2" w14:paraId="38F3EE1C" w14:textId="48385DCD" w:rsidTr="00107340">
        <w:tc>
          <w:tcPr>
            <w:tcW w:w="1524" w:type="dxa"/>
          </w:tcPr>
          <w:p w14:paraId="569BDD8F" w14:textId="697BB336" w:rsidR="00D27580" w:rsidRPr="00107340" w:rsidRDefault="00D27580" w:rsidP="009D4E58">
            <w:pPr>
              <w:rPr>
                <w:rFonts w:ascii="Times New Roman" w:hAnsi="Times New Roman" w:cs="Times New Roman"/>
                <w:sz w:val="18"/>
                <w:szCs w:val="18"/>
              </w:rPr>
            </w:pPr>
            <w:r w:rsidRPr="00107340">
              <w:rPr>
                <w:rFonts w:ascii="Times New Roman" w:hAnsi="Times New Roman" w:cs="Times New Roman"/>
                <w:sz w:val="18"/>
                <w:szCs w:val="18"/>
              </w:rPr>
              <w:t>Household equivalized income at baseline</w:t>
            </w:r>
          </w:p>
        </w:tc>
        <w:tc>
          <w:tcPr>
            <w:tcW w:w="2196" w:type="dxa"/>
          </w:tcPr>
          <w:p w14:paraId="348F8A58" w14:textId="58DF8080" w:rsidR="00D27580" w:rsidRPr="00107340" w:rsidRDefault="003B03D4" w:rsidP="009D4E58">
            <w:pPr>
              <w:rPr>
                <w:rFonts w:ascii="Times New Roman" w:hAnsi="Times New Roman" w:cs="Times New Roman"/>
                <w:sz w:val="18"/>
                <w:szCs w:val="18"/>
              </w:rPr>
            </w:pPr>
            <w:r w:rsidRPr="00107340">
              <w:rPr>
                <w:rFonts w:ascii="Times New Roman" w:hAnsi="Times New Roman" w:cs="Times New Roman"/>
                <w:sz w:val="18"/>
                <w:szCs w:val="18"/>
              </w:rPr>
              <w:t>Danish Income Statistics Registry</w:t>
            </w:r>
          </w:p>
        </w:tc>
        <w:tc>
          <w:tcPr>
            <w:tcW w:w="3745" w:type="dxa"/>
          </w:tcPr>
          <w:p w14:paraId="01BB322E" w14:textId="64F9985D" w:rsidR="00D27580" w:rsidRPr="00107340" w:rsidRDefault="003B03D4" w:rsidP="009D4E58">
            <w:pPr>
              <w:rPr>
                <w:rFonts w:ascii="Times New Roman" w:hAnsi="Times New Roman" w:cs="Times New Roman"/>
                <w:sz w:val="18"/>
                <w:szCs w:val="18"/>
              </w:rPr>
            </w:pPr>
            <w:r w:rsidRPr="00107340">
              <w:rPr>
                <w:rFonts w:ascii="Times New Roman" w:hAnsi="Times New Roman" w:cs="Times New Roman"/>
                <w:sz w:val="18"/>
                <w:szCs w:val="18"/>
              </w:rPr>
              <w:t>Annual disposable household equivalized income (i.e. total household income adjusted for household size), 2023 EUR</w:t>
            </w:r>
          </w:p>
        </w:tc>
        <w:tc>
          <w:tcPr>
            <w:tcW w:w="1501" w:type="dxa"/>
          </w:tcPr>
          <w:p w14:paraId="0580CAE2" w14:textId="4ED35B52" w:rsidR="00D2758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Match year</w:t>
            </w:r>
          </w:p>
        </w:tc>
        <w:tc>
          <w:tcPr>
            <w:tcW w:w="4079" w:type="dxa"/>
          </w:tcPr>
          <w:p w14:paraId="35735039" w14:textId="7F819BB5" w:rsidR="00D27580" w:rsidRPr="00107340" w:rsidRDefault="00DB6405" w:rsidP="00C002B8">
            <w:pPr>
              <w:rPr>
                <w:rFonts w:ascii="Times New Roman" w:hAnsi="Times New Roman" w:cs="Times New Roman"/>
                <w:sz w:val="18"/>
                <w:szCs w:val="18"/>
              </w:rPr>
            </w:pPr>
            <w:r w:rsidRPr="00107340">
              <w:rPr>
                <w:rFonts w:ascii="Times New Roman" w:hAnsi="Times New Roman" w:cs="Times New Roman"/>
                <w:sz w:val="18"/>
                <w:szCs w:val="18"/>
              </w:rPr>
              <w:t>25</w:t>
            </w:r>
            <w:r w:rsidRPr="00107340">
              <w:rPr>
                <w:rFonts w:ascii="Times New Roman" w:hAnsi="Times New Roman" w:cs="Times New Roman"/>
                <w:sz w:val="18"/>
                <w:szCs w:val="18"/>
                <w:vertAlign w:val="superscript"/>
              </w:rPr>
              <w:t>th</w:t>
            </w:r>
            <w:r w:rsidRPr="00107340">
              <w:rPr>
                <w:rFonts w:ascii="Times New Roman" w:hAnsi="Times New Roman" w:cs="Times New Roman"/>
                <w:sz w:val="18"/>
                <w:szCs w:val="18"/>
              </w:rPr>
              <w:t>, 50</w:t>
            </w:r>
            <w:r w:rsidRPr="00107340">
              <w:rPr>
                <w:rFonts w:ascii="Times New Roman" w:hAnsi="Times New Roman" w:cs="Times New Roman"/>
                <w:sz w:val="18"/>
                <w:szCs w:val="18"/>
                <w:vertAlign w:val="superscript"/>
              </w:rPr>
              <w:t>th</w:t>
            </w:r>
            <w:r w:rsidRPr="00107340">
              <w:rPr>
                <w:rFonts w:ascii="Times New Roman" w:hAnsi="Times New Roman" w:cs="Times New Roman"/>
                <w:sz w:val="18"/>
                <w:szCs w:val="18"/>
              </w:rPr>
              <w:t>, and 75</w:t>
            </w:r>
            <w:r w:rsidRPr="00107340">
              <w:rPr>
                <w:rFonts w:ascii="Times New Roman" w:hAnsi="Times New Roman" w:cs="Times New Roman"/>
                <w:sz w:val="18"/>
                <w:szCs w:val="18"/>
                <w:vertAlign w:val="superscript"/>
              </w:rPr>
              <w:t>th</w:t>
            </w:r>
            <w:r w:rsidRPr="00107340">
              <w:rPr>
                <w:rFonts w:ascii="Times New Roman" w:hAnsi="Times New Roman" w:cs="Times New Roman"/>
                <w:sz w:val="18"/>
                <w:szCs w:val="18"/>
              </w:rPr>
              <w:t xml:space="preserve"> percentiles of household income in each year</w:t>
            </w:r>
          </w:p>
        </w:tc>
      </w:tr>
      <w:tr w:rsidR="00D55F8D" w:rsidRPr="00541EB2" w14:paraId="49B238A3" w14:textId="77777777" w:rsidTr="00107340">
        <w:tc>
          <w:tcPr>
            <w:tcW w:w="1524" w:type="dxa"/>
          </w:tcPr>
          <w:p w14:paraId="3087E6AF" w14:textId="3338985E" w:rsidR="00C71150" w:rsidRPr="00107340" w:rsidRDefault="00C71150" w:rsidP="009D4E58">
            <w:pPr>
              <w:rPr>
                <w:rFonts w:ascii="Times New Roman" w:hAnsi="Times New Roman" w:cs="Times New Roman"/>
                <w:sz w:val="18"/>
                <w:szCs w:val="18"/>
              </w:rPr>
            </w:pPr>
            <w:r w:rsidRPr="00107340">
              <w:rPr>
                <w:rFonts w:ascii="Times New Roman" w:hAnsi="Times New Roman" w:cs="Times New Roman"/>
                <w:sz w:val="18"/>
                <w:szCs w:val="18"/>
              </w:rPr>
              <w:t>Labor market attachment</w:t>
            </w:r>
          </w:p>
        </w:tc>
        <w:tc>
          <w:tcPr>
            <w:tcW w:w="2196" w:type="dxa"/>
          </w:tcPr>
          <w:p w14:paraId="68A98371" w14:textId="567FA3B0" w:rsidR="00C71150" w:rsidRPr="00107340" w:rsidRDefault="003B03D4" w:rsidP="009D4E58">
            <w:pPr>
              <w:rPr>
                <w:rFonts w:ascii="Times New Roman" w:hAnsi="Times New Roman" w:cs="Times New Roman"/>
                <w:sz w:val="18"/>
                <w:szCs w:val="18"/>
              </w:rPr>
            </w:pPr>
            <w:r w:rsidRPr="00107340">
              <w:rPr>
                <w:rFonts w:ascii="Times New Roman" w:hAnsi="Times New Roman" w:cs="Times New Roman"/>
                <w:sz w:val="18"/>
                <w:szCs w:val="18"/>
              </w:rPr>
              <w:t>Danish National Population Register</w:t>
            </w:r>
          </w:p>
        </w:tc>
        <w:tc>
          <w:tcPr>
            <w:tcW w:w="3745" w:type="dxa"/>
          </w:tcPr>
          <w:p w14:paraId="4A2464E9" w14:textId="5877D3C6" w:rsidR="00C71150" w:rsidRPr="00107340" w:rsidRDefault="0092011E" w:rsidP="009D4E58">
            <w:pPr>
              <w:rPr>
                <w:rFonts w:ascii="Times New Roman" w:hAnsi="Times New Roman" w:cs="Times New Roman"/>
                <w:sz w:val="18"/>
                <w:szCs w:val="18"/>
              </w:rPr>
            </w:pPr>
            <w:r w:rsidRPr="00107340">
              <w:rPr>
                <w:rFonts w:ascii="Times New Roman" w:hAnsi="Times New Roman" w:cs="Times New Roman"/>
                <w:sz w:val="18"/>
                <w:szCs w:val="18"/>
              </w:rPr>
              <w:t xml:space="preserve">Primary source of annual personal income </w:t>
            </w:r>
          </w:p>
        </w:tc>
        <w:tc>
          <w:tcPr>
            <w:tcW w:w="1501" w:type="dxa"/>
          </w:tcPr>
          <w:p w14:paraId="714016D5" w14:textId="565E8865" w:rsidR="00C7115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Match year</w:t>
            </w:r>
          </w:p>
        </w:tc>
        <w:tc>
          <w:tcPr>
            <w:tcW w:w="4079" w:type="dxa"/>
          </w:tcPr>
          <w:p w14:paraId="42B8E190" w14:textId="5F927326" w:rsidR="00C71150" w:rsidRPr="00107340" w:rsidRDefault="00D87CE8" w:rsidP="009D4E58">
            <w:pPr>
              <w:rPr>
                <w:rFonts w:ascii="Times New Roman" w:hAnsi="Times New Roman" w:cs="Times New Roman"/>
                <w:sz w:val="18"/>
                <w:szCs w:val="18"/>
              </w:rPr>
            </w:pPr>
            <w:r w:rsidRPr="00107340">
              <w:rPr>
                <w:rFonts w:ascii="Times New Roman" w:hAnsi="Times New Roman" w:cs="Times New Roman"/>
                <w:sz w:val="18"/>
                <w:szCs w:val="18"/>
              </w:rPr>
              <w:t xml:space="preserve">Wage earner, </w:t>
            </w:r>
            <w:proofErr w:type="spellStart"/>
            <w:r w:rsidRPr="00107340">
              <w:rPr>
                <w:rFonts w:ascii="Times New Roman" w:hAnsi="Times New Roman" w:cs="Times New Roman"/>
                <w:sz w:val="18"/>
                <w:szCs w:val="18"/>
              </w:rPr>
              <w:t>self employed</w:t>
            </w:r>
            <w:proofErr w:type="spellEnd"/>
            <w:r w:rsidRPr="00107340">
              <w:rPr>
                <w:rFonts w:ascii="Times New Roman" w:hAnsi="Times New Roman" w:cs="Times New Roman"/>
                <w:sz w:val="18"/>
                <w:szCs w:val="18"/>
              </w:rPr>
              <w:t>, working</w:t>
            </w:r>
            <w:r w:rsidR="00AC25D2" w:rsidRPr="00107340">
              <w:rPr>
                <w:rFonts w:ascii="Times New Roman" w:hAnsi="Times New Roman" w:cs="Times New Roman"/>
                <w:sz w:val="18"/>
                <w:szCs w:val="18"/>
              </w:rPr>
              <w:t xml:space="preserve"> for</w:t>
            </w:r>
            <w:r w:rsidRPr="00107340">
              <w:rPr>
                <w:rFonts w:ascii="Times New Roman" w:hAnsi="Times New Roman" w:cs="Times New Roman"/>
                <w:sz w:val="18"/>
                <w:szCs w:val="18"/>
              </w:rPr>
              <w:t xml:space="preserve"> spouse, in school, leave recipient</w:t>
            </w:r>
            <w:r w:rsidR="00AC25D2" w:rsidRPr="00107340">
              <w:rPr>
                <w:rFonts w:ascii="Times New Roman" w:hAnsi="Times New Roman" w:cs="Times New Roman"/>
                <w:sz w:val="18"/>
                <w:szCs w:val="18"/>
              </w:rPr>
              <w:t xml:space="preserve"> (</w:t>
            </w:r>
            <w:proofErr w:type="spellStart"/>
            <w:r w:rsidR="00AC25D2" w:rsidRPr="00107340">
              <w:rPr>
                <w:rFonts w:ascii="Times New Roman" w:hAnsi="Times New Roman" w:cs="Times New Roman"/>
                <w:sz w:val="18"/>
                <w:szCs w:val="18"/>
              </w:rPr>
              <w:t>sygdagepenge</w:t>
            </w:r>
            <w:proofErr w:type="spellEnd"/>
            <w:r w:rsidR="00D60702" w:rsidRPr="00107340">
              <w:rPr>
                <w:rFonts w:ascii="Times New Roman" w:hAnsi="Times New Roman" w:cs="Times New Roman"/>
                <w:sz w:val="18"/>
                <w:szCs w:val="18"/>
              </w:rPr>
              <w:t xml:space="preserve"> or </w:t>
            </w:r>
            <w:proofErr w:type="spellStart"/>
            <w:r w:rsidR="00AD62B5" w:rsidRPr="00107340">
              <w:rPr>
                <w:rFonts w:ascii="Times New Roman" w:hAnsi="Times New Roman" w:cs="Times New Roman"/>
                <w:sz w:val="18"/>
                <w:szCs w:val="18"/>
              </w:rPr>
              <w:t>orlovsydelser</w:t>
            </w:r>
            <w:proofErr w:type="spellEnd"/>
            <w:r w:rsidR="00AC25D2" w:rsidRPr="00107340">
              <w:rPr>
                <w:rFonts w:ascii="Times New Roman" w:hAnsi="Times New Roman" w:cs="Times New Roman"/>
                <w:sz w:val="18"/>
                <w:szCs w:val="18"/>
              </w:rPr>
              <w:t>)</w:t>
            </w:r>
            <w:r w:rsidRPr="00107340">
              <w:rPr>
                <w:rFonts w:ascii="Times New Roman" w:hAnsi="Times New Roman" w:cs="Times New Roman"/>
                <w:sz w:val="18"/>
                <w:szCs w:val="18"/>
              </w:rPr>
              <w:t>, unemployment recipient</w:t>
            </w:r>
            <w:r w:rsidR="00AD62B5" w:rsidRPr="00107340">
              <w:rPr>
                <w:rFonts w:ascii="Times New Roman" w:hAnsi="Times New Roman" w:cs="Times New Roman"/>
                <w:sz w:val="18"/>
                <w:szCs w:val="18"/>
              </w:rPr>
              <w:t xml:space="preserve"> (</w:t>
            </w:r>
            <w:proofErr w:type="spellStart"/>
            <w:r w:rsidR="00D21077" w:rsidRPr="00107340">
              <w:rPr>
                <w:rFonts w:ascii="Times New Roman" w:hAnsi="Times New Roman" w:cs="Times New Roman"/>
                <w:sz w:val="18"/>
                <w:szCs w:val="18"/>
              </w:rPr>
              <w:t>arbejdesløs</w:t>
            </w:r>
            <w:proofErr w:type="spellEnd"/>
            <w:r w:rsidR="00AD62B5" w:rsidRPr="00107340">
              <w:rPr>
                <w:rFonts w:ascii="Times New Roman" w:hAnsi="Times New Roman" w:cs="Times New Roman"/>
                <w:sz w:val="18"/>
                <w:szCs w:val="18"/>
              </w:rPr>
              <w:t>)</w:t>
            </w:r>
            <w:r w:rsidRPr="00107340">
              <w:rPr>
                <w:rFonts w:ascii="Times New Roman" w:hAnsi="Times New Roman" w:cs="Times New Roman"/>
                <w:sz w:val="18"/>
                <w:szCs w:val="18"/>
              </w:rPr>
              <w:t xml:space="preserve">, </w:t>
            </w:r>
            <w:r w:rsidR="00A669FA" w:rsidRPr="00107340">
              <w:rPr>
                <w:rFonts w:ascii="Times New Roman" w:hAnsi="Times New Roman" w:cs="Times New Roman"/>
                <w:sz w:val="18"/>
                <w:szCs w:val="18"/>
              </w:rPr>
              <w:t>social assistance recipient (</w:t>
            </w:r>
            <w:proofErr w:type="spellStart"/>
            <w:r w:rsidR="00A669FA" w:rsidRPr="00107340">
              <w:rPr>
                <w:rFonts w:ascii="Times New Roman" w:hAnsi="Times New Roman" w:cs="Times New Roman"/>
                <w:sz w:val="18"/>
                <w:szCs w:val="18"/>
              </w:rPr>
              <w:t>kontanthjælp</w:t>
            </w:r>
            <w:r w:rsidR="00E74E7A" w:rsidRPr="00107340">
              <w:rPr>
                <w:rFonts w:ascii="Times New Roman" w:hAnsi="Times New Roman" w:cs="Times New Roman"/>
                <w:sz w:val="18"/>
                <w:szCs w:val="18"/>
              </w:rPr>
              <w:t>smodtager</w:t>
            </w:r>
            <w:proofErr w:type="spellEnd"/>
            <w:r w:rsidR="00E74E7A" w:rsidRPr="00107340">
              <w:rPr>
                <w:rFonts w:ascii="Times New Roman" w:hAnsi="Times New Roman" w:cs="Times New Roman"/>
                <w:sz w:val="18"/>
                <w:szCs w:val="18"/>
              </w:rPr>
              <w:t>)</w:t>
            </w:r>
            <w:r w:rsidR="00A669FA" w:rsidRPr="00107340">
              <w:rPr>
                <w:rFonts w:ascii="Times New Roman" w:hAnsi="Times New Roman" w:cs="Times New Roman"/>
                <w:sz w:val="18"/>
                <w:szCs w:val="18"/>
              </w:rPr>
              <w:t xml:space="preserve">, </w:t>
            </w:r>
            <w:r w:rsidRPr="00107340">
              <w:rPr>
                <w:rFonts w:ascii="Times New Roman" w:hAnsi="Times New Roman" w:cs="Times New Roman"/>
                <w:sz w:val="18"/>
                <w:szCs w:val="18"/>
              </w:rPr>
              <w:t>disability recipient</w:t>
            </w:r>
            <w:r w:rsidR="00D21077" w:rsidRPr="00107340">
              <w:rPr>
                <w:rFonts w:ascii="Times New Roman" w:hAnsi="Times New Roman" w:cs="Times New Roman"/>
                <w:sz w:val="18"/>
                <w:szCs w:val="18"/>
              </w:rPr>
              <w:t xml:space="preserve"> (</w:t>
            </w:r>
            <w:proofErr w:type="spellStart"/>
            <w:r w:rsidR="00D21077" w:rsidRPr="00107340">
              <w:rPr>
                <w:rFonts w:ascii="Times New Roman" w:hAnsi="Times New Roman" w:cs="Times New Roman"/>
                <w:sz w:val="18"/>
                <w:szCs w:val="18"/>
              </w:rPr>
              <w:t>førtidspensionister</w:t>
            </w:r>
            <w:proofErr w:type="spellEnd"/>
            <w:r w:rsidR="00D21077" w:rsidRPr="00107340">
              <w:rPr>
                <w:rFonts w:ascii="Times New Roman" w:hAnsi="Times New Roman" w:cs="Times New Roman"/>
                <w:sz w:val="18"/>
                <w:szCs w:val="18"/>
              </w:rPr>
              <w:t>)</w:t>
            </w:r>
            <w:r w:rsidRPr="00107340">
              <w:rPr>
                <w:rFonts w:ascii="Times New Roman" w:hAnsi="Times New Roman" w:cs="Times New Roman"/>
                <w:sz w:val="18"/>
                <w:szCs w:val="18"/>
              </w:rPr>
              <w:t>, early retirement</w:t>
            </w:r>
            <w:r w:rsidR="00D21077" w:rsidRPr="00107340">
              <w:rPr>
                <w:rFonts w:ascii="Times New Roman" w:hAnsi="Times New Roman" w:cs="Times New Roman"/>
                <w:sz w:val="18"/>
                <w:szCs w:val="18"/>
              </w:rPr>
              <w:t xml:space="preserve"> (</w:t>
            </w:r>
            <w:proofErr w:type="spellStart"/>
            <w:r w:rsidR="00D21077" w:rsidRPr="00107340">
              <w:rPr>
                <w:rFonts w:ascii="Times New Roman" w:hAnsi="Times New Roman" w:cs="Times New Roman"/>
                <w:sz w:val="18"/>
                <w:szCs w:val="18"/>
              </w:rPr>
              <w:t>efterlønsmodtager</w:t>
            </w:r>
            <w:proofErr w:type="spellEnd"/>
            <w:r w:rsidR="00D21077" w:rsidRPr="00107340">
              <w:rPr>
                <w:rFonts w:ascii="Times New Roman" w:hAnsi="Times New Roman" w:cs="Times New Roman"/>
                <w:sz w:val="18"/>
                <w:szCs w:val="18"/>
              </w:rPr>
              <w:t>)</w:t>
            </w:r>
            <w:r w:rsidRPr="00107340">
              <w:rPr>
                <w:rFonts w:ascii="Times New Roman" w:hAnsi="Times New Roman" w:cs="Times New Roman"/>
                <w:sz w:val="18"/>
                <w:szCs w:val="18"/>
              </w:rPr>
              <w:t>, retirement, other</w:t>
            </w:r>
          </w:p>
        </w:tc>
      </w:tr>
      <w:tr w:rsidR="00DB6405" w:rsidRPr="00541EB2" w14:paraId="1FFBD552" w14:textId="23D970E0" w:rsidTr="00107340">
        <w:tc>
          <w:tcPr>
            <w:tcW w:w="1524" w:type="dxa"/>
          </w:tcPr>
          <w:p w14:paraId="4715C6D9" w14:textId="78EFA8B4" w:rsidR="00D27580" w:rsidRPr="00107340" w:rsidRDefault="00D27580" w:rsidP="009D4E58">
            <w:pPr>
              <w:rPr>
                <w:rFonts w:ascii="Times New Roman" w:hAnsi="Times New Roman" w:cs="Times New Roman"/>
                <w:sz w:val="18"/>
                <w:szCs w:val="18"/>
              </w:rPr>
            </w:pPr>
            <w:r w:rsidRPr="00107340">
              <w:rPr>
                <w:rFonts w:ascii="Times New Roman" w:hAnsi="Times New Roman" w:cs="Times New Roman"/>
                <w:sz w:val="18"/>
                <w:szCs w:val="18"/>
              </w:rPr>
              <w:t>Education</w:t>
            </w:r>
          </w:p>
        </w:tc>
        <w:tc>
          <w:tcPr>
            <w:tcW w:w="2196" w:type="dxa"/>
          </w:tcPr>
          <w:p w14:paraId="297A566A" w14:textId="482DD187" w:rsidR="00D27580" w:rsidRPr="00107340" w:rsidRDefault="003B03D4" w:rsidP="009D4E58">
            <w:pPr>
              <w:rPr>
                <w:rFonts w:ascii="Times New Roman" w:hAnsi="Times New Roman" w:cs="Times New Roman"/>
                <w:sz w:val="18"/>
                <w:szCs w:val="18"/>
              </w:rPr>
            </w:pPr>
            <w:r w:rsidRPr="00107340">
              <w:rPr>
                <w:rFonts w:ascii="Times New Roman" w:hAnsi="Times New Roman" w:cs="Times New Roman"/>
                <w:sz w:val="18"/>
                <w:szCs w:val="18"/>
              </w:rPr>
              <w:t>Integrated Student Register</w:t>
            </w:r>
          </w:p>
        </w:tc>
        <w:tc>
          <w:tcPr>
            <w:tcW w:w="3745" w:type="dxa"/>
          </w:tcPr>
          <w:p w14:paraId="5551E358" w14:textId="74E448EF" w:rsidR="00D27580" w:rsidRPr="00107340" w:rsidRDefault="0092011E" w:rsidP="009D4E58">
            <w:pPr>
              <w:rPr>
                <w:rFonts w:ascii="Times New Roman" w:hAnsi="Times New Roman" w:cs="Times New Roman"/>
                <w:sz w:val="18"/>
                <w:szCs w:val="18"/>
              </w:rPr>
            </w:pPr>
            <w:r w:rsidRPr="00107340">
              <w:rPr>
                <w:rFonts w:ascii="Times New Roman" w:hAnsi="Times New Roman" w:cs="Times New Roman"/>
                <w:sz w:val="18"/>
                <w:szCs w:val="18"/>
              </w:rPr>
              <w:t>Highest completed education level</w:t>
            </w:r>
          </w:p>
        </w:tc>
        <w:tc>
          <w:tcPr>
            <w:tcW w:w="1501" w:type="dxa"/>
          </w:tcPr>
          <w:p w14:paraId="418B81B5" w14:textId="2489276E" w:rsidR="00D2758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Match year</w:t>
            </w:r>
          </w:p>
        </w:tc>
        <w:tc>
          <w:tcPr>
            <w:tcW w:w="4079" w:type="dxa"/>
          </w:tcPr>
          <w:p w14:paraId="67CC16DE" w14:textId="6EB0B723" w:rsidR="00D27580" w:rsidRPr="00107340" w:rsidRDefault="00D87CE8" w:rsidP="009D4E58">
            <w:pPr>
              <w:rPr>
                <w:rFonts w:ascii="Times New Roman" w:hAnsi="Times New Roman" w:cs="Times New Roman"/>
                <w:sz w:val="18"/>
                <w:szCs w:val="18"/>
              </w:rPr>
            </w:pPr>
            <w:r w:rsidRPr="00107340">
              <w:rPr>
                <w:rFonts w:ascii="Times New Roman" w:hAnsi="Times New Roman" w:cs="Times New Roman"/>
                <w:sz w:val="18"/>
                <w:szCs w:val="18"/>
              </w:rPr>
              <w:t xml:space="preserve">Basic, upper secondary, vocational training, </w:t>
            </w:r>
            <w:proofErr w:type="spellStart"/>
            <w:proofErr w:type="gramStart"/>
            <w:r w:rsidRPr="00107340">
              <w:rPr>
                <w:rFonts w:ascii="Times New Roman" w:hAnsi="Times New Roman" w:cs="Times New Roman"/>
                <w:sz w:val="18"/>
                <w:szCs w:val="18"/>
              </w:rPr>
              <w:t>bachelors</w:t>
            </w:r>
            <w:proofErr w:type="spellEnd"/>
            <w:proofErr w:type="gramEnd"/>
            <w:r w:rsidRPr="00107340">
              <w:rPr>
                <w:rFonts w:ascii="Times New Roman" w:hAnsi="Times New Roman" w:cs="Times New Roman"/>
                <w:sz w:val="18"/>
                <w:szCs w:val="18"/>
              </w:rPr>
              <w:t xml:space="preserve"> degree, postgraduate education</w:t>
            </w:r>
          </w:p>
        </w:tc>
      </w:tr>
      <w:tr w:rsidR="00DB6405" w:rsidRPr="00541EB2" w14:paraId="77BC1903" w14:textId="1B962628" w:rsidTr="00107340">
        <w:tc>
          <w:tcPr>
            <w:tcW w:w="1524" w:type="dxa"/>
          </w:tcPr>
          <w:p w14:paraId="0F9ECE51" w14:textId="58907975" w:rsidR="00D27580" w:rsidRPr="00107340" w:rsidRDefault="00D27580" w:rsidP="009D4E58">
            <w:pPr>
              <w:rPr>
                <w:rFonts w:ascii="Times New Roman" w:hAnsi="Times New Roman" w:cs="Times New Roman"/>
                <w:sz w:val="18"/>
                <w:szCs w:val="18"/>
              </w:rPr>
            </w:pPr>
            <w:r w:rsidRPr="00107340">
              <w:rPr>
                <w:rFonts w:ascii="Times New Roman" w:hAnsi="Times New Roman" w:cs="Times New Roman"/>
                <w:sz w:val="18"/>
                <w:szCs w:val="18"/>
              </w:rPr>
              <w:t>Relationship status</w:t>
            </w:r>
          </w:p>
        </w:tc>
        <w:tc>
          <w:tcPr>
            <w:tcW w:w="2196" w:type="dxa"/>
          </w:tcPr>
          <w:p w14:paraId="5A5DBA8A" w14:textId="27BA9A86" w:rsidR="00D27580" w:rsidRPr="00107340" w:rsidRDefault="003B03D4" w:rsidP="009D4E58">
            <w:pPr>
              <w:rPr>
                <w:rFonts w:ascii="Times New Roman" w:hAnsi="Times New Roman" w:cs="Times New Roman"/>
                <w:sz w:val="18"/>
                <w:szCs w:val="18"/>
              </w:rPr>
            </w:pPr>
            <w:r w:rsidRPr="00107340">
              <w:rPr>
                <w:rFonts w:ascii="Times New Roman" w:hAnsi="Times New Roman" w:cs="Times New Roman"/>
                <w:sz w:val="18"/>
                <w:szCs w:val="18"/>
              </w:rPr>
              <w:t>Danish National Population Register</w:t>
            </w:r>
          </w:p>
        </w:tc>
        <w:tc>
          <w:tcPr>
            <w:tcW w:w="3745" w:type="dxa"/>
          </w:tcPr>
          <w:p w14:paraId="58CA140D" w14:textId="38F8AE9D" w:rsidR="00D27580" w:rsidRPr="00107340" w:rsidRDefault="00EB5358" w:rsidP="009D4E58">
            <w:pPr>
              <w:rPr>
                <w:rFonts w:ascii="Times New Roman" w:hAnsi="Times New Roman" w:cs="Times New Roman"/>
                <w:sz w:val="18"/>
                <w:szCs w:val="18"/>
              </w:rPr>
            </w:pPr>
            <w:r w:rsidRPr="00107340">
              <w:rPr>
                <w:rFonts w:ascii="Times New Roman" w:hAnsi="Times New Roman" w:cs="Times New Roman"/>
                <w:sz w:val="18"/>
                <w:szCs w:val="18"/>
              </w:rPr>
              <w:t>Status of live-in relationships, regardless of marital status</w:t>
            </w:r>
          </w:p>
        </w:tc>
        <w:tc>
          <w:tcPr>
            <w:tcW w:w="1501" w:type="dxa"/>
          </w:tcPr>
          <w:p w14:paraId="5B702158" w14:textId="2E23B7BD" w:rsidR="00D2758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Match year</w:t>
            </w:r>
          </w:p>
        </w:tc>
        <w:tc>
          <w:tcPr>
            <w:tcW w:w="4079" w:type="dxa"/>
          </w:tcPr>
          <w:p w14:paraId="6A428866" w14:textId="2287A677" w:rsidR="00D27580" w:rsidRPr="00107340" w:rsidRDefault="00EB5358" w:rsidP="009D4E58">
            <w:pPr>
              <w:rPr>
                <w:rFonts w:ascii="Times New Roman" w:hAnsi="Times New Roman" w:cs="Times New Roman"/>
                <w:sz w:val="18"/>
                <w:szCs w:val="18"/>
              </w:rPr>
            </w:pPr>
            <w:r w:rsidRPr="00107340">
              <w:rPr>
                <w:rFonts w:ascii="Times New Roman" w:hAnsi="Times New Roman" w:cs="Times New Roman"/>
                <w:sz w:val="18"/>
                <w:szCs w:val="18"/>
              </w:rPr>
              <w:t>Married, cohabitating but unmarried, or single</w:t>
            </w:r>
          </w:p>
        </w:tc>
      </w:tr>
      <w:tr w:rsidR="00DB6405" w:rsidRPr="00541EB2" w14:paraId="1AD05433" w14:textId="15778FEB" w:rsidTr="00107340">
        <w:tc>
          <w:tcPr>
            <w:tcW w:w="1524" w:type="dxa"/>
          </w:tcPr>
          <w:p w14:paraId="377E191C" w14:textId="1018053D" w:rsidR="00D27580" w:rsidRPr="00107340" w:rsidRDefault="00EB5358" w:rsidP="009D4E58">
            <w:pPr>
              <w:rPr>
                <w:rFonts w:ascii="Times New Roman" w:hAnsi="Times New Roman" w:cs="Times New Roman"/>
                <w:sz w:val="18"/>
                <w:szCs w:val="18"/>
              </w:rPr>
            </w:pPr>
            <w:r w:rsidRPr="00107340">
              <w:rPr>
                <w:rFonts w:ascii="Times New Roman" w:hAnsi="Times New Roman" w:cs="Times New Roman"/>
                <w:sz w:val="18"/>
                <w:szCs w:val="18"/>
              </w:rPr>
              <w:t>Household</w:t>
            </w:r>
            <w:r w:rsidR="00D27580" w:rsidRPr="00107340">
              <w:rPr>
                <w:rFonts w:ascii="Times New Roman" w:hAnsi="Times New Roman" w:cs="Times New Roman"/>
                <w:sz w:val="18"/>
                <w:szCs w:val="18"/>
              </w:rPr>
              <w:t xml:space="preserve"> size</w:t>
            </w:r>
          </w:p>
        </w:tc>
        <w:tc>
          <w:tcPr>
            <w:tcW w:w="2196" w:type="dxa"/>
          </w:tcPr>
          <w:p w14:paraId="7B961F5C" w14:textId="600E0115" w:rsidR="00D27580" w:rsidRPr="00107340" w:rsidRDefault="00884C91" w:rsidP="009D4E58">
            <w:pPr>
              <w:rPr>
                <w:rFonts w:ascii="Times New Roman" w:hAnsi="Times New Roman" w:cs="Times New Roman"/>
                <w:sz w:val="18"/>
                <w:szCs w:val="18"/>
              </w:rPr>
            </w:pPr>
            <w:r w:rsidRPr="00107340">
              <w:rPr>
                <w:rFonts w:ascii="Times New Roman" w:hAnsi="Times New Roman" w:cs="Times New Roman"/>
                <w:sz w:val="18"/>
                <w:szCs w:val="18"/>
              </w:rPr>
              <w:t>Danish National Population Register</w:t>
            </w:r>
          </w:p>
        </w:tc>
        <w:tc>
          <w:tcPr>
            <w:tcW w:w="3745" w:type="dxa"/>
          </w:tcPr>
          <w:p w14:paraId="493E049B" w14:textId="3A5CB051" w:rsidR="00D27580" w:rsidRPr="00107340" w:rsidRDefault="00EB5358" w:rsidP="009D4E58">
            <w:pPr>
              <w:rPr>
                <w:rFonts w:ascii="Times New Roman" w:hAnsi="Times New Roman" w:cs="Times New Roman"/>
                <w:sz w:val="18"/>
                <w:szCs w:val="18"/>
              </w:rPr>
            </w:pPr>
            <w:r w:rsidRPr="00107340">
              <w:rPr>
                <w:rFonts w:ascii="Times New Roman" w:hAnsi="Times New Roman" w:cs="Times New Roman"/>
                <w:sz w:val="18"/>
                <w:szCs w:val="18"/>
              </w:rPr>
              <w:t>Number of people in the household</w:t>
            </w:r>
          </w:p>
        </w:tc>
        <w:tc>
          <w:tcPr>
            <w:tcW w:w="1501" w:type="dxa"/>
          </w:tcPr>
          <w:p w14:paraId="6B4395A2" w14:textId="55691322" w:rsidR="00D2758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Match year</w:t>
            </w:r>
          </w:p>
        </w:tc>
        <w:tc>
          <w:tcPr>
            <w:tcW w:w="4079" w:type="dxa"/>
          </w:tcPr>
          <w:p w14:paraId="26D8DC33" w14:textId="72C38F55" w:rsidR="00D27580" w:rsidRPr="00107340" w:rsidRDefault="00EB5358" w:rsidP="009D4E58">
            <w:pPr>
              <w:rPr>
                <w:rFonts w:ascii="Times New Roman" w:hAnsi="Times New Roman" w:cs="Times New Roman"/>
                <w:sz w:val="18"/>
                <w:szCs w:val="18"/>
              </w:rPr>
            </w:pPr>
            <w:r w:rsidRPr="00107340">
              <w:rPr>
                <w:rFonts w:ascii="Times New Roman" w:hAnsi="Times New Roman" w:cs="Times New Roman"/>
                <w:sz w:val="18"/>
                <w:szCs w:val="18"/>
              </w:rPr>
              <w:t>1 person, 2 people, or 3 or more people</w:t>
            </w:r>
          </w:p>
        </w:tc>
      </w:tr>
      <w:tr w:rsidR="00DB6405" w:rsidRPr="00541EB2" w14:paraId="791F0FCE" w14:textId="68846259" w:rsidTr="00107340">
        <w:tc>
          <w:tcPr>
            <w:tcW w:w="1524" w:type="dxa"/>
          </w:tcPr>
          <w:p w14:paraId="125F66C4" w14:textId="7A793DE4" w:rsidR="00D27580" w:rsidRPr="00107340" w:rsidRDefault="005E681E" w:rsidP="009D4E58">
            <w:pPr>
              <w:rPr>
                <w:rFonts w:ascii="Times New Roman" w:hAnsi="Times New Roman" w:cs="Times New Roman"/>
                <w:sz w:val="18"/>
                <w:szCs w:val="18"/>
              </w:rPr>
            </w:pPr>
            <w:r w:rsidRPr="00107340">
              <w:rPr>
                <w:rFonts w:ascii="Times New Roman" w:hAnsi="Times New Roman" w:cs="Times New Roman"/>
                <w:sz w:val="18"/>
                <w:szCs w:val="18"/>
              </w:rPr>
              <w:t>Hospital utilization</w:t>
            </w:r>
          </w:p>
        </w:tc>
        <w:tc>
          <w:tcPr>
            <w:tcW w:w="2196" w:type="dxa"/>
          </w:tcPr>
          <w:p w14:paraId="70F620FA" w14:textId="01C9D2DB" w:rsidR="00D27580" w:rsidRPr="00107340" w:rsidRDefault="000F7A60" w:rsidP="009D4E58">
            <w:pPr>
              <w:rPr>
                <w:rFonts w:ascii="Times New Roman" w:hAnsi="Times New Roman" w:cs="Times New Roman"/>
                <w:sz w:val="18"/>
                <w:szCs w:val="18"/>
              </w:rPr>
            </w:pPr>
            <w:r w:rsidRPr="00107340">
              <w:rPr>
                <w:rFonts w:ascii="Times New Roman" w:hAnsi="Times New Roman" w:cs="Times New Roman"/>
                <w:sz w:val="18"/>
                <w:szCs w:val="18"/>
              </w:rPr>
              <w:t>National Inpatient Register</w:t>
            </w:r>
          </w:p>
        </w:tc>
        <w:tc>
          <w:tcPr>
            <w:tcW w:w="3745" w:type="dxa"/>
          </w:tcPr>
          <w:p w14:paraId="2D5C045E" w14:textId="33513761" w:rsidR="00D27580" w:rsidRPr="00107340" w:rsidRDefault="0092011E" w:rsidP="009D4E58">
            <w:pPr>
              <w:rPr>
                <w:rFonts w:ascii="Times New Roman" w:hAnsi="Times New Roman" w:cs="Times New Roman"/>
                <w:sz w:val="18"/>
                <w:szCs w:val="18"/>
              </w:rPr>
            </w:pPr>
            <w:r w:rsidRPr="00107340">
              <w:rPr>
                <w:rFonts w:ascii="Times New Roman" w:hAnsi="Times New Roman" w:cs="Times New Roman"/>
                <w:sz w:val="18"/>
                <w:szCs w:val="18"/>
              </w:rPr>
              <w:t>Total count of hospitalizations in the 2 years before match year</w:t>
            </w:r>
          </w:p>
        </w:tc>
        <w:tc>
          <w:tcPr>
            <w:tcW w:w="1501" w:type="dxa"/>
          </w:tcPr>
          <w:p w14:paraId="3E20530E" w14:textId="7884D9FF" w:rsidR="00D2758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Total in the two years before match year</w:t>
            </w:r>
          </w:p>
        </w:tc>
        <w:tc>
          <w:tcPr>
            <w:tcW w:w="4079" w:type="dxa"/>
          </w:tcPr>
          <w:p w14:paraId="39BDD7A9" w14:textId="68545FFD" w:rsidR="00D27580" w:rsidRPr="00107340" w:rsidRDefault="00D87CE8" w:rsidP="009D4E58">
            <w:pPr>
              <w:rPr>
                <w:rFonts w:ascii="Times New Roman" w:hAnsi="Times New Roman" w:cs="Times New Roman"/>
                <w:sz w:val="18"/>
                <w:szCs w:val="18"/>
              </w:rPr>
            </w:pPr>
            <w:r w:rsidRPr="00107340">
              <w:rPr>
                <w:rFonts w:ascii="Times New Roman" w:hAnsi="Times New Roman" w:cs="Times New Roman"/>
                <w:sz w:val="18"/>
                <w:szCs w:val="18"/>
              </w:rPr>
              <w:t xml:space="preserve">Number of hospitalizations: </w:t>
            </w:r>
            <w:r w:rsidR="00EB5358" w:rsidRPr="00107340">
              <w:rPr>
                <w:rFonts w:ascii="Times New Roman" w:hAnsi="Times New Roman" w:cs="Times New Roman"/>
                <w:sz w:val="18"/>
                <w:szCs w:val="18"/>
              </w:rPr>
              <w:t>0, 1, 2, 3</w:t>
            </w:r>
            <w:r w:rsidRPr="00107340">
              <w:rPr>
                <w:rFonts w:ascii="Times New Roman" w:hAnsi="Times New Roman" w:cs="Times New Roman"/>
                <w:sz w:val="18"/>
                <w:szCs w:val="18"/>
              </w:rPr>
              <w:t>-5, 6-10, 11+</w:t>
            </w:r>
          </w:p>
        </w:tc>
      </w:tr>
      <w:tr w:rsidR="00DB6405" w:rsidRPr="00541EB2" w14:paraId="6E0EF808" w14:textId="43073461" w:rsidTr="00107340">
        <w:tc>
          <w:tcPr>
            <w:tcW w:w="1524" w:type="dxa"/>
          </w:tcPr>
          <w:p w14:paraId="77A6093F" w14:textId="50B708CE" w:rsidR="00D27580" w:rsidRPr="00107340" w:rsidRDefault="005E681E" w:rsidP="009D4E58">
            <w:pPr>
              <w:rPr>
                <w:rFonts w:ascii="Times New Roman" w:hAnsi="Times New Roman" w:cs="Times New Roman"/>
                <w:sz w:val="18"/>
                <w:szCs w:val="18"/>
              </w:rPr>
            </w:pPr>
            <w:r w:rsidRPr="00107340">
              <w:rPr>
                <w:rFonts w:ascii="Times New Roman" w:hAnsi="Times New Roman" w:cs="Times New Roman"/>
                <w:sz w:val="18"/>
                <w:szCs w:val="18"/>
              </w:rPr>
              <w:t>Charlson comorbidity index</w:t>
            </w:r>
          </w:p>
        </w:tc>
        <w:tc>
          <w:tcPr>
            <w:tcW w:w="2196" w:type="dxa"/>
          </w:tcPr>
          <w:p w14:paraId="37BDA2E9" w14:textId="18DC9696" w:rsidR="00D27580" w:rsidRPr="00107340" w:rsidRDefault="000F7A60" w:rsidP="009D4E58">
            <w:pPr>
              <w:rPr>
                <w:rFonts w:ascii="Times New Roman" w:hAnsi="Times New Roman" w:cs="Times New Roman"/>
                <w:sz w:val="18"/>
                <w:szCs w:val="18"/>
              </w:rPr>
            </w:pPr>
            <w:r w:rsidRPr="00107340">
              <w:rPr>
                <w:rFonts w:ascii="Times New Roman" w:hAnsi="Times New Roman" w:cs="Times New Roman"/>
                <w:sz w:val="18"/>
                <w:szCs w:val="18"/>
              </w:rPr>
              <w:t>National Inpatient Register</w:t>
            </w:r>
          </w:p>
        </w:tc>
        <w:tc>
          <w:tcPr>
            <w:tcW w:w="3745" w:type="dxa"/>
          </w:tcPr>
          <w:p w14:paraId="011F8337" w14:textId="3477F5AF" w:rsidR="00D2758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Charlson comorbidity index value,</w:t>
            </w:r>
            <w:r w:rsidR="0092011E" w:rsidRPr="00107340">
              <w:rPr>
                <w:rFonts w:ascii="Times New Roman" w:hAnsi="Times New Roman" w:cs="Times New Roman"/>
                <w:sz w:val="18"/>
                <w:szCs w:val="18"/>
              </w:rPr>
              <w:t xml:space="preserve"> calculated from hospital admission diagnoses over a </w:t>
            </w:r>
            <w:proofErr w:type="gramStart"/>
            <w:r w:rsidR="0092011E" w:rsidRPr="00107340">
              <w:rPr>
                <w:rFonts w:ascii="Times New Roman" w:hAnsi="Times New Roman" w:cs="Times New Roman"/>
                <w:sz w:val="18"/>
                <w:szCs w:val="18"/>
              </w:rPr>
              <w:t>five year</w:t>
            </w:r>
            <w:proofErr w:type="gramEnd"/>
            <w:r w:rsidR="0092011E" w:rsidRPr="00107340">
              <w:rPr>
                <w:rFonts w:ascii="Times New Roman" w:hAnsi="Times New Roman" w:cs="Times New Roman"/>
                <w:sz w:val="18"/>
                <w:szCs w:val="18"/>
              </w:rPr>
              <w:t xml:space="preserve"> period</w:t>
            </w:r>
            <w:r w:rsidRPr="00107340">
              <w:rPr>
                <w:rFonts w:ascii="Times New Roman" w:hAnsi="Times New Roman" w:cs="Times New Roman"/>
                <w:sz w:val="18"/>
                <w:szCs w:val="18"/>
              </w:rPr>
              <w:t xml:space="preserve"> </w:t>
            </w:r>
          </w:p>
        </w:tc>
        <w:tc>
          <w:tcPr>
            <w:tcW w:w="1501" w:type="dxa"/>
          </w:tcPr>
          <w:p w14:paraId="30F97BCB" w14:textId="2AEBCECB" w:rsidR="00D27580" w:rsidRPr="00107340" w:rsidRDefault="008F3E49" w:rsidP="009D4E58">
            <w:pPr>
              <w:rPr>
                <w:rFonts w:ascii="Times New Roman" w:hAnsi="Times New Roman" w:cs="Times New Roman"/>
                <w:sz w:val="18"/>
                <w:szCs w:val="18"/>
              </w:rPr>
            </w:pPr>
            <w:r w:rsidRPr="00107340">
              <w:rPr>
                <w:rFonts w:ascii="Times New Roman" w:hAnsi="Times New Roman" w:cs="Times New Roman"/>
                <w:sz w:val="18"/>
                <w:szCs w:val="18"/>
              </w:rPr>
              <w:t>Total in the five years before match year</w:t>
            </w:r>
          </w:p>
        </w:tc>
        <w:tc>
          <w:tcPr>
            <w:tcW w:w="4079" w:type="dxa"/>
          </w:tcPr>
          <w:p w14:paraId="067139BE" w14:textId="55143A39" w:rsidR="00D27580" w:rsidRPr="00107340" w:rsidRDefault="002064EA" w:rsidP="009D4E58">
            <w:pPr>
              <w:rPr>
                <w:rFonts w:ascii="Times New Roman" w:hAnsi="Times New Roman" w:cs="Times New Roman"/>
                <w:sz w:val="18"/>
                <w:szCs w:val="18"/>
              </w:rPr>
            </w:pPr>
            <w:r w:rsidRPr="00107340">
              <w:rPr>
                <w:rFonts w:ascii="Times New Roman" w:hAnsi="Times New Roman" w:cs="Times New Roman"/>
                <w:sz w:val="18"/>
                <w:szCs w:val="18"/>
              </w:rPr>
              <w:t>0, 1, 2, 3, 4+</w:t>
            </w:r>
          </w:p>
        </w:tc>
      </w:tr>
    </w:tbl>
    <w:p w14:paraId="280913AE" w14:textId="66EAB213" w:rsidR="00111A16" w:rsidRDefault="00111A16">
      <w:pPr>
        <w:rPr>
          <w:rFonts w:ascii="Times New Roman" w:hAnsi="Times New Roman" w:cs="Times New Roman"/>
          <w:sz w:val="22"/>
          <w:szCs w:val="22"/>
        </w:rPr>
        <w:sectPr w:rsidR="00111A16" w:rsidSect="00111A16">
          <w:pgSz w:w="15840" w:h="12240" w:orient="landscape"/>
          <w:pgMar w:top="1440" w:right="1440" w:bottom="1440" w:left="1440" w:header="720" w:footer="720" w:gutter="0"/>
          <w:cols w:space="720"/>
          <w:docGrid w:linePitch="360"/>
        </w:sectPr>
      </w:pPr>
    </w:p>
    <w:p w14:paraId="1A2C1407" w14:textId="77777777" w:rsidR="00111A16" w:rsidRDefault="00111A16">
      <w:pPr>
        <w:rPr>
          <w:rFonts w:ascii="Times New Roman" w:hAnsi="Times New Roman" w:cs="Times New Roman"/>
          <w:sz w:val="22"/>
          <w:szCs w:val="22"/>
        </w:rPr>
      </w:pPr>
    </w:p>
    <w:p w14:paraId="0DAD339A" w14:textId="2C858AD7" w:rsidR="00546820" w:rsidRPr="003B0168" w:rsidRDefault="00546820" w:rsidP="001C3F5C">
      <w:pPr>
        <w:rPr>
          <w:rFonts w:ascii="Times New Roman" w:hAnsi="Times New Roman" w:cs="Times New Roman"/>
          <w:b/>
          <w:bCs/>
        </w:rPr>
      </w:pPr>
      <w:r w:rsidRPr="003B0168">
        <w:rPr>
          <w:rFonts w:ascii="Times New Roman" w:hAnsi="Times New Roman" w:cs="Times New Roman"/>
          <w:b/>
          <w:bCs/>
        </w:rPr>
        <w:t>Section 1: Equations for estimation of conditional and total treatment effects</w:t>
      </w:r>
    </w:p>
    <w:p w14:paraId="734394A5" w14:textId="49A7B877" w:rsidR="00320C49" w:rsidRPr="00493CE0" w:rsidRDefault="00320C49" w:rsidP="00320C49">
      <w:pPr>
        <w:rPr>
          <w:rFonts w:ascii="Times New Roman" w:hAnsi="Times New Roman" w:cs="Times New Roman"/>
          <w:sz w:val="20"/>
          <w:szCs w:val="20"/>
        </w:rPr>
      </w:pPr>
      <w:r w:rsidRPr="00493CE0">
        <w:rPr>
          <w:rFonts w:ascii="Times New Roman" w:hAnsi="Times New Roman" w:cs="Times New Roman"/>
          <w:sz w:val="20"/>
          <w:szCs w:val="20"/>
        </w:rPr>
        <w:tab/>
        <w:t>1.</w:t>
      </w:r>
      <w:r w:rsidRPr="00493CE0">
        <w:rPr>
          <w:rFonts w:ascii="Times New Roman" w:hAnsi="Times New Roman" w:cs="Times New Roman"/>
          <w:sz w:val="20"/>
          <w:szCs w:val="20"/>
        </w:rPr>
        <w:tab/>
        <w:t>Point-in-time Conditional Average Causal Effect (</w:t>
      </w:r>
      <w:proofErr w:type="spellStart"/>
      <w:r w:rsidRPr="00493CE0">
        <w:rPr>
          <w:rFonts w:ascii="Times New Roman" w:hAnsi="Times New Roman" w:cs="Times New Roman"/>
          <w:sz w:val="20"/>
          <w:szCs w:val="20"/>
        </w:rPr>
        <w:t>CACE</w:t>
      </w:r>
      <w:r w:rsidR="00AB3BC3" w:rsidRPr="00493CE0">
        <w:rPr>
          <w:rFonts w:ascii="Times New Roman" w:hAnsi="Times New Roman" w:cs="Times New Roman"/>
          <w:sz w:val="20"/>
          <w:szCs w:val="20"/>
          <w:vertAlign w:val="subscript"/>
        </w:rPr>
        <w:t>i</w:t>
      </w:r>
      <w:proofErr w:type="spellEnd"/>
      <w:r w:rsidRPr="00493CE0">
        <w:rPr>
          <w:rFonts w:ascii="Times New Roman" w:hAnsi="Times New Roman" w:cs="Times New Roman"/>
          <w:sz w:val="20"/>
          <w:szCs w:val="20"/>
        </w:rPr>
        <w:t>):</w:t>
      </w:r>
    </w:p>
    <w:p w14:paraId="02AA74EE" w14:textId="77777777" w:rsidR="00320C49" w:rsidRPr="00493CE0" w:rsidRDefault="00320C49" w:rsidP="00320C49">
      <w:pPr>
        <w:rPr>
          <w:rFonts w:ascii="Times New Roman" w:hAnsi="Times New Roman" w:cs="Times New Roman"/>
          <w:sz w:val="20"/>
          <w:szCs w:val="20"/>
        </w:rPr>
      </w:pPr>
    </w:p>
    <w:p w14:paraId="27990861" w14:textId="0F779B13" w:rsidR="00320C49" w:rsidRPr="00493CE0" w:rsidRDefault="00071FDE" w:rsidP="00320C49">
      <w:pPr>
        <w:rPr>
          <w:rFonts w:ascii="Times New Roman" w:hAnsi="Times New Roman" w:cs="Times New Roman"/>
          <w:sz w:val="20"/>
          <w:szCs w:val="20"/>
        </w:rPr>
      </w:pPr>
      <m:oMathPara>
        <m:oMath>
          <m:r>
            <w:rPr>
              <w:rFonts w:ascii="Cambria Math" w:hAnsi="Cambria Math" w:cs="Times New Roman"/>
              <w:sz w:val="20"/>
              <w:szCs w:val="20"/>
            </w:rPr>
            <m:t>CAC</m:t>
          </m:r>
          <m:sSub>
            <m:sSubPr>
              <m:ctrlPr>
                <w:rPr>
                  <w:rFonts w:ascii="Cambria Math" w:hAnsi="Cambria Math" w:cs="Times New Roman"/>
                  <w:sz w:val="20"/>
                  <w:szCs w:val="20"/>
                </w:rPr>
              </m:ctrlPr>
            </m:sSubPr>
            <m:e>
              <m:r>
                <w:rPr>
                  <w:rFonts w:ascii="Cambria Math" w:hAnsi="Cambria Math" w:cs="Times New Roman"/>
                  <w:sz w:val="20"/>
                  <w:szCs w:val="20"/>
                </w:rPr>
                <m:t>E</m:t>
              </m:r>
            </m:e>
            <m:sub>
              <m:r>
                <w:rPr>
                  <w:rFonts w:ascii="Cambria Math" w:hAnsi="Cambria Math" w:cs="Times New Roman"/>
                  <w:sz w:val="20"/>
                  <w:szCs w:val="20"/>
                </w:rPr>
                <m:t>i</m:t>
              </m:r>
            </m:sub>
          </m:sSub>
          <m:r>
            <w:rPr>
              <w:rFonts w:ascii="Cambria Math" w:hAnsi="Cambria Math" w:cs="Times New Roman"/>
              <w:sz w:val="20"/>
              <w:szCs w:val="20"/>
            </w:rPr>
            <m:t>=</m:t>
          </m:r>
          <m:r>
            <m:rPr>
              <m:nor/>
            </m:rPr>
            <w:rPr>
              <w:rFonts w:ascii="Times New Roman" w:hAnsi="Times New Roman" w:cs="Times New Roman"/>
              <w:sz w:val="20"/>
              <w:szCs w:val="20"/>
            </w:rPr>
            <m:t xml:space="preserve"> </m:t>
          </m:r>
          <m:f>
            <m:fPr>
              <m:ctrlPr>
                <w:rPr>
                  <w:rFonts w:ascii="Cambria Math" w:hAnsi="Cambria Math" w:cs="Times New Roman"/>
                  <w:sz w:val="20"/>
                  <w:szCs w:val="20"/>
                </w:rPr>
              </m:ctrlPr>
            </m:fPr>
            <m:num>
              <m:r>
                <w:rPr>
                  <w:rFonts w:ascii="Cambria Math" w:hAnsi="Cambria Math" w:cs="Times New Roman"/>
                  <w:sz w:val="20"/>
                  <w:szCs w:val="20"/>
                </w:rPr>
                <m:t>1</m:t>
              </m:r>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e,s</m:t>
                  </m:r>
                </m:sub>
              </m:sSub>
            </m:den>
          </m:f>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j=1</m:t>
              </m:r>
            </m:sub>
            <m:sup>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e,s</m:t>
                  </m:r>
                </m:sub>
              </m:sSub>
            </m:sup>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e,i,j</m:t>
                  </m:r>
                </m:sub>
              </m:sSub>
            </m:e>
          </m:nary>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1</m:t>
              </m:r>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c,s</m:t>
                  </m:r>
                </m:sub>
              </m:sSub>
            </m:den>
          </m:f>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k=1</m:t>
              </m:r>
            </m:sub>
            <m:sup>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c,s</m:t>
                  </m:r>
                </m:sub>
              </m:sSub>
            </m:sup>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c,i,k</m:t>
                  </m:r>
                </m:sub>
              </m:sSub>
            </m:e>
          </m:nary>
        </m:oMath>
      </m:oMathPara>
    </w:p>
    <w:p w14:paraId="34E32863" w14:textId="77777777" w:rsidR="00320C49" w:rsidRPr="00493CE0" w:rsidRDefault="00320C49" w:rsidP="00AC68B5">
      <w:pPr>
        <w:ind w:left="720"/>
        <w:rPr>
          <w:rFonts w:ascii="Times New Roman" w:hAnsi="Times New Roman" w:cs="Times New Roman"/>
          <w:sz w:val="20"/>
          <w:szCs w:val="20"/>
        </w:rPr>
      </w:pPr>
      <w:r w:rsidRPr="00493CE0">
        <w:rPr>
          <w:rFonts w:ascii="Times New Roman" w:hAnsi="Times New Roman" w:cs="Times New Roman"/>
          <w:sz w:val="20"/>
          <w:szCs w:val="20"/>
        </w:rPr>
        <w:t>where:</w:t>
      </w:r>
    </w:p>
    <w:p w14:paraId="09912BD2" w14:textId="5802F63E" w:rsidR="00320C49" w:rsidRPr="00493CE0" w:rsidRDefault="00AB3BC3" w:rsidP="00AC68B5">
      <w:pPr>
        <w:pStyle w:val="ListParagraph"/>
        <w:numPr>
          <w:ilvl w:val="0"/>
          <w:numId w:val="2"/>
        </w:numPr>
        <w:rPr>
          <w:rFonts w:ascii="Times New Roman" w:hAnsi="Times New Roman" w:cs="Times New Roman"/>
          <w:sz w:val="20"/>
          <w:szCs w:val="20"/>
        </w:rPr>
      </w:pPr>
      <w:proofErr w:type="spellStart"/>
      <w:proofErr w:type="gramStart"/>
      <w:r w:rsidRPr="00493CE0">
        <w:rPr>
          <w:rFonts w:ascii="Times New Roman" w:hAnsi="Times New Roman" w:cs="Times New Roman"/>
          <w:sz w:val="20"/>
          <w:szCs w:val="20"/>
        </w:rPr>
        <w:t>Y</w:t>
      </w:r>
      <w:r w:rsidR="002A4A75" w:rsidRPr="00493CE0">
        <w:rPr>
          <w:rFonts w:ascii="Times New Roman" w:hAnsi="Times New Roman" w:cs="Times New Roman"/>
          <w:sz w:val="20"/>
          <w:szCs w:val="20"/>
          <w:vertAlign w:val="subscript"/>
        </w:rPr>
        <w:t>e,i</w:t>
      </w:r>
      <w:proofErr w:type="gramEnd"/>
      <w:r w:rsidR="002A4A75" w:rsidRPr="00493CE0">
        <w:rPr>
          <w:rFonts w:ascii="Times New Roman" w:hAnsi="Times New Roman" w:cs="Times New Roman"/>
          <w:sz w:val="20"/>
          <w:szCs w:val="20"/>
          <w:vertAlign w:val="subscript"/>
        </w:rPr>
        <w:t>,j</w:t>
      </w:r>
      <w:proofErr w:type="spellEnd"/>
      <w:r w:rsidR="002A4A75" w:rsidRPr="00493CE0">
        <w:rPr>
          <w:rFonts w:ascii="Times New Roman" w:hAnsi="Times New Roman" w:cs="Times New Roman"/>
          <w:sz w:val="20"/>
          <w:szCs w:val="20"/>
        </w:rPr>
        <w:t xml:space="preserve"> </w:t>
      </w:r>
      <w:r w:rsidR="00320C49" w:rsidRPr="00493CE0">
        <w:rPr>
          <w:rFonts w:ascii="Times New Roman" w:hAnsi="Times New Roman" w:cs="Times New Roman"/>
          <w:sz w:val="20"/>
          <w:szCs w:val="20"/>
        </w:rPr>
        <w:t xml:space="preserve">is the income of the exposed </w:t>
      </w:r>
      <w:r w:rsidR="00FE1AC4" w:rsidRPr="00493CE0">
        <w:rPr>
          <w:rFonts w:ascii="Times New Roman" w:hAnsi="Times New Roman" w:cs="Times New Roman"/>
          <w:sz w:val="20"/>
          <w:szCs w:val="20"/>
        </w:rPr>
        <w:t>individual j</w:t>
      </w:r>
      <w:r w:rsidR="00320C49" w:rsidRPr="00493CE0">
        <w:rPr>
          <w:rFonts w:ascii="Times New Roman" w:hAnsi="Times New Roman" w:cs="Times New Roman"/>
          <w:sz w:val="20"/>
          <w:szCs w:val="20"/>
        </w:rPr>
        <w:t xml:space="preserve"> in subgroup s at time </w:t>
      </w:r>
      <w:proofErr w:type="spellStart"/>
      <w:r w:rsidR="00320C49" w:rsidRPr="00493CE0">
        <w:rPr>
          <w:rFonts w:ascii="Times New Roman" w:hAnsi="Times New Roman" w:cs="Times New Roman"/>
          <w:sz w:val="20"/>
          <w:szCs w:val="20"/>
        </w:rPr>
        <w:t>i</w:t>
      </w:r>
      <w:proofErr w:type="spellEnd"/>
      <w:r w:rsidR="00320C49" w:rsidRPr="00493CE0">
        <w:rPr>
          <w:rFonts w:ascii="Times New Roman" w:hAnsi="Times New Roman" w:cs="Times New Roman"/>
          <w:sz w:val="20"/>
          <w:szCs w:val="20"/>
        </w:rPr>
        <w:t>,</w:t>
      </w:r>
    </w:p>
    <w:p w14:paraId="214AC034" w14:textId="1A8A081B" w:rsidR="00320C49" w:rsidRPr="00493CE0" w:rsidRDefault="00AC68B5" w:rsidP="00AC68B5">
      <w:pPr>
        <w:pStyle w:val="ListParagraph"/>
        <w:numPr>
          <w:ilvl w:val="0"/>
          <w:numId w:val="2"/>
        </w:numPr>
        <w:rPr>
          <w:rFonts w:ascii="Times New Roman" w:hAnsi="Times New Roman" w:cs="Times New Roman"/>
          <w:sz w:val="20"/>
          <w:szCs w:val="20"/>
        </w:rPr>
      </w:pPr>
      <w:proofErr w:type="spellStart"/>
      <w:proofErr w:type="gramStart"/>
      <w:r w:rsidRPr="00493CE0">
        <w:rPr>
          <w:rFonts w:ascii="Times New Roman" w:hAnsi="Times New Roman" w:cs="Times New Roman"/>
          <w:sz w:val="20"/>
          <w:szCs w:val="20"/>
        </w:rPr>
        <w:t>Y</w:t>
      </w:r>
      <w:r w:rsidRPr="00493CE0">
        <w:rPr>
          <w:rFonts w:ascii="Times New Roman" w:hAnsi="Times New Roman" w:cs="Times New Roman"/>
          <w:sz w:val="20"/>
          <w:szCs w:val="20"/>
          <w:vertAlign w:val="subscript"/>
        </w:rPr>
        <w:t>c,i</w:t>
      </w:r>
      <w:proofErr w:type="gramEnd"/>
      <w:r w:rsidRPr="00493CE0">
        <w:rPr>
          <w:rFonts w:ascii="Times New Roman" w:hAnsi="Times New Roman" w:cs="Times New Roman"/>
          <w:sz w:val="20"/>
          <w:szCs w:val="20"/>
          <w:vertAlign w:val="subscript"/>
        </w:rPr>
        <w:t>,k</w:t>
      </w:r>
      <w:proofErr w:type="spellEnd"/>
      <w:r w:rsidRPr="00493CE0">
        <w:rPr>
          <w:rFonts w:ascii="Times New Roman" w:hAnsi="Times New Roman" w:cs="Times New Roman"/>
          <w:sz w:val="20"/>
          <w:szCs w:val="20"/>
        </w:rPr>
        <w:t xml:space="preserve"> </w:t>
      </w:r>
      <w:r w:rsidR="00320C49" w:rsidRPr="00493CE0">
        <w:rPr>
          <w:rFonts w:ascii="Times New Roman" w:hAnsi="Times New Roman" w:cs="Times New Roman"/>
          <w:sz w:val="20"/>
          <w:szCs w:val="20"/>
        </w:rPr>
        <w:t xml:space="preserve">is the income of the control individual k in subgroup s at time </w:t>
      </w:r>
      <w:proofErr w:type="spellStart"/>
      <w:r w:rsidR="00320C49" w:rsidRPr="00493CE0">
        <w:rPr>
          <w:rFonts w:ascii="Times New Roman" w:hAnsi="Times New Roman" w:cs="Times New Roman"/>
          <w:sz w:val="20"/>
          <w:szCs w:val="20"/>
        </w:rPr>
        <w:t>i</w:t>
      </w:r>
      <w:proofErr w:type="spellEnd"/>
      <w:r w:rsidR="00320C49" w:rsidRPr="00493CE0">
        <w:rPr>
          <w:rFonts w:ascii="Times New Roman" w:hAnsi="Times New Roman" w:cs="Times New Roman"/>
          <w:sz w:val="20"/>
          <w:szCs w:val="20"/>
        </w:rPr>
        <w:t>,</w:t>
      </w:r>
    </w:p>
    <w:p w14:paraId="4BBC451C" w14:textId="2EDBD867" w:rsidR="00320C49" w:rsidRPr="00493CE0" w:rsidRDefault="00232611" w:rsidP="00AC68B5">
      <w:pPr>
        <w:pStyle w:val="ListParagraph"/>
        <w:numPr>
          <w:ilvl w:val="0"/>
          <w:numId w:val="2"/>
        </w:numPr>
        <w:rPr>
          <w:rFonts w:ascii="Times New Roman" w:hAnsi="Times New Roman" w:cs="Times New Roman"/>
          <w:sz w:val="20"/>
          <w:szCs w:val="20"/>
        </w:rPr>
      </w:pPr>
      <w:proofErr w:type="spellStart"/>
      <w:proofErr w:type="gramStart"/>
      <w:r w:rsidRPr="00493CE0">
        <w:rPr>
          <w:rFonts w:ascii="Times New Roman" w:hAnsi="Times New Roman" w:cs="Times New Roman"/>
          <w:sz w:val="20"/>
          <w:szCs w:val="20"/>
        </w:rPr>
        <w:t>n</w:t>
      </w:r>
      <w:r w:rsidRPr="00493CE0">
        <w:rPr>
          <w:rFonts w:ascii="Times New Roman" w:hAnsi="Times New Roman" w:cs="Times New Roman"/>
          <w:sz w:val="20"/>
          <w:szCs w:val="20"/>
          <w:vertAlign w:val="subscript"/>
        </w:rPr>
        <w:t>e,s</w:t>
      </w:r>
      <w:proofErr w:type="spellEnd"/>
      <w:proofErr w:type="gramEnd"/>
      <w:r w:rsidR="000F0BEE" w:rsidRPr="00493CE0">
        <w:rPr>
          <w:rFonts w:ascii="Times New Roman" w:hAnsi="Times New Roman" w:cs="Times New Roman"/>
          <w:sz w:val="20"/>
          <w:szCs w:val="20"/>
        </w:rPr>
        <w:t xml:space="preserve"> </w:t>
      </w:r>
      <w:r w:rsidR="00320C49" w:rsidRPr="00493CE0">
        <w:rPr>
          <w:rFonts w:ascii="Times New Roman" w:hAnsi="Times New Roman" w:cs="Times New Roman"/>
          <w:sz w:val="20"/>
          <w:szCs w:val="20"/>
        </w:rPr>
        <w:t xml:space="preserve">and </w:t>
      </w:r>
      <w:proofErr w:type="spellStart"/>
      <w:r w:rsidR="00320C49" w:rsidRPr="00493CE0">
        <w:rPr>
          <w:rFonts w:ascii="Times New Roman" w:hAnsi="Times New Roman" w:cs="Times New Roman"/>
          <w:sz w:val="20"/>
          <w:szCs w:val="20"/>
        </w:rPr>
        <w:t>n</w:t>
      </w:r>
      <w:r w:rsidRPr="00493CE0">
        <w:rPr>
          <w:rFonts w:ascii="Times New Roman" w:hAnsi="Times New Roman" w:cs="Times New Roman"/>
          <w:sz w:val="20"/>
          <w:szCs w:val="20"/>
          <w:vertAlign w:val="subscript"/>
        </w:rPr>
        <w:t>c,s</w:t>
      </w:r>
      <w:proofErr w:type="spellEnd"/>
      <w:r w:rsidRPr="00493CE0">
        <w:rPr>
          <w:rFonts w:ascii="Times New Roman" w:hAnsi="Times New Roman" w:cs="Times New Roman"/>
          <w:sz w:val="20"/>
          <w:szCs w:val="20"/>
        </w:rPr>
        <w:t xml:space="preserve"> </w:t>
      </w:r>
      <w:r w:rsidR="00320C49" w:rsidRPr="00493CE0">
        <w:rPr>
          <w:rFonts w:ascii="Times New Roman" w:hAnsi="Times New Roman" w:cs="Times New Roman"/>
          <w:sz w:val="20"/>
          <w:szCs w:val="20"/>
        </w:rPr>
        <w:t>are the number of exposed and control individuals in subgroup s,</w:t>
      </w:r>
      <w:r w:rsidR="00AC68B5" w:rsidRPr="00493CE0">
        <w:rPr>
          <w:rFonts w:ascii="Times New Roman" w:hAnsi="Times New Roman" w:cs="Times New Roman"/>
          <w:sz w:val="20"/>
          <w:szCs w:val="20"/>
        </w:rPr>
        <w:t xml:space="preserve"> </w:t>
      </w:r>
      <w:r w:rsidR="00320C49" w:rsidRPr="00493CE0">
        <w:rPr>
          <w:rFonts w:ascii="Times New Roman" w:hAnsi="Times New Roman" w:cs="Times New Roman"/>
          <w:sz w:val="20"/>
          <w:szCs w:val="20"/>
        </w:rPr>
        <w:t>respectively.</w:t>
      </w:r>
    </w:p>
    <w:p w14:paraId="10B4222F" w14:textId="0F5818B8" w:rsidR="00320C49" w:rsidRPr="00493CE0" w:rsidRDefault="00320C49" w:rsidP="00320C49">
      <w:pPr>
        <w:rPr>
          <w:rFonts w:ascii="Times New Roman" w:hAnsi="Times New Roman" w:cs="Times New Roman"/>
          <w:sz w:val="20"/>
          <w:szCs w:val="20"/>
        </w:rPr>
      </w:pPr>
      <w:r w:rsidRPr="00493CE0">
        <w:rPr>
          <w:rFonts w:ascii="Times New Roman" w:hAnsi="Times New Roman" w:cs="Times New Roman"/>
          <w:sz w:val="20"/>
          <w:szCs w:val="20"/>
        </w:rPr>
        <w:tab/>
        <w:t>2.</w:t>
      </w:r>
      <w:r w:rsidRPr="00493CE0">
        <w:rPr>
          <w:rFonts w:ascii="Times New Roman" w:hAnsi="Times New Roman" w:cs="Times New Roman"/>
          <w:sz w:val="20"/>
          <w:szCs w:val="20"/>
        </w:rPr>
        <w:tab/>
        <w:t>Point-in-time Average Causal Effect of the Exposed (</w:t>
      </w:r>
      <w:proofErr w:type="spellStart"/>
      <w:r w:rsidRPr="00493CE0">
        <w:rPr>
          <w:rFonts w:ascii="Times New Roman" w:hAnsi="Times New Roman" w:cs="Times New Roman"/>
          <w:sz w:val="20"/>
          <w:szCs w:val="20"/>
        </w:rPr>
        <w:t>ACX</w:t>
      </w:r>
      <w:r w:rsidR="00232611" w:rsidRPr="00493CE0">
        <w:rPr>
          <w:rFonts w:ascii="Times New Roman" w:hAnsi="Times New Roman" w:cs="Times New Roman"/>
          <w:sz w:val="20"/>
          <w:szCs w:val="20"/>
          <w:vertAlign w:val="subscript"/>
        </w:rPr>
        <w:t>i</w:t>
      </w:r>
      <w:proofErr w:type="spellEnd"/>
      <w:r w:rsidRPr="00493CE0">
        <w:rPr>
          <w:rFonts w:ascii="Times New Roman" w:hAnsi="Times New Roman" w:cs="Times New Roman"/>
          <w:sz w:val="20"/>
          <w:szCs w:val="20"/>
        </w:rPr>
        <w:t>):</w:t>
      </w:r>
    </w:p>
    <w:p w14:paraId="699024D6" w14:textId="77777777" w:rsidR="00320C49" w:rsidRPr="00493CE0" w:rsidRDefault="00320C49" w:rsidP="00320C49">
      <w:pPr>
        <w:rPr>
          <w:rFonts w:ascii="Times New Roman" w:hAnsi="Times New Roman" w:cs="Times New Roman"/>
          <w:sz w:val="20"/>
          <w:szCs w:val="20"/>
        </w:rPr>
      </w:pPr>
    </w:p>
    <w:p w14:paraId="7499147E" w14:textId="07A98AC7" w:rsidR="0071112C" w:rsidRPr="00493CE0" w:rsidRDefault="0071112C" w:rsidP="00320C49">
      <w:pPr>
        <w:rPr>
          <w:rFonts w:ascii="Times New Roman" w:hAnsi="Times New Roman" w:cs="Times New Roman"/>
          <w:sz w:val="20"/>
          <w:szCs w:val="20"/>
        </w:rPr>
      </w:pPr>
      <m:oMathPara>
        <m:oMath>
          <m:r>
            <w:rPr>
              <w:rFonts w:ascii="Cambria Math" w:hAnsi="Cambria Math" w:cs="Times New Roman"/>
              <w:sz w:val="20"/>
              <w:szCs w:val="20"/>
            </w:rPr>
            <m:t>AC</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s=1</m:t>
              </m:r>
            </m:sub>
            <m:sup>
              <m:r>
                <w:rPr>
                  <w:rFonts w:ascii="Cambria Math" w:hAnsi="Cambria Math" w:cs="Times New Roman"/>
                  <w:sz w:val="20"/>
                  <w:szCs w:val="20"/>
                </w:rPr>
                <m:t>S</m:t>
              </m:r>
            </m:sup>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s</m:t>
                  </m:r>
                </m:sub>
              </m:sSub>
            </m:e>
          </m:nary>
          <m:r>
            <w:rPr>
              <w:rFonts w:ascii="Cambria Math" w:hAnsi="Cambria Math" w:cs="Times New Roman"/>
              <w:sz w:val="20"/>
              <w:szCs w:val="20"/>
            </w:rPr>
            <m:t>⋅CAC</m:t>
          </m:r>
          <m:sSubSup>
            <m:sSubSupPr>
              <m:ctrlPr>
                <w:rPr>
                  <w:rFonts w:ascii="Cambria Math" w:hAnsi="Cambria Math" w:cs="Times New Roman"/>
                  <w:sz w:val="20"/>
                  <w:szCs w:val="20"/>
                </w:rPr>
              </m:ctrlPr>
            </m:sSubSupPr>
            <m:e>
              <m:r>
                <w:rPr>
                  <w:rFonts w:ascii="Cambria Math" w:hAnsi="Cambria Math" w:cs="Times New Roman"/>
                  <w:sz w:val="20"/>
                  <w:szCs w:val="20"/>
                </w:rPr>
                <m:t>E</m:t>
              </m:r>
            </m:e>
            <m:sub>
              <m:r>
                <w:rPr>
                  <w:rFonts w:ascii="Cambria Math" w:hAnsi="Cambria Math" w:cs="Times New Roman"/>
                  <w:sz w:val="20"/>
                  <w:szCs w:val="20"/>
                </w:rPr>
                <m:t>i</m:t>
              </m:r>
            </m:sub>
            <m:sup>
              <m:r>
                <w:rPr>
                  <w:rFonts w:ascii="Cambria Math" w:hAnsi="Cambria Math" w:cs="Times New Roman"/>
                  <w:sz w:val="20"/>
                  <w:szCs w:val="20"/>
                </w:rPr>
                <m:t>(s)</m:t>
              </m:r>
            </m:sup>
          </m:sSubSup>
        </m:oMath>
      </m:oMathPara>
    </w:p>
    <w:p w14:paraId="5166C2A6" w14:textId="77777777" w:rsidR="00320C49" w:rsidRPr="00493CE0" w:rsidRDefault="00320C49" w:rsidP="00320C49">
      <w:pPr>
        <w:rPr>
          <w:rFonts w:ascii="Times New Roman" w:hAnsi="Times New Roman" w:cs="Times New Roman"/>
          <w:sz w:val="20"/>
          <w:szCs w:val="20"/>
        </w:rPr>
      </w:pPr>
    </w:p>
    <w:p w14:paraId="6E463F9B" w14:textId="77777777" w:rsidR="00320C49" w:rsidRPr="00493CE0" w:rsidRDefault="00320C49" w:rsidP="00473EC3">
      <w:pPr>
        <w:ind w:firstLine="720"/>
        <w:rPr>
          <w:rFonts w:ascii="Times New Roman" w:hAnsi="Times New Roman" w:cs="Times New Roman"/>
          <w:sz w:val="20"/>
          <w:szCs w:val="20"/>
        </w:rPr>
      </w:pPr>
      <w:r w:rsidRPr="00493CE0">
        <w:rPr>
          <w:rFonts w:ascii="Times New Roman" w:hAnsi="Times New Roman" w:cs="Times New Roman"/>
          <w:sz w:val="20"/>
          <w:szCs w:val="20"/>
        </w:rPr>
        <w:t>where:</w:t>
      </w:r>
    </w:p>
    <w:p w14:paraId="18030D54" w14:textId="01DB9EAA" w:rsidR="00320C49" w:rsidRPr="00493CE0" w:rsidRDefault="00320C49" w:rsidP="00084841">
      <w:pPr>
        <w:pStyle w:val="ListParagraph"/>
        <w:numPr>
          <w:ilvl w:val="0"/>
          <w:numId w:val="2"/>
        </w:numPr>
        <w:rPr>
          <w:rFonts w:ascii="Times New Roman" w:hAnsi="Times New Roman" w:cs="Times New Roman"/>
          <w:sz w:val="20"/>
          <w:szCs w:val="20"/>
        </w:rPr>
      </w:pPr>
      <w:proofErr w:type="spellStart"/>
      <w:r w:rsidRPr="00493CE0">
        <w:rPr>
          <w:rFonts w:ascii="Times New Roman" w:hAnsi="Times New Roman" w:cs="Times New Roman"/>
          <w:sz w:val="20"/>
          <w:szCs w:val="20"/>
        </w:rPr>
        <w:t>CACE</w:t>
      </w:r>
      <w:r w:rsidR="00C8076E" w:rsidRPr="00493CE0">
        <w:rPr>
          <w:rFonts w:ascii="Times New Roman" w:hAnsi="Times New Roman" w:cs="Times New Roman"/>
          <w:sz w:val="20"/>
          <w:szCs w:val="20"/>
          <w:vertAlign w:val="subscript"/>
        </w:rPr>
        <w:t>i</w:t>
      </w:r>
      <w:proofErr w:type="spellEnd"/>
      <w:r w:rsidR="00C8076E" w:rsidRPr="00493CE0">
        <w:rPr>
          <w:rFonts w:ascii="Times New Roman" w:hAnsi="Times New Roman" w:cs="Times New Roman"/>
          <w:sz w:val="20"/>
          <w:szCs w:val="20"/>
          <w:vertAlign w:val="superscript"/>
        </w:rPr>
        <w:t xml:space="preserve">(s) </w:t>
      </w:r>
      <w:r w:rsidRPr="00493CE0">
        <w:rPr>
          <w:rFonts w:ascii="Times New Roman" w:hAnsi="Times New Roman" w:cs="Times New Roman"/>
          <w:sz w:val="20"/>
          <w:szCs w:val="20"/>
        </w:rPr>
        <w:t xml:space="preserve">is the conditional average causal effect for subgroup s at time </w:t>
      </w:r>
      <w:proofErr w:type="spellStart"/>
      <w:proofErr w:type="gramStart"/>
      <w:r w:rsidRPr="00493CE0">
        <w:rPr>
          <w:rFonts w:ascii="Times New Roman" w:hAnsi="Times New Roman" w:cs="Times New Roman"/>
          <w:sz w:val="20"/>
          <w:szCs w:val="20"/>
        </w:rPr>
        <w:t>i</w:t>
      </w:r>
      <w:proofErr w:type="spellEnd"/>
      <w:r w:rsidRPr="00493CE0">
        <w:rPr>
          <w:rFonts w:ascii="Times New Roman" w:hAnsi="Times New Roman" w:cs="Times New Roman"/>
          <w:sz w:val="20"/>
          <w:szCs w:val="20"/>
        </w:rPr>
        <w:t xml:space="preserve"> ,</w:t>
      </w:r>
      <w:proofErr w:type="gramEnd"/>
    </w:p>
    <w:p w14:paraId="48231845" w14:textId="7E9A354A" w:rsidR="00320C49" w:rsidRPr="00493CE0" w:rsidRDefault="00107340" w:rsidP="00084841">
      <w:pPr>
        <w:pStyle w:val="ListParagraph"/>
        <w:numPr>
          <w:ilvl w:val="0"/>
          <w:numId w:val="2"/>
        </w:numP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s</m:t>
            </m:r>
          </m:sub>
        </m:sSub>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e</m:t>
                </m:r>
                <m:r>
                  <w:rPr>
                    <w:rFonts w:ascii="Cambria Math" w:hAnsi="Cambria Math" w:cs="Times New Roman"/>
                    <w:sz w:val="20"/>
                    <w:szCs w:val="20"/>
                  </w:rPr>
                  <m:t>,</m:t>
                </m:r>
                <m:r>
                  <w:rPr>
                    <w:rFonts w:ascii="Cambria Math" w:hAnsi="Cambria Math" w:cs="Times New Roman"/>
                    <w:sz w:val="20"/>
                    <w:szCs w:val="20"/>
                  </w:rPr>
                  <m:t>s</m:t>
                </m:r>
              </m:sub>
            </m:sSub>
          </m:num>
          <m:den>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e</m:t>
                </m:r>
              </m:sub>
            </m:sSub>
          </m:den>
        </m:f>
      </m:oMath>
      <w:r w:rsidR="009D0D1D" w:rsidRPr="00493CE0">
        <w:rPr>
          <w:rFonts w:ascii="Times New Roman" w:eastAsiaTheme="minorEastAsia" w:hAnsi="Times New Roman" w:cs="Times New Roman"/>
          <w:sz w:val="20"/>
          <w:szCs w:val="20"/>
        </w:rPr>
        <w:t xml:space="preserve"> </w:t>
      </w:r>
      <w:r w:rsidR="00320C49" w:rsidRPr="00493CE0">
        <w:rPr>
          <w:rFonts w:ascii="Times New Roman" w:hAnsi="Times New Roman" w:cs="Times New Roman"/>
          <w:sz w:val="20"/>
          <w:szCs w:val="20"/>
        </w:rPr>
        <w:t>is the weight for subgroup s, determined by the proportion of exposed</w:t>
      </w:r>
      <w:r w:rsidR="00AA78C5" w:rsidRPr="00493CE0">
        <w:rPr>
          <w:rFonts w:ascii="Times New Roman" w:hAnsi="Times New Roman" w:cs="Times New Roman"/>
          <w:sz w:val="20"/>
          <w:szCs w:val="20"/>
        </w:rPr>
        <w:t xml:space="preserve"> </w:t>
      </w:r>
      <w:r w:rsidR="00320C49" w:rsidRPr="00493CE0">
        <w:rPr>
          <w:rFonts w:ascii="Times New Roman" w:hAnsi="Times New Roman" w:cs="Times New Roman"/>
          <w:sz w:val="20"/>
          <w:szCs w:val="20"/>
        </w:rPr>
        <w:t>individuals in that subgroup relative to the total number of exposed individuals n</w:t>
      </w:r>
      <w:r w:rsidR="00084841" w:rsidRPr="00493CE0">
        <w:rPr>
          <w:rFonts w:ascii="Times New Roman" w:hAnsi="Times New Roman" w:cs="Times New Roman"/>
          <w:sz w:val="20"/>
          <w:szCs w:val="20"/>
          <w:vertAlign w:val="subscript"/>
        </w:rPr>
        <w:t>e</w:t>
      </w:r>
      <w:r w:rsidR="00320C49" w:rsidRPr="00493CE0">
        <w:rPr>
          <w:rFonts w:ascii="Times New Roman" w:hAnsi="Times New Roman" w:cs="Times New Roman"/>
          <w:sz w:val="20"/>
          <w:szCs w:val="20"/>
        </w:rPr>
        <w:t>,</w:t>
      </w:r>
    </w:p>
    <w:p w14:paraId="0566F738" w14:textId="0D2AC0A0" w:rsidR="00320C49" w:rsidRPr="00493CE0" w:rsidRDefault="00320C49" w:rsidP="00084841">
      <w:pPr>
        <w:pStyle w:val="ListParagraph"/>
        <w:numPr>
          <w:ilvl w:val="0"/>
          <w:numId w:val="2"/>
        </w:numPr>
        <w:rPr>
          <w:rFonts w:ascii="Times New Roman" w:hAnsi="Times New Roman" w:cs="Times New Roman"/>
          <w:sz w:val="20"/>
          <w:szCs w:val="20"/>
        </w:rPr>
      </w:pPr>
      <w:r w:rsidRPr="00493CE0">
        <w:rPr>
          <w:rFonts w:ascii="Times New Roman" w:hAnsi="Times New Roman" w:cs="Times New Roman"/>
          <w:sz w:val="20"/>
          <w:szCs w:val="20"/>
        </w:rPr>
        <w:t>S is the total number of subgroups.</w:t>
      </w:r>
    </w:p>
    <w:p w14:paraId="5A26E540" w14:textId="77777777" w:rsidR="00320C49" w:rsidRPr="00493CE0" w:rsidRDefault="00320C49" w:rsidP="00320C49">
      <w:pPr>
        <w:rPr>
          <w:rFonts w:ascii="Times New Roman" w:hAnsi="Times New Roman" w:cs="Times New Roman"/>
          <w:sz w:val="20"/>
          <w:szCs w:val="20"/>
        </w:rPr>
      </w:pPr>
      <w:r w:rsidRPr="00493CE0">
        <w:rPr>
          <w:rFonts w:ascii="Times New Roman" w:hAnsi="Times New Roman" w:cs="Times New Roman"/>
          <w:sz w:val="20"/>
          <w:szCs w:val="20"/>
        </w:rPr>
        <w:tab/>
        <w:t>3.</w:t>
      </w:r>
      <w:r w:rsidRPr="00493CE0">
        <w:rPr>
          <w:rFonts w:ascii="Times New Roman" w:hAnsi="Times New Roman" w:cs="Times New Roman"/>
          <w:sz w:val="20"/>
          <w:szCs w:val="20"/>
        </w:rPr>
        <w:tab/>
        <w:t>Cumulative Average Causal Effect (ACE):</w:t>
      </w:r>
    </w:p>
    <w:p w14:paraId="2135B426" w14:textId="77777777" w:rsidR="00320C49" w:rsidRPr="00493CE0" w:rsidRDefault="00320C49" w:rsidP="00320C49">
      <w:pPr>
        <w:rPr>
          <w:rFonts w:ascii="Times New Roman" w:hAnsi="Times New Roman" w:cs="Times New Roman"/>
          <w:sz w:val="20"/>
          <w:szCs w:val="20"/>
        </w:rPr>
      </w:pPr>
    </w:p>
    <w:p w14:paraId="340E7B95" w14:textId="00A1B565" w:rsidR="00320C49" w:rsidRPr="00493CE0" w:rsidRDefault="00510AE7" w:rsidP="00320C49">
      <w:pPr>
        <w:rPr>
          <w:rFonts w:ascii="Times New Roman" w:hAnsi="Times New Roman" w:cs="Times New Roman"/>
          <w:sz w:val="20"/>
          <w:szCs w:val="20"/>
        </w:rPr>
      </w:pPr>
      <m:oMathPara>
        <m:oMath>
          <m:r>
            <w:rPr>
              <w:rFonts w:ascii="Cambria Math" w:hAnsi="Cambria Math" w:cs="Times New Roman"/>
              <w:sz w:val="20"/>
              <w:szCs w:val="20"/>
            </w:rPr>
            <m:t>ACE=</m:t>
          </m:r>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10</m:t>
              </m:r>
            </m:sup>
            <m:e>
              <m:sSub>
                <m:sSubPr>
                  <m:ctrlPr>
                    <w:rPr>
                      <w:rFonts w:ascii="Cambria Math" w:hAnsi="Cambria Math" w:cs="Times New Roman"/>
                      <w:i/>
                      <w:sz w:val="20"/>
                      <w:szCs w:val="20"/>
                    </w:rPr>
                  </m:ctrlPr>
                </m:sSubPr>
                <m:e>
                  <m:r>
                    <w:rPr>
                      <w:rFonts w:ascii="Cambria Math" w:hAnsi="Cambria Math" w:cs="Times New Roman"/>
                      <w:sz w:val="20"/>
                      <w:szCs w:val="20"/>
                    </w:rPr>
                    <m:t>ACX</m:t>
                  </m:r>
                </m:e>
                <m:sub>
                  <m:r>
                    <w:rPr>
                      <w:rFonts w:ascii="Cambria Math" w:hAnsi="Cambria Math" w:cs="Times New Roman"/>
                      <w:sz w:val="20"/>
                      <w:szCs w:val="20"/>
                    </w:rPr>
                    <m:t>i</m:t>
                  </m:r>
                </m:sub>
              </m:sSub>
            </m:e>
          </m:nary>
        </m:oMath>
      </m:oMathPara>
    </w:p>
    <w:p w14:paraId="326EA03D" w14:textId="2AA7DEEB" w:rsidR="00546820" w:rsidRPr="00493CE0" w:rsidRDefault="00320C49" w:rsidP="00473EC3">
      <w:pPr>
        <w:ind w:firstLine="720"/>
        <w:rPr>
          <w:rFonts w:ascii="Times New Roman" w:hAnsi="Times New Roman" w:cs="Times New Roman"/>
          <w:sz w:val="20"/>
          <w:szCs w:val="20"/>
        </w:rPr>
      </w:pPr>
      <w:r w:rsidRPr="00493CE0">
        <w:rPr>
          <w:rFonts w:ascii="Times New Roman" w:hAnsi="Times New Roman" w:cs="Times New Roman"/>
          <w:sz w:val="20"/>
          <w:szCs w:val="20"/>
        </w:rPr>
        <w:t>where the summation is taken over the 10-year period.</w:t>
      </w:r>
    </w:p>
    <w:p w14:paraId="593E48BE" w14:textId="77777777" w:rsidR="00546820" w:rsidRDefault="00546820" w:rsidP="001C3F5C">
      <w:pPr>
        <w:rPr>
          <w:rFonts w:ascii="Times New Roman" w:hAnsi="Times New Roman" w:cs="Times New Roman"/>
          <w:sz w:val="22"/>
          <w:szCs w:val="22"/>
        </w:rPr>
      </w:pPr>
    </w:p>
    <w:p w14:paraId="3FF0DC96" w14:textId="77777777" w:rsidR="00CF672D" w:rsidRDefault="00CF672D">
      <w:pPr>
        <w:rPr>
          <w:rFonts w:ascii="Times New Roman" w:hAnsi="Times New Roman" w:cs="Times New Roman"/>
          <w:sz w:val="22"/>
          <w:szCs w:val="22"/>
        </w:rPr>
      </w:pPr>
      <w:r>
        <w:rPr>
          <w:rFonts w:ascii="Times New Roman" w:hAnsi="Times New Roman" w:cs="Times New Roman"/>
          <w:sz w:val="22"/>
          <w:szCs w:val="22"/>
        </w:rPr>
        <w:br w:type="page"/>
      </w:r>
    </w:p>
    <w:p w14:paraId="081091A6" w14:textId="77777777" w:rsidR="00493CE0" w:rsidRDefault="00D55F8D" w:rsidP="001C3F5C">
      <w:pPr>
        <w:rPr>
          <w:rFonts w:ascii="Times New Roman" w:hAnsi="Times New Roman" w:cs="Times New Roman"/>
        </w:rPr>
      </w:pPr>
      <w:r w:rsidRPr="003B0168">
        <w:rPr>
          <w:rFonts w:ascii="Times New Roman" w:hAnsi="Times New Roman" w:cs="Times New Roman"/>
          <w:b/>
          <w:bCs/>
        </w:rPr>
        <w:lastRenderedPageBreak/>
        <w:t xml:space="preserve">Figure 1: Average Causal Effect of the Exposed, </w:t>
      </w:r>
      <w:r w:rsidR="00B23A6B" w:rsidRPr="003B0168">
        <w:rPr>
          <w:rFonts w:ascii="Times New Roman" w:hAnsi="Times New Roman" w:cs="Times New Roman"/>
          <w:b/>
          <w:bCs/>
        </w:rPr>
        <w:t>personal income adjusted for mortality</w:t>
      </w:r>
      <w:r w:rsidR="00E26F16" w:rsidRPr="003B0168">
        <w:rPr>
          <w:rFonts w:ascii="Times New Roman" w:hAnsi="Times New Roman" w:cs="Times New Roman"/>
          <w:b/>
          <w:bCs/>
        </w:rPr>
        <w:t xml:space="preserve"> in the non-retired population</w:t>
      </w:r>
      <w:r w:rsidR="00DF478A" w:rsidRPr="003B0168">
        <w:rPr>
          <w:rFonts w:ascii="Times New Roman" w:hAnsi="Times New Roman" w:cs="Times New Roman"/>
          <w:b/>
          <w:bCs/>
        </w:rPr>
        <w:t>.</w:t>
      </w:r>
      <w:r w:rsidR="00DF478A" w:rsidRPr="003B0168">
        <w:rPr>
          <w:rFonts w:ascii="Times New Roman" w:hAnsi="Times New Roman" w:cs="Times New Roman"/>
        </w:rPr>
        <w:t xml:space="preserve"> </w:t>
      </w:r>
    </w:p>
    <w:p w14:paraId="03C3794E" w14:textId="40048289" w:rsidR="00DB6405" w:rsidRPr="00493CE0" w:rsidRDefault="00DF478A" w:rsidP="001C3F5C">
      <w:pPr>
        <w:rPr>
          <w:rFonts w:ascii="Times New Roman" w:hAnsi="Times New Roman" w:cs="Times New Roman"/>
          <w:sz w:val="20"/>
          <w:szCs w:val="20"/>
        </w:rPr>
      </w:pPr>
      <w:r w:rsidRPr="00493CE0">
        <w:rPr>
          <w:rFonts w:ascii="Times New Roman" w:hAnsi="Times New Roman" w:cs="Times New Roman"/>
          <w:sz w:val="20"/>
          <w:szCs w:val="20"/>
        </w:rPr>
        <w:t>In these results, any years after death which would be in the observation period are imputed as 0 income for individuals in the control or exposed groups.</w:t>
      </w:r>
    </w:p>
    <w:p w14:paraId="6A961BA2" w14:textId="0AC70DE9" w:rsidR="00B23A6B" w:rsidRPr="00541EB2" w:rsidRDefault="00C93CA3" w:rsidP="001C3F5C">
      <w:pPr>
        <w:rPr>
          <w:rFonts w:ascii="Times New Roman" w:hAnsi="Times New Roman" w:cs="Times New Roman"/>
          <w:sz w:val="22"/>
          <w:szCs w:val="22"/>
        </w:rPr>
      </w:pPr>
      <w:r w:rsidRPr="00541EB2">
        <w:rPr>
          <w:rFonts w:ascii="Times New Roman" w:hAnsi="Times New Roman" w:cs="Times New Roman"/>
          <w:noProof/>
          <w:sz w:val="22"/>
          <w:szCs w:val="22"/>
        </w:rPr>
        <w:drawing>
          <wp:inline distT="0" distB="0" distL="0" distR="0" wp14:anchorId="116D5E04" wp14:editId="3DE2C43B">
            <wp:extent cx="6209037" cy="5130800"/>
            <wp:effectExtent l="0" t="0" r="1270" b="0"/>
            <wp:docPr id="433387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87416" name=""/>
                    <pic:cNvPicPr/>
                  </pic:nvPicPr>
                  <pic:blipFill>
                    <a:blip r:embed="rId5"/>
                    <a:stretch>
                      <a:fillRect/>
                    </a:stretch>
                  </pic:blipFill>
                  <pic:spPr>
                    <a:xfrm>
                      <a:off x="0" y="0"/>
                      <a:ext cx="6255371" cy="5169088"/>
                    </a:xfrm>
                    <a:prstGeom prst="rect">
                      <a:avLst/>
                    </a:prstGeom>
                  </pic:spPr>
                </pic:pic>
              </a:graphicData>
            </a:graphic>
          </wp:inline>
        </w:drawing>
      </w:r>
    </w:p>
    <w:p w14:paraId="288AF915" w14:textId="77777777" w:rsidR="00111A16" w:rsidRDefault="00E26F16">
      <w:pPr>
        <w:rPr>
          <w:rFonts w:ascii="Times New Roman" w:hAnsi="Times New Roman" w:cs="Times New Roman"/>
          <w:sz w:val="22"/>
          <w:szCs w:val="22"/>
        </w:rPr>
        <w:sectPr w:rsidR="00111A16" w:rsidSect="00111A16">
          <w:pgSz w:w="12240" w:h="15840"/>
          <w:pgMar w:top="1440" w:right="1440" w:bottom="1440" w:left="1440" w:header="720" w:footer="720" w:gutter="0"/>
          <w:cols w:space="720"/>
          <w:docGrid w:linePitch="360"/>
        </w:sectPr>
      </w:pPr>
      <w:r w:rsidRPr="00541EB2">
        <w:rPr>
          <w:rFonts w:ascii="Times New Roman" w:hAnsi="Times New Roman" w:cs="Times New Roman"/>
          <w:sz w:val="22"/>
          <w:szCs w:val="22"/>
        </w:rPr>
        <w:br w:type="page"/>
      </w:r>
    </w:p>
    <w:p w14:paraId="488FE2E6" w14:textId="77777777" w:rsidR="00493CE0" w:rsidRDefault="00111A16" w:rsidP="00111A16">
      <w:pPr>
        <w:rPr>
          <w:rFonts w:ascii="Times New Roman" w:hAnsi="Times New Roman" w:cs="Times New Roman"/>
        </w:rPr>
      </w:pPr>
      <w:r w:rsidRPr="003B0168">
        <w:rPr>
          <w:rFonts w:ascii="Times New Roman" w:hAnsi="Times New Roman" w:cs="Times New Roman"/>
          <w:b/>
          <w:bCs/>
        </w:rPr>
        <w:lastRenderedPageBreak/>
        <w:t>Table 2: Labor market attachment over time in the exposed and unexposed population.</w:t>
      </w:r>
      <w:r w:rsidRPr="003B0168">
        <w:rPr>
          <w:rFonts w:ascii="Times New Roman" w:hAnsi="Times New Roman" w:cs="Times New Roman"/>
        </w:rPr>
        <w:t xml:space="preserve"> </w:t>
      </w:r>
    </w:p>
    <w:p w14:paraId="70A95F59" w14:textId="7EB0328A" w:rsidR="00111A16" w:rsidRPr="003B0168" w:rsidRDefault="00111A16" w:rsidP="00111A16">
      <w:pPr>
        <w:rPr>
          <w:rFonts w:ascii="Times New Roman" w:hAnsi="Times New Roman" w:cs="Times New Roman"/>
        </w:rPr>
      </w:pPr>
      <w:r w:rsidRPr="00493CE0">
        <w:rPr>
          <w:rFonts w:ascii="Times New Roman" w:hAnsi="Times New Roman" w:cs="Times New Roman"/>
          <w:sz w:val="20"/>
          <w:szCs w:val="20"/>
        </w:rPr>
        <w:t>Unexposed population is weighted at the match group level by the population size of the exposed population, to effectively standardize across all matching variables at baseline. Only individuals who are not retired (including early retirees) at baseline are shown in the table.</w:t>
      </w:r>
    </w:p>
    <w:p w14:paraId="2CBBDB8F" w14:textId="77777777" w:rsidR="00111A16" w:rsidRDefault="00111A16" w:rsidP="00111A16">
      <w:pPr>
        <w:rPr>
          <w:rFonts w:ascii="Times New Roman" w:hAnsi="Times New Roman" w:cs="Times New Roman"/>
          <w:sz w:val="22"/>
          <w:szCs w:val="22"/>
        </w:rPr>
      </w:pPr>
    </w:p>
    <w:tbl>
      <w:tblPr>
        <w:tblStyle w:val="TableGrid"/>
        <w:tblW w:w="9445" w:type="dxa"/>
        <w:tblLook w:val="04A0" w:firstRow="1" w:lastRow="0" w:firstColumn="1" w:lastColumn="0" w:noHBand="0" w:noVBand="1"/>
      </w:tblPr>
      <w:tblGrid>
        <w:gridCol w:w="2065"/>
        <w:gridCol w:w="1080"/>
        <w:gridCol w:w="1080"/>
        <w:gridCol w:w="900"/>
        <w:gridCol w:w="810"/>
        <w:gridCol w:w="1080"/>
        <w:gridCol w:w="900"/>
        <w:gridCol w:w="810"/>
        <w:gridCol w:w="720"/>
      </w:tblGrid>
      <w:tr w:rsidR="00442BFD" w:rsidRPr="00107340" w14:paraId="3ACDBD82" w14:textId="77777777" w:rsidTr="00071E8E">
        <w:trPr>
          <w:trHeight w:val="320"/>
        </w:trPr>
        <w:tc>
          <w:tcPr>
            <w:tcW w:w="2065" w:type="dxa"/>
            <w:vMerge w:val="restart"/>
            <w:hideMark/>
          </w:tcPr>
          <w:p w14:paraId="3DE2CAF3" w14:textId="77777777" w:rsidR="00111A16" w:rsidRPr="00107340" w:rsidRDefault="00111A16" w:rsidP="004149B9">
            <w:pPr>
              <w:jc w:val="center"/>
              <w:rPr>
                <w:rFonts w:ascii="Times New Roman" w:eastAsia="Times New Roman" w:hAnsi="Times New Roman" w:cs="Times New Roman"/>
                <w:b/>
                <w:bCs/>
                <w:color w:val="000000"/>
                <w:kern w:val="0"/>
                <w:sz w:val="18"/>
                <w:szCs w:val="18"/>
                <w14:ligatures w14:val="none"/>
              </w:rPr>
            </w:pPr>
            <w:r w:rsidRPr="00107340">
              <w:rPr>
                <w:rFonts w:ascii="Times New Roman" w:eastAsia="Times New Roman" w:hAnsi="Times New Roman" w:cs="Times New Roman"/>
                <w:b/>
                <w:bCs/>
                <w:color w:val="000000"/>
                <w:kern w:val="0"/>
                <w:sz w:val="18"/>
                <w:szCs w:val="18"/>
                <w14:ligatures w14:val="none"/>
              </w:rPr>
              <w:t>Labor market attachment status</w:t>
            </w:r>
          </w:p>
        </w:tc>
        <w:tc>
          <w:tcPr>
            <w:tcW w:w="3870" w:type="dxa"/>
            <w:gridSpan w:val="4"/>
            <w:noWrap/>
            <w:hideMark/>
          </w:tcPr>
          <w:p w14:paraId="4090A97D" w14:textId="77777777" w:rsidR="00111A16" w:rsidRPr="00107340" w:rsidRDefault="00111A16" w:rsidP="004149B9">
            <w:pPr>
              <w:jc w:val="center"/>
              <w:rPr>
                <w:rFonts w:ascii="Times New Roman" w:eastAsia="Times New Roman" w:hAnsi="Times New Roman" w:cs="Times New Roman"/>
                <w:b/>
                <w:bCs/>
                <w:color w:val="000000"/>
                <w:kern w:val="0"/>
                <w:sz w:val="18"/>
                <w:szCs w:val="18"/>
                <w14:ligatures w14:val="none"/>
              </w:rPr>
            </w:pPr>
            <w:r w:rsidRPr="00107340">
              <w:rPr>
                <w:rFonts w:ascii="Times New Roman" w:eastAsia="Times New Roman" w:hAnsi="Times New Roman" w:cs="Times New Roman"/>
                <w:b/>
                <w:bCs/>
                <w:color w:val="000000"/>
                <w:kern w:val="0"/>
                <w:sz w:val="18"/>
                <w:szCs w:val="18"/>
                <w14:ligatures w14:val="none"/>
              </w:rPr>
              <w:t>Control population (n = 322,171)</w:t>
            </w:r>
          </w:p>
        </w:tc>
        <w:tc>
          <w:tcPr>
            <w:tcW w:w="3510" w:type="dxa"/>
            <w:gridSpan w:val="4"/>
            <w:noWrap/>
            <w:hideMark/>
          </w:tcPr>
          <w:p w14:paraId="08C2F8C1" w14:textId="77777777" w:rsidR="00111A16" w:rsidRPr="00107340" w:rsidRDefault="00111A16" w:rsidP="004149B9">
            <w:pPr>
              <w:jc w:val="center"/>
              <w:rPr>
                <w:rFonts w:ascii="Times New Roman" w:eastAsia="Times New Roman" w:hAnsi="Times New Roman" w:cs="Times New Roman"/>
                <w:b/>
                <w:bCs/>
                <w:color w:val="000000"/>
                <w:kern w:val="0"/>
                <w:sz w:val="18"/>
                <w:szCs w:val="18"/>
                <w14:ligatures w14:val="none"/>
              </w:rPr>
            </w:pPr>
            <w:r w:rsidRPr="00107340">
              <w:rPr>
                <w:rFonts w:ascii="Times New Roman" w:eastAsia="Times New Roman" w:hAnsi="Times New Roman" w:cs="Times New Roman"/>
                <w:b/>
                <w:bCs/>
                <w:color w:val="000000"/>
                <w:kern w:val="0"/>
                <w:sz w:val="18"/>
                <w:szCs w:val="18"/>
                <w14:ligatures w14:val="none"/>
              </w:rPr>
              <w:t>Breast cancer population (n = 2748)</w:t>
            </w:r>
          </w:p>
        </w:tc>
      </w:tr>
      <w:tr w:rsidR="00442BFD" w:rsidRPr="00107340" w14:paraId="7E5FEEA0" w14:textId="77777777" w:rsidTr="00071E8E">
        <w:trPr>
          <w:trHeight w:val="320"/>
        </w:trPr>
        <w:tc>
          <w:tcPr>
            <w:tcW w:w="2065" w:type="dxa"/>
            <w:vMerge/>
            <w:hideMark/>
          </w:tcPr>
          <w:p w14:paraId="01EC0351" w14:textId="77777777" w:rsidR="00111A16" w:rsidRPr="00107340" w:rsidRDefault="00111A16" w:rsidP="004149B9">
            <w:pPr>
              <w:rPr>
                <w:rFonts w:ascii="Times New Roman" w:eastAsia="Times New Roman" w:hAnsi="Times New Roman" w:cs="Times New Roman"/>
                <w:color w:val="000000"/>
                <w:kern w:val="0"/>
                <w:sz w:val="18"/>
                <w:szCs w:val="18"/>
                <w14:ligatures w14:val="none"/>
              </w:rPr>
            </w:pPr>
          </w:p>
        </w:tc>
        <w:tc>
          <w:tcPr>
            <w:tcW w:w="1080" w:type="dxa"/>
            <w:vMerge w:val="restart"/>
            <w:noWrap/>
            <w:hideMark/>
          </w:tcPr>
          <w:p w14:paraId="5647DACB" w14:textId="77777777" w:rsidR="00111A16" w:rsidRPr="00107340" w:rsidRDefault="00111A16" w:rsidP="004149B9">
            <w:pPr>
              <w:jc w:val="center"/>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Match year</w:t>
            </w:r>
          </w:p>
        </w:tc>
        <w:tc>
          <w:tcPr>
            <w:tcW w:w="2790" w:type="dxa"/>
            <w:gridSpan w:val="3"/>
            <w:noWrap/>
            <w:hideMark/>
          </w:tcPr>
          <w:p w14:paraId="1DA18993" w14:textId="77777777" w:rsidR="00111A16" w:rsidRPr="00107340" w:rsidRDefault="00111A16" w:rsidP="004149B9">
            <w:pPr>
              <w:jc w:val="center"/>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Years since diagnosis</w:t>
            </w:r>
          </w:p>
        </w:tc>
        <w:tc>
          <w:tcPr>
            <w:tcW w:w="1080" w:type="dxa"/>
            <w:noWrap/>
            <w:hideMark/>
          </w:tcPr>
          <w:p w14:paraId="59277F21" w14:textId="77777777" w:rsidR="00111A16" w:rsidRPr="00107340" w:rsidRDefault="00111A16" w:rsidP="004149B9">
            <w:pPr>
              <w:jc w:val="center"/>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Match year</w:t>
            </w:r>
          </w:p>
        </w:tc>
        <w:tc>
          <w:tcPr>
            <w:tcW w:w="2430" w:type="dxa"/>
            <w:gridSpan w:val="3"/>
            <w:noWrap/>
            <w:hideMark/>
          </w:tcPr>
          <w:p w14:paraId="5B44EDB4" w14:textId="77777777" w:rsidR="00111A16" w:rsidRPr="00107340" w:rsidRDefault="00111A16" w:rsidP="004149B9">
            <w:pPr>
              <w:jc w:val="center"/>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Years since diagnosis</w:t>
            </w:r>
          </w:p>
        </w:tc>
      </w:tr>
      <w:tr w:rsidR="00442BFD" w:rsidRPr="00107340" w14:paraId="15AA503C" w14:textId="77777777" w:rsidTr="00071E8E">
        <w:trPr>
          <w:trHeight w:val="320"/>
        </w:trPr>
        <w:tc>
          <w:tcPr>
            <w:tcW w:w="2065" w:type="dxa"/>
            <w:vMerge/>
            <w:hideMark/>
          </w:tcPr>
          <w:p w14:paraId="415260F8" w14:textId="77777777" w:rsidR="00111A16" w:rsidRPr="00107340" w:rsidRDefault="00111A16" w:rsidP="004149B9">
            <w:pPr>
              <w:rPr>
                <w:rFonts w:ascii="Times New Roman" w:eastAsia="Times New Roman" w:hAnsi="Times New Roman" w:cs="Times New Roman"/>
                <w:color w:val="000000"/>
                <w:kern w:val="0"/>
                <w:sz w:val="18"/>
                <w:szCs w:val="18"/>
                <w14:ligatures w14:val="none"/>
              </w:rPr>
            </w:pPr>
          </w:p>
        </w:tc>
        <w:tc>
          <w:tcPr>
            <w:tcW w:w="1080" w:type="dxa"/>
            <w:vMerge/>
            <w:hideMark/>
          </w:tcPr>
          <w:p w14:paraId="105ED2B4" w14:textId="77777777" w:rsidR="00111A16" w:rsidRPr="00107340" w:rsidRDefault="00111A16" w:rsidP="004149B9">
            <w:pPr>
              <w:rPr>
                <w:rFonts w:ascii="Times New Roman" w:eastAsia="Times New Roman" w:hAnsi="Times New Roman" w:cs="Times New Roman"/>
                <w:color w:val="000000"/>
                <w:kern w:val="0"/>
                <w:sz w:val="18"/>
                <w:szCs w:val="18"/>
                <w14:ligatures w14:val="none"/>
              </w:rPr>
            </w:pPr>
          </w:p>
        </w:tc>
        <w:tc>
          <w:tcPr>
            <w:tcW w:w="1080" w:type="dxa"/>
            <w:noWrap/>
            <w:hideMark/>
          </w:tcPr>
          <w:p w14:paraId="20C5F73E"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w:t>
            </w:r>
          </w:p>
        </w:tc>
        <w:tc>
          <w:tcPr>
            <w:tcW w:w="900" w:type="dxa"/>
            <w:noWrap/>
            <w:hideMark/>
          </w:tcPr>
          <w:p w14:paraId="65AAD3AC"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5</w:t>
            </w:r>
          </w:p>
        </w:tc>
        <w:tc>
          <w:tcPr>
            <w:tcW w:w="810" w:type="dxa"/>
            <w:noWrap/>
            <w:hideMark/>
          </w:tcPr>
          <w:p w14:paraId="658758A1"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10</w:t>
            </w:r>
          </w:p>
        </w:tc>
        <w:tc>
          <w:tcPr>
            <w:tcW w:w="1080" w:type="dxa"/>
            <w:hideMark/>
          </w:tcPr>
          <w:p w14:paraId="14600EF4" w14:textId="77777777" w:rsidR="00111A16" w:rsidRPr="00107340" w:rsidRDefault="00111A16" w:rsidP="004149B9">
            <w:pPr>
              <w:rPr>
                <w:rFonts w:ascii="Times New Roman" w:eastAsia="Times New Roman" w:hAnsi="Times New Roman" w:cs="Times New Roman"/>
                <w:color w:val="000000"/>
                <w:kern w:val="0"/>
                <w:sz w:val="18"/>
                <w:szCs w:val="18"/>
                <w14:ligatures w14:val="none"/>
              </w:rPr>
            </w:pPr>
          </w:p>
        </w:tc>
        <w:tc>
          <w:tcPr>
            <w:tcW w:w="900" w:type="dxa"/>
            <w:noWrap/>
            <w:hideMark/>
          </w:tcPr>
          <w:p w14:paraId="442A60C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w:t>
            </w:r>
          </w:p>
        </w:tc>
        <w:tc>
          <w:tcPr>
            <w:tcW w:w="810" w:type="dxa"/>
            <w:noWrap/>
            <w:hideMark/>
          </w:tcPr>
          <w:p w14:paraId="28CFD71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5</w:t>
            </w:r>
          </w:p>
        </w:tc>
        <w:tc>
          <w:tcPr>
            <w:tcW w:w="720" w:type="dxa"/>
            <w:noWrap/>
            <w:hideMark/>
          </w:tcPr>
          <w:p w14:paraId="487A44B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10</w:t>
            </w:r>
          </w:p>
        </w:tc>
      </w:tr>
      <w:tr w:rsidR="00442BFD" w:rsidRPr="00107340" w14:paraId="340CE0BB" w14:textId="77777777" w:rsidTr="00071E8E">
        <w:trPr>
          <w:trHeight w:val="320"/>
        </w:trPr>
        <w:tc>
          <w:tcPr>
            <w:tcW w:w="2065" w:type="dxa"/>
            <w:noWrap/>
            <w:hideMark/>
          </w:tcPr>
          <w:p w14:paraId="41D4D308"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Wage earner</w:t>
            </w:r>
          </w:p>
        </w:tc>
        <w:tc>
          <w:tcPr>
            <w:tcW w:w="1080" w:type="dxa"/>
            <w:noWrap/>
            <w:hideMark/>
          </w:tcPr>
          <w:p w14:paraId="1CB0AD74"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76.7%</w:t>
            </w:r>
          </w:p>
        </w:tc>
        <w:tc>
          <w:tcPr>
            <w:tcW w:w="1080" w:type="dxa"/>
            <w:noWrap/>
            <w:hideMark/>
          </w:tcPr>
          <w:p w14:paraId="40FB02EC"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66.9%</w:t>
            </w:r>
          </w:p>
        </w:tc>
        <w:tc>
          <w:tcPr>
            <w:tcW w:w="900" w:type="dxa"/>
            <w:noWrap/>
            <w:hideMark/>
          </w:tcPr>
          <w:p w14:paraId="78ABF205"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53.5%</w:t>
            </w:r>
          </w:p>
        </w:tc>
        <w:tc>
          <w:tcPr>
            <w:tcW w:w="810" w:type="dxa"/>
            <w:noWrap/>
            <w:hideMark/>
          </w:tcPr>
          <w:p w14:paraId="7770A54C"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36.4%</w:t>
            </w:r>
          </w:p>
        </w:tc>
        <w:tc>
          <w:tcPr>
            <w:tcW w:w="1080" w:type="dxa"/>
            <w:noWrap/>
            <w:hideMark/>
          </w:tcPr>
          <w:p w14:paraId="37823BA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76.7%</w:t>
            </w:r>
          </w:p>
        </w:tc>
        <w:tc>
          <w:tcPr>
            <w:tcW w:w="900" w:type="dxa"/>
            <w:noWrap/>
            <w:hideMark/>
          </w:tcPr>
          <w:p w14:paraId="1A36ACC4"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62.5%</w:t>
            </w:r>
          </w:p>
        </w:tc>
        <w:tc>
          <w:tcPr>
            <w:tcW w:w="810" w:type="dxa"/>
            <w:noWrap/>
            <w:hideMark/>
          </w:tcPr>
          <w:p w14:paraId="3E8E98CB"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46.7%</w:t>
            </w:r>
          </w:p>
        </w:tc>
        <w:tc>
          <w:tcPr>
            <w:tcW w:w="720" w:type="dxa"/>
            <w:noWrap/>
            <w:hideMark/>
          </w:tcPr>
          <w:p w14:paraId="7F88896C"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29.6%</w:t>
            </w:r>
          </w:p>
        </w:tc>
      </w:tr>
      <w:tr w:rsidR="00442BFD" w:rsidRPr="00107340" w14:paraId="6EB96C28" w14:textId="77777777" w:rsidTr="00071E8E">
        <w:trPr>
          <w:trHeight w:val="320"/>
        </w:trPr>
        <w:tc>
          <w:tcPr>
            <w:tcW w:w="2065" w:type="dxa"/>
            <w:noWrap/>
            <w:hideMark/>
          </w:tcPr>
          <w:p w14:paraId="6D16405F"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Retired</w:t>
            </w:r>
          </w:p>
        </w:tc>
        <w:tc>
          <w:tcPr>
            <w:tcW w:w="1080" w:type="dxa"/>
            <w:noWrap/>
            <w:hideMark/>
          </w:tcPr>
          <w:p w14:paraId="09B05F92"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0.0%</w:t>
            </w:r>
          </w:p>
        </w:tc>
        <w:tc>
          <w:tcPr>
            <w:tcW w:w="1080" w:type="dxa"/>
            <w:noWrap/>
            <w:hideMark/>
          </w:tcPr>
          <w:p w14:paraId="4E4F1C76"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4.9%</w:t>
            </w:r>
          </w:p>
        </w:tc>
        <w:tc>
          <w:tcPr>
            <w:tcW w:w="900" w:type="dxa"/>
            <w:noWrap/>
            <w:hideMark/>
          </w:tcPr>
          <w:p w14:paraId="4C03AC17"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17.0%</w:t>
            </w:r>
          </w:p>
        </w:tc>
        <w:tc>
          <w:tcPr>
            <w:tcW w:w="810" w:type="dxa"/>
            <w:noWrap/>
            <w:hideMark/>
          </w:tcPr>
          <w:p w14:paraId="43EDC44C"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41.6%</w:t>
            </w:r>
          </w:p>
        </w:tc>
        <w:tc>
          <w:tcPr>
            <w:tcW w:w="1080" w:type="dxa"/>
            <w:noWrap/>
            <w:hideMark/>
          </w:tcPr>
          <w:p w14:paraId="13907E9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0.0%</w:t>
            </w:r>
          </w:p>
        </w:tc>
        <w:tc>
          <w:tcPr>
            <w:tcW w:w="900" w:type="dxa"/>
            <w:noWrap/>
            <w:hideMark/>
          </w:tcPr>
          <w:p w14:paraId="295423D2"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5.2%</w:t>
            </w:r>
          </w:p>
        </w:tc>
        <w:tc>
          <w:tcPr>
            <w:tcW w:w="810" w:type="dxa"/>
            <w:noWrap/>
            <w:hideMark/>
          </w:tcPr>
          <w:p w14:paraId="1BEEEA0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17.0%</w:t>
            </w:r>
          </w:p>
        </w:tc>
        <w:tc>
          <w:tcPr>
            <w:tcW w:w="720" w:type="dxa"/>
            <w:noWrap/>
            <w:hideMark/>
          </w:tcPr>
          <w:p w14:paraId="37951E55"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39.8%</w:t>
            </w:r>
          </w:p>
        </w:tc>
      </w:tr>
      <w:tr w:rsidR="00442BFD" w:rsidRPr="00107340" w14:paraId="76C96CA6" w14:textId="77777777" w:rsidTr="00071E8E">
        <w:trPr>
          <w:trHeight w:val="320"/>
        </w:trPr>
        <w:tc>
          <w:tcPr>
            <w:tcW w:w="2065" w:type="dxa"/>
            <w:noWrap/>
            <w:hideMark/>
          </w:tcPr>
          <w:p w14:paraId="5A772D18"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In school</w:t>
            </w:r>
          </w:p>
        </w:tc>
        <w:tc>
          <w:tcPr>
            <w:tcW w:w="1080" w:type="dxa"/>
            <w:noWrap/>
            <w:hideMark/>
          </w:tcPr>
          <w:p w14:paraId="2909E795"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0.4%</w:t>
            </w:r>
          </w:p>
        </w:tc>
        <w:tc>
          <w:tcPr>
            <w:tcW w:w="1080" w:type="dxa"/>
            <w:noWrap/>
            <w:hideMark/>
          </w:tcPr>
          <w:p w14:paraId="7C060E4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0.3%</w:t>
            </w:r>
          </w:p>
        </w:tc>
        <w:tc>
          <w:tcPr>
            <w:tcW w:w="900" w:type="dxa"/>
            <w:noWrap/>
            <w:hideMark/>
          </w:tcPr>
          <w:p w14:paraId="0F5DA64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0.3%</w:t>
            </w:r>
          </w:p>
        </w:tc>
        <w:tc>
          <w:tcPr>
            <w:tcW w:w="810" w:type="dxa"/>
            <w:noWrap/>
            <w:hideMark/>
          </w:tcPr>
          <w:p w14:paraId="16C0194E"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0.1%</w:t>
            </w:r>
          </w:p>
        </w:tc>
        <w:tc>
          <w:tcPr>
            <w:tcW w:w="1080" w:type="dxa"/>
            <w:noWrap/>
            <w:hideMark/>
          </w:tcPr>
          <w:p w14:paraId="62978B51"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0.4%</w:t>
            </w:r>
          </w:p>
        </w:tc>
        <w:tc>
          <w:tcPr>
            <w:tcW w:w="900" w:type="dxa"/>
            <w:noWrap/>
            <w:hideMark/>
          </w:tcPr>
          <w:p w14:paraId="6AC8954A"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0.2%</w:t>
            </w:r>
          </w:p>
        </w:tc>
        <w:tc>
          <w:tcPr>
            <w:tcW w:w="810" w:type="dxa"/>
            <w:noWrap/>
            <w:hideMark/>
          </w:tcPr>
          <w:p w14:paraId="2C14232F"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0.1%</w:t>
            </w:r>
          </w:p>
        </w:tc>
        <w:tc>
          <w:tcPr>
            <w:tcW w:w="720" w:type="dxa"/>
            <w:noWrap/>
            <w:hideMark/>
          </w:tcPr>
          <w:p w14:paraId="1B9679C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0.1%</w:t>
            </w:r>
          </w:p>
        </w:tc>
      </w:tr>
      <w:tr w:rsidR="00442BFD" w:rsidRPr="00107340" w14:paraId="15C57793" w14:textId="77777777" w:rsidTr="00071E8E">
        <w:trPr>
          <w:trHeight w:val="320"/>
        </w:trPr>
        <w:tc>
          <w:tcPr>
            <w:tcW w:w="2065" w:type="dxa"/>
            <w:noWrap/>
            <w:hideMark/>
          </w:tcPr>
          <w:p w14:paraId="285A1B76"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Disability recipient</w:t>
            </w:r>
          </w:p>
        </w:tc>
        <w:tc>
          <w:tcPr>
            <w:tcW w:w="1080" w:type="dxa"/>
            <w:noWrap/>
            <w:hideMark/>
          </w:tcPr>
          <w:p w14:paraId="23DC3AC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13.8%</w:t>
            </w:r>
          </w:p>
        </w:tc>
        <w:tc>
          <w:tcPr>
            <w:tcW w:w="1080" w:type="dxa"/>
            <w:noWrap/>
            <w:hideMark/>
          </w:tcPr>
          <w:p w14:paraId="52C7FE58"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12.1%</w:t>
            </w:r>
          </w:p>
        </w:tc>
        <w:tc>
          <w:tcPr>
            <w:tcW w:w="900" w:type="dxa"/>
            <w:noWrap/>
            <w:hideMark/>
          </w:tcPr>
          <w:p w14:paraId="5D756131"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9.4%</w:t>
            </w:r>
          </w:p>
        </w:tc>
        <w:tc>
          <w:tcPr>
            <w:tcW w:w="810" w:type="dxa"/>
            <w:noWrap/>
            <w:hideMark/>
          </w:tcPr>
          <w:p w14:paraId="7B1E6BDD"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5.2%</w:t>
            </w:r>
          </w:p>
        </w:tc>
        <w:tc>
          <w:tcPr>
            <w:tcW w:w="1080" w:type="dxa"/>
            <w:noWrap/>
            <w:hideMark/>
          </w:tcPr>
          <w:p w14:paraId="591D000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13.8%</w:t>
            </w:r>
          </w:p>
        </w:tc>
        <w:tc>
          <w:tcPr>
            <w:tcW w:w="900" w:type="dxa"/>
            <w:noWrap/>
            <w:hideMark/>
          </w:tcPr>
          <w:p w14:paraId="489731C2"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12.4%</w:t>
            </w:r>
          </w:p>
        </w:tc>
        <w:tc>
          <w:tcPr>
            <w:tcW w:w="810" w:type="dxa"/>
            <w:noWrap/>
            <w:hideMark/>
          </w:tcPr>
          <w:p w14:paraId="6B5CCD2B"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11.0%</w:t>
            </w:r>
          </w:p>
        </w:tc>
        <w:tc>
          <w:tcPr>
            <w:tcW w:w="720" w:type="dxa"/>
            <w:noWrap/>
            <w:hideMark/>
          </w:tcPr>
          <w:p w14:paraId="6237E7D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6.6%</w:t>
            </w:r>
          </w:p>
        </w:tc>
      </w:tr>
      <w:tr w:rsidR="00442BFD" w:rsidRPr="00107340" w14:paraId="569AE129" w14:textId="77777777" w:rsidTr="00071E8E">
        <w:trPr>
          <w:trHeight w:val="320"/>
        </w:trPr>
        <w:tc>
          <w:tcPr>
            <w:tcW w:w="2065" w:type="dxa"/>
            <w:noWrap/>
            <w:hideMark/>
          </w:tcPr>
          <w:p w14:paraId="538907C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Social assistance recipient</w:t>
            </w:r>
          </w:p>
        </w:tc>
        <w:tc>
          <w:tcPr>
            <w:tcW w:w="1080" w:type="dxa"/>
            <w:noWrap/>
            <w:hideMark/>
          </w:tcPr>
          <w:p w14:paraId="4AFC8B8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1.6%</w:t>
            </w:r>
          </w:p>
        </w:tc>
        <w:tc>
          <w:tcPr>
            <w:tcW w:w="1080" w:type="dxa"/>
            <w:noWrap/>
            <w:hideMark/>
          </w:tcPr>
          <w:p w14:paraId="55809367"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1.8%</w:t>
            </w:r>
          </w:p>
        </w:tc>
        <w:tc>
          <w:tcPr>
            <w:tcW w:w="900" w:type="dxa"/>
            <w:noWrap/>
            <w:hideMark/>
          </w:tcPr>
          <w:p w14:paraId="40A3B175"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1.8%</w:t>
            </w:r>
          </w:p>
        </w:tc>
        <w:tc>
          <w:tcPr>
            <w:tcW w:w="810" w:type="dxa"/>
            <w:noWrap/>
            <w:hideMark/>
          </w:tcPr>
          <w:p w14:paraId="62DBA394"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2.5%</w:t>
            </w:r>
          </w:p>
        </w:tc>
        <w:tc>
          <w:tcPr>
            <w:tcW w:w="1080" w:type="dxa"/>
            <w:noWrap/>
            <w:hideMark/>
          </w:tcPr>
          <w:p w14:paraId="1F1F48F2"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1.6%</w:t>
            </w:r>
          </w:p>
        </w:tc>
        <w:tc>
          <w:tcPr>
            <w:tcW w:w="900" w:type="dxa"/>
            <w:noWrap/>
            <w:hideMark/>
          </w:tcPr>
          <w:p w14:paraId="0E3E402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1.8%</w:t>
            </w:r>
          </w:p>
        </w:tc>
        <w:tc>
          <w:tcPr>
            <w:tcW w:w="810" w:type="dxa"/>
            <w:noWrap/>
            <w:hideMark/>
          </w:tcPr>
          <w:p w14:paraId="052F387D"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2.4%</w:t>
            </w:r>
          </w:p>
        </w:tc>
        <w:tc>
          <w:tcPr>
            <w:tcW w:w="720" w:type="dxa"/>
            <w:noWrap/>
            <w:hideMark/>
          </w:tcPr>
          <w:p w14:paraId="7F96C89B"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3.1%</w:t>
            </w:r>
          </w:p>
        </w:tc>
      </w:tr>
      <w:tr w:rsidR="00442BFD" w:rsidRPr="00107340" w14:paraId="6A952649" w14:textId="77777777" w:rsidTr="00071E8E">
        <w:trPr>
          <w:trHeight w:val="320"/>
        </w:trPr>
        <w:tc>
          <w:tcPr>
            <w:tcW w:w="2065" w:type="dxa"/>
            <w:noWrap/>
            <w:hideMark/>
          </w:tcPr>
          <w:p w14:paraId="0EBCCFAB"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Early retirement</w:t>
            </w:r>
          </w:p>
        </w:tc>
        <w:tc>
          <w:tcPr>
            <w:tcW w:w="1080" w:type="dxa"/>
            <w:noWrap/>
            <w:hideMark/>
          </w:tcPr>
          <w:p w14:paraId="7C778A91"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0.0%</w:t>
            </w:r>
          </w:p>
        </w:tc>
        <w:tc>
          <w:tcPr>
            <w:tcW w:w="1080" w:type="dxa"/>
            <w:noWrap/>
            <w:hideMark/>
          </w:tcPr>
          <w:p w14:paraId="110BC667"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6.0%</w:t>
            </w:r>
          </w:p>
        </w:tc>
        <w:tc>
          <w:tcPr>
            <w:tcW w:w="900" w:type="dxa"/>
            <w:noWrap/>
            <w:hideMark/>
          </w:tcPr>
          <w:p w14:paraId="0BC71C4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9.8%</w:t>
            </w:r>
          </w:p>
        </w:tc>
        <w:tc>
          <w:tcPr>
            <w:tcW w:w="810" w:type="dxa"/>
            <w:noWrap/>
            <w:hideMark/>
          </w:tcPr>
          <w:p w14:paraId="7094DF34"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4.6%</w:t>
            </w:r>
          </w:p>
        </w:tc>
        <w:tc>
          <w:tcPr>
            <w:tcW w:w="1080" w:type="dxa"/>
            <w:noWrap/>
            <w:hideMark/>
          </w:tcPr>
          <w:p w14:paraId="1A43C10F"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0.0%</w:t>
            </w:r>
          </w:p>
        </w:tc>
        <w:tc>
          <w:tcPr>
            <w:tcW w:w="900" w:type="dxa"/>
            <w:noWrap/>
            <w:hideMark/>
          </w:tcPr>
          <w:p w14:paraId="345216F8"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6.4%</w:t>
            </w:r>
          </w:p>
        </w:tc>
        <w:tc>
          <w:tcPr>
            <w:tcW w:w="810" w:type="dxa"/>
            <w:noWrap/>
            <w:hideMark/>
          </w:tcPr>
          <w:p w14:paraId="4C47FC9D"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10.6%</w:t>
            </w:r>
          </w:p>
        </w:tc>
        <w:tc>
          <w:tcPr>
            <w:tcW w:w="720" w:type="dxa"/>
            <w:noWrap/>
            <w:hideMark/>
          </w:tcPr>
          <w:p w14:paraId="00B2E8AF"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4.3%</w:t>
            </w:r>
          </w:p>
        </w:tc>
      </w:tr>
      <w:tr w:rsidR="00442BFD" w:rsidRPr="00107340" w14:paraId="1E4153D8" w14:textId="77777777" w:rsidTr="00071E8E">
        <w:trPr>
          <w:trHeight w:val="320"/>
        </w:trPr>
        <w:tc>
          <w:tcPr>
            <w:tcW w:w="2065" w:type="dxa"/>
            <w:noWrap/>
            <w:hideMark/>
          </w:tcPr>
          <w:p w14:paraId="76EABEDF"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Self employed</w:t>
            </w:r>
          </w:p>
        </w:tc>
        <w:tc>
          <w:tcPr>
            <w:tcW w:w="1080" w:type="dxa"/>
            <w:noWrap/>
            <w:hideMark/>
          </w:tcPr>
          <w:p w14:paraId="26A95C16"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2.9%</w:t>
            </w:r>
          </w:p>
        </w:tc>
        <w:tc>
          <w:tcPr>
            <w:tcW w:w="1080" w:type="dxa"/>
            <w:noWrap/>
            <w:hideMark/>
          </w:tcPr>
          <w:p w14:paraId="4A3E8132"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2.6%</w:t>
            </w:r>
          </w:p>
        </w:tc>
        <w:tc>
          <w:tcPr>
            <w:tcW w:w="900" w:type="dxa"/>
            <w:noWrap/>
            <w:hideMark/>
          </w:tcPr>
          <w:p w14:paraId="5AEF46C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2.2%</w:t>
            </w:r>
          </w:p>
        </w:tc>
        <w:tc>
          <w:tcPr>
            <w:tcW w:w="810" w:type="dxa"/>
            <w:noWrap/>
            <w:hideMark/>
          </w:tcPr>
          <w:p w14:paraId="287A7A6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2.0%</w:t>
            </w:r>
          </w:p>
        </w:tc>
        <w:tc>
          <w:tcPr>
            <w:tcW w:w="1080" w:type="dxa"/>
            <w:noWrap/>
            <w:hideMark/>
          </w:tcPr>
          <w:p w14:paraId="7DB5EFBE"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2.9%</w:t>
            </w:r>
          </w:p>
        </w:tc>
        <w:tc>
          <w:tcPr>
            <w:tcW w:w="900" w:type="dxa"/>
            <w:noWrap/>
            <w:hideMark/>
          </w:tcPr>
          <w:p w14:paraId="47BB4CAD"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2.3%</w:t>
            </w:r>
          </w:p>
        </w:tc>
        <w:tc>
          <w:tcPr>
            <w:tcW w:w="810" w:type="dxa"/>
            <w:noWrap/>
            <w:hideMark/>
          </w:tcPr>
          <w:p w14:paraId="77795E0A"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1.8%</w:t>
            </w:r>
          </w:p>
        </w:tc>
        <w:tc>
          <w:tcPr>
            <w:tcW w:w="720" w:type="dxa"/>
            <w:noWrap/>
            <w:hideMark/>
          </w:tcPr>
          <w:p w14:paraId="061993A2"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1.5%</w:t>
            </w:r>
          </w:p>
        </w:tc>
      </w:tr>
      <w:tr w:rsidR="00442BFD" w:rsidRPr="00107340" w14:paraId="1DE8AD64" w14:textId="77777777" w:rsidTr="00071E8E">
        <w:trPr>
          <w:trHeight w:val="320"/>
        </w:trPr>
        <w:tc>
          <w:tcPr>
            <w:tcW w:w="2065" w:type="dxa"/>
            <w:noWrap/>
            <w:hideMark/>
          </w:tcPr>
          <w:p w14:paraId="4B3A3C77"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Sick and parental leave recipient</w:t>
            </w:r>
          </w:p>
        </w:tc>
        <w:tc>
          <w:tcPr>
            <w:tcW w:w="1080" w:type="dxa"/>
            <w:noWrap/>
            <w:hideMark/>
          </w:tcPr>
          <w:p w14:paraId="142E878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1.2%</w:t>
            </w:r>
          </w:p>
        </w:tc>
        <w:tc>
          <w:tcPr>
            <w:tcW w:w="1080" w:type="dxa"/>
            <w:noWrap/>
            <w:hideMark/>
          </w:tcPr>
          <w:p w14:paraId="58115DBE"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1.1%</w:t>
            </w:r>
          </w:p>
        </w:tc>
        <w:tc>
          <w:tcPr>
            <w:tcW w:w="900" w:type="dxa"/>
            <w:noWrap/>
            <w:hideMark/>
          </w:tcPr>
          <w:p w14:paraId="2D4621DC"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0.9%</w:t>
            </w:r>
          </w:p>
        </w:tc>
        <w:tc>
          <w:tcPr>
            <w:tcW w:w="810" w:type="dxa"/>
            <w:noWrap/>
            <w:hideMark/>
          </w:tcPr>
          <w:p w14:paraId="768DB49C"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0.4%</w:t>
            </w:r>
          </w:p>
        </w:tc>
        <w:tc>
          <w:tcPr>
            <w:tcW w:w="1080" w:type="dxa"/>
            <w:noWrap/>
            <w:hideMark/>
          </w:tcPr>
          <w:p w14:paraId="3556ADA6"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1.2%</w:t>
            </w:r>
          </w:p>
        </w:tc>
        <w:tc>
          <w:tcPr>
            <w:tcW w:w="900" w:type="dxa"/>
            <w:noWrap/>
            <w:hideMark/>
          </w:tcPr>
          <w:p w14:paraId="59507F36"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4.9%</w:t>
            </w:r>
          </w:p>
        </w:tc>
        <w:tc>
          <w:tcPr>
            <w:tcW w:w="810" w:type="dxa"/>
            <w:noWrap/>
            <w:hideMark/>
          </w:tcPr>
          <w:p w14:paraId="002D2685"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1.8%</w:t>
            </w:r>
          </w:p>
        </w:tc>
        <w:tc>
          <w:tcPr>
            <w:tcW w:w="720" w:type="dxa"/>
            <w:noWrap/>
            <w:hideMark/>
          </w:tcPr>
          <w:p w14:paraId="5F2B5F02"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0.4%</w:t>
            </w:r>
          </w:p>
        </w:tc>
      </w:tr>
      <w:tr w:rsidR="00442BFD" w:rsidRPr="00107340" w14:paraId="1D140052" w14:textId="77777777" w:rsidTr="00071E8E">
        <w:trPr>
          <w:trHeight w:val="320"/>
        </w:trPr>
        <w:tc>
          <w:tcPr>
            <w:tcW w:w="2065" w:type="dxa"/>
            <w:noWrap/>
            <w:hideMark/>
          </w:tcPr>
          <w:p w14:paraId="02509924"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Unemployment recipient</w:t>
            </w:r>
          </w:p>
        </w:tc>
        <w:tc>
          <w:tcPr>
            <w:tcW w:w="1080" w:type="dxa"/>
            <w:noWrap/>
            <w:hideMark/>
          </w:tcPr>
          <w:p w14:paraId="690FBC5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0.5%</w:t>
            </w:r>
          </w:p>
        </w:tc>
        <w:tc>
          <w:tcPr>
            <w:tcW w:w="1080" w:type="dxa"/>
            <w:noWrap/>
            <w:hideMark/>
          </w:tcPr>
          <w:p w14:paraId="1BB838C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1.4%</w:t>
            </w:r>
          </w:p>
        </w:tc>
        <w:tc>
          <w:tcPr>
            <w:tcW w:w="900" w:type="dxa"/>
            <w:noWrap/>
            <w:hideMark/>
          </w:tcPr>
          <w:p w14:paraId="05673AD5"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1.3%</w:t>
            </w:r>
          </w:p>
        </w:tc>
        <w:tc>
          <w:tcPr>
            <w:tcW w:w="810" w:type="dxa"/>
            <w:noWrap/>
            <w:hideMark/>
          </w:tcPr>
          <w:p w14:paraId="6448BF9D"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0.8%</w:t>
            </w:r>
          </w:p>
        </w:tc>
        <w:tc>
          <w:tcPr>
            <w:tcW w:w="1080" w:type="dxa"/>
            <w:noWrap/>
            <w:hideMark/>
          </w:tcPr>
          <w:p w14:paraId="55EBD9C1"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0.5%</w:t>
            </w:r>
          </w:p>
        </w:tc>
        <w:tc>
          <w:tcPr>
            <w:tcW w:w="900" w:type="dxa"/>
            <w:noWrap/>
            <w:hideMark/>
          </w:tcPr>
          <w:p w14:paraId="540D9448"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0.5%</w:t>
            </w:r>
          </w:p>
        </w:tc>
        <w:tc>
          <w:tcPr>
            <w:tcW w:w="810" w:type="dxa"/>
            <w:noWrap/>
            <w:hideMark/>
          </w:tcPr>
          <w:p w14:paraId="27FE7FD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1.1%</w:t>
            </w:r>
          </w:p>
        </w:tc>
        <w:tc>
          <w:tcPr>
            <w:tcW w:w="720" w:type="dxa"/>
            <w:noWrap/>
            <w:hideMark/>
          </w:tcPr>
          <w:p w14:paraId="697A8A2E"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0.6%</w:t>
            </w:r>
          </w:p>
        </w:tc>
      </w:tr>
      <w:tr w:rsidR="00442BFD" w:rsidRPr="00107340" w14:paraId="33B3A646" w14:textId="77777777" w:rsidTr="00071E8E">
        <w:trPr>
          <w:trHeight w:val="320"/>
        </w:trPr>
        <w:tc>
          <w:tcPr>
            <w:tcW w:w="2065" w:type="dxa"/>
            <w:noWrap/>
            <w:hideMark/>
          </w:tcPr>
          <w:p w14:paraId="235D1C1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Working for spouse</w:t>
            </w:r>
          </w:p>
        </w:tc>
        <w:tc>
          <w:tcPr>
            <w:tcW w:w="1080" w:type="dxa"/>
            <w:noWrap/>
            <w:hideMark/>
          </w:tcPr>
          <w:p w14:paraId="460A563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0.4%</w:t>
            </w:r>
          </w:p>
        </w:tc>
        <w:tc>
          <w:tcPr>
            <w:tcW w:w="1080" w:type="dxa"/>
            <w:noWrap/>
            <w:hideMark/>
          </w:tcPr>
          <w:p w14:paraId="159A9C54"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0.3%</w:t>
            </w:r>
          </w:p>
        </w:tc>
        <w:tc>
          <w:tcPr>
            <w:tcW w:w="900" w:type="dxa"/>
            <w:noWrap/>
            <w:hideMark/>
          </w:tcPr>
          <w:p w14:paraId="676C114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0.2%</w:t>
            </w:r>
          </w:p>
        </w:tc>
        <w:tc>
          <w:tcPr>
            <w:tcW w:w="810" w:type="dxa"/>
            <w:noWrap/>
            <w:hideMark/>
          </w:tcPr>
          <w:p w14:paraId="37DF33DF"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0.1%</w:t>
            </w:r>
          </w:p>
        </w:tc>
        <w:tc>
          <w:tcPr>
            <w:tcW w:w="1080" w:type="dxa"/>
            <w:noWrap/>
            <w:hideMark/>
          </w:tcPr>
          <w:p w14:paraId="08D5C782"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0.4%</w:t>
            </w:r>
          </w:p>
        </w:tc>
        <w:tc>
          <w:tcPr>
            <w:tcW w:w="900" w:type="dxa"/>
            <w:noWrap/>
            <w:hideMark/>
          </w:tcPr>
          <w:p w14:paraId="0C53835F"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0.3%</w:t>
            </w:r>
          </w:p>
        </w:tc>
        <w:tc>
          <w:tcPr>
            <w:tcW w:w="810" w:type="dxa"/>
            <w:noWrap/>
            <w:hideMark/>
          </w:tcPr>
          <w:p w14:paraId="7AE38F6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0.4%</w:t>
            </w:r>
          </w:p>
        </w:tc>
        <w:tc>
          <w:tcPr>
            <w:tcW w:w="720" w:type="dxa"/>
            <w:noWrap/>
            <w:hideMark/>
          </w:tcPr>
          <w:p w14:paraId="07005B1A"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0.2%</w:t>
            </w:r>
          </w:p>
        </w:tc>
      </w:tr>
      <w:tr w:rsidR="00442BFD" w:rsidRPr="00107340" w14:paraId="26BAD8B4" w14:textId="77777777" w:rsidTr="00071E8E">
        <w:trPr>
          <w:trHeight w:val="320"/>
        </w:trPr>
        <w:tc>
          <w:tcPr>
            <w:tcW w:w="2065" w:type="dxa"/>
            <w:noWrap/>
            <w:hideMark/>
          </w:tcPr>
          <w:p w14:paraId="0DFE9D41"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Other</w:t>
            </w:r>
          </w:p>
        </w:tc>
        <w:tc>
          <w:tcPr>
            <w:tcW w:w="1080" w:type="dxa"/>
            <w:noWrap/>
            <w:hideMark/>
          </w:tcPr>
          <w:p w14:paraId="7BE3879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2.5%</w:t>
            </w:r>
          </w:p>
        </w:tc>
        <w:tc>
          <w:tcPr>
            <w:tcW w:w="1080" w:type="dxa"/>
            <w:noWrap/>
            <w:hideMark/>
          </w:tcPr>
          <w:p w14:paraId="62D4FEBF"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2.0%</w:t>
            </w:r>
          </w:p>
        </w:tc>
        <w:tc>
          <w:tcPr>
            <w:tcW w:w="900" w:type="dxa"/>
            <w:noWrap/>
            <w:hideMark/>
          </w:tcPr>
          <w:p w14:paraId="203DD841"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1.5%</w:t>
            </w:r>
          </w:p>
        </w:tc>
        <w:tc>
          <w:tcPr>
            <w:tcW w:w="810" w:type="dxa"/>
            <w:noWrap/>
            <w:hideMark/>
          </w:tcPr>
          <w:p w14:paraId="7F9DFA8B"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1.4%</w:t>
            </w:r>
          </w:p>
        </w:tc>
        <w:tc>
          <w:tcPr>
            <w:tcW w:w="1080" w:type="dxa"/>
            <w:noWrap/>
            <w:hideMark/>
          </w:tcPr>
          <w:p w14:paraId="6AA1AAE4"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2.5%</w:t>
            </w:r>
          </w:p>
        </w:tc>
        <w:tc>
          <w:tcPr>
            <w:tcW w:w="900" w:type="dxa"/>
            <w:noWrap/>
            <w:hideMark/>
          </w:tcPr>
          <w:p w14:paraId="5725EB88"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2.0%</w:t>
            </w:r>
          </w:p>
        </w:tc>
        <w:tc>
          <w:tcPr>
            <w:tcW w:w="810" w:type="dxa"/>
            <w:noWrap/>
            <w:hideMark/>
          </w:tcPr>
          <w:p w14:paraId="64C9A02A"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1.3%</w:t>
            </w:r>
          </w:p>
        </w:tc>
        <w:tc>
          <w:tcPr>
            <w:tcW w:w="720" w:type="dxa"/>
            <w:noWrap/>
            <w:hideMark/>
          </w:tcPr>
          <w:p w14:paraId="26124A58"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1.0%</w:t>
            </w:r>
          </w:p>
        </w:tc>
      </w:tr>
      <w:tr w:rsidR="00442BFD" w:rsidRPr="00107340" w14:paraId="1CE5D72D" w14:textId="77777777" w:rsidTr="00071E8E">
        <w:trPr>
          <w:trHeight w:val="320"/>
        </w:trPr>
        <w:tc>
          <w:tcPr>
            <w:tcW w:w="2065" w:type="dxa"/>
            <w:noWrap/>
            <w:hideMark/>
          </w:tcPr>
          <w:p w14:paraId="691836D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Died</w:t>
            </w:r>
          </w:p>
        </w:tc>
        <w:tc>
          <w:tcPr>
            <w:tcW w:w="1080" w:type="dxa"/>
            <w:noWrap/>
            <w:hideMark/>
          </w:tcPr>
          <w:p w14:paraId="60FD0B48"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0.0%</w:t>
            </w:r>
          </w:p>
        </w:tc>
        <w:tc>
          <w:tcPr>
            <w:tcW w:w="1080" w:type="dxa"/>
            <w:noWrap/>
            <w:hideMark/>
          </w:tcPr>
          <w:p w14:paraId="66A6AAF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0.6%</w:t>
            </w:r>
          </w:p>
        </w:tc>
        <w:tc>
          <w:tcPr>
            <w:tcW w:w="900" w:type="dxa"/>
            <w:noWrap/>
            <w:hideMark/>
          </w:tcPr>
          <w:p w14:paraId="22F8949A"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2.2%</w:t>
            </w:r>
          </w:p>
        </w:tc>
        <w:tc>
          <w:tcPr>
            <w:tcW w:w="810" w:type="dxa"/>
            <w:noWrap/>
            <w:hideMark/>
          </w:tcPr>
          <w:p w14:paraId="3569A280"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4.9%</w:t>
            </w:r>
          </w:p>
        </w:tc>
        <w:tc>
          <w:tcPr>
            <w:tcW w:w="1080" w:type="dxa"/>
            <w:noWrap/>
            <w:hideMark/>
          </w:tcPr>
          <w:p w14:paraId="308BD813"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0.0%</w:t>
            </w:r>
          </w:p>
        </w:tc>
        <w:tc>
          <w:tcPr>
            <w:tcW w:w="900" w:type="dxa"/>
            <w:noWrap/>
            <w:hideMark/>
          </w:tcPr>
          <w:p w14:paraId="7FED26FE"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1.5%</w:t>
            </w:r>
          </w:p>
        </w:tc>
        <w:tc>
          <w:tcPr>
            <w:tcW w:w="810" w:type="dxa"/>
            <w:noWrap/>
            <w:hideMark/>
          </w:tcPr>
          <w:p w14:paraId="47FDD329"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5.7%</w:t>
            </w:r>
          </w:p>
        </w:tc>
        <w:tc>
          <w:tcPr>
            <w:tcW w:w="720" w:type="dxa"/>
            <w:noWrap/>
            <w:hideMark/>
          </w:tcPr>
          <w:p w14:paraId="6F9AB385" w14:textId="77777777" w:rsidR="00111A16" w:rsidRPr="00107340" w:rsidRDefault="00111A16" w:rsidP="004149B9">
            <w:pPr>
              <w:jc w:val="right"/>
              <w:rPr>
                <w:rFonts w:ascii="Times New Roman" w:eastAsia="Times New Roman" w:hAnsi="Times New Roman" w:cs="Times New Roman"/>
                <w:color w:val="000000"/>
                <w:kern w:val="0"/>
                <w:sz w:val="18"/>
                <w:szCs w:val="18"/>
                <w14:ligatures w14:val="none"/>
              </w:rPr>
            </w:pPr>
            <w:r w:rsidRPr="00107340">
              <w:rPr>
                <w:rFonts w:ascii="Times New Roman" w:eastAsia="Times New Roman" w:hAnsi="Times New Roman" w:cs="Times New Roman"/>
                <w:color w:val="000000"/>
                <w:kern w:val="0"/>
                <w:sz w:val="18"/>
                <w:szCs w:val="18"/>
                <w14:ligatures w14:val="none"/>
              </w:rPr>
              <w:t>12.6%</w:t>
            </w:r>
          </w:p>
        </w:tc>
      </w:tr>
    </w:tbl>
    <w:p w14:paraId="56FEBDB0" w14:textId="61CE725B" w:rsidR="0081053F" w:rsidRPr="009E3EF8" w:rsidRDefault="0081053F" w:rsidP="009E3EF8">
      <w:pPr>
        <w:rPr>
          <w:rFonts w:ascii="Times New Roman" w:hAnsi="Times New Roman" w:cs="Times New Roman"/>
          <w:b/>
          <w:bCs/>
          <w:sz w:val="22"/>
          <w:szCs w:val="22"/>
        </w:rPr>
      </w:pPr>
    </w:p>
    <w:sectPr w:rsidR="0081053F" w:rsidRPr="009E3EF8" w:rsidSect="00582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6624A"/>
    <w:multiLevelType w:val="hybridMultilevel"/>
    <w:tmpl w:val="F33A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CB3D74"/>
    <w:multiLevelType w:val="hybridMultilevel"/>
    <w:tmpl w:val="AC0E3B90"/>
    <w:lvl w:ilvl="0" w:tplc="011E1CFE">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5743F81"/>
    <w:multiLevelType w:val="hybridMultilevel"/>
    <w:tmpl w:val="144AA714"/>
    <w:lvl w:ilvl="0" w:tplc="011E1CFE">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354676">
    <w:abstractNumId w:val="0"/>
  </w:num>
  <w:num w:numId="2" w16cid:durableId="1894385847">
    <w:abstractNumId w:val="1"/>
  </w:num>
  <w:num w:numId="3" w16cid:durableId="91412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5C"/>
    <w:rsid w:val="00020217"/>
    <w:rsid w:val="00071E8E"/>
    <w:rsid w:val="00071FDE"/>
    <w:rsid w:val="00084841"/>
    <w:rsid w:val="000B5479"/>
    <w:rsid w:val="000F0BEE"/>
    <w:rsid w:val="000F7A60"/>
    <w:rsid w:val="00107340"/>
    <w:rsid w:val="00111A16"/>
    <w:rsid w:val="00167ADD"/>
    <w:rsid w:val="001943ED"/>
    <w:rsid w:val="001C0027"/>
    <w:rsid w:val="001C23CF"/>
    <w:rsid w:val="001C3F5C"/>
    <w:rsid w:val="001E6E1D"/>
    <w:rsid w:val="002064EA"/>
    <w:rsid w:val="00232611"/>
    <w:rsid w:val="002A4A75"/>
    <w:rsid w:val="002B1927"/>
    <w:rsid w:val="002E27AA"/>
    <w:rsid w:val="00320C49"/>
    <w:rsid w:val="00345B6A"/>
    <w:rsid w:val="00361DE6"/>
    <w:rsid w:val="003B0168"/>
    <w:rsid w:val="003B03D4"/>
    <w:rsid w:val="003B0C5A"/>
    <w:rsid w:val="003D74FF"/>
    <w:rsid w:val="00416152"/>
    <w:rsid w:val="00442BFD"/>
    <w:rsid w:val="004556DE"/>
    <w:rsid w:val="00473EC3"/>
    <w:rsid w:val="00493CE0"/>
    <w:rsid w:val="004D338E"/>
    <w:rsid w:val="004E5062"/>
    <w:rsid w:val="00510AE7"/>
    <w:rsid w:val="005401A6"/>
    <w:rsid w:val="005417FF"/>
    <w:rsid w:val="00541EB2"/>
    <w:rsid w:val="00543274"/>
    <w:rsid w:val="00546820"/>
    <w:rsid w:val="00582A55"/>
    <w:rsid w:val="005E681E"/>
    <w:rsid w:val="005F49B5"/>
    <w:rsid w:val="005F62D3"/>
    <w:rsid w:val="0063504A"/>
    <w:rsid w:val="00640FCA"/>
    <w:rsid w:val="00654B4C"/>
    <w:rsid w:val="006A29F3"/>
    <w:rsid w:val="0071112C"/>
    <w:rsid w:val="007868ED"/>
    <w:rsid w:val="007A3F42"/>
    <w:rsid w:val="007F218D"/>
    <w:rsid w:val="0081053F"/>
    <w:rsid w:val="008131C2"/>
    <w:rsid w:val="008156E5"/>
    <w:rsid w:val="008276B5"/>
    <w:rsid w:val="008776DC"/>
    <w:rsid w:val="00884C91"/>
    <w:rsid w:val="008913E8"/>
    <w:rsid w:val="008F3E49"/>
    <w:rsid w:val="00902F48"/>
    <w:rsid w:val="0092011E"/>
    <w:rsid w:val="009425C0"/>
    <w:rsid w:val="00985EA7"/>
    <w:rsid w:val="009D0D1D"/>
    <w:rsid w:val="009E08F6"/>
    <w:rsid w:val="009E3EF8"/>
    <w:rsid w:val="009F186A"/>
    <w:rsid w:val="00A05330"/>
    <w:rsid w:val="00A669FA"/>
    <w:rsid w:val="00AA78C5"/>
    <w:rsid w:val="00AB3BC3"/>
    <w:rsid w:val="00AC25D2"/>
    <w:rsid w:val="00AC68B5"/>
    <w:rsid w:val="00AD62B5"/>
    <w:rsid w:val="00B23A6B"/>
    <w:rsid w:val="00B26501"/>
    <w:rsid w:val="00B445C1"/>
    <w:rsid w:val="00B468CC"/>
    <w:rsid w:val="00B5791C"/>
    <w:rsid w:val="00B774FA"/>
    <w:rsid w:val="00B84039"/>
    <w:rsid w:val="00BA209B"/>
    <w:rsid w:val="00C002B8"/>
    <w:rsid w:val="00C46BD1"/>
    <w:rsid w:val="00C71150"/>
    <w:rsid w:val="00C8076E"/>
    <w:rsid w:val="00C833B6"/>
    <w:rsid w:val="00C87C90"/>
    <w:rsid w:val="00C93CA3"/>
    <w:rsid w:val="00CC6220"/>
    <w:rsid w:val="00CF672D"/>
    <w:rsid w:val="00CF74F9"/>
    <w:rsid w:val="00D21077"/>
    <w:rsid w:val="00D27580"/>
    <w:rsid w:val="00D55F8D"/>
    <w:rsid w:val="00D60702"/>
    <w:rsid w:val="00D73DB4"/>
    <w:rsid w:val="00D87CE8"/>
    <w:rsid w:val="00DB6405"/>
    <w:rsid w:val="00DC5146"/>
    <w:rsid w:val="00DF478A"/>
    <w:rsid w:val="00E02F5E"/>
    <w:rsid w:val="00E26F16"/>
    <w:rsid w:val="00E74E7A"/>
    <w:rsid w:val="00E845CB"/>
    <w:rsid w:val="00EB5358"/>
    <w:rsid w:val="00F15B55"/>
    <w:rsid w:val="00F17674"/>
    <w:rsid w:val="00FC245F"/>
    <w:rsid w:val="00FE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3628"/>
  <w15:chartTrackingRefBased/>
  <w15:docId w15:val="{9CCE6A98-D542-D64D-AB2E-9FF850B4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F5C"/>
    <w:rPr>
      <w:rFonts w:eastAsiaTheme="majorEastAsia" w:cstheme="majorBidi"/>
      <w:color w:val="272727" w:themeColor="text1" w:themeTint="D8"/>
    </w:rPr>
  </w:style>
  <w:style w:type="paragraph" w:styleId="Title">
    <w:name w:val="Title"/>
    <w:basedOn w:val="Normal"/>
    <w:next w:val="Normal"/>
    <w:link w:val="TitleChar"/>
    <w:uiPriority w:val="10"/>
    <w:qFormat/>
    <w:rsid w:val="001C3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F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F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F5C"/>
    <w:rPr>
      <w:i/>
      <w:iCs/>
      <w:color w:val="404040" w:themeColor="text1" w:themeTint="BF"/>
    </w:rPr>
  </w:style>
  <w:style w:type="paragraph" w:styleId="ListParagraph">
    <w:name w:val="List Paragraph"/>
    <w:basedOn w:val="Normal"/>
    <w:uiPriority w:val="34"/>
    <w:qFormat/>
    <w:rsid w:val="001C3F5C"/>
    <w:pPr>
      <w:ind w:left="720"/>
      <w:contextualSpacing/>
    </w:pPr>
  </w:style>
  <w:style w:type="character" w:styleId="IntenseEmphasis">
    <w:name w:val="Intense Emphasis"/>
    <w:basedOn w:val="DefaultParagraphFont"/>
    <w:uiPriority w:val="21"/>
    <w:qFormat/>
    <w:rsid w:val="001C3F5C"/>
    <w:rPr>
      <w:i/>
      <w:iCs/>
      <w:color w:val="0F4761" w:themeColor="accent1" w:themeShade="BF"/>
    </w:rPr>
  </w:style>
  <w:style w:type="paragraph" w:styleId="IntenseQuote">
    <w:name w:val="Intense Quote"/>
    <w:basedOn w:val="Normal"/>
    <w:next w:val="Normal"/>
    <w:link w:val="IntenseQuoteChar"/>
    <w:uiPriority w:val="30"/>
    <w:qFormat/>
    <w:rsid w:val="001C3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F5C"/>
    <w:rPr>
      <w:i/>
      <w:iCs/>
      <w:color w:val="0F4761" w:themeColor="accent1" w:themeShade="BF"/>
    </w:rPr>
  </w:style>
  <w:style w:type="character" w:styleId="IntenseReference">
    <w:name w:val="Intense Reference"/>
    <w:basedOn w:val="DefaultParagraphFont"/>
    <w:uiPriority w:val="32"/>
    <w:qFormat/>
    <w:rsid w:val="001C3F5C"/>
    <w:rPr>
      <w:b/>
      <w:bCs/>
      <w:smallCaps/>
      <w:color w:val="0F4761" w:themeColor="accent1" w:themeShade="BF"/>
      <w:spacing w:val="5"/>
    </w:rPr>
  </w:style>
  <w:style w:type="table" w:styleId="TableGrid">
    <w:name w:val="Table Grid"/>
    <w:basedOn w:val="TableNormal"/>
    <w:uiPriority w:val="39"/>
    <w:rsid w:val="001C3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2A55"/>
    <w:rPr>
      <w:color w:val="467886"/>
      <w:u w:val="single"/>
    </w:rPr>
  </w:style>
  <w:style w:type="character" w:styleId="FollowedHyperlink">
    <w:name w:val="FollowedHyperlink"/>
    <w:basedOn w:val="DefaultParagraphFont"/>
    <w:uiPriority w:val="99"/>
    <w:semiHidden/>
    <w:unhideWhenUsed/>
    <w:rsid w:val="00582A55"/>
    <w:rPr>
      <w:color w:val="96607D"/>
      <w:u w:val="single"/>
    </w:rPr>
  </w:style>
  <w:style w:type="paragraph" w:customStyle="1" w:styleId="msonormal0">
    <w:name w:val="msonormal"/>
    <w:basedOn w:val="Normal"/>
    <w:rsid w:val="00582A55"/>
    <w:pPr>
      <w:spacing w:before="100" w:beforeAutospacing="1" w:after="100" w:afterAutospacing="1"/>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AB3B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08987">
      <w:bodyDiv w:val="1"/>
      <w:marLeft w:val="0"/>
      <w:marRight w:val="0"/>
      <w:marTop w:val="0"/>
      <w:marBottom w:val="0"/>
      <w:divBdr>
        <w:top w:val="none" w:sz="0" w:space="0" w:color="auto"/>
        <w:left w:val="none" w:sz="0" w:space="0" w:color="auto"/>
        <w:bottom w:val="none" w:sz="0" w:space="0" w:color="auto"/>
        <w:right w:val="none" w:sz="0" w:space="0" w:color="auto"/>
      </w:divBdr>
    </w:div>
    <w:div w:id="761754632">
      <w:bodyDiv w:val="1"/>
      <w:marLeft w:val="0"/>
      <w:marRight w:val="0"/>
      <w:marTop w:val="0"/>
      <w:marBottom w:val="0"/>
      <w:divBdr>
        <w:top w:val="none" w:sz="0" w:space="0" w:color="auto"/>
        <w:left w:val="none" w:sz="0" w:space="0" w:color="auto"/>
        <w:bottom w:val="none" w:sz="0" w:space="0" w:color="auto"/>
        <w:right w:val="none" w:sz="0" w:space="0" w:color="auto"/>
      </w:divBdr>
    </w:div>
    <w:div w:id="877662372">
      <w:bodyDiv w:val="1"/>
      <w:marLeft w:val="0"/>
      <w:marRight w:val="0"/>
      <w:marTop w:val="0"/>
      <w:marBottom w:val="0"/>
      <w:divBdr>
        <w:top w:val="none" w:sz="0" w:space="0" w:color="auto"/>
        <w:left w:val="none" w:sz="0" w:space="0" w:color="auto"/>
        <w:bottom w:val="none" w:sz="0" w:space="0" w:color="auto"/>
        <w:right w:val="none" w:sz="0" w:space="0" w:color="auto"/>
      </w:divBdr>
      <w:divsChild>
        <w:div w:id="543250890">
          <w:marLeft w:val="0"/>
          <w:marRight w:val="0"/>
          <w:marTop w:val="0"/>
          <w:marBottom w:val="0"/>
          <w:divBdr>
            <w:top w:val="none" w:sz="0" w:space="0" w:color="auto"/>
            <w:left w:val="none" w:sz="0" w:space="0" w:color="auto"/>
            <w:bottom w:val="none" w:sz="0" w:space="0" w:color="auto"/>
            <w:right w:val="none" w:sz="0" w:space="0" w:color="auto"/>
          </w:divBdr>
        </w:div>
      </w:divsChild>
    </w:div>
    <w:div w:id="1135945487">
      <w:bodyDiv w:val="1"/>
      <w:marLeft w:val="0"/>
      <w:marRight w:val="0"/>
      <w:marTop w:val="0"/>
      <w:marBottom w:val="0"/>
      <w:divBdr>
        <w:top w:val="none" w:sz="0" w:space="0" w:color="auto"/>
        <w:left w:val="none" w:sz="0" w:space="0" w:color="auto"/>
        <w:bottom w:val="none" w:sz="0" w:space="0" w:color="auto"/>
        <w:right w:val="none" w:sz="0" w:space="0" w:color="auto"/>
      </w:divBdr>
    </w:div>
    <w:div w:id="1298990223">
      <w:bodyDiv w:val="1"/>
      <w:marLeft w:val="0"/>
      <w:marRight w:val="0"/>
      <w:marTop w:val="0"/>
      <w:marBottom w:val="0"/>
      <w:divBdr>
        <w:top w:val="none" w:sz="0" w:space="0" w:color="auto"/>
        <w:left w:val="none" w:sz="0" w:space="0" w:color="auto"/>
        <w:bottom w:val="none" w:sz="0" w:space="0" w:color="auto"/>
        <w:right w:val="none" w:sz="0" w:space="0" w:color="auto"/>
      </w:divBdr>
      <w:divsChild>
        <w:div w:id="760372352">
          <w:marLeft w:val="0"/>
          <w:marRight w:val="0"/>
          <w:marTop w:val="0"/>
          <w:marBottom w:val="0"/>
          <w:divBdr>
            <w:top w:val="none" w:sz="0" w:space="0" w:color="auto"/>
            <w:left w:val="none" w:sz="0" w:space="0" w:color="auto"/>
            <w:bottom w:val="none" w:sz="0" w:space="0" w:color="auto"/>
            <w:right w:val="none" w:sz="0" w:space="0" w:color="auto"/>
          </w:divBdr>
        </w:div>
      </w:divsChild>
    </w:div>
    <w:div w:id="1354913323">
      <w:bodyDiv w:val="1"/>
      <w:marLeft w:val="0"/>
      <w:marRight w:val="0"/>
      <w:marTop w:val="0"/>
      <w:marBottom w:val="0"/>
      <w:divBdr>
        <w:top w:val="none" w:sz="0" w:space="0" w:color="auto"/>
        <w:left w:val="none" w:sz="0" w:space="0" w:color="auto"/>
        <w:bottom w:val="none" w:sz="0" w:space="0" w:color="auto"/>
        <w:right w:val="none" w:sz="0" w:space="0" w:color="auto"/>
      </w:divBdr>
    </w:div>
    <w:div w:id="1458572499">
      <w:bodyDiv w:val="1"/>
      <w:marLeft w:val="0"/>
      <w:marRight w:val="0"/>
      <w:marTop w:val="0"/>
      <w:marBottom w:val="0"/>
      <w:divBdr>
        <w:top w:val="none" w:sz="0" w:space="0" w:color="auto"/>
        <w:left w:val="none" w:sz="0" w:space="0" w:color="auto"/>
        <w:bottom w:val="none" w:sz="0" w:space="0" w:color="auto"/>
        <w:right w:val="none" w:sz="0" w:space="0" w:color="auto"/>
      </w:divBdr>
      <w:divsChild>
        <w:div w:id="1637107656">
          <w:marLeft w:val="0"/>
          <w:marRight w:val="0"/>
          <w:marTop w:val="0"/>
          <w:marBottom w:val="0"/>
          <w:divBdr>
            <w:top w:val="none" w:sz="0" w:space="0" w:color="auto"/>
            <w:left w:val="none" w:sz="0" w:space="0" w:color="auto"/>
            <w:bottom w:val="none" w:sz="0" w:space="0" w:color="auto"/>
            <w:right w:val="none" w:sz="0" w:space="0" w:color="auto"/>
          </w:divBdr>
        </w:div>
      </w:divsChild>
    </w:div>
    <w:div w:id="1499468029">
      <w:bodyDiv w:val="1"/>
      <w:marLeft w:val="0"/>
      <w:marRight w:val="0"/>
      <w:marTop w:val="0"/>
      <w:marBottom w:val="0"/>
      <w:divBdr>
        <w:top w:val="none" w:sz="0" w:space="0" w:color="auto"/>
        <w:left w:val="none" w:sz="0" w:space="0" w:color="auto"/>
        <w:bottom w:val="none" w:sz="0" w:space="0" w:color="auto"/>
        <w:right w:val="none" w:sz="0" w:space="0" w:color="auto"/>
      </w:divBdr>
    </w:div>
    <w:div w:id="1635602098">
      <w:bodyDiv w:val="1"/>
      <w:marLeft w:val="0"/>
      <w:marRight w:val="0"/>
      <w:marTop w:val="0"/>
      <w:marBottom w:val="0"/>
      <w:divBdr>
        <w:top w:val="none" w:sz="0" w:space="0" w:color="auto"/>
        <w:left w:val="none" w:sz="0" w:space="0" w:color="auto"/>
        <w:bottom w:val="none" w:sz="0" w:space="0" w:color="auto"/>
        <w:right w:val="none" w:sz="0" w:space="0" w:color="auto"/>
      </w:divBdr>
    </w:div>
    <w:div w:id="1658921326">
      <w:bodyDiv w:val="1"/>
      <w:marLeft w:val="0"/>
      <w:marRight w:val="0"/>
      <w:marTop w:val="0"/>
      <w:marBottom w:val="0"/>
      <w:divBdr>
        <w:top w:val="none" w:sz="0" w:space="0" w:color="auto"/>
        <w:left w:val="none" w:sz="0" w:space="0" w:color="auto"/>
        <w:bottom w:val="none" w:sz="0" w:space="0" w:color="auto"/>
        <w:right w:val="none" w:sz="0" w:space="0" w:color="auto"/>
      </w:divBdr>
      <w:divsChild>
        <w:div w:id="1884904951">
          <w:marLeft w:val="0"/>
          <w:marRight w:val="0"/>
          <w:marTop w:val="0"/>
          <w:marBottom w:val="0"/>
          <w:divBdr>
            <w:top w:val="none" w:sz="0" w:space="0" w:color="auto"/>
            <w:left w:val="none" w:sz="0" w:space="0" w:color="auto"/>
            <w:bottom w:val="none" w:sz="0" w:space="0" w:color="auto"/>
            <w:right w:val="none" w:sz="0" w:space="0" w:color="auto"/>
          </w:divBdr>
        </w:div>
      </w:divsChild>
    </w:div>
    <w:div w:id="1848404677">
      <w:bodyDiv w:val="1"/>
      <w:marLeft w:val="0"/>
      <w:marRight w:val="0"/>
      <w:marTop w:val="0"/>
      <w:marBottom w:val="0"/>
      <w:divBdr>
        <w:top w:val="none" w:sz="0" w:space="0" w:color="auto"/>
        <w:left w:val="none" w:sz="0" w:space="0" w:color="auto"/>
        <w:bottom w:val="none" w:sz="0" w:space="0" w:color="auto"/>
        <w:right w:val="none" w:sz="0" w:space="0" w:color="auto"/>
      </w:divBdr>
    </w:div>
    <w:div w:id="1896238534">
      <w:bodyDiv w:val="1"/>
      <w:marLeft w:val="0"/>
      <w:marRight w:val="0"/>
      <w:marTop w:val="0"/>
      <w:marBottom w:val="0"/>
      <w:divBdr>
        <w:top w:val="none" w:sz="0" w:space="0" w:color="auto"/>
        <w:left w:val="none" w:sz="0" w:space="0" w:color="auto"/>
        <w:bottom w:val="none" w:sz="0" w:space="0" w:color="auto"/>
        <w:right w:val="none" w:sz="0" w:space="0" w:color="auto"/>
      </w:divBdr>
    </w:div>
    <w:div w:id="1921132812">
      <w:bodyDiv w:val="1"/>
      <w:marLeft w:val="0"/>
      <w:marRight w:val="0"/>
      <w:marTop w:val="0"/>
      <w:marBottom w:val="0"/>
      <w:divBdr>
        <w:top w:val="none" w:sz="0" w:space="0" w:color="auto"/>
        <w:left w:val="none" w:sz="0" w:space="0" w:color="auto"/>
        <w:bottom w:val="none" w:sz="0" w:space="0" w:color="auto"/>
        <w:right w:val="none" w:sz="0" w:space="0" w:color="auto"/>
      </w:divBdr>
      <w:divsChild>
        <w:div w:id="914819449">
          <w:marLeft w:val="0"/>
          <w:marRight w:val="0"/>
          <w:marTop w:val="0"/>
          <w:marBottom w:val="0"/>
          <w:divBdr>
            <w:top w:val="none" w:sz="0" w:space="0" w:color="auto"/>
            <w:left w:val="none" w:sz="0" w:space="0" w:color="auto"/>
            <w:bottom w:val="none" w:sz="0" w:space="0" w:color="auto"/>
            <w:right w:val="none" w:sz="0" w:space="0" w:color="auto"/>
          </w:divBdr>
        </w:div>
      </w:divsChild>
    </w:div>
    <w:div w:id="1929346009">
      <w:bodyDiv w:val="1"/>
      <w:marLeft w:val="0"/>
      <w:marRight w:val="0"/>
      <w:marTop w:val="0"/>
      <w:marBottom w:val="0"/>
      <w:divBdr>
        <w:top w:val="none" w:sz="0" w:space="0" w:color="auto"/>
        <w:left w:val="none" w:sz="0" w:space="0" w:color="auto"/>
        <w:bottom w:val="none" w:sz="0" w:space="0" w:color="auto"/>
        <w:right w:val="none" w:sz="0" w:space="0" w:color="auto"/>
      </w:divBdr>
      <w:divsChild>
        <w:div w:id="81225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Johnson</dc:creator>
  <cp:keywords/>
  <dc:description/>
  <cp:lastModifiedBy>Emily Johnson</cp:lastModifiedBy>
  <cp:revision>7</cp:revision>
  <cp:lastPrinted>2024-09-11T09:35:00Z</cp:lastPrinted>
  <dcterms:created xsi:type="dcterms:W3CDTF">2024-11-13T16:02:00Z</dcterms:created>
  <dcterms:modified xsi:type="dcterms:W3CDTF">2024-11-13T16:11:00Z</dcterms:modified>
</cp:coreProperties>
</file>