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C7446" w14:textId="0A8147EE" w:rsidR="002F6FB1" w:rsidRPr="002F6FB1" w:rsidRDefault="002F6FB1" w:rsidP="002F6FB1">
      <w:pPr>
        <w:spacing w:after="0" w:line="360" w:lineRule="auto"/>
        <w:jc w:val="center"/>
        <w:rPr>
          <w:rFonts w:asciiTheme="minorBidi" w:hAnsiTheme="minorBidi"/>
          <w:bCs/>
          <w:noProof/>
          <w:sz w:val="28"/>
          <w:szCs w:val="28"/>
        </w:rPr>
      </w:pPr>
      <w:r w:rsidRPr="002F6FB1">
        <w:rPr>
          <w:rFonts w:asciiTheme="minorBidi" w:hAnsiTheme="minorBidi"/>
          <w:bCs/>
          <w:noProof/>
          <w:sz w:val="28"/>
          <w:szCs w:val="28"/>
        </w:rPr>
        <w:t>Supplementary information for</w:t>
      </w:r>
    </w:p>
    <w:p w14:paraId="1E26D376" w14:textId="77777777" w:rsidR="006323F2" w:rsidRDefault="006323F2" w:rsidP="006323F2">
      <w:pPr>
        <w:spacing w:after="0" w:line="360" w:lineRule="auto"/>
        <w:rPr>
          <w:rFonts w:asciiTheme="minorBidi" w:eastAsiaTheme="majorEastAsia" w:hAnsiTheme="minorBidi"/>
          <w:b/>
          <w:bCs/>
        </w:rPr>
      </w:pPr>
      <w:r>
        <w:rPr>
          <w:rFonts w:asciiTheme="minorBidi" w:eastAsiaTheme="majorEastAsia" w:hAnsiTheme="minorBidi"/>
          <w:b/>
          <w:bCs/>
        </w:rPr>
        <w:t xml:space="preserve">Dynamic MRI </w:t>
      </w:r>
      <w:r w:rsidRPr="00FF498D">
        <w:rPr>
          <w:rFonts w:asciiTheme="minorBidi" w:eastAsiaTheme="majorEastAsia" w:hAnsiTheme="minorBidi"/>
          <w:b/>
          <w:bCs/>
        </w:rPr>
        <w:t xml:space="preserve">with Locally Low-Rank Subspace Constraint: Towards 1-Second </w:t>
      </w:r>
      <w:r w:rsidRPr="00EF71F5">
        <w:rPr>
          <w:rFonts w:asciiTheme="minorBidi" w:eastAsiaTheme="majorEastAsia" w:hAnsiTheme="minorBidi"/>
          <w:b/>
          <w:bCs/>
        </w:rPr>
        <w:t>Temporal Resolution Aided by Deep Learning</w:t>
      </w:r>
    </w:p>
    <w:p w14:paraId="5B746B5F" w14:textId="77777777" w:rsidR="002F6FB1" w:rsidRDefault="002F6FB1" w:rsidP="002F6FB1">
      <w:pPr>
        <w:spacing w:after="0" w:line="360" w:lineRule="auto"/>
        <w:rPr>
          <w:rStyle w:val="Strong"/>
          <w:rFonts w:asciiTheme="minorBidi" w:hAnsiTheme="minorBidi"/>
        </w:rPr>
      </w:pPr>
    </w:p>
    <w:p w14:paraId="3DF760E5" w14:textId="77777777" w:rsidR="008F48B1" w:rsidRPr="00FF498D" w:rsidRDefault="008F48B1" w:rsidP="008F48B1">
      <w:pPr>
        <w:spacing w:after="0" w:line="360" w:lineRule="auto"/>
        <w:jc w:val="both"/>
        <w:rPr>
          <w:rFonts w:asciiTheme="minorBidi" w:eastAsiaTheme="majorEastAsia" w:hAnsiTheme="minorBidi"/>
          <w:lang w:val="de-DE"/>
        </w:rPr>
      </w:pPr>
      <w:r w:rsidRPr="00FF498D">
        <w:rPr>
          <w:rFonts w:asciiTheme="minorBidi" w:hAnsiTheme="minorBidi"/>
          <w:vertAlign w:val="superscript"/>
        </w:rPr>
        <w:t>1</w:t>
      </w:r>
      <w:r w:rsidRPr="00FF498D">
        <w:rPr>
          <w:rFonts w:asciiTheme="minorBidi" w:eastAsiaTheme="majorEastAsia" w:hAnsiTheme="minorBidi"/>
          <w:lang w:val="de-DE"/>
        </w:rPr>
        <w:t xml:space="preserve">Eddy Solomon, </w:t>
      </w:r>
      <w:r w:rsidRPr="00FF498D">
        <w:rPr>
          <w:rFonts w:asciiTheme="minorBidi" w:hAnsiTheme="minorBidi"/>
          <w:vertAlign w:val="superscript"/>
        </w:rPr>
        <w:t>1</w:t>
      </w:r>
      <w:r w:rsidRPr="00FF498D">
        <w:rPr>
          <w:rFonts w:asciiTheme="minorBidi" w:eastAsiaTheme="majorEastAsia" w:hAnsiTheme="minorBidi"/>
          <w:lang w:val="de-DE"/>
        </w:rPr>
        <w:t xml:space="preserve">Jonghyun Bae, </w:t>
      </w:r>
      <w:r w:rsidRPr="00FF498D">
        <w:rPr>
          <w:rFonts w:asciiTheme="minorBidi" w:hAnsiTheme="minorBidi"/>
          <w:vertAlign w:val="superscript"/>
        </w:rPr>
        <w:t>2</w:t>
      </w:r>
      <w:r w:rsidRPr="00FF498D">
        <w:rPr>
          <w:rFonts w:asciiTheme="minorBidi" w:eastAsiaTheme="majorEastAsia" w:hAnsiTheme="minorBidi"/>
          <w:lang w:val="de-DE"/>
        </w:rPr>
        <w:t xml:space="preserve">Linda Moy, </w:t>
      </w:r>
      <w:r w:rsidRPr="00FF498D">
        <w:rPr>
          <w:rFonts w:asciiTheme="minorBidi" w:hAnsiTheme="minorBidi"/>
          <w:vertAlign w:val="superscript"/>
        </w:rPr>
        <w:t>2</w:t>
      </w:r>
      <w:r w:rsidRPr="00FF498D">
        <w:rPr>
          <w:rFonts w:asciiTheme="minorBidi" w:eastAsiaTheme="majorEastAsia" w:hAnsiTheme="minorBidi"/>
          <w:lang w:val="de-DE"/>
        </w:rPr>
        <w:t xml:space="preserve">Laura Heacock, </w:t>
      </w:r>
      <w:r w:rsidRPr="00FF498D">
        <w:rPr>
          <w:rFonts w:asciiTheme="minorBidi" w:hAnsiTheme="minorBidi"/>
          <w:vertAlign w:val="superscript"/>
        </w:rPr>
        <w:t>2</w:t>
      </w:r>
      <w:r w:rsidRPr="00FF498D">
        <w:rPr>
          <w:rFonts w:asciiTheme="minorBidi" w:eastAsiaTheme="majorEastAsia" w:hAnsiTheme="minorBidi"/>
          <w:lang w:val="de-DE"/>
        </w:rPr>
        <w:t xml:space="preserve">Li Feng, </w:t>
      </w:r>
      <w:r w:rsidRPr="00FF498D">
        <w:rPr>
          <w:rFonts w:asciiTheme="minorBidi" w:hAnsiTheme="minorBidi"/>
          <w:vertAlign w:val="superscript"/>
        </w:rPr>
        <w:t>1</w:t>
      </w:r>
      <w:r w:rsidRPr="00FF498D">
        <w:rPr>
          <w:rFonts w:asciiTheme="minorBidi" w:eastAsiaTheme="majorEastAsia" w:hAnsiTheme="minorBidi"/>
          <w:lang w:val="de-DE"/>
        </w:rPr>
        <w:t>Sungheon Gene Kim</w:t>
      </w:r>
    </w:p>
    <w:p w14:paraId="564D0722" w14:textId="77777777" w:rsidR="008F48B1" w:rsidRPr="00FF498D" w:rsidRDefault="008F48B1" w:rsidP="008F48B1">
      <w:pPr>
        <w:spacing w:after="0" w:line="360" w:lineRule="auto"/>
        <w:jc w:val="both"/>
        <w:rPr>
          <w:rFonts w:asciiTheme="minorBidi" w:eastAsiaTheme="majorEastAsia" w:hAnsiTheme="minorBidi"/>
          <w:lang w:val="de-DE"/>
        </w:rPr>
      </w:pPr>
      <w:r w:rsidRPr="00FF498D">
        <w:rPr>
          <w:rFonts w:asciiTheme="minorBidi" w:hAnsiTheme="minorBidi"/>
          <w:vertAlign w:val="superscript"/>
        </w:rPr>
        <w:t>1</w:t>
      </w:r>
      <w:r w:rsidRPr="00FF498D">
        <w:rPr>
          <w:rFonts w:asciiTheme="minorBidi" w:hAnsiTheme="minorBidi"/>
        </w:rPr>
        <w:t xml:space="preserve">Department of Radiology, Weill Cornell Medical College, New York, NY, United States. </w:t>
      </w:r>
    </w:p>
    <w:p w14:paraId="4CF0914E" w14:textId="76219BD6" w:rsidR="00D4233C" w:rsidRPr="008F48B1" w:rsidRDefault="008F48B1" w:rsidP="008F48B1">
      <w:pPr>
        <w:spacing w:after="0" w:line="360" w:lineRule="auto"/>
        <w:jc w:val="both"/>
        <w:rPr>
          <w:rFonts w:asciiTheme="minorBidi" w:hAnsiTheme="minorBidi"/>
        </w:rPr>
      </w:pPr>
      <w:r w:rsidRPr="00FF498D">
        <w:rPr>
          <w:rFonts w:asciiTheme="minorBidi" w:hAnsiTheme="minorBidi"/>
          <w:vertAlign w:val="superscript"/>
        </w:rPr>
        <w:t>2</w:t>
      </w:r>
      <w:r w:rsidRPr="00B05EFF">
        <w:rPr>
          <w:rFonts w:asciiTheme="minorBidi" w:hAnsiTheme="minorBidi"/>
        </w:rPr>
        <w:t>Center for Advanced Imaging Innovation and Research (CAI2R)</w:t>
      </w:r>
      <w:r>
        <w:rPr>
          <w:rFonts w:asciiTheme="minorBidi" w:hAnsiTheme="minorBidi"/>
        </w:rPr>
        <w:t xml:space="preserve">, </w:t>
      </w:r>
      <w:r w:rsidRPr="00FF498D">
        <w:rPr>
          <w:rFonts w:asciiTheme="minorBidi" w:hAnsiTheme="minorBidi"/>
        </w:rPr>
        <w:t>Department of Radiology, New York University, New York, NY, United States.</w:t>
      </w:r>
    </w:p>
    <w:p w14:paraId="1D33CE9D" w14:textId="77777777" w:rsidR="006E010E" w:rsidRDefault="006E010E"/>
    <w:p w14:paraId="38E72966" w14:textId="77777777" w:rsidR="006E010E" w:rsidRDefault="006E010E"/>
    <w:p w14:paraId="0C5D8EB7" w14:textId="77777777" w:rsidR="006E010E" w:rsidRDefault="006E010E"/>
    <w:p w14:paraId="17BEBC33" w14:textId="0FC1FB36" w:rsidR="002F6FB1" w:rsidRDefault="006E010E">
      <w:r>
        <w:rPr>
          <w:noProof/>
        </w:rPr>
        <w:drawing>
          <wp:inline distT="0" distB="0" distL="0" distR="0" wp14:anchorId="16DBAEE3" wp14:editId="251E30C2">
            <wp:extent cx="5943600" cy="25076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A9305" w14:textId="77777777" w:rsidR="006E010E" w:rsidRDefault="006E010E"/>
    <w:p w14:paraId="49CF909B" w14:textId="30D43607" w:rsidR="006E010E" w:rsidRPr="00FF498D" w:rsidRDefault="00386FE2" w:rsidP="006E010E">
      <w:pPr>
        <w:pStyle w:val="NormalWeb"/>
        <w:spacing w:before="0" w:beforeAutospacing="0" w:after="0" w:afterAutospacing="0" w:line="360" w:lineRule="auto"/>
        <w:jc w:val="both"/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</w:pPr>
      <w:bookmarkStart w:id="0" w:name="_Hlk182329157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6E010E" w:rsidRPr="00FF498D">
        <w:rPr>
          <w:rFonts w:asciiTheme="minorBidi" w:eastAsia="Calibri" w:hAnsiTheme="minorBidi" w:cstheme="minorBidi"/>
          <w:b/>
          <w:bCs/>
          <w:color w:val="000000"/>
          <w:kern w:val="24"/>
          <w:sz w:val="22"/>
          <w:szCs w:val="22"/>
        </w:rPr>
        <w:t xml:space="preserve">Fig. 1: GLR and LLR reconstruction approaches for breast DCE-MRI. 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(a) G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lobally </w:t>
      </w:r>
      <w:proofErr w:type="gramStart"/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low-rank</w:t>
      </w:r>
      <w:proofErr w:type="gramEnd"/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(GLR) estimates its basis function based on the whole image. 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(b)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For locally low-rank (LLR), the image can be divided either into blocks (‘LLR-Block’) or 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(c)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tissue-segments (‘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ELITE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’), where each tissue can be represented by its own set of </w:t>
      </w:r>
      <w:r w:rsidR="009C799F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unique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singular values decay pattern (far right). </w:t>
      </w:r>
    </w:p>
    <w:bookmarkEnd w:id="0"/>
    <w:p w14:paraId="798DA3BD" w14:textId="7C38C071" w:rsidR="006E010E" w:rsidRDefault="006E010E">
      <w:r>
        <w:br w:type="page"/>
      </w:r>
    </w:p>
    <w:p w14:paraId="283BB792" w14:textId="47D51159" w:rsidR="006E010E" w:rsidRDefault="006E010E">
      <w:r>
        <w:rPr>
          <w:noProof/>
        </w:rPr>
        <w:lastRenderedPageBreak/>
        <w:drawing>
          <wp:inline distT="0" distB="0" distL="0" distR="0" wp14:anchorId="0F7D0C91" wp14:editId="648388A6">
            <wp:extent cx="5943600" cy="49085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0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3ED48" w14:textId="77777777" w:rsidR="006E010E" w:rsidRDefault="006E010E"/>
    <w:p w14:paraId="682DA75D" w14:textId="20064DC9" w:rsidR="006E010E" w:rsidRPr="00FF498D" w:rsidRDefault="00386FE2" w:rsidP="006E010E">
      <w:pPr>
        <w:pStyle w:val="NormalWeb"/>
        <w:spacing w:line="360" w:lineRule="auto"/>
        <w:jc w:val="both"/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</w:pPr>
      <w:bookmarkStart w:id="1" w:name="_Hlk182328484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6E010E" w:rsidRPr="00FF498D">
        <w:rPr>
          <w:rFonts w:asciiTheme="minorBidi" w:eastAsia="Calibri" w:hAnsiTheme="minorBidi" w:cstheme="minorBidi"/>
          <w:b/>
          <w:bCs/>
          <w:color w:val="000000"/>
          <w:kern w:val="24"/>
          <w:sz w:val="22"/>
          <w:szCs w:val="22"/>
        </w:rPr>
        <w:t>Fig. 2: Structural differences in breast tissue, reconstructed by GRASP methods.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(a-e) Five representative </w:t>
      </w:r>
      <w:r w:rsidR="009C799F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cases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</w:t>
      </w:r>
      <w:r w:rsidR="009C799F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where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m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ild streak artifacts (red arrows)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overlap and obscure fine breast structures. The same regions, reconstructed with </w:t>
      </w:r>
      <w:r w:rsidR="00315408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the proposed 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ELITE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</w:t>
      </w:r>
      <w:r w:rsidR="00315408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framework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, show clearer anatomy with minim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al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streak artifacts and similar appearance</w:t>
      </w:r>
      <w:r w:rsidR="00315408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</w:t>
      </w:r>
      <w:r w:rsidR="00315408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(yellow arrows)</w:t>
      </w:r>
      <w:r w:rsidR="00F67255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, when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compared to </w:t>
      </w:r>
      <w:r w:rsidR="00F67255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cartesian 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VIBE (acquired before contrast injection). Note that in the case of GRASP-LLR, some residual steak artifacts still appear due to blocks located at the boundary between tissue and background signal. All GRASP data w</w:t>
      </w:r>
      <w:r w:rsidR="006E010E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>ere</w:t>
      </w:r>
      <w:r w:rsidR="006E010E" w:rsidRPr="00FF498D">
        <w:rPr>
          <w:rFonts w:asciiTheme="minorBidi" w:eastAsia="Calibri" w:hAnsiTheme="minorBidi" w:cstheme="minorBidi"/>
          <w:color w:val="000000"/>
          <w:kern w:val="24"/>
          <w:sz w:val="22"/>
          <w:szCs w:val="22"/>
        </w:rPr>
        <w:t xml:space="preserve"> reconstructed based on early contrast phase.</w:t>
      </w:r>
    </w:p>
    <w:bookmarkEnd w:id="1"/>
    <w:p w14:paraId="7129B5BA" w14:textId="48070B72" w:rsidR="006E010E" w:rsidRDefault="006E010E">
      <w:r>
        <w:br w:type="page"/>
      </w:r>
    </w:p>
    <w:p w14:paraId="514EEC14" w14:textId="5E2A5B9B" w:rsidR="006E010E" w:rsidRDefault="006E010E">
      <w:r>
        <w:rPr>
          <w:noProof/>
        </w:rPr>
        <w:lastRenderedPageBreak/>
        <w:drawing>
          <wp:inline distT="0" distB="0" distL="0" distR="0" wp14:anchorId="22C894FE" wp14:editId="422A1C11">
            <wp:extent cx="5943600" cy="5187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8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1546E" w14:textId="77777777" w:rsidR="006E010E" w:rsidRDefault="006E010E"/>
    <w:p w14:paraId="25E5F47D" w14:textId="596185FB" w:rsidR="000F694E" w:rsidRDefault="00386FE2" w:rsidP="000F694E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2" w:name="_Hlk171083038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0F694E">
        <w:rPr>
          <w:rFonts w:asciiTheme="minorBidi" w:hAnsiTheme="minorBidi" w:cstheme="minorBidi"/>
          <w:b/>
          <w:bCs/>
          <w:sz w:val="22"/>
          <w:szCs w:val="22"/>
        </w:rPr>
        <w:t>3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>: Pharmacokinetic parameter maps of a representative healthy tissue case.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Parameter maps overlaid on magnitude images</w:t>
      </w:r>
      <w:r w:rsidR="000F694E" w:rsidRPr="009940DF">
        <w:rPr>
          <w:rFonts w:asciiTheme="minorBidi" w:hAnsiTheme="minorBidi" w:cstheme="minorBidi"/>
          <w:sz w:val="22"/>
          <w:szCs w:val="22"/>
        </w:rPr>
        <w:t xml:space="preserve"> 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calculated based on NUFFT, GRASP, GRASP-GLR, GRASP-LLR and </w:t>
      </w:r>
      <w:r w:rsidR="000F694E">
        <w:rPr>
          <w:rFonts w:asciiTheme="minorBidi" w:hAnsiTheme="minorBidi" w:cstheme="minorBidi"/>
          <w:sz w:val="22"/>
          <w:szCs w:val="22"/>
        </w:rPr>
        <w:t>ELITE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reconstruction methods.</w:t>
      </w:r>
      <w:r w:rsidR="000F694E">
        <w:rPr>
          <w:rFonts w:asciiTheme="minorBidi" w:hAnsiTheme="minorBidi" w:cstheme="minorBidi"/>
          <w:sz w:val="22"/>
          <w:szCs w:val="22"/>
        </w:rPr>
        <w:t xml:space="preserve"> 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Ve and </w:t>
      </w:r>
      <w:proofErr w:type="spellStart"/>
      <w:r w:rsidR="000F694E" w:rsidRPr="00FF498D">
        <w:rPr>
          <w:rFonts w:asciiTheme="minorBidi" w:hAnsiTheme="minorBidi" w:cstheme="minorBidi"/>
          <w:sz w:val="22"/>
          <w:szCs w:val="22"/>
        </w:rPr>
        <w:t>Ktrans</w:t>
      </w:r>
      <w:proofErr w:type="spellEnd"/>
      <w:r w:rsidR="000F694E" w:rsidRPr="00FF498D">
        <w:rPr>
          <w:rFonts w:asciiTheme="minorBidi" w:hAnsiTheme="minorBidi" w:cstheme="minorBidi"/>
          <w:sz w:val="22"/>
          <w:szCs w:val="22"/>
        </w:rPr>
        <w:t xml:space="preserve"> ranging [0 0.8], </w:t>
      </w:r>
      <w:proofErr w:type="spellStart"/>
      <w:r w:rsidR="000F694E" w:rsidRPr="00FF498D">
        <w:rPr>
          <w:rFonts w:asciiTheme="minorBidi" w:hAnsiTheme="minorBidi" w:cstheme="minorBidi"/>
          <w:sz w:val="22"/>
          <w:szCs w:val="22"/>
        </w:rPr>
        <w:t>Vp</w:t>
      </w:r>
      <w:proofErr w:type="spellEnd"/>
      <w:r w:rsidR="000F694E" w:rsidRPr="00FF498D">
        <w:rPr>
          <w:rFonts w:asciiTheme="minorBidi" w:hAnsiTheme="minorBidi" w:cstheme="minorBidi"/>
          <w:sz w:val="22"/>
          <w:szCs w:val="22"/>
        </w:rPr>
        <w:t xml:space="preserve"> [0 0.4] and </w:t>
      </w:r>
      <w:proofErr w:type="spellStart"/>
      <w:r w:rsidR="000F694E" w:rsidRPr="00FF498D">
        <w:rPr>
          <w:rFonts w:asciiTheme="minorBidi" w:hAnsiTheme="minorBidi" w:cstheme="minorBidi"/>
          <w:sz w:val="22"/>
          <w:szCs w:val="22"/>
        </w:rPr>
        <w:t>Fp</w:t>
      </w:r>
      <w:proofErr w:type="spellEnd"/>
      <w:r w:rsidR="000F694E" w:rsidRPr="00FF498D">
        <w:rPr>
          <w:rFonts w:asciiTheme="minorBidi" w:hAnsiTheme="minorBidi" w:cstheme="minorBidi"/>
          <w:sz w:val="22"/>
          <w:szCs w:val="22"/>
        </w:rPr>
        <w:t xml:space="preserve"> [0 1.5]</w:t>
      </w:r>
      <w:r w:rsidR="000F694E">
        <w:rPr>
          <w:rFonts w:asciiTheme="minorBidi" w:hAnsiTheme="minorBidi" w:cstheme="minorBidi"/>
          <w:sz w:val="22"/>
          <w:szCs w:val="22"/>
        </w:rPr>
        <w:t>.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</w:t>
      </w:r>
    </w:p>
    <w:bookmarkEnd w:id="2"/>
    <w:p w14:paraId="6FB494F1" w14:textId="5B4B7F25" w:rsidR="006E010E" w:rsidRDefault="006E010E">
      <w:r>
        <w:br w:type="page"/>
      </w:r>
    </w:p>
    <w:p w14:paraId="7A59862E" w14:textId="73DC9EBC" w:rsidR="006E010E" w:rsidRDefault="006E010E">
      <w:r>
        <w:rPr>
          <w:noProof/>
        </w:rPr>
        <w:lastRenderedPageBreak/>
        <w:drawing>
          <wp:inline distT="0" distB="0" distL="0" distR="0" wp14:anchorId="2081332C" wp14:editId="01876493">
            <wp:extent cx="5943600" cy="5207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E926D" w14:textId="77777777" w:rsidR="006E010E" w:rsidRDefault="006E010E"/>
    <w:p w14:paraId="77D2D946" w14:textId="3C6DBFBD" w:rsidR="000F694E" w:rsidRDefault="00386FE2" w:rsidP="000F694E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3" w:name="_Hlk171083083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0F694E">
        <w:rPr>
          <w:rFonts w:asciiTheme="minorBidi" w:hAnsiTheme="minorBidi" w:cstheme="minorBidi"/>
          <w:b/>
          <w:bCs/>
          <w:sz w:val="22"/>
          <w:szCs w:val="22"/>
        </w:rPr>
        <w:t>4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>: Pharmacokinetic parameter maps of a representative benign lesion case.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</w:t>
      </w:r>
      <w:bookmarkEnd w:id="3"/>
      <w:r w:rsidR="000F694E">
        <w:rPr>
          <w:rFonts w:asciiTheme="minorBidi" w:hAnsiTheme="minorBidi" w:cstheme="minorBidi"/>
          <w:sz w:val="22"/>
          <w:szCs w:val="22"/>
        </w:rPr>
        <w:t>For information see Supplementary Fig. 3.</w:t>
      </w:r>
    </w:p>
    <w:p w14:paraId="5CC8FF69" w14:textId="77777777" w:rsidR="006E010E" w:rsidRDefault="006E010E"/>
    <w:p w14:paraId="590B04A6" w14:textId="16BE3411" w:rsidR="006E010E" w:rsidRDefault="006E010E">
      <w:r>
        <w:br w:type="page"/>
      </w:r>
    </w:p>
    <w:p w14:paraId="19E028E6" w14:textId="7890EAD1" w:rsidR="006E010E" w:rsidRDefault="006E010E">
      <w:r>
        <w:rPr>
          <w:noProof/>
        </w:rPr>
        <w:lastRenderedPageBreak/>
        <w:drawing>
          <wp:inline distT="0" distB="0" distL="0" distR="0" wp14:anchorId="7F9BC5C2" wp14:editId="6EEC7D14">
            <wp:extent cx="5943600" cy="51523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5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06972" w14:textId="77777777" w:rsidR="000F694E" w:rsidRDefault="000F694E" w:rsidP="000F694E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b/>
          <w:bCs/>
          <w:sz w:val="22"/>
          <w:szCs w:val="22"/>
        </w:rPr>
      </w:pPr>
      <w:bookmarkStart w:id="4" w:name="_Hlk171083106"/>
    </w:p>
    <w:p w14:paraId="493B5E40" w14:textId="4066A250" w:rsidR="000F694E" w:rsidRDefault="00386FE2" w:rsidP="000F694E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0F694E">
        <w:rPr>
          <w:rFonts w:asciiTheme="minorBidi" w:hAnsiTheme="minorBidi" w:cstheme="minorBidi"/>
          <w:b/>
          <w:bCs/>
          <w:sz w:val="22"/>
          <w:szCs w:val="22"/>
        </w:rPr>
        <w:t>5</w:t>
      </w:r>
      <w:r w:rsidR="000F694E" w:rsidRPr="00FF498D">
        <w:rPr>
          <w:rFonts w:asciiTheme="minorBidi" w:hAnsiTheme="minorBidi" w:cstheme="minorBidi"/>
          <w:b/>
          <w:bCs/>
          <w:sz w:val="22"/>
          <w:szCs w:val="22"/>
        </w:rPr>
        <w:t>: Pharmacokinetic parameter maps of a representative malignant lesion case.</w:t>
      </w:r>
      <w:r w:rsidR="000F694E" w:rsidRPr="00FF498D">
        <w:rPr>
          <w:rFonts w:asciiTheme="minorBidi" w:hAnsiTheme="minorBidi" w:cstheme="minorBidi"/>
          <w:sz w:val="22"/>
          <w:szCs w:val="22"/>
        </w:rPr>
        <w:t xml:space="preserve"> </w:t>
      </w:r>
      <w:bookmarkEnd w:id="4"/>
      <w:r w:rsidR="000F694E">
        <w:rPr>
          <w:rFonts w:asciiTheme="minorBidi" w:hAnsiTheme="minorBidi" w:cstheme="minorBidi"/>
          <w:sz w:val="22"/>
          <w:szCs w:val="22"/>
        </w:rPr>
        <w:t>For information see Supplementary Fig. 3.</w:t>
      </w:r>
    </w:p>
    <w:p w14:paraId="7D1AACF9" w14:textId="6E152643" w:rsidR="006E010E" w:rsidRDefault="006E010E">
      <w:r>
        <w:br w:type="page"/>
      </w:r>
    </w:p>
    <w:p w14:paraId="3C69DBC4" w14:textId="663DBC95" w:rsidR="006E010E" w:rsidRDefault="006E010E">
      <w:r>
        <w:rPr>
          <w:noProof/>
        </w:rPr>
        <w:lastRenderedPageBreak/>
        <w:drawing>
          <wp:inline distT="0" distB="0" distL="0" distR="0" wp14:anchorId="1E5A5AD1" wp14:editId="767483AD">
            <wp:extent cx="5943600" cy="31654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3511C" w14:textId="77777777" w:rsidR="00E43EE2" w:rsidRDefault="00E43EE2"/>
    <w:p w14:paraId="22C18863" w14:textId="59A23F63" w:rsidR="00E43EE2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6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Pre-, </w:t>
      </w:r>
      <w:proofErr w:type="gramStart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post-</w:t>
      </w:r>
      <w:proofErr w:type="gramEnd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and sub-DCE images of a representative malignant case.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Magnitude images were generated by NUFFT, GRASP, GRASP-GLR, GRASP-LLR and </w:t>
      </w:r>
      <w:r w:rsidR="00E43EE2">
        <w:rPr>
          <w:rFonts w:asciiTheme="minorBidi" w:hAnsiTheme="minorBidi" w:cstheme="minorBidi"/>
          <w:sz w:val="22"/>
          <w:szCs w:val="22"/>
        </w:rPr>
        <w:t>ELITE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reconstruction methods. Intense streak artifacts are indicated by red arrows.</w:t>
      </w:r>
    </w:p>
    <w:p w14:paraId="3168F667" w14:textId="7335FC6C" w:rsidR="00E43EE2" w:rsidRDefault="00E43EE2">
      <w:r>
        <w:br w:type="page"/>
      </w:r>
    </w:p>
    <w:p w14:paraId="7921AD6C" w14:textId="0632AA63" w:rsidR="00E43EE2" w:rsidRDefault="00E43EE2">
      <w:r>
        <w:rPr>
          <w:noProof/>
        </w:rPr>
        <w:lastRenderedPageBreak/>
        <w:drawing>
          <wp:inline distT="0" distB="0" distL="0" distR="0" wp14:anchorId="62D9AEBD" wp14:editId="5628581F">
            <wp:extent cx="5943600" cy="3136265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4584" w14:textId="77777777" w:rsidR="00E43EE2" w:rsidRDefault="00E43EE2"/>
    <w:p w14:paraId="19FBF4F5" w14:textId="697571F9" w:rsidR="00E43EE2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7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Pre-, </w:t>
      </w:r>
      <w:proofErr w:type="gramStart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post-</w:t>
      </w:r>
      <w:proofErr w:type="gramEnd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and sub-DCE images of a representative malignant case.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E43EE2">
        <w:rPr>
          <w:rFonts w:asciiTheme="minorBidi" w:hAnsiTheme="minorBidi" w:cstheme="minorBidi"/>
          <w:sz w:val="22"/>
          <w:szCs w:val="22"/>
        </w:rPr>
        <w:t>For information see Supplementary Fig. 6.</w:t>
      </w:r>
    </w:p>
    <w:p w14:paraId="2CF65B5A" w14:textId="33CD804A" w:rsidR="00E43EE2" w:rsidRDefault="00E43EE2">
      <w:r>
        <w:br w:type="page"/>
      </w:r>
    </w:p>
    <w:p w14:paraId="6DBF69C0" w14:textId="4E107316" w:rsidR="00E43EE2" w:rsidRDefault="00E43EE2">
      <w:r>
        <w:rPr>
          <w:noProof/>
        </w:rPr>
        <w:lastRenderedPageBreak/>
        <w:drawing>
          <wp:inline distT="0" distB="0" distL="0" distR="0" wp14:anchorId="6CBFB439" wp14:editId="07AB6AAE">
            <wp:extent cx="5943600" cy="31330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46014" w14:textId="77777777" w:rsidR="00E43EE2" w:rsidRDefault="00E43EE2"/>
    <w:p w14:paraId="4F24E78C" w14:textId="06338C7C" w:rsidR="00E43EE2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8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Pre-, </w:t>
      </w:r>
      <w:proofErr w:type="gramStart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post-</w:t>
      </w:r>
      <w:proofErr w:type="gramEnd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and sub-DCE images of a representative malignant case.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E43EE2">
        <w:rPr>
          <w:rFonts w:asciiTheme="minorBidi" w:hAnsiTheme="minorBidi" w:cstheme="minorBidi"/>
          <w:sz w:val="22"/>
          <w:szCs w:val="22"/>
        </w:rPr>
        <w:t>For information see Supplementary Fig. 6.</w:t>
      </w:r>
    </w:p>
    <w:p w14:paraId="3F4F8993" w14:textId="3826F061" w:rsidR="00E43EE2" w:rsidRDefault="00E43EE2">
      <w:r>
        <w:br w:type="page"/>
      </w:r>
    </w:p>
    <w:p w14:paraId="48E09088" w14:textId="7EDEA1ED" w:rsidR="00E43EE2" w:rsidRDefault="00E43EE2">
      <w:r>
        <w:rPr>
          <w:noProof/>
        </w:rPr>
        <w:lastRenderedPageBreak/>
        <w:drawing>
          <wp:inline distT="0" distB="0" distL="0" distR="0" wp14:anchorId="1FD00ABD" wp14:editId="497AD0DC">
            <wp:extent cx="5943600" cy="31877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B783F" w14:textId="77777777" w:rsidR="00E43EE2" w:rsidRDefault="00E43EE2"/>
    <w:p w14:paraId="3814BB61" w14:textId="037A4EF4" w:rsidR="00E43EE2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9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Pre-, </w:t>
      </w:r>
      <w:proofErr w:type="gramStart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post-</w:t>
      </w:r>
      <w:proofErr w:type="gramEnd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and sub-DCE images of a representative malignant case.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E43EE2">
        <w:rPr>
          <w:rFonts w:asciiTheme="minorBidi" w:hAnsiTheme="minorBidi" w:cstheme="minorBidi"/>
          <w:sz w:val="22"/>
          <w:szCs w:val="22"/>
        </w:rPr>
        <w:t>For information see Supplementary Fig. 6.</w:t>
      </w:r>
    </w:p>
    <w:p w14:paraId="457F19FC" w14:textId="5150A7DD" w:rsidR="00E43EE2" w:rsidRDefault="00E43EE2">
      <w:r>
        <w:br w:type="page"/>
      </w:r>
    </w:p>
    <w:p w14:paraId="1E44BACE" w14:textId="742D6187" w:rsidR="00E43EE2" w:rsidRDefault="00E43EE2">
      <w:r>
        <w:rPr>
          <w:noProof/>
        </w:rPr>
        <w:lastRenderedPageBreak/>
        <w:drawing>
          <wp:inline distT="0" distB="0" distL="0" distR="0" wp14:anchorId="12886B4D" wp14:editId="693C4DA0">
            <wp:extent cx="5943600" cy="3194685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4B12C" w14:textId="77777777" w:rsidR="00E43EE2" w:rsidRDefault="00E43EE2"/>
    <w:p w14:paraId="4EE74C5C" w14:textId="69808BA6" w:rsidR="00E43EE2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Fig.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10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Pre-, </w:t>
      </w:r>
      <w:proofErr w:type="gramStart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post-</w:t>
      </w:r>
      <w:proofErr w:type="gramEnd"/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and sub-DCE images of a representative benign case.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E43EE2">
        <w:rPr>
          <w:rFonts w:asciiTheme="minorBidi" w:hAnsiTheme="minorBidi" w:cstheme="minorBidi"/>
          <w:sz w:val="22"/>
          <w:szCs w:val="22"/>
        </w:rPr>
        <w:t>For information see Supplementary Fig. 6.</w:t>
      </w:r>
    </w:p>
    <w:p w14:paraId="010CC12D" w14:textId="7F5A469E" w:rsidR="00E43EE2" w:rsidRDefault="00E43EE2">
      <w:r>
        <w:br w:type="page"/>
      </w:r>
    </w:p>
    <w:p w14:paraId="03B0A343" w14:textId="5ADB4D07" w:rsidR="00E43EE2" w:rsidRDefault="00E43EE2">
      <w:r>
        <w:rPr>
          <w:noProof/>
        </w:rPr>
        <w:lastRenderedPageBreak/>
        <w:drawing>
          <wp:inline distT="0" distB="0" distL="0" distR="0" wp14:anchorId="0F702FD0" wp14:editId="5667DAA8">
            <wp:extent cx="4922520" cy="40614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46557" w14:textId="77777777" w:rsidR="00E43EE2" w:rsidRDefault="00E43EE2"/>
    <w:p w14:paraId="4933206A" w14:textId="20E300FB" w:rsidR="00E43EE2" w:rsidRPr="00FF498D" w:rsidRDefault="00386FE2" w:rsidP="00E43EE2">
      <w:pPr>
        <w:pStyle w:val="NormalWeb"/>
        <w:spacing w:before="0" w:beforeAutospacing="0" w:after="0" w:afterAutospacing="0"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5" w:name="_Hlk182329054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9940DF">
        <w:rPr>
          <w:rFonts w:asciiTheme="minorBidi" w:hAnsiTheme="minorBidi" w:cstheme="minorBidi"/>
          <w:b/>
          <w:bCs/>
          <w:sz w:val="22"/>
          <w:szCs w:val="22"/>
        </w:rPr>
        <w:t xml:space="preserve">Fig. 11: </w:t>
      </w:r>
      <w:r w:rsidR="0089239B">
        <w:rPr>
          <w:rFonts w:asciiTheme="minorBidi" w:hAnsiTheme="minorBidi" w:cstheme="minorBidi"/>
          <w:b/>
          <w:bCs/>
          <w:sz w:val="22"/>
          <w:szCs w:val="22"/>
        </w:rPr>
        <w:t>C</w:t>
      </w:r>
      <w:r w:rsidR="0089239B" w:rsidRPr="0089239B">
        <w:rPr>
          <w:rFonts w:asciiTheme="minorBidi" w:hAnsiTheme="minorBidi" w:cstheme="minorBidi"/>
          <w:b/>
          <w:bCs/>
          <w:sz w:val="22"/>
          <w:szCs w:val="22"/>
        </w:rPr>
        <w:t xml:space="preserve">ompressed-sensing reconstruction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iterative reconstruction.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Iterative reconstruction </w:t>
      </w:r>
      <w:r w:rsidR="0089239B">
        <w:rPr>
          <w:rFonts w:asciiTheme="minorBidi" w:hAnsiTheme="minorBidi" w:cstheme="minorBidi"/>
          <w:sz w:val="22"/>
          <w:szCs w:val="22"/>
        </w:rPr>
        <w:t xml:space="preserve">for GRASP-LLR and ELITE, </w:t>
      </w:r>
      <w:r w:rsidR="00E43EE2" w:rsidRPr="00FF498D">
        <w:rPr>
          <w:rFonts w:asciiTheme="minorBidi" w:hAnsiTheme="minorBidi" w:cstheme="minorBidi"/>
          <w:sz w:val="22"/>
          <w:szCs w:val="22"/>
        </w:rPr>
        <w:t>based on Eq</w:t>
      </w:r>
      <w:r w:rsidR="00E43EE2">
        <w:rPr>
          <w:rFonts w:asciiTheme="minorBidi" w:hAnsiTheme="minorBidi" w:cstheme="minorBidi"/>
          <w:sz w:val="22"/>
          <w:szCs w:val="22"/>
        </w:rPr>
        <w:t>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2</w:t>
      </w:r>
      <w:r w:rsidR="0089239B">
        <w:rPr>
          <w:rFonts w:asciiTheme="minorBidi" w:hAnsiTheme="minorBidi" w:cstheme="minorBidi"/>
          <w:sz w:val="22"/>
          <w:szCs w:val="22"/>
        </w:rPr>
        <w:t>,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89239B">
        <w:rPr>
          <w:rFonts w:asciiTheme="minorBidi" w:hAnsiTheme="minorBidi" w:cstheme="minorBidi"/>
          <w:sz w:val="22"/>
          <w:szCs w:val="22"/>
        </w:rPr>
        <w:t xml:space="preserve">shows </w:t>
      </w:r>
      <w:r w:rsidR="0089239B" w:rsidRPr="0089239B">
        <w:rPr>
          <w:rFonts w:asciiTheme="minorBidi" w:hAnsiTheme="minorBidi" w:cstheme="minorBidi"/>
          <w:sz w:val="22"/>
          <w:szCs w:val="22"/>
        </w:rPr>
        <w:t xml:space="preserve">fewer number of iterations </w:t>
      </w:r>
      <w:r w:rsidR="0089239B">
        <w:rPr>
          <w:rFonts w:asciiTheme="minorBidi" w:hAnsiTheme="minorBidi" w:cstheme="minorBidi"/>
          <w:sz w:val="22"/>
          <w:szCs w:val="22"/>
        </w:rPr>
        <w:t>until convergence w</w:t>
      </w:r>
      <w:r w:rsidR="00E43EE2" w:rsidRPr="00FF498D">
        <w:rPr>
          <w:rFonts w:asciiTheme="minorBidi" w:hAnsiTheme="minorBidi" w:cstheme="minorBidi"/>
          <w:sz w:val="22"/>
          <w:szCs w:val="22"/>
        </w:rPr>
        <w:t>ith stop criteria below 2.5%</w:t>
      </w:r>
      <w:r w:rsidR="0089239B">
        <w:rPr>
          <w:rFonts w:asciiTheme="minorBidi" w:hAnsiTheme="minorBidi" w:cstheme="minorBidi"/>
          <w:sz w:val="22"/>
          <w:szCs w:val="22"/>
        </w:rPr>
        <w:t xml:space="preserve">, compared to </w:t>
      </w:r>
      <w:r w:rsidR="00E43EE2" w:rsidRPr="00FF498D">
        <w:rPr>
          <w:rFonts w:asciiTheme="minorBidi" w:hAnsiTheme="minorBidi" w:cstheme="minorBidi"/>
          <w:sz w:val="22"/>
          <w:szCs w:val="22"/>
        </w:rPr>
        <w:t>GRASP</w:t>
      </w:r>
      <w:r w:rsidR="0089239B">
        <w:rPr>
          <w:rFonts w:asciiTheme="minorBidi" w:hAnsiTheme="minorBidi" w:cstheme="minorBidi"/>
          <w:sz w:val="22"/>
          <w:szCs w:val="22"/>
        </w:rPr>
        <w:t xml:space="preserve"> and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GRASP-GLR.</w:t>
      </w:r>
    </w:p>
    <w:bookmarkEnd w:id="5"/>
    <w:p w14:paraId="3FE18188" w14:textId="068912F0" w:rsidR="00E43EE2" w:rsidRDefault="00E43EE2">
      <w:r>
        <w:br w:type="page"/>
      </w:r>
    </w:p>
    <w:p w14:paraId="53A8265A" w14:textId="18A3C444" w:rsidR="00E43EE2" w:rsidRDefault="00E43EE2">
      <w:r>
        <w:rPr>
          <w:noProof/>
        </w:rPr>
        <w:lastRenderedPageBreak/>
        <w:drawing>
          <wp:inline distT="0" distB="0" distL="0" distR="0" wp14:anchorId="2F40ED29" wp14:editId="5DBA7D5A">
            <wp:extent cx="5943600" cy="20821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972D2" w14:textId="77777777" w:rsidR="00E43EE2" w:rsidRDefault="00E43EE2"/>
    <w:p w14:paraId="63D85244" w14:textId="5EF5CAB3" w:rsidR="00E43EE2" w:rsidRPr="00FF498D" w:rsidRDefault="00386FE2" w:rsidP="00E43EE2">
      <w:pPr>
        <w:pStyle w:val="NormalWeb"/>
        <w:spacing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6" w:name="_Hlk182328703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Fig. 1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2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Improving Fat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s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aturation performance.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(a)</w:t>
      </w:r>
      <w:r w:rsidR="00E43EE2">
        <w:rPr>
          <w:rFonts w:asciiTheme="minorBidi" w:hAnsiTheme="minorBidi" w:cstheme="minorBidi"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Reference anatomical image </w:t>
      </w:r>
      <w:r w:rsidR="004E3985">
        <w:rPr>
          <w:rFonts w:asciiTheme="minorBidi" w:hAnsiTheme="minorBidi" w:cstheme="minorBidi"/>
          <w:sz w:val="22"/>
          <w:szCs w:val="22"/>
        </w:rPr>
        <w:t>mainly consists of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fat tissue. </w:t>
      </w:r>
      <w:r w:rsidR="00E43EE2">
        <w:rPr>
          <w:rFonts w:asciiTheme="minorBidi" w:hAnsiTheme="minorBidi" w:cstheme="minorBidi"/>
          <w:sz w:val="22"/>
          <w:szCs w:val="22"/>
        </w:rPr>
        <w:t>With ELITE,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(b) </w:t>
      </w:r>
      <w:r w:rsidR="004E3985">
        <w:rPr>
          <w:rFonts w:asciiTheme="minorBidi" w:hAnsiTheme="minorBidi" w:cstheme="minorBidi"/>
          <w:sz w:val="22"/>
          <w:szCs w:val="22"/>
        </w:rPr>
        <w:t>f</w:t>
      </w:r>
      <w:r w:rsidR="00E43EE2" w:rsidRPr="00FF498D">
        <w:rPr>
          <w:rFonts w:asciiTheme="minorBidi" w:hAnsiTheme="minorBidi" w:cstheme="minorBidi"/>
          <w:sz w:val="22"/>
          <w:szCs w:val="22"/>
        </w:rPr>
        <w:t>at tissue (blue mask) is represented with a single principal component, (c) resulting in a clear and sharp</w:t>
      </w:r>
      <w:r w:rsidR="00E43EE2">
        <w:rPr>
          <w:rFonts w:asciiTheme="minorBidi" w:hAnsiTheme="minorBidi" w:cstheme="minorBidi"/>
          <w:sz w:val="22"/>
          <w:szCs w:val="22"/>
        </w:rPr>
        <w:t>er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</w:t>
      </w:r>
      <w:r w:rsidR="00E43EE2">
        <w:rPr>
          <w:rFonts w:asciiTheme="minorBidi" w:hAnsiTheme="minorBidi" w:cstheme="minorBidi"/>
          <w:sz w:val="22"/>
          <w:szCs w:val="22"/>
        </w:rPr>
        <w:t xml:space="preserve">image 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with no streak artifacts, and with high correspondence to </w:t>
      </w:r>
      <w:r w:rsidR="00C1066E">
        <w:rPr>
          <w:rFonts w:asciiTheme="minorBidi" w:hAnsiTheme="minorBidi" w:cstheme="minorBidi"/>
          <w:sz w:val="22"/>
          <w:szCs w:val="22"/>
        </w:rPr>
        <w:t xml:space="preserve">the </w:t>
      </w:r>
      <w:r w:rsidR="00E43EE2" w:rsidRPr="00FF498D">
        <w:rPr>
          <w:rFonts w:asciiTheme="minorBidi" w:hAnsiTheme="minorBidi" w:cstheme="minorBidi"/>
          <w:sz w:val="22"/>
          <w:szCs w:val="22"/>
        </w:rPr>
        <w:t>conventional VIBE image.</w:t>
      </w:r>
    </w:p>
    <w:bookmarkEnd w:id="6"/>
    <w:p w14:paraId="33442CBE" w14:textId="48E42C6D" w:rsidR="00E43EE2" w:rsidRDefault="00E43EE2">
      <w:r>
        <w:br w:type="page"/>
      </w:r>
    </w:p>
    <w:p w14:paraId="74892A76" w14:textId="4F1EDC9C" w:rsidR="00E43EE2" w:rsidRDefault="003A16A9">
      <w:r>
        <w:rPr>
          <w:noProof/>
        </w:rPr>
        <w:lastRenderedPageBreak/>
        <w:drawing>
          <wp:inline distT="0" distB="0" distL="0" distR="0" wp14:anchorId="33345F37" wp14:editId="198E1023">
            <wp:extent cx="5943600" cy="522160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2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6E527" w14:textId="77777777" w:rsidR="00E43EE2" w:rsidRDefault="00E43EE2"/>
    <w:p w14:paraId="07B2B6A1" w14:textId="64206D0B" w:rsidR="00E43EE2" w:rsidRPr="00FF498D" w:rsidRDefault="00386FE2" w:rsidP="00E43EE2">
      <w:pPr>
        <w:pStyle w:val="NormalWeb"/>
        <w:spacing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7" w:name="_Hlk182328799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Fig. 1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3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ELITE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: number of principal components (PC).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(a) </w:t>
      </w:r>
      <w:r w:rsidR="008D121F">
        <w:rPr>
          <w:rFonts w:asciiTheme="minorBidi" w:hAnsiTheme="minorBidi" w:cstheme="minorBidi"/>
          <w:sz w:val="22"/>
          <w:szCs w:val="22"/>
        </w:rPr>
        <w:t>A representative m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alignant lesion case. (b) Signal enhancement ratio </w:t>
      </w:r>
      <w:r w:rsidR="008D121F">
        <w:rPr>
          <w:rFonts w:asciiTheme="minorBidi" w:hAnsiTheme="minorBidi" w:cstheme="minorBidi"/>
          <w:sz w:val="22"/>
          <w:szCs w:val="22"/>
        </w:rPr>
        <w:t xml:space="preserve">curve 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with six </w:t>
      </w:r>
      <w:r w:rsidR="008D121F">
        <w:rPr>
          <w:rFonts w:asciiTheme="minorBidi" w:hAnsiTheme="minorBidi" w:cstheme="minorBidi"/>
          <w:sz w:val="22"/>
          <w:szCs w:val="22"/>
        </w:rPr>
        <w:t>PC</w:t>
      </w:r>
      <w:r w:rsidR="00A04BF9">
        <w:rPr>
          <w:rFonts w:asciiTheme="minorBidi" w:hAnsiTheme="minorBidi" w:cstheme="minorBidi"/>
          <w:sz w:val="22"/>
          <w:szCs w:val="22"/>
        </w:rPr>
        <w:t>’s</w:t>
      </w:r>
      <w:r w:rsidR="008D121F">
        <w:rPr>
          <w:rFonts w:asciiTheme="minorBidi" w:hAnsiTheme="minorBidi" w:cstheme="minorBidi"/>
          <w:sz w:val="22"/>
          <w:szCs w:val="22"/>
        </w:rPr>
        <w:t xml:space="preserve"> 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achieves the highest temporal correlation and lowest norm (0.98/1.04, respectively), in comparison to NUFFT. (c) The lowest background noise during pre- and post-contrast is </w:t>
      </w:r>
      <w:r w:rsidR="008D121F">
        <w:rPr>
          <w:rFonts w:asciiTheme="minorBidi" w:hAnsiTheme="minorBidi" w:cstheme="minorBidi"/>
          <w:sz w:val="22"/>
          <w:szCs w:val="22"/>
        </w:rPr>
        <w:t xml:space="preserve">also 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achieved with six PC’s. </w:t>
      </w:r>
    </w:p>
    <w:bookmarkEnd w:id="7"/>
    <w:p w14:paraId="51FCAE49" w14:textId="1EF39158" w:rsidR="00E43EE2" w:rsidRDefault="00E43EE2">
      <w:r>
        <w:br w:type="page"/>
      </w:r>
    </w:p>
    <w:p w14:paraId="011B9791" w14:textId="0AD90994" w:rsidR="00E43EE2" w:rsidRDefault="00E43EE2">
      <w:r>
        <w:rPr>
          <w:noProof/>
        </w:rPr>
        <w:lastRenderedPageBreak/>
        <w:drawing>
          <wp:inline distT="0" distB="0" distL="0" distR="0" wp14:anchorId="03D7EC98" wp14:editId="38CFD172">
            <wp:extent cx="5760720" cy="572262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2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04452" w14:textId="77777777" w:rsidR="00E43EE2" w:rsidRDefault="00E43EE2"/>
    <w:p w14:paraId="55A88519" w14:textId="4B041CBB" w:rsidR="00E43EE2" w:rsidRPr="00FF498D" w:rsidRDefault="007242E3" w:rsidP="00E43EE2">
      <w:pPr>
        <w:pStyle w:val="NormalWeb"/>
        <w:spacing w:line="360" w:lineRule="auto"/>
        <w:jc w:val="both"/>
        <w:rPr>
          <w:rFonts w:asciiTheme="minorBidi" w:hAnsiTheme="minorBidi" w:cstheme="minorBidi"/>
          <w:sz w:val="22"/>
          <w:szCs w:val="22"/>
        </w:rPr>
      </w:pPr>
      <w:bookmarkStart w:id="8" w:name="_Hlk182328837"/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Fig.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 1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4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 xml:space="preserve">: </w:t>
      </w:r>
      <w:r w:rsidR="00E43EE2">
        <w:rPr>
          <w:rFonts w:asciiTheme="minorBidi" w:hAnsiTheme="minorBidi" w:cstheme="minorBidi"/>
          <w:b/>
          <w:bCs/>
          <w:sz w:val="22"/>
          <w:szCs w:val="22"/>
        </w:rPr>
        <w:t>ELITE</w:t>
      </w:r>
      <w:r w:rsidR="00E43EE2" w:rsidRPr="00FF498D">
        <w:rPr>
          <w:rFonts w:asciiTheme="minorBidi" w:hAnsiTheme="minorBidi" w:cstheme="minorBidi"/>
          <w:b/>
          <w:bCs/>
          <w:sz w:val="22"/>
          <w:szCs w:val="22"/>
        </w:rPr>
        <w:t>: Lamba value.</w:t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 High-resolution iterative reconstruction with </w:t>
      </w:r>
      <w:r w:rsidR="00E43EE2" w:rsidRPr="00FF498D">
        <w:rPr>
          <w:rFonts w:asciiTheme="minorBidi" w:hAnsiTheme="minorBidi" w:cstheme="minorBidi"/>
          <w:sz w:val="22"/>
          <w:szCs w:val="22"/>
        </w:rPr>
        <w:sym w:font="Symbol" w:char="F06C"/>
      </w:r>
      <w:r w:rsidR="00E43EE2" w:rsidRPr="00FF498D">
        <w:rPr>
          <w:rFonts w:asciiTheme="minorBidi" w:hAnsiTheme="minorBidi" w:cstheme="minorBidi"/>
          <w:sz w:val="22"/>
          <w:szCs w:val="22"/>
        </w:rPr>
        <w:t xml:space="preserve">=0 shows some residual noise, specially at the margins of the skin and surrounding </w:t>
      </w:r>
      <w:proofErr w:type="spellStart"/>
      <w:r w:rsidR="00E43EE2" w:rsidRPr="00FF498D">
        <w:rPr>
          <w:rFonts w:asciiTheme="minorBidi" w:hAnsiTheme="minorBidi" w:cstheme="minorBidi"/>
          <w:sz w:val="22"/>
          <w:szCs w:val="22"/>
        </w:rPr>
        <w:t>fibroglandular</w:t>
      </w:r>
      <w:proofErr w:type="spellEnd"/>
      <w:r w:rsidR="00E43EE2" w:rsidRPr="00FF498D">
        <w:rPr>
          <w:rFonts w:asciiTheme="minorBidi" w:hAnsiTheme="minorBidi" w:cstheme="minorBidi"/>
          <w:sz w:val="22"/>
          <w:szCs w:val="22"/>
        </w:rPr>
        <w:t xml:space="preserve"> tissue, while higher regularization term (</w:t>
      </w:r>
      <w:r w:rsidR="00E43EE2" w:rsidRPr="00FF498D">
        <w:rPr>
          <w:rFonts w:asciiTheme="minorBidi" w:hAnsiTheme="minorBidi" w:cstheme="minorBidi"/>
          <w:sz w:val="22"/>
          <w:szCs w:val="22"/>
        </w:rPr>
        <w:sym w:font="Symbol" w:char="F06C"/>
      </w:r>
      <w:r w:rsidR="00E43EE2" w:rsidRPr="00FF498D">
        <w:rPr>
          <w:rFonts w:asciiTheme="minorBidi" w:hAnsiTheme="minorBidi" w:cstheme="minorBidi"/>
          <w:sz w:val="22"/>
          <w:szCs w:val="22"/>
        </w:rPr>
        <w:t>=0.1) results in slightly blurry tissue due to over-regularization.</w:t>
      </w:r>
    </w:p>
    <w:bookmarkEnd w:id="8"/>
    <w:p w14:paraId="71CF4D27" w14:textId="77777777" w:rsidR="00E43EE2" w:rsidRDefault="00E43EE2">
      <w:pPr>
        <w:rPr>
          <w:rFonts w:asciiTheme="minorBidi" w:eastAsia="Times New Roman" w:hAnsiTheme="minorBidi"/>
          <w:b/>
          <w:bCs/>
        </w:rPr>
      </w:pPr>
      <w:r>
        <w:rPr>
          <w:rFonts w:asciiTheme="minorBidi" w:hAnsiTheme="minorBidi"/>
          <w:b/>
          <w:bCs/>
        </w:rPr>
        <w:br w:type="page"/>
      </w:r>
    </w:p>
    <w:p w14:paraId="6EF5A05B" w14:textId="29A4A8DE" w:rsidR="00386FE2" w:rsidRDefault="00386FE2" w:rsidP="00315408">
      <w:pPr>
        <w:spacing w:line="360" w:lineRule="auto"/>
        <w:jc w:val="both"/>
        <w:rPr>
          <w:rFonts w:asciiTheme="minorBidi" w:hAnsiTheme="minorBidi"/>
        </w:rPr>
      </w:pPr>
      <w:r w:rsidRPr="00DA7CF2">
        <w:rPr>
          <w:rFonts w:asciiTheme="minorBidi" w:hAnsiTheme="minorBidi"/>
          <w:b/>
          <w:bCs/>
        </w:rPr>
        <w:lastRenderedPageBreak/>
        <w:t>Supplementary</w:t>
      </w:r>
      <w:r>
        <w:rPr>
          <w:rFonts w:asciiTheme="minorBidi" w:hAnsiTheme="minorBidi"/>
          <w:b/>
          <w:bCs/>
        </w:rPr>
        <w:t xml:space="preserve"> </w:t>
      </w:r>
      <w:r w:rsidRPr="00FF498D">
        <w:rPr>
          <w:rFonts w:asciiTheme="minorBidi" w:hAnsiTheme="minorBidi"/>
          <w:b/>
          <w:bCs/>
        </w:rPr>
        <w:t>Video 1:</w:t>
      </w:r>
      <w:r w:rsidRPr="00FF498D">
        <w:rPr>
          <w:rFonts w:asciiTheme="minorBidi" w:hAnsiTheme="minorBidi"/>
        </w:rPr>
        <w:t xml:space="preserve"> Streak artifacts time-series experienced by </w:t>
      </w:r>
      <w:r>
        <w:rPr>
          <w:rFonts w:asciiTheme="minorBidi" w:hAnsiTheme="minorBidi"/>
        </w:rPr>
        <w:t xml:space="preserve">the different </w:t>
      </w:r>
      <w:r w:rsidRPr="00FF498D">
        <w:rPr>
          <w:rFonts w:asciiTheme="minorBidi" w:hAnsiTheme="minorBidi"/>
        </w:rPr>
        <w:t xml:space="preserve">GRASP reconstruction methods. Note the substantial reduction in background noise and streak artifact achieved with </w:t>
      </w:r>
      <w:r>
        <w:rPr>
          <w:rFonts w:asciiTheme="minorBidi" w:hAnsiTheme="minorBidi"/>
        </w:rPr>
        <w:t>ELITE</w:t>
      </w:r>
      <w:r w:rsidR="00315408">
        <w:rPr>
          <w:rFonts w:asciiTheme="minorBidi" w:hAnsiTheme="minorBidi"/>
        </w:rPr>
        <w:t xml:space="preserve"> image reconstruction framework</w:t>
      </w:r>
      <w:r w:rsidRPr="00FF498D">
        <w:rPr>
          <w:rFonts w:asciiTheme="minorBidi" w:hAnsiTheme="minorBidi"/>
        </w:rPr>
        <w:t>.</w:t>
      </w:r>
    </w:p>
    <w:p w14:paraId="3A13DF93" w14:textId="77777777" w:rsidR="00386FE2" w:rsidRPr="00FF498D" w:rsidRDefault="00386FE2" w:rsidP="00315408">
      <w:pPr>
        <w:pStyle w:val="NormalWeb"/>
        <w:spacing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FF498D">
        <w:rPr>
          <w:rFonts w:asciiTheme="minorBidi" w:hAnsiTheme="minorBidi" w:cstheme="minorBidi"/>
          <w:b/>
          <w:bCs/>
          <w:sz w:val="22"/>
          <w:szCs w:val="22"/>
        </w:rPr>
        <w:t>Video 2:</w:t>
      </w:r>
      <w:r w:rsidRPr="00FF498D">
        <w:rPr>
          <w:rFonts w:asciiTheme="minorBidi" w:hAnsiTheme="minorBidi" w:cstheme="minorBidi"/>
          <w:sz w:val="22"/>
          <w:szCs w:val="22"/>
        </w:rPr>
        <w:t xml:space="preserve"> Streak artifacts time-series experienced by </w:t>
      </w:r>
      <w:r>
        <w:rPr>
          <w:rFonts w:asciiTheme="minorBidi" w:hAnsiTheme="minorBidi" w:cstheme="minorBidi"/>
          <w:sz w:val="22"/>
          <w:szCs w:val="22"/>
        </w:rPr>
        <w:t xml:space="preserve">the different </w:t>
      </w:r>
      <w:r w:rsidRPr="00FF498D">
        <w:rPr>
          <w:rFonts w:asciiTheme="minorBidi" w:hAnsiTheme="minorBidi" w:cstheme="minorBidi"/>
          <w:sz w:val="22"/>
          <w:szCs w:val="22"/>
        </w:rPr>
        <w:t xml:space="preserve">GRASP reconstruction methods. Note </w:t>
      </w:r>
      <w:r>
        <w:rPr>
          <w:rFonts w:asciiTheme="minorBidi" w:hAnsiTheme="minorBidi" w:cstheme="minorBidi"/>
          <w:sz w:val="22"/>
          <w:szCs w:val="22"/>
        </w:rPr>
        <w:t xml:space="preserve">that </w:t>
      </w:r>
      <w:r w:rsidRPr="00FF498D">
        <w:rPr>
          <w:rFonts w:asciiTheme="minorBidi" w:hAnsiTheme="minorBidi" w:cstheme="minorBidi"/>
          <w:sz w:val="22"/>
          <w:szCs w:val="22"/>
        </w:rPr>
        <w:t>in some cases GRASP-LLR may still show some residual streak artifacts, due to blocks located on the boundary between tissue and background signal.</w:t>
      </w:r>
    </w:p>
    <w:p w14:paraId="2774E8F7" w14:textId="066E4835" w:rsidR="00386FE2" w:rsidRPr="00FF498D" w:rsidRDefault="00386FE2" w:rsidP="00315408">
      <w:pPr>
        <w:pStyle w:val="NormalWeb"/>
        <w:spacing w:line="360" w:lineRule="auto"/>
        <w:jc w:val="both"/>
        <w:rPr>
          <w:rFonts w:asciiTheme="minorBidi" w:hAnsiTheme="minorBidi" w:cstheme="minorBidi"/>
          <w:sz w:val="22"/>
          <w:szCs w:val="22"/>
        </w:rPr>
      </w:pPr>
      <w:r w:rsidRPr="00DA7CF2">
        <w:rPr>
          <w:rFonts w:asciiTheme="minorBidi" w:hAnsiTheme="minorBidi" w:cstheme="minorBidi"/>
          <w:b/>
          <w:bCs/>
          <w:sz w:val="22"/>
          <w:szCs w:val="22"/>
        </w:rPr>
        <w:t>Supplementary</w:t>
      </w:r>
      <w:r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FF498D">
        <w:rPr>
          <w:rFonts w:asciiTheme="minorBidi" w:hAnsiTheme="minorBidi" w:cstheme="minorBidi"/>
          <w:b/>
          <w:bCs/>
          <w:sz w:val="22"/>
          <w:szCs w:val="22"/>
        </w:rPr>
        <w:t>Video 3:</w:t>
      </w:r>
      <w:r w:rsidRPr="00FF498D">
        <w:rPr>
          <w:rFonts w:asciiTheme="minorBidi" w:hAnsiTheme="minorBidi" w:cstheme="minorBidi"/>
          <w:sz w:val="22"/>
          <w:szCs w:val="22"/>
        </w:rPr>
        <w:t xml:space="preserve"> Representative </w:t>
      </w:r>
      <w:proofErr w:type="spellStart"/>
      <w:r w:rsidRPr="00FF498D">
        <w:rPr>
          <w:rFonts w:asciiTheme="minorBidi" w:hAnsiTheme="minorBidi" w:cstheme="minorBidi"/>
          <w:sz w:val="22"/>
          <w:szCs w:val="22"/>
        </w:rPr>
        <w:t>undersampled</w:t>
      </w:r>
      <w:proofErr w:type="spellEnd"/>
      <w:r w:rsidRPr="00FF498D">
        <w:rPr>
          <w:rFonts w:asciiTheme="minorBidi" w:hAnsiTheme="minorBidi" w:cstheme="minorBidi"/>
          <w:sz w:val="22"/>
          <w:szCs w:val="22"/>
        </w:rPr>
        <w:t xml:space="preserve"> GRASP image</w:t>
      </w:r>
      <w:r>
        <w:rPr>
          <w:rFonts w:asciiTheme="minorBidi" w:hAnsiTheme="minorBidi" w:cstheme="minorBidi"/>
          <w:sz w:val="22"/>
          <w:szCs w:val="22"/>
        </w:rPr>
        <w:t xml:space="preserve">-series </w:t>
      </w:r>
      <w:r w:rsidRPr="00FF498D">
        <w:rPr>
          <w:rFonts w:asciiTheme="minorBidi" w:hAnsiTheme="minorBidi" w:cstheme="minorBidi"/>
          <w:sz w:val="22"/>
          <w:szCs w:val="22"/>
        </w:rPr>
        <w:t xml:space="preserve">as </w:t>
      </w:r>
      <w:r>
        <w:rPr>
          <w:rFonts w:asciiTheme="minorBidi" w:hAnsiTheme="minorBidi" w:cstheme="minorBidi"/>
          <w:sz w:val="22"/>
          <w:szCs w:val="22"/>
        </w:rPr>
        <w:t>‘</w:t>
      </w:r>
      <w:r w:rsidRPr="00FF498D">
        <w:rPr>
          <w:rFonts w:asciiTheme="minorBidi" w:hAnsiTheme="minorBidi" w:cstheme="minorBidi"/>
          <w:sz w:val="22"/>
          <w:szCs w:val="22"/>
        </w:rPr>
        <w:t>input</w:t>
      </w:r>
      <w:r>
        <w:rPr>
          <w:rFonts w:asciiTheme="minorBidi" w:hAnsiTheme="minorBidi" w:cstheme="minorBidi"/>
          <w:sz w:val="22"/>
          <w:szCs w:val="22"/>
        </w:rPr>
        <w:t>’</w:t>
      </w:r>
      <w:r w:rsidRPr="00FF498D">
        <w:rPr>
          <w:rFonts w:asciiTheme="minorBidi" w:hAnsiTheme="minorBidi" w:cstheme="minorBidi"/>
          <w:sz w:val="22"/>
          <w:szCs w:val="22"/>
        </w:rPr>
        <w:t xml:space="preserve"> and </w:t>
      </w:r>
      <w:r>
        <w:rPr>
          <w:rFonts w:asciiTheme="minorBidi" w:hAnsiTheme="minorBidi" w:cstheme="minorBidi"/>
          <w:sz w:val="22"/>
          <w:szCs w:val="22"/>
        </w:rPr>
        <w:t>‘</w:t>
      </w:r>
      <w:r w:rsidRPr="00FF498D">
        <w:rPr>
          <w:rFonts w:asciiTheme="minorBidi" w:hAnsiTheme="minorBidi" w:cstheme="minorBidi"/>
          <w:sz w:val="22"/>
          <w:szCs w:val="22"/>
        </w:rPr>
        <w:t>output</w:t>
      </w:r>
      <w:r>
        <w:rPr>
          <w:rFonts w:asciiTheme="minorBidi" w:hAnsiTheme="minorBidi" w:cstheme="minorBidi"/>
          <w:sz w:val="22"/>
          <w:szCs w:val="22"/>
        </w:rPr>
        <w:t>’</w:t>
      </w:r>
      <w:r w:rsidRPr="00FF498D">
        <w:rPr>
          <w:rFonts w:asciiTheme="minorBidi" w:hAnsiTheme="minorBidi" w:cstheme="minorBidi"/>
          <w:sz w:val="22"/>
          <w:szCs w:val="22"/>
        </w:rPr>
        <w:t xml:space="preserve"> </w:t>
      </w:r>
      <w:r>
        <w:rPr>
          <w:rFonts w:asciiTheme="minorBidi" w:hAnsiTheme="minorBidi" w:cstheme="minorBidi"/>
          <w:sz w:val="22"/>
          <w:szCs w:val="22"/>
        </w:rPr>
        <w:t>of</w:t>
      </w:r>
      <w:r w:rsidRPr="00FF498D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FF498D">
        <w:rPr>
          <w:rFonts w:asciiTheme="minorBidi" w:hAnsiTheme="minorBidi" w:cstheme="minorBidi"/>
          <w:sz w:val="22"/>
          <w:szCs w:val="22"/>
        </w:rPr>
        <w:t>ResNet</w:t>
      </w:r>
      <w:proofErr w:type="spellEnd"/>
      <w:r w:rsidRPr="00FF498D">
        <w:rPr>
          <w:rFonts w:asciiTheme="minorBidi" w:hAnsiTheme="minorBidi" w:cstheme="minorBidi"/>
          <w:sz w:val="22"/>
          <w:szCs w:val="22"/>
        </w:rPr>
        <w:t>, reconstructed with a temporal resolution of 1</w:t>
      </w:r>
      <w:r>
        <w:rPr>
          <w:rFonts w:asciiTheme="minorBidi" w:hAnsiTheme="minorBidi" w:cstheme="minorBidi"/>
          <w:sz w:val="22"/>
          <w:szCs w:val="22"/>
        </w:rPr>
        <w:t>-</w:t>
      </w:r>
      <w:r w:rsidRPr="00FF498D">
        <w:rPr>
          <w:rFonts w:asciiTheme="minorBidi" w:hAnsiTheme="minorBidi" w:cstheme="minorBidi"/>
          <w:sz w:val="22"/>
          <w:szCs w:val="22"/>
        </w:rPr>
        <w:t>sec</w:t>
      </w:r>
      <w:r>
        <w:rPr>
          <w:rFonts w:asciiTheme="minorBidi" w:hAnsiTheme="minorBidi" w:cstheme="minorBidi"/>
          <w:sz w:val="22"/>
          <w:szCs w:val="22"/>
        </w:rPr>
        <w:t>/2 spokes</w:t>
      </w:r>
      <w:r w:rsidRPr="00FF498D">
        <w:rPr>
          <w:rFonts w:asciiTheme="minorBidi" w:hAnsiTheme="minorBidi" w:cstheme="minorBidi"/>
          <w:sz w:val="22"/>
          <w:szCs w:val="22"/>
        </w:rPr>
        <w:t>.</w:t>
      </w:r>
    </w:p>
    <w:p w14:paraId="5F8621DA" w14:textId="77777777" w:rsidR="00E43EE2" w:rsidRDefault="00E43EE2"/>
    <w:p w14:paraId="463646F8" w14:textId="77777777" w:rsidR="00E43EE2" w:rsidRDefault="00E43EE2"/>
    <w:sectPr w:rsidR="00E43E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FB1"/>
    <w:rsid w:val="000F694E"/>
    <w:rsid w:val="00145965"/>
    <w:rsid w:val="002F6FB1"/>
    <w:rsid w:val="00315408"/>
    <w:rsid w:val="00386FE2"/>
    <w:rsid w:val="003A16A9"/>
    <w:rsid w:val="004319B9"/>
    <w:rsid w:val="004E3985"/>
    <w:rsid w:val="006323F2"/>
    <w:rsid w:val="006E010E"/>
    <w:rsid w:val="007242E3"/>
    <w:rsid w:val="00734D40"/>
    <w:rsid w:val="0089239B"/>
    <w:rsid w:val="008A1692"/>
    <w:rsid w:val="008D121F"/>
    <w:rsid w:val="008E57F8"/>
    <w:rsid w:val="008F48B1"/>
    <w:rsid w:val="009C799F"/>
    <w:rsid w:val="00A04BF9"/>
    <w:rsid w:val="00BB2742"/>
    <w:rsid w:val="00BF3970"/>
    <w:rsid w:val="00C1066E"/>
    <w:rsid w:val="00CE1354"/>
    <w:rsid w:val="00D01FBE"/>
    <w:rsid w:val="00D4233C"/>
    <w:rsid w:val="00DC7EE4"/>
    <w:rsid w:val="00E43EE2"/>
    <w:rsid w:val="00F6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044B"/>
  <w15:chartTrackingRefBased/>
  <w15:docId w15:val="{1913FC83-0067-4127-B062-36E80A893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FB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F6F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6F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6FB1"/>
    <w:rPr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2F6FB1"/>
    <w:rPr>
      <w:b/>
      <w:bCs/>
    </w:rPr>
  </w:style>
  <w:style w:type="paragraph" w:styleId="NormalWeb">
    <w:name w:val="Normal (Web)"/>
    <w:basedOn w:val="Normal"/>
    <w:uiPriority w:val="99"/>
    <w:unhideWhenUsed/>
    <w:rsid w:val="006E0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79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15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Solomon</dc:creator>
  <cp:keywords/>
  <dc:description/>
  <cp:lastModifiedBy>Eddy Solomon</cp:lastModifiedBy>
  <cp:revision>24</cp:revision>
  <dcterms:created xsi:type="dcterms:W3CDTF">2024-07-05T18:35:00Z</dcterms:created>
  <dcterms:modified xsi:type="dcterms:W3CDTF">2024-11-12T23:39:00Z</dcterms:modified>
</cp:coreProperties>
</file>