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Times New Roman" w:hAnsi="Times New Roman" w:eastAsiaTheme="minorHAnsi"/>
          <w:b/>
          <w:sz w:val="24"/>
          <w:szCs w:val="24"/>
        </w:rPr>
      </w:pPr>
      <w:bookmarkStart w:id="0" w:name="_Hlk156251444"/>
      <w:r>
        <w:rPr>
          <w:rFonts w:ascii="Times New Roman" w:hAnsi="Times New Roman" w:eastAsiaTheme="minorHAnsi"/>
          <w:b/>
          <w:sz w:val="24"/>
          <w:szCs w:val="24"/>
        </w:rPr>
        <w:t xml:space="preserve">Exploring the </w:t>
      </w:r>
      <w:r>
        <w:rPr>
          <w:rFonts w:hint="eastAsia" w:ascii="Times New Roman" w:hAnsi="Times New Roman" w:eastAsiaTheme="minorHAnsi"/>
          <w:b/>
          <w:sz w:val="24"/>
          <w:szCs w:val="24"/>
        </w:rPr>
        <w:t>R</w:t>
      </w:r>
      <w:r>
        <w:rPr>
          <w:rFonts w:ascii="Times New Roman" w:hAnsi="Times New Roman" w:eastAsiaTheme="minorHAnsi"/>
          <w:b/>
          <w:sz w:val="24"/>
          <w:szCs w:val="24"/>
        </w:rPr>
        <w:t xml:space="preserve">elationship of </w:t>
      </w:r>
      <w:r>
        <w:rPr>
          <w:rFonts w:hint="eastAsia" w:ascii="Times New Roman" w:hAnsi="Times New Roman" w:eastAsiaTheme="minorHAnsi"/>
          <w:b/>
          <w:sz w:val="24"/>
          <w:szCs w:val="24"/>
        </w:rPr>
        <w:t>G</w:t>
      </w:r>
      <w:r>
        <w:rPr>
          <w:rFonts w:ascii="Times New Roman" w:hAnsi="Times New Roman" w:eastAsiaTheme="minorHAnsi"/>
          <w:b/>
          <w:sz w:val="24"/>
          <w:szCs w:val="24"/>
        </w:rPr>
        <w:t xml:space="preserve">lucose and </w:t>
      </w:r>
      <w:r>
        <w:rPr>
          <w:rFonts w:hint="eastAsia" w:ascii="Times New Roman" w:hAnsi="Times New Roman" w:eastAsiaTheme="minorHAnsi"/>
          <w:b/>
          <w:sz w:val="24"/>
          <w:szCs w:val="24"/>
        </w:rPr>
        <w:t>K</w:t>
      </w:r>
      <w:r>
        <w:rPr>
          <w:rFonts w:ascii="Times New Roman" w:hAnsi="Times New Roman" w:eastAsiaTheme="minorHAnsi"/>
          <w:b/>
          <w:sz w:val="24"/>
          <w:szCs w:val="24"/>
        </w:rPr>
        <w:t xml:space="preserve">eloid: a </w:t>
      </w:r>
      <w:bookmarkStart w:id="1" w:name="_Hlk156251837"/>
      <w:r>
        <w:rPr>
          <w:rFonts w:hint="eastAsia" w:ascii="Times New Roman" w:hAnsi="Times New Roman" w:eastAsiaTheme="minorHAnsi"/>
          <w:b/>
          <w:sz w:val="24"/>
          <w:szCs w:val="24"/>
        </w:rPr>
        <w:t>C</w:t>
      </w:r>
      <w:r>
        <w:rPr>
          <w:rFonts w:ascii="Times New Roman" w:hAnsi="Times New Roman" w:eastAsiaTheme="minorHAnsi"/>
          <w:b/>
          <w:sz w:val="24"/>
          <w:szCs w:val="24"/>
        </w:rPr>
        <w:t xml:space="preserve">omprehensive </w:t>
      </w:r>
      <w:bookmarkEnd w:id="1"/>
      <w:r>
        <w:rPr>
          <w:rFonts w:ascii="Times New Roman" w:hAnsi="Times New Roman" w:eastAsiaTheme="minorHAnsi"/>
          <w:b/>
          <w:sz w:val="24"/>
          <w:szCs w:val="24"/>
        </w:rPr>
        <w:t xml:space="preserve">Mendelian </w:t>
      </w:r>
      <w:r>
        <w:rPr>
          <w:rFonts w:hint="eastAsia" w:ascii="Times New Roman" w:hAnsi="Times New Roman" w:eastAsiaTheme="minorHAnsi"/>
          <w:b/>
          <w:sz w:val="24"/>
          <w:szCs w:val="24"/>
        </w:rPr>
        <w:t>R</w:t>
      </w:r>
      <w:r>
        <w:rPr>
          <w:rFonts w:ascii="Times New Roman" w:hAnsi="Times New Roman" w:eastAsiaTheme="minorHAnsi"/>
          <w:b/>
          <w:sz w:val="24"/>
          <w:szCs w:val="24"/>
        </w:rPr>
        <w:t xml:space="preserve">andomization </w:t>
      </w:r>
      <w:r>
        <w:rPr>
          <w:rFonts w:hint="eastAsia" w:ascii="Times New Roman" w:hAnsi="Times New Roman" w:eastAsiaTheme="minorHAnsi"/>
          <w:b/>
          <w:sz w:val="24"/>
          <w:szCs w:val="24"/>
        </w:rPr>
        <w:t>S</w:t>
      </w:r>
      <w:r>
        <w:rPr>
          <w:rFonts w:ascii="Times New Roman" w:hAnsi="Times New Roman" w:eastAsiaTheme="minorHAnsi"/>
          <w:b/>
          <w:sz w:val="24"/>
          <w:szCs w:val="24"/>
        </w:rPr>
        <w:t>tudy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Times New Roman" w:hAnsi="Times New Roman" w:eastAsiaTheme="minorHAnsi"/>
          <w:b/>
          <w:sz w:val="24"/>
          <w:szCs w:val="24"/>
        </w:rPr>
      </w:pP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jc w:val="center"/>
        <w:textAlignment w:val="auto"/>
        <w:rPr>
          <w:rFonts w:ascii="Times New Roman" w:hAnsi="Times New Roman" w:cs="Times New Roman" w:eastAsiaTheme="minorHAnsi"/>
          <w:sz w:val="24"/>
          <w:szCs w:val="24"/>
        </w:rPr>
      </w:pPr>
      <w:r>
        <w:rPr>
          <w:rFonts w:hint="eastAsia" w:ascii="Times New Roman" w:hAnsi="Times New Roman" w:cs="Times New Roman" w:eastAsiaTheme="minorHAnsi"/>
          <w:sz w:val="24"/>
          <w:szCs w:val="24"/>
          <w:lang w:val="en-US" w:eastAsia="zh-CN"/>
        </w:rPr>
        <w:t>J</w:t>
      </w:r>
      <w:bookmarkStart w:id="4" w:name="_GoBack"/>
      <w:bookmarkEnd w:id="4"/>
      <w:r>
        <w:rPr>
          <w:rFonts w:hint="eastAsia" w:ascii="Times New Roman" w:hAnsi="Times New Roman" w:cs="Times New Roman" w:eastAsiaTheme="minorHAnsi"/>
          <w:sz w:val="24"/>
          <w:szCs w:val="24"/>
        </w:rPr>
        <w:t>iaojiao Cao</w:t>
      </w:r>
      <w:r>
        <w:rPr>
          <w:rFonts w:hint="eastAsia" w:ascii="Times New Roman" w:hAnsi="Times New Roman" w:cs="Times New Roman" w:eastAsiaTheme="minorHAnsi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 w:eastAsiaTheme="minorHAnsi"/>
          <w:sz w:val="24"/>
          <w:szCs w:val="24"/>
        </w:rPr>
        <w:t xml:space="preserve">, </w:t>
      </w:r>
      <w:r>
        <w:rPr>
          <w:rFonts w:hint="eastAsia" w:ascii="Times New Roman" w:hAnsi="Times New Roman" w:cs="Times New Roman" w:eastAsiaTheme="minorHAnsi"/>
          <w:sz w:val="24"/>
          <w:szCs w:val="24"/>
          <w:lang w:val="en-US" w:eastAsia="zh-CN"/>
        </w:rPr>
        <w:t>Chenglu Hu</w:t>
      </w:r>
      <w:r>
        <w:rPr>
          <w:rFonts w:hint="eastAsia" w:ascii="Times New Roman" w:hAnsi="Times New Roman" w:cs="Times New Roman" w:eastAsiaTheme="minorHAnsi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cs="Times New Roman" w:eastAsiaTheme="minorHAnsi"/>
          <w:sz w:val="24"/>
          <w:szCs w:val="24"/>
          <w:vertAlign w:val="superscript"/>
          <w:lang w:val="en-US" w:eastAsia="zh-CN"/>
        </w:rPr>
        <w:t>, 3</w:t>
      </w:r>
      <w:r>
        <w:rPr>
          <w:rFonts w:hint="eastAsia" w:ascii="Times New Roman" w:hAnsi="Times New Roman" w:cs="Times New Roman" w:eastAsiaTheme="minorHAnsi"/>
          <w:sz w:val="24"/>
          <w:szCs w:val="24"/>
        </w:rPr>
        <w:t>*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sz w:val="24"/>
          <w:szCs w:val="24"/>
        </w:rPr>
      </w:pPr>
      <w:r>
        <w:rPr>
          <w:rFonts w:hint="eastAsia" w:ascii="Times New Roman" w:hAnsi="Times New Roman" w:cs="Times New Roman" w:eastAsiaTheme="minorHAnsi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Department of Dermatology, Air Force Medical Center, PLA, Beijing, 100142, China.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hint="eastAsia" w:ascii="Times New Roman" w:hAnsi="Times New Roman"/>
          <w:color w:val="000000"/>
          <w:sz w:val="24"/>
          <w:szCs w:val="24"/>
        </w:rPr>
      </w:pPr>
      <w:bookmarkStart w:id="2" w:name="_Hlk165469937"/>
      <w:r>
        <w:rPr>
          <w:rFonts w:hint="eastAsia"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School of 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Nursing, </w:t>
      </w:r>
      <w:r>
        <w:rPr>
          <w:rFonts w:ascii="Times New Roman" w:hAnsi="Times New Roman"/>
          <w:color w:val="000000"/>
          <w:sz w:val="24"/>
          <w:szCs w:val="24"/>
        </w:rPr>
        <w:t>Chongqing College of Humanities, Science &amp; Technology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Chongqing,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401524,</w:t>
      </w:r>
      <w:r>
        <w:rPr>
          <w:rFonts w:ascii="Times New Roman" w:hAnsi="Times New Roman"/>
          <w:color w:val="000000"/>
          <w:sz w:val="24"/>
          <w:szCs w:val="24"/>
        </w:rPr>
        <w:t xml:space="preserve"> China</w:t>
      </w:r>
      <w:r>
        <w:rPr>
          <w:rFonts w:hint="eastAsia" w:ascii="Times New Roman" w:hAnsi="Times New Roman"/>
          <w:color w:val="000000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School of Pharmacy and Bioengineering, Chongqing University of Technology, Chongqing 400054, China.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hint="default" w:ascii="Times New Roman" w:hAnsi="Times New Roman"/>
          <w:color w:val="000000"/>
          <w:sz w:val="24"/>
          <w:szCs w:val="24"/>
          <w:lang w:val="en-US" w:eastAsia="zh-CN"/>
        </w:rPr>
      </w:pPr>
    </w:p>
    <w:bookmarkEnd w:id="2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 w:eastAsiaTheme="minorHAns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Emails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 w:eastAsiaTheme="minorHAnsi"/>
          <w:sz w:val="24"/>
          <w:szCs w:val="24"/>
        </w:rPr>
        <w:t>Jiaojiao Cao(</w:t>
      </w:r>
      <w:r>
        <w:rPr>
          <w:rFonts w:ascii="Times New Roman" w:hAnsi="Times New Roman" w:cs="Times New Roman" w:eastAsiaTheme="minorHAnsi"/>
          <w:sz w:val="24"/>
          <w:szCs w:val="24"/>
        </w:rPr>
        <w:t>xiaocaostronger@163.com</w:t>
      </w:r>
      <w:r>
        <w:rPr>
          <w:rFonts w:hint="eastAsia" w:ascii="Times New Roman" w:hAnsi="Times New Roman" w:cs="Times New Roman" w:eastAsiaTheme="minorHAnsi"/>
          <w:sz w:val="24"/>
          <w:szCs w:val="24"/>
        </w:rPr>
        <w:t xml:space="preserve">); </w:t>
      </w:r>
      <w:r>
        <w:rPr>
          <w:rFonts w:hint="eastAsia" w:ascii="Times New Roman" w:hAnsi="Times New Roman" w:cs="Times New Roman" w:eastAsiaTheme="minorHAnsi"/>
          <w:sz w:val="24"/>
          <w:szCs w:val="24"/>
          <w:lang w:val="en-US" w:eastAsia="zh-CN"/>
        </w:rPr>
        <w:t>Chenglu Hu</w:t>
      </w:r>
      <w:r>
        <w:rPr>
          <w:rFonts w:hint="eastAsia" w:ascii="Times New Roman" w:hAnsi="Times New Roman" w:cs="Times New Roman" w:eastAsiaTheme="minorHAnsi"/>
          <w:sz w:val="24"/>
          <w:szCs w:val="24"/>
        </w:rPr>
        <w:t>(</w:t>
      </w:r>
      <w:bookmarkStart w:id="3" w:name="_Hlk165469897"/>
      <w:r>
        <w:rPr>
          <w:rFonts w:hint="eastAsia" w:ascii="Times New Roman" w:hAnsi="Times New Roman" w:cs="Times New Roman" w:eastAsiaTheme="minorHAnsi"/>
          <w:sz w:val="24"/>
          <w:szCs w:val="24"/>
          <w:lang w:val="en-US" w:eastAsia="zh-CN"/>
        </w:rPr>
        <w:t>hu66hcl</w:t>
      </w:r>
      <w:r>
        <w:rPr>
          <w:rFonts w:ascii="Times New Roman" w:hAnsi="Times New Roman" w:cs="Times New Roman" w:eastAsiaTheme="minorHAnsi"/>
          <w:sz w:val="24"/>
          <w:szCs w:val="24"/>
        </w:rPr>
        <w:t>@163.com</w:t>
      </w:r>
      <w:bookmarkEnd w:id="3"/>
      <w:r>
        <w:rPr>
          <w:rFonts w:hint="eastAsia" w:ascii="Times New Roman" w:hAnsi="Times New Roman" w:cs="Times New Roman" w:eastAsiaTheme="minorHAnsi"/>
          <w:sz w:val="24"/>
          <w:szCs w:val="24"/>
        </w:rPr>
        <w:t>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*To whom correspondence should be addressed: </w:t>
      </w:r>
      <w:r>
        <w:rPr>
          <w:rFonts w:hint="eastAsia" w:ascii="Times New Roman" w:hAnsi="Times New Roman" w:cs="Times New Roman" w:eastAsiaTheme="minorHAnsi"/>
          <w:sz w:val="24"/>
          <w:szCs w:val="24"/>
          <w:lang w:val="en-US" w:eastAsia="zh-CN"/>
        </w:rPr>
        <w:t>Chenglu Hu</w:t>
      </w:r>
      <w:r>
        <w:rPr>
          <w:rFonts w:hint="eastAsia" w:ascii="Times New Roman" w:hAnsi="Times New Roman" w:cs="Times New Roman" w:eastAsiaTheme="minorHAnsi"/>
          <w:sz w:val="24"/>
          <w:szCs w:val="24"/>
        </w:rPr>
        <w:t>(</w:t>
      </w:r>
      <w:r>
        <w:rPr>
          <w:rFonts w:hint="eastAsia" w:ascii="Times New Roman" w:hAnsi="Times New Roman" w:cs="Times New Roman" w:eastAsiaTheme="minorHAnsi"/>
          <w:sz w:val="24"/>
          <w:szCs w:val="24"/>
          <w:lang w:val="en-US" w:eastAsia="zh-CN"/>
        </w:rPr>
        <w:t>hu66hcl</w:t>
      </w:r>
      <w:r>
        <w:rPr>
          <w:rFonts w:ascii="Times New Roman" w:hAnsi="Times New Roman" w:cs="Times New Roman" w:eastAsiaTheme="minorHAnsi"/>
          <w:sz w:val="24"/>
          <w:szCs w:val="24"/>
        </w:rPr>
        <w:t>@163.com</w:t>
      </w:r>
      <w:r>
        <w:rPr>
          <w:rFonts w:hint="eastAsia" w:ascii="Times New Roman" w:hAnsi="Times New Roman" w:cs="Times New Roman" w:eastAsiaTheme="minorHAnsi"/>
          <w:sz w:val="24"/>
          <w:szCs w:val="24"/>
        </w:rPr>
        <w:t>)</w:t>
      </w:r>
    </w:p>
    <w:p>
      <w:pPr>
        <w:widowControl/>
        <w:jc w:val="left"/>
        <w:rPr>
          <w:rFonts w:hint="eastAsia"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>
      <w:pPr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FIGURES </w:t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204470</wp:posOffset>
            </wp:positionH>
            <wp:positionV relativeFrom="paragraph">
              <wp:posOffset>293370</wp:posOffset>
            </wp:positionV>
            <wp:extent cx="5271770" cy="6115050"/>
            <wp:effectExtent l="0" t="0" r="5080" b="0"/>
            <wp:wrapTopAndBottom/>
            <wp:docPr id="13158983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98361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Theme="minorEastAsia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>Figure S1 (A and C)MR-Egger regression funnel plot of glucose on the analysis of keloid. (B and D) MR leave-one-out sensitivity analysis for glucose on the keloid.</w:t>
      </w:r>
    </w:p>
    <w:p/>
    <w:p/>
    <w:p/>
    <w:p/>
    <w:p/>
    <w:p/>
    <w:p/>
    <w:p>
      <w:pPr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138430</wp:posOffset>
            </wp:positionH>
            <wp:positionV relativeFrom="paragraph">
              <wp:posOffset>0</wp:posOffset>
            </wp:positionV>
            <wp:extent cx="5274310" cy="5269230"/>
            <wp:effectExtent l="0" t="0" r="2540" b="7620"/>
            <wp:wrapTopAndBottom/>
            <wp:docPr id="9539250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25055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Theme="minorEastAsia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Theme="minorEastAsia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 xml:space="preserve">Figure S2. </w:t>
      </w:r>
      <w:r>
        <w:rPr>
          <w:rFonts w:ascii="Times New Roman" w:hAnsi="Times New Roman" w:eastAsiaTheme="minorEastAsia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 xml:space="preserve">Scatterplot (A) and forest plot (B) between TBC1D4 as an exposure factor and keloid (bbj-a-131). Scatterplot (C) and forest plot (D) between TBC1D4 as an exposure factor and keloid (ebi-a-GCST90018654). </w:t>
      </w:r>
    </w:p>
    <w:p/>
    <w:p/>
    <w:p/>
    <w:p/>
    <w:p>
      <w:r>
        <w:drawing>
          <wp:inline distT="0" distB="0" distL="0" distR="0">
            <wp:extent cx="5274310" cy="5746750"/>
            <wp:effectExtent l="0" t="0" r="2540" b="6350"/>
            <wp:docPr id="15771594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59416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Figure S3. (A )MR-Egger regression funnel plot of TBC1D4 on the analysis of keloid(bbj-a-131). (B ) MR leave-one-out sensitivity analysis for TBC1D4 on the keloid (bbj-a-131). (C)MR-Egger regression funnel plot of TBC1D4 on the analysis of keloid(ebi-a-GCST90018654). (B ) MR leave-one-out sensitivity analysis for TBC1D4 on the keloid (ebi-a-GCST90018654 ). </w:t>
      </w:r>
    </w:p>
    <w:p/>
    <w:p/>
    <w:p/>
    <w:p/>
    <w:p/>
    <w:p/>
    <w:p/>
    <w:p/>
    <w:p/>
    <w:p/>
    <w:p>
      <w:pPr>
        <w:pStyle w:val="4"/>
        <w:widowControl/>
        <w:kinsoku w:val="0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Table S1. MR heterogeneity test results</w:t>
      </w:r>
    </w:p>
    <w:tbl>
      <w:tblPr>
        <w:tblStyle w:val="5"/>
        <w:tblW w:w="8616" w:type="dxa"/>
        <w:tblInd w:w="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89"/>
        <w:gridCol w:w="1615"/>
        <w:gridCol w:w="1194"/>
        <w:gridCol w:w="1045"/>
        <w:gridCol w:w="184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42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outcome</w:t>
            </w:r>
          </w:p>
        </w:tc>
        <w:tc>
          <w:tcPr>
            <w:tcW w:w="148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exposure</w:t>
            </w:r>
          </w:p>
        </w:tc>
        <w:tc>
          <w:tcPr>
            <w:tcW w:w="161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method</w:t>
            </w:r>
          </w:p>
        </w:tc>
        <w:tc>
          <w:tcPr>
            <w:tcW w:w="119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Q</w:t>
            </w:r>
          </w:p>
        </w:tc>
        <w:tc>
          <w:tcPr>
            <w:tcW w:w="104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Q_df</w:t>
            </w:r>
          </w:p>
        </w:tc>
        <w:tc>
          <w:tcPr>
            <w:tcW w:w="184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Q_pval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424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1489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id:met-d-Glucose</w:t>
            </w:r>
          </w:p>
        </w:tc>
        <w:tc>
          <w:tcPr>
            <w:tcW w:w="1615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MR Egger</w:t>
            </w:r>
          </w:p>
        </w:tc>
        <w:tc>
          <w:tcPr>
            <w:tcW w:w="1194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48.938 </w:t>
            </w:r>
          </w:p>
        </w:tc>
        <w:tc>
          <w:tcPr>
            <w:tcW w:w="1045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9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0.595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id:met-d-Glucose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Inverse variance weighted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49.670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0.605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id:ukb-d-30740_irnt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MR Egger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90.700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0.289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424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id:ukb-d-30740_irnt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Inverse variance weighted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92.569 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849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0.269 </w:t>
            </w:r>
          </w:p>
        </w:tc>
      </w:tr>
    </w:tbl>
    <w:p/>
    <w:p/>
    <w:p/>
    <w:p>
      <w:pPr>
        <w:rPr>
          <w:sz w:val="24"/>
          <w:szCs w:val="24"/>
        </w:rPr>
      </w:pPr>
    </w:p>
    <w:p>
      <w:pPr>
        <w:pStyle w:val="4"/>
        <w:widowControl/>
        <w:kinsoku w:val="0"/>
        <w:spacing w:before="0" w:beforeAutospacing="0" w:after="0" w:afterAutospacing="0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Table S2. MR </w:t>
      </w:r>
      <w:r>
        <w:rPr>
          <w:rFonts w:ascii="Times New Roman" w:hAnsi="Times New Roman" w:eastAsia="等线"/>
          <w:color w:val="000000"/>
          <w:kern w:val="2"/>
          <w:sz w:val="24"/>
          <w:szCs w:val="24"/>
        </w:rPr>
        <w:t>horizontal multiplicity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test results</w:t>
      </w:r>
    </w:p>
    <w:tbl>
      <w:tblPr>
        <w:tblStyle w:val="5"/>
        <w:tblW w:w="8877" w:type="dxa"/>
        <w:tblInd w:w="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43"/>
        <w:gridCol w:w="2151"/>
        <w:gridCol w:w="1804"/>
        <w:gridCol w:w="1303"/>
        <w:gridCol w:w="1476"/>
      </w:tblGrid>
      <w:tr>
        <w:trPr>
          <w:trHeight w:val="523" w:hRule="atLeast"/>
        </w:trPr>
        <w:tc>
          <w:tcPr>
            <w:tcW w:w="22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outcome</w:t>
            </w:r>
          </w:p>
        </w:tc>
        <w:tc>
          <w:tcPr>
            <w:tcW w:w="20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exposure</w:t>
            </w:r>
          </w:p>
        </w:tc>
        <w:tc>
          <w:tcPr>
            <w:tcW w:w="15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egger_intercept</w:t>
            </w:r>
          </w:p>
        </w:tc>
        <w:tc>
          <w:tcPr>
            <w:tcW w:w="141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61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28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2013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id:met-d-Glucose</w:t>
            </w:r>
          </w:p>
        </w:tc>
        <w:tc>
          <w:tcPr>
            <w:tcW w:w="154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0.020 </w:t>
            </w:r>
          </w:p>
        </w:tc>
        <w:tc>
          <w:tcPr>
            <w:tcW w:w="1411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0.024 </w:t>
            </w:r>
          </w:p>
        </w:tc>
        <w:tc>
          <w:tcPr>
            <w:tcW w:w="1617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0.396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28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id:ukb-d-30740_irnt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0.018 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0.014 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68" w:type="dxa"/>
              <w:left w:w="102" w:type="dxa"/>
              <w:bottom w:w="68" w:type="dxa"/>
              <w:right w:w="102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0.192 </w:t>
            </w:r>
          </w:p>
        </w:tc>
      </w:tr>
    </w:tbl>
    <w:p/>
    <w:p/>
    <w:p/>
    <w:p/>
    <w:p/>
    <w:p/>
    <w:p/>
    <w:p/>
    <w:p/>
    <w:p/>
    <w:p/>
    <w:p/>
    <w:p/>
    <w:p/>
    <w:p/>
    <w:p>
      <w:pPr>
        <w:pStyle w:val="4"/>
        <w:widowControl/>
        <w:kinsoku w:val="0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Table S3. MR heterogeneity test results</w:t>
      </w:r>
    </w:p>
    <w:tbl>
      <w:tblPr>
        <w:tblStyle w:val="5"/>
        <w:tblW w:w="951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03"/>
        <w:gridCol w:w="3043"/>
        <w:gridCol w:w="1279"/>
        <w:gridCol w:w="871"/>
        <w:gridCol w:w="737"/>
        <w:gridCol w:w="9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78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outcome</w:t>
            </w:r>
          </w:p>
        </w:tc>
        <w:tc>
          <w:tcPr>
            <w:tcW w:w="26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exposure</w:t>
            </w:r>
          </w:p>
        </w:tc>
        <w:tc>
          <w:tcPr>
            <w:tcW w:w="20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method</w:t>
            </w:r>
          </w:p>
        </w:tc>
        <w:tc>
          <w:tcPr>
            <w:tcW w:w="132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Q</w:t>
            </w:r>
          </w:p>
        </w:tc>
        <w:tc>
          <w:tcPr>
            <w:tcW w:w="71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Q_df</w:t>
            </w:r>
          </w:p>
        </w:tc>
        <w:tc>
          <w:tcPr>
            <w:tcW w:w="106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Q_pval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787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2630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ENSG00000136111 || id:eqtl-a-ENSG00000136111</w:t>
            </w:r>
          </w:p>
        </w:tc>
        <w:tc>
          <w:tcPr>
            <w:tcW w:w="2002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MR Egger</w:t>
            </w:r>
          </w:p>
        </w:tc>
        <w:tc>
          <w:tcPr>
            <w:tcW w:w="1321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3.224</w:t>
            </w:r>
          </w:p>
        </w:tc>
        <w:tc>
          <w:tcPr>
            <w:tcW w:w="711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ENSG00000136111 || id:eqtl-a-ENSG00000136111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Inverse variance weighted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3.888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0.274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id:ebi-a-GCST90018654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|| id:eqtl-a-ENSG00000136111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MR Egger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 xml:space="preserve">6.770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 xml:space="preserve">0.238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78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id:ebi-a-GCST90018654</w:t>
            </w:r>
          </w:p>
        </w:tc>
        <w:tc>
          <w:tcPr>
            <w:tcW w:w="263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|| id:eqtl-a-ENSG00000136111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Inverse variance weighted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 xml:space="preserve">6.791 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 xml:space="preserve">0.341 </w:t>
            </w:r>
          </w:p>
        </w:tc>
      </w:tr>
    </w:tbl>
    <w:p/>
    <w:p/>
    <w:p/>
    <w:p/>
    <w:p/>
    <w:p>
      <w:pPr>
        <w:pStyle w:val="4"/>
        <w:widowControl/>
        <w:kinsoku w:val="0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Table S4. MR </w:t>
      </w:r>
      <w:r>
        <w:rPr>
          <w:rFonts w:ascii="Times New Roman" w:hAnsi="Times New Roman" w:eastAsia="等线"/>
          <w:color w:val="000000"/>
          <w:kern w:val="2"/>
          <w:sz w:val="24"/>
          <w:szCs w:val="24"/>
        </w:rPr>
        <w:t>horizontal multiplicity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test results</w:t>
      </w:r>
    </w:p>
    <w:tbl>
      <w:tblPr>
        <w:tblStyle w:val="5"/>
        <w:tblW w:w="927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03"/>
        <w:gridCol w:w="3043"/>
        <w:gridCol w:w="1818"/>
        <w:gridCol w:w="875"/>
        <w:gridCol w:w="9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06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outcome</w:t>
            </w:r>
          </w:p>
        </w:tc>
        <w:tc>
          <w:tcPr>
            <w:tcW w:w="290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exposure</w:t>
            </w:r>
          </w:p>
        </w:tc>
        <w:tc>
          <w:tcPr>
            <w:tcW w:w="182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egger_intercept</w:t>
            </w:r>
          </w:p>
        </w:tc>
        <w:tc>
          <w:tcPr>
            <w:tcW w:w="113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34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pval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206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id:bbj-a-131</w:t>
            </w:r>
          </w:p>
        </w:tc>
        <w:tc>
          <w:tcPr>
            <w:tcW w:w="2907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ENSG00000136111 || id:eqtl-a-ENSG00000136111</w:t>
            </w:r>
          </w:p>
        </w:tc>
        <w:tc>
          <w:tcPr>
            <w:tcW w:w="1822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0.035 </w:t>
            </w:r>
          </w:p>
        </w:tc>
        <w:tc>
          <w:tcPr>
            <w:tcW w:w="1139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0.055 </w:t>
            </w:r>
          </w:p>
        </w:tc>
        <w:tc>
          <w:tcPr>
            <w:tcW w:w="1341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0.587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206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Keloid || id:ebi-a-GCST90018654</w:t>
            </w:r>
          </w:p>
        </w:tc>
        <w:tc>
          <w:tcPr>
            <w:tcW w:w="290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|| id:eqtl-a-ENSG00000136111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 xml:space="preserve">-0.004 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 xml:space="preserve">0.035 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>
            <w:pPr>
              <w:pStyle w:val="4"/>
              <w:widowControl/>
              <w:kinsoku w:val="0"/>
              <w:spacing w:before="0" w:beforeAutospacing="0" w:after="0" w:afterAutospacing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微软雅黑"/>
                <w:color w:val="000000"/>
                <w:sz w:val="24"/>
                <w:szCs w:val="24"/>
              </w:rPr>
              <w:t xml:space="preserve">0.906 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auto"/>
      <w:jc w:val="center"/>
      <w:rPr>
        <w:rFonts w:hint="eastAsia"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S</w:t>
    </w:r>
    <w:r>
      <w:rPr>
        <w:rFonts w:hint="eastAsia" w:ascii="Times New Roman" w:hAnsi="Times New Roman"/>
        <w:b/>
        <w:bCs/>
        <w:sz w:val="24"/>
        <w:szCs w:val="24"/>
      </w:rPr>
      <w:t>upporting</w:t>
    </w:r>
    <w:r>
      <w:rPr>
        <w:rFonts w:ascii="Times New Roman" w:hAnsi="Times New Roman"/>
        <w:b/>
        <w:bCs/>
        <w:sz w:val="24"/>
        <w:szCs w:val="24"/>
      </w:rPr>
      <w:t xml:space="preserve"> </w:t>
    </w:r>
    <w:r>
      <w:rPr>
        <w:rFonts w:hint="eastAsia" w:ascii="Times New Roman" w:hAnsi="Times New Roman"/>
        <w:b/>
        <w:bCs/>
        <w:sz w:val="24"/>
        <w:szCs w:val="24"/>
      </w:rPr>
      <w:t>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xNzIxZjFhMTY2YzJjYjk3NWNlZDczYjgxMDhkZjQifQ=="/>
  </w:docVars>
  <w:rsids>
    <w:rsidRoot w:val="00303A6C"/>
    <w:rsid w:val="000C6E88"/>
    <w:rsid w:val="00303A6C"/>
    <w:rsid w:val="007D4C69"/>
    <w:rsid w:val="007F2E9A"/>
    <w:rsid w:val="00803827"/>
    <w:rsid w:val="00916649"/>
    <w:rsid w:val="009D20F3"/>
    <w:rsid w:val="00D459C4"/>
    <w:rsid w:val="00FF52C1"/>
    <w:rsid w:val="5AE5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等线" w:hAnsi="等线" w:eastAsia="等线" w:cs="Times New Roman"/>
      <w:sz w:val="18"/>
      <w:szCs w:val="18"/>
    </w:rPr>
  </w:style>
  <w:style w:type="paragraph" w:customStyle="1" w:styleId="9">
    <w:name w:val="Normal"/>
    <w:qFormat/>
    <w:uiPriority w:val="0"/>
    <w:pPr>
      <w:jc w:val="both"/>
    </w:pPr>
    <w:rPr>
      <w:rFonts w:ascii="等线" w:hAnsi="等线" w:eastAsia="宋体" w:cs="宋体"/>
      <w:kern w:val="2"/>
      <w:sz w:val="21"/>
      <w:szCs w:val="21"/>
      <w:lang w:val="en-US" w:eastAsia="zh-CN" w:bidi="ar-SA"/>
    </w:rPr>
  </w:style>
  <w:style w:type="paragraph" w:customStyle="1" w:styleId="10">
    <w:name w:val="正文1"/>
    <w:qFormat/>
    <w:uiPriority w:val="0"/>
    <w:pPr>
      <w:jc w:val="both"/>
    </w:pPr>
    <w:rPr>
      <w:rFonts w:ascii="等线" w:hAnsi="等线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327</Words>
  <Characters>2210</Characters>
  <Lines>188</Lines>
  <Paragraphs>105</Paragraphs>
  <TotalTime>11</TotalTime>
  <ScaleCrop>false</ScaleCrop>
  <LinksUpToDate>false</LinksUpToDate>
  <CharactersWithSpaces>2463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2024-02-08T13:24:00Z</dcterms:created>
  <dc:creator>程露 胡</dc:creator>
  <cp:lastModifiedBy>12427</cp:lastModifiedBy>
  <dcterms:modified xsi:type="dcterms:W3CDTF">2024-06-11T12:50:20Z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5f052b9b685cde403b748f3707333595a3f9d1337d91ac84e53b105673649d16</vt:lpwstr>
  </property>
  <property fmtid="{D5CDD505-2E9C-101B-9397-08002B2CF9AE}" pid="3" name="KSOProductBuildVer">
    <vt:lpwstr>2052-12.1.0.16929</vt:lpwstr>
  </property>
  <property fmtid="{D5CDD505-2E9C-101B-9397-08002B2CF9AE}" pid="4" name="ICV">
    <vt:lpwstr>E3018031B14C4159BBF8F571AFDDFF09_12</vt:lpwstr>
  </property>
</Properties>
</file>