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728C" w:rsidRPr="004A4CB6" w:rsidRDefault="0046728C" w:rsidP="0046728C">
      <w:pPr>
        <w:jc w:val="center"/>
        <w:rPr>
          <w:b/>
          <w:sz w:val="32"/>
        </w:rPr>
      </w:pPr>
      <w:r w:rsidRPr="004A4CB6">
        <w:rPr>
          <w:b/>
          <w:sz w:val="32"/>
        </w:rPr>
        <w:t>Supplementary M</w:t>
      </w:r>
      <w:r w:rsidRPr="004A4CB6">
        <w:rPr>
          <w:b/>
          <w:sz w:val="32"/>
        </w:rPr>
        <w:t>aterial</w:t>
      </w:r>
    </w:p>
    <w:p w:rsidR="004A4CB6" w:rsidRPr="00E2184C" w:rsidRDefault="004A4CB6" w:rsidP="004A4CB6">
      <w:pPr>
        <w:jc w:val="center"/>
        <w:rPr>
          <w:b/>
          <w:sz w:val="24"/>
        </w:rPr>
      </w:pPr>
      <w:r>
        <w:rPr>
          <w:b/>
          <w:sz w:val="24"/>
        </w:rPr>
        <w:t xml:space="preserve">  Gene syntax </w:t>
      </w:r>
      <w:r w:rsidRPr="00E2184C">
        <w:rPr>
          <w:b/>
          <w:sz w:val="24"/>
        </w:rPr>
        <w:t>modulate</w:t>
      </w:r>
      <w:r>
        <w:rPr>
          <w:b/>
          <w:sz w:val="24"/>
        </w:rPr>
        <w:t>s</w:t>
      </w:r>
      <w:r w:rsidRPr="00E2184C">
        <w:rPr>
          <w:b/>
          <w:sz w:val="24"/>
        </w:rPr>
        <w:t xml:space="preserve"> gene expression </w:t>
      </w:r>
      <w:r>
        <w:rPr>
          <w:b/>
          <w:sz w:val="24"/>
        </w:rPr>
        <w:t>and genetic circuit behavior o</w:t>
      </w:r>
      <w:r w:rsidRPr="00E2184C">
        <w:rPr>
          <w:b/>
          <w:sz w:val="24"/>
        </w:rPr>
        <w:t>n plasmids</w:t>
      </w:r>
    </w:p>
    <w:p w:rsidR="004A4CB6" w:rsidRDefault="004A4CB6" w:rsidP="004A4CB6">
      <w:pPr>
        <w:spacing w:after="0" w:line="240" w:lineRule="auto"/>
        <w:jc w:val="center"/>
        <w:rPr>
          <w:vertAlign w:val="superscript"/>
        </w:rPr>
      </w:pPr>
      <w:r w:rsidRPr="00E2184C">
        <w:t>Yijie Deng</w:t>
      </w:r>
      <w:r>
        <w:rPr>
          <w:vertAlign w:val="superscript"/>
        </w:rPr>
        <w:t>1</w:t>
      </w:r>
      <w:r w:rsidRPr="00E2184C">
        <w:t>,</w:t>
      </w:r>
      <w:r>
        <w:t xml:space="preserve"> </w:t>
      </w:r>
      <w:r w:rsidRPr="00E2184C">
        <w:t>Hannah E</w:t>
      </w:r>
      <w:r>
        <w:t>.</w:t>
      </w:r>
      <w:r w:rsidRPr="00E2184C">
        <w:t xml:space="preserve"> Maur</w:t>
      </w:r>
      <w:r>
        <w:t>ai</w:t>
      </w:r>
      <w:r w:rsidRPr="00E2184C">
        <w:t>s</w:t>
      </w:r>
      <w:r>
        <w:rPr>
          <w:vertAlign w:val="superscript"/>
        </w:rPr>
        <w:t>1</w:t>
      </w:r>
      <w:r w:rsidRPr="00E2184C">
        <w:t>,</w:t>
      </w:r>
      <w:r>
        <w:rPr>
          <w:vertAlign w:val="superscript"/>
        </w:rPr>
        <w:t xml:space="preserve"> </w:t>
      </w:r>
      <w:r>
        <w:t>Kai Etheridge</w:t>
      </w:r>
      <w:r>
        <w:rPr>
          <w:vertAlign w:val="superscript"/>
        </w:rPr>
        <w:t>1</w:t>
      </w:r>
      <w:r>
        <w:t>, Rahul Sarpeshkar</w:t>
      </w:r>
      <w:r>
        <w:rPr>
          <w:vertAlign w:val="superscript"/>
        </w:rPr>
        <w:t>1</w:t>
      </w:r>
      <w:proofErr w:type="gramStart"/>
      <w:r>
        <w:rPr>
          <w:vertAlign w:val="superscript"/>
        </w:rPr>
        <w:t>,2</w:t>
      </w:r>
      <w:proofErr w:type="gramEnd"/>
      <w:r>
        <w:rPr>
          <w:vertAlign w:val="superscript"/>
        </w:rPr>
        <w:t>*</w:t>
      </w:r>
    </w:p>
    <w:p w:rsidR="004A4CB6" w:rsidRDefault="004A4CB6" w:rsidP="004A4CB6">
      <w:pPr>
        <w:spacing w:after="0" w:line="240" w:lineRule="auto"/>
      </w:pPr>
      <w:r>
        <w:t>1. Thayer School of Engineering, Dartmouth College, Hanover, NH 03755, USA</w:t>
      </w:r>
    </w:p>
    <w:p w:rsidR="004A4CB6" w:rsidRDefault="004A4CB6" w:rsidP="004A4CB6">
      <w:pPr>
        <w:spacing w:after="0" w:line="240" w:lineRule="auto"/>
      </w:pPr>
      <w:r>
        <w:t>2. Departments of Engineering, Microbiology &amp; Immunology, Physics, and</w:t>
      </w:r>
    </w:p>
    <w:p w:rsidR="004A4CB6" w:rsidRDefault="004A4CB6" w:rsidP="004A4CB6">
      <w:pPr>
        <w:spacing w:after="0" w:line="240" w:lineRule="auto"/>
      </w:pPr>
      <w:r>
        <w:t>Molecular and Systems Biology, Dartmouth College, Hanover, NH 03755, USA</w:t>
      </w:r>
    </w:p>
    <w:p w:rsidR="004A4CB6" w:rsidRDefault="004A4CB6" w:rsidP="004A4CB6">
      <w:r>
        <w:t>* Correspondence: rahul.sarpeshkar@dartmouth.edu</w:t>
      </w:r>
    </w:p>
    <w:p w:rsidR="0046728C" w:rsidRDefault="0046728C" w:rsidP="0046728C">
      <w:pPr>
        <w:jc w:val="center"/>
        <w:rPr>
          <w:b/>
          <w:sz w:val="24"/>
        </w:rPr>
      </w:pPr>
    </w:p>
    <w:p w:rsidR="0046728C" w:rsidRDefault="0046728C" w:rsidP="0046728C">
      <w:pPr>
        <w:rPr>
          <w:b/>
          <w:sz w:val="24"/>
        </w:rPr>
      </w:pPr>
    </w:p>
    <w:p w:rsidR="002548C3" w:rsidRDefault="002548C3" w:rsidP="0046728C">
      <w:pPr>
        <w:rPr>
          <w:b/>
          <w:sz w:val="24"/>
        </w:rPr>
      </w:pPr>
    </w:p>
    <w:p w:rsidR="0046728C" w:rsidRPr="00D875EE" w:rsidRDefault="0046728C" w:rsidP="0046728C">
      <w:pPr>
        <w:rPr>
          <w:b/>
          <w:sz w:val="24"/>
        </w:rPr>
      </w:pPr>
      <w:r w:rsidRPr="00E95694">
        <w:rPr>
          <w:b/>
          <w:noProof/>
          <w:sz w:val="24"/>
        </w:rPr>
        <w:drawing>
          <wp:inline distT="0" distB="0" distL="0" distR="0" wp14:anchorId="4410F1DD" wp14:editId="591B8D71">
            <wp:extent cx="5943600" cy="1783080"/>
            <wp:effectExtent l="0" t="0" r="0" b="7620"/>
            <wp:docPr id="8" name="Picture 8" descr="C:\Users\F003VN7\Documents\PCN  and noise\Gene syntax graphs\Figure S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F003VN7\Documents\PCN  and noise\Gene syntax graphs\Figure S1.tif"/>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43600" cy="1783080"/>
                    </a:xfrm>
                    <a:prstGeom prst="rect">
                      <a:avLst/>
                    </a:prstGeom>
                    <a:noFill/>
                    <a:ln>
                      <a:noFill/>
                    </a:ln>
                  </pic:spPr>
                </pic:pic>
              </a:graphicData>
            </a:graphic>
          </wp:inline>
        </w:drawing>
      </w:r>
    </w:p>
    <w:p w:rsidR="0046728C" w:rsidRDefault="0046728C" w:rsidP="0046728C">
      <w:pPr>
        <w:rPr>
          <w:b/>
          <w:sz w:val="24"/>
        </w:rPr>
      </w:pPr>
      <w:r>
        <w:rPr>
          <w:b/>
          <w:sz w:val="24"/>
        </w:rPr>
        <w:t xml:space="preserve">Figure S1. Transcription read-through from the </w:t>
      </w:r>
      <w:proofErr w:type="spellStart"/>
      <w:r>
        <w:rPr>
          <w:b/>
          <w:sz w:val="24"/>
        </w:rPr>
        <w:t>AmpR</w:t>
      </w:r>
      <w:proofErr w:type="spellEnd"/>
      <w:r>
        <w:rPr>
          <w:b/>
          <w:sz w:val="24"/>
        </w:rPr>
        <w:t xml:space="preserve"> gene is negligible. </w:t>
      </w:r>
      <w:r w:rsidRPr="00070EE1">
        <w:rPr>
          <w:sz w:val="24"/>
        </w:rPr>
        <w:t xml:space="preserve">(A)The promoter activity of </w:t>
      </w:r>
      <w:r>
        <w:rPr>
          <w:sz w:val="24"/>
        </w:rPr>
        <w:t xml:space="preserve">the </w:t>
      </w:r>
      <w:proofErr w:type="spellStart"/>
      <w:r w:rsidRPr="00070EE1">
        <w:rPr>
          <w:sz w:val="24"/>
        </w:rPr>
        <w:t>AmpR</w:t>
      </w:r>
      <w:proofErr w:type="spellEnd"/>
      <w:r w:rsidRPr="00070EE1">
        <w:rPr>
          <w:sz w:val="24"/>
        </w:rPr>
        <w:t xml:space="preserve"> gene </w:t>
      </w:r>
      <w:r>
        <w:rPr>
          <w:sz w:val="24"/>
        </w:rPr>
        <w:t xml:space="preserve">on </w:t>
      </w:r>
      <w:r w:rsidRPr="00070EE1">
        <w:rPr>
          <w:sz w:val="24"/>
        </w:rPr>
        <w:t>Co</w:t>
      </w:r>
      <w:r>
        <w:rPr>
          <w:sz w:val="24"/>
        </w:rPr>
        <w:t>l</w:t>
      </w:r>
      <w:r w:rsidRPr="00070EE1">
        <w:rPr>
          <w:sz w:val="24"/>
        </w:rPr>
        <w:t xml:space="preserve">E1 plasmid is low. </w:t>
      </w:r>
      <w:r>
        <w:rPr>
          <w:sz w:val="24"/>
        </w:rPr>
        <w:t>(B) Two</w:t>
      </w:r>
      <w:r w:rsidRPr="00070EE1">
        <w:rPr>
          <w:sz w:val="24"/>
        </w:rPr>
        <w:t xml:space="preserve"> terminators </w:t>
      </w:r>
      <w:r>
        <w:rPr>
          <w:sz w:val="24"/>
        </w:rPr>
        <w:t xml:space="preserve">were </w:t>
      </w:r>
      <w:r w:rsidRPr="00070EE1">
        <w:rPr>
          <w:sz w:val="24"/>
        </w:rPr>
        <w:t xml:space="preserve">identified upstream of </w:t>
      </w:r>
      <w:r>
        <w:rPr>
          <w:sz w:val="24"/>
        </w:rPr>
        <w:t xml:space="preserve">the </w:t>
      </w:r>
      <w:r w:rsidRPr="00070EE1">
        <w:rPr>
          <w:sz w:val="24"/>
        </w:rPr>
        <w:t>GFP gene.</w:t>
      </w:r>
      <w:r>
        <w:rPr>
          <w:b/>
          <w:sz w:val="24"/>
        </w:rPr>
        <w:t xml:space="preserve">    </w:t>
      </w:r>
    </w:p>
    <w:p w:rsidR="0046728C" w:rsidRDefault="0046728C" w:rsidP="0046728C">
      <w:pPr>
        <w:rPr>
          <w:b/>
          <w:sz w:val="24"/>
        </w:rPr>
      </w:pPr>
    </w:p>
    <w:p w:rsidR="0046728C" w:rsidRDefault="0046728C" w:rsidP="0046728C">
      <w:pPr>
        <w:rPr>
          <w:b/>
          <w:sz w:val="24"/>
        </w:rPr>
      </w:pPr>
    </w:p>
    <w:p w:rsidR="0046728C" w:rsidRDefault="0046728C" w:rsidP="0046728C">
      <w:pPr>
        <w:rPr>
          <w:b/>
          <w:sz w:val="24"/>
        </w:rPr>
      </w:pPr>
    </w:p>
    <w:p w:rsidR="0046728C" w:rsidRDefault="0046728C" w:rsidP="0046728C">
      <w:pPr>
        <w:rPr>
          <w:b/>
          <w:sz w:val="24"/>
        </w:rPr>
      </w:pPr>
    </w:p>
    <w:p w:rsidR="0046728C" w:rsidRDefault="0046728C" w:rsidP="0046728C">
      <w:pPr>
        <w:rPr>
          <w:b/>
          <w:sz w:val="24"/>
        </w:rPr>
      </w:pPr>
    </w:p>
    <w:p w:rsidR="0046728C" w:rsidRDefault="0046728C" w:rsidP="0046728C">
      <w:pPr>
        <w:rPr>
          <w:b/>
          <w:sz w:val="24"/>
        </w:rPr>
      </w:pPr>
    </w:p>
    <w:p w:rsidR="0046728C" w:rsidRDefault="0046728C" w:rsidP="0046728C">
      <w:pPr>
        <w:rPr>
          <w:b/>
          <w:sz w:val="24"/>
        </w:rPr>
      </w:pPr>
    </w:p>
    <w:p w:rsidR="0046728C" w:rsidRDefault="0046728C" w:rsidP="0046728C">
      <w:pPr>
        <w:rPr>
          <w:b/>
          <w:sz w:val="24"/>
        </w:rPr>
      </w:pPr>
    </w:p>
    <w:p w:rsidR="0046728C" w:rsidRDefault="0046728C" w:rsidP="0046728C">
      <w:pPr>
        <w:rPr>
          <w:b/>
          <w:sz w:val="24"/>
        </w:rPr>
      </w:pPr>
    </w:p>
    <w:p w:rsidR="0046728C" w:rsidRDefault="0046728C" w:rsidP="0046728C">
      <w:pPr>
        <w:rPr>
          <w:b/>
          <w:sz w:val="24"/>
        </w:rPr>
      </w:pPr>
      <w:r w:rsidRPr="00EA3AEA">
        <w:rPr>
          <w:rFonts w:cstheme="minorHAnsi"/>
          <w:noProof/>
          <w:color w:val="000000" w:themeColor="text1"/>
        </w:rPr>
        <w:lastRenderedPageBreak/>
        <w:drawing>
          <wp:inline distT="0" distB="0" distL="0" distR="0" wp14:anchorId="110DFFF2" wp14:editId="61209CDC">
            <wp:extent cx="5083629" cy="2772889"/>
            <wp:effectExtent l="0" t="0" r="3175" b="8890"/>
            <wp:docPr id="20" name="Picture 20" descr="C:\Users\F003VN7\Documents\PCN  and noise\Gene syntax graphs\Figure S1\Fig S1 tif 7-9.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F003VN7\Documents\PCN  and noise\Gene syntax graphs\Figure S1\Fig S1 tif 7-9.t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086013" cy="2774189"/>
                    </a:xfrm>
                    <a:prstGeom prst="rect">
                      <a:avLst/>
                    </a:prstGeom>
                    <a:noFill/>
                    <a:ln>
                      <a:noFill/>
                    </a:ln>
                  </pic:spPr>
                </pic:pic>
              </a:graphicData>
            </a:graphic>
          </wp:inline>
        </w:drawing>
      </w:r>
    </w:p>
    <w:p w:rsidR="0046728C" w:rsidRDefault="0046728C" w:rsidP="0046728C">
      <w:pPr>
        <w:rPr>
          <w:rFonts w:cstheme="minorHAnsi"/>
          <w:color w:val="000000" w:themeColor="text1"/>
        </w:rPr>
      </w:pPr>
      <w:r>
        <w:rPr>
          <w:b/>
          <w:sz w:val="24"/>
        </w:rPr>
        <w:t xml:space="preserve">Figure S2 </w:t>
      </w:r>
      <w:r>
        <w:rPr>
          <w:rFonts w:cstheme="minorHAnsi"/>
          <w:color w:val="000000" w:themeColor="text1"/>
        </w:rPr>
        <w:t>Gene orientation relative to the pSC101 Ori affects gene expression profiles.</w:t>
      </w:r>
      <w:r w:rsidRPr="004B4282">
        <w:rPr>
          <w:rFonts w:cstheme="minorHAnsi"/>
          <w:color w:val="000000" w:themeColor="text1"/>
        </w:rPr>
        <w:t xml:space="preserve"> </w:t>
      </w:r>
      <w:r>
        <w:rPr>
          <w:rFonts w:cstheme="minorHAnsi"/>
          <w:color w:val="000000" w:themeColor="text1"/>
        </w:rPr>
        <w:t xml:space="preserve">(A) The design of plasmid pairs </w:t>
      </w:r>
      <w:r w:rsidR="00E43121">
        <w:rPr>
          <w:rFonts w:cstheme="minorHAnsi"/>
          <w:color w:val="000000" w:themeColor="text1"/>
        </w:rPr>
        <w:t xml:space="preserve">where each plasmid carries </w:t>
      </w:r>
      <w:r>
        <w:rPr>
          <w:rFonts w:cstheme="minorHAnsi"/>
          <w:color w:val="000000" w:themeColor="text1"/>
        </w:rPr>
        <w:t xml:space="preserve">two reporter genes facing </w:t>
      </w:r>
      <w:r w:rsidR="00E43121">
        <w:rPr>
          <w:rFonts w:cstheme="minorHAnsi"/>
          <w:color w:val="000000" w:themeColor="text1"/>
        </w:rPr>
        <w:t xml:space="preserve">the same direction, </w:t>
      </w:r>
      <w:proofErr w:type="gramStart"/>
      <w:r w:rsidR="004A3D58">
        <w:rPr>
          <w:rFonts w:cstheme="minorHAnsi"/>
          <w:color w:val="000000" w:themeColor="text1"/>
        </w:rPr>
        <w:t xml:space="preserve">either </w:t>
      </w:r>
      <w:proofErr w:type="spellStart"/>
      <w:r>
        <w:rPr>
          <w:rFonts w:cstheme="minorHAnsi"/>
          <w:color w:val="000000" w:themeColor="text1"/>
        </w:rPr>
        <w:t>codirectional</w:t>
      </w:r>
      <w:proofErr w:type="spellEnd"/>
      <w:proofErr w:type="gramEnd"/>
      <w:r>
        <w:rPr>
          <w:rFonts w:cstheme="minorHAnsi"/>
          <w:color w:val="000000" w:themeColor="text1"/>
        </w:rPr>
        <w:t xml:space="preserve"> to or opposite to the plasmid Ori (pSC101). (B) The mean expression levels of GFP and RFP </w:t>
      </w:r>
      <w:proofErr w:type="gramStart"/>
      <w:r>
        <w:rPr>
          <w:rFonts w:cstheme="minorHAnsi"/>
          <w:color w:val="000000" w:themeColor="text1"/>
        </w:rPr>
        <w:t>are compared</w:t>
      </w:r>
      <w:proofErr w:type="gramEnd"/>
      <w:r>
        <w:rPr>
          <w:rFonts w:cstheme="minorHAnsi"/>
          <w:color w:val="000000" w:themeColor="text1"/>
        </w:rPr>
        <w:t xml:space="preserve"> between the </w:t>
      </w:r>
      <w:proofErr w:type="spellStart"/>
      <w:r>
        <w:rPr>
          <w:rFonts w:cstheme="minorHAnsi"/>
          <w:color w:val="000000" w:themeColor="text1"/>
        </w:rPr>
        <w:t>codirectional</w:t>
      </w:r>
      <w:proofErr w:type="spellEnd"/>
      <w:r>
        <w:rPr>
          <w:rFonts w:cstheme="minorHAnsi"/>
          <w:color w:val="000000" w:themeColor="text1"/>
        </w:rPr>
        <w:t xml:space="preserve"> and head-on orientations.  (C)</w:t>
      </w:r>
      <w:r w:rsidR="004A3D58">
        <w:rPr>
          <w:rFonts w:cstheme="minorHAnsi"/>
          <w:color w:val="000000" w:themeColor="text1"/>
        </w:rPr>
        <w:t xml:space="preserve"> </w:t>
      </w:r>
      <w:r>
        <w:rPr>
          <w:rFonts w:cstheme="minorHAnsi"/>
          <w:color w:val="000000" w:themeColor="text1"/>
        </w:rPr>
        <w:t xml:space="preserve">The ratios of GFP to RFP </w:t>
      </w:r>
      <w:proofErr w:type="gramStart"/>
      <w:r>
        <w:rPr>
          <w:rFonts w:cstheme="minorHAnsi"/>
          <w:color w:val="000000" w:themeColor="text1"/>
        </w:rPr>
        <w:t>are compared</w:t>
      </w:r>
      <w:proofErr w:type="gramEnd"/>
      <w:r>
        <w:rPr>
          <w:rFonts w:cstheme="minorHAnsi"/>
          <w:color w:val="000000" w:themeColor="text1"/>
        </w:rPr>
        <w:t xml:space="preserve"> between the </w:t>
      </w:r>
      <w:proofErr w:type="spellStart"/>
      <w:r>
        <w:rPr>
          <w:rFonts w:cstheme="minorHAnsi"/>
          <w:color w:val="000000" w:themeColor="text1"/>
        </w:rPr>
        <w:t>codirectional</w:t>
      </w:r>
      <w:proofErr w:type="spellEnd"/>
      <w:r>
        <w:rPr>
          <w:rFonts w:cstheme="minorHAnsi"/>
          <w:color w:val="000000" w:themeColor="text1"/>
        </w:rPr>
        <w:t xml:space="preserve"> and head-on orientations.  (D, E) Contribution of upstream DNA sequences to transcription of GFP (D) and RFP (E) on plasmids pDA466 and pDA467. Fluorescence signals </w:t>
      </w:r>
      <w:proofErr w:type="gramStart"/>
      <w:r>
        <w:rPr>
          <w:rFonts w:cstheme="minorHAnsi"/>
          <w:color w:val="000000" w:themeColor="text1"/>
        </w:rPr>
        <w:t>were collected</w:t>
      </w:r>
      <w:proofErr w:type="gramEnd"/>
      <w:r>
        <w:rPr>
          <w:rFonts w:cstheme="minorHAnsi"/>
          <w:color w:val="000000" w:themeColor="text1"/>
        </w:rPr>
        <w:t xml:space="preserve"> in the same way as mentioned in the Method section but with gain setting of 2500x. </w:t>
      </w:r>
      <w:r w:rsidRPr="00FF34F1">
        <w:rPr>
          <w:rFonts w:cstheme="minorHAnsi"/>
          <w:color w:val="000000" w:themeColor="text1"/>
        </w:rPr>
        <w:t>Values are presented as mean ± SD</w:t>
      </w:r>
      <w:r>
        <w:rPr>
          <w:rFonts w:cstheme="minorHAnsi"/>
          <w:color w:val="000000" w:themeColor="text1"/>
        </w:rPr>
        <w:t xml:space="preserve"> (n = 8).  *</w:t>
      </w:r>
      <w:r w:rsidRPr="00101077">
        <w:rPr>
          <w:rFonts w:cstheme="minorHAnsi"/>
          <w:color w:val="000000" w:themeColor="text1"/>
        </w:rPr>
        <w:t>*</w:t>
      </w:r>
      <w:r>
        <w:rPr>
          <w:rFonts w:cstheme="minorHAnsi"/>
          <w:color w:val="000000" w:themeColor="text1"/>
        </w:rPr>
        <w:t>*</w:t>
      </w:r>
      <w:r w:rsidRPr="00101077">
        <w:rPr>
          <w:rFonts w:cstheme="minorHAnsi"/>
          <w:color w:val="000000" w:themeColor="text1"/>
        </w:rPr>
        <w:t>*</w:t>
      </w:r>
      <w:r>
        <w:rPr>
          <w:rFonts w:cstheme="minorHAnsi"/>
          <w:color w:val="000000" w:themeColor="text1"/>
        </w:rPr>
        <w:t xml:space="preserve"> </w:t>
      </w:r>
      <w:proofErr w:type="gramStart"/>
      <w:r>
        <w:rPr>
          <w:rFonts w:cstheme="minorHAnsi"/>
          <w:color w:val="000000" w:themeColor="text1"/>
        </w:rPr>
        <w:t>p</w:t>
      </w:r>
      <w:proofErr w:type="gramEnd"/>
      <w:r>
        <w:rPr>
          <w:rFonts w:cstheme="minorHAnsi"/>
          <w:color w:val="000000" w:themeColor="text1"/>
        </w:rPr>
        <w:t>&lt; 0.0001;  *</w:t>
      </w:r>
      <w:r w:rsidRPr="00101077">
        <w:rPr>
          <w:rFonts w:cstheme="minorHAnsi"/>
          <w:color w:val="000000" w:themeColor="text1"/>
        </w:rPr>
        <w:t xml:space="preserve">p &lt; 0.05; </w:t>
      </w:r>
      <w:r>
        <w:rPr>
          <w:rFonts w:cstheme="minorHAnsi"/>
          <w:color w:val="000000" w:themeColor="text1"/>
        </w:rPr>
        <w:t xml:space="preserve"> </w:t>
      </w:r>
      <w:r w:rsidRPr="00101077">
        <w:rPr>
          <w:rFonts w:cstheme="minorHAnsi"/>
          <w:color w:val="000000" w:themeColor="text1"/>
        </w:rPr>
        <w:t>n</w:t>
      </w:r>
      <w:r>
        <w:rPr>
          <w:rFonts w:cstheme="minorHAnsi"/>
          <w:color w:val="000000" w:themeColor="text1"/>
        </w:rPr>
        <w:t>s</w:t>
      </w:r>
      <w:r w:rsidRPr="00101077">
        <w:rPr>
          <w:rFonts w:cstheme="minorHAnsi"/>
          <w:color w:val="000000" w:themeColor="text1"/>
        </w:rPr>
        <w:t>, not significant.</w:t>
      </w:r>
    </w:p>
    <w:p w:rsidR="002548C3" w:rsidRDefault="002548C3">
      <w:pPr>
        <w:rPr>
          <w:rFonts w:cstheme="minorHAnsi"/>
          <w:color w:val="000000" w:themeColor="text1"/>
        </w:rPr>
      </w:pPr>
      <w:r>
        <w:rPr>
          <w:rFonts w:cstheme="minorHAnsi"/>
          <w:color w:val="000000" w:themeColor="text1"/>
        </w:rPr>
        <w:br w:type="page"/>
      </w:r>
      <w:bookmarkStart w:id="0" w:name="_GoBack"/>
      <w:bookmarkEnd w:id="0"/>
    </w:p>
    <w:p w:rsidR="0046728C" w:rsidRDefault="0046728C" w:rsidP="0046728C">
      <w:pPr>
        <w:rPr>
          <w:b/>
          <w:sz w:val="24"/>
        </w:rPr>
      </w:pPr>
    </w:p>
    <w:p w:rsidR="0046728C" w:rsidRDefault="0046728C" w:rsidP="0046728C">
      <w:pPr>
        <w:rPr>
          <w:rFonts w:cstheme="minorHAnsi"/>
          <w:color w:val="000000" w:themeColor="text1"/>
        </w:rPr>
      </w:pPr>
      <w:r w:rsidRPr="00D875EE">
        <w:rPr>
          <w:b/>
          <w:noProof/>
          <w:sz w:val="24"/>
        </w:rPr>
        <w:drawing>
          <wp:inline distT="0" distB="0" distL="0" distR="0" wp14:anchorId="3B2E9BBC" wp14:editId="06193FC9">
            <wp:extent cx="5943600" cy="1808922"/>
            <wp:effectExtent l="0" t="0" r="0" b="1270"/>
            <wp:docPr id="25" name="Picture 25" descr="C:\Users\F003VN7\Documents\PCN  and noise\Gene syntax graphs\Figure 5  Divergent\Figure S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F003VN7\Documents\PCN  and noise\Gene syntax graphs\Figure 5  Divergent\Figure S3.ti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3600" cy="1808922"/>
                    </a:xfrm>
                    <a:prstGeom prst="rect">
                      <a:avLst/>
                    </a:prstGeom>
                    <a:noFill/>
                    <a:ln>
                      <a:noFill/>
                    </a:ln>
                  </pic:spPr>
                </pic:pic>
              </a:graphicData>
            </a:graphic>
          </wp:inline>
        </w:drawing>
      </w:r>
      <w:r>
        <w:rPr>
          <w:b/>
          <w:sz w:val="24"/>
        </w:rPr>
        <w:t xml:space="preserve">Figure S3. The comparison of upstream transcription activity among the divergent, convergent, and tandem-oriented reporter genes. </w:t>
      </w:r>
      <w:r>
        <w:rPr>
          <w:rFonts w:cstheme="minorHAnsi"/>
          <w:color w:val="000000" w:themeColor="text1"/>
        </w:rPr>
        <w:t xml:space="preserve">The contribution of upstream DNA sequences to the transcription of GFP (A) and RFP (B) </w:t>
      </w:r>
      <w:proofErr w:type="gramStart"/>
      <w:r>
        <w:rPr>
          <w:rFonts w:cstheme="minorHAnsi"/>
          <w:color w:val="000000" w:themeColor="text1"/>
        </w:rPr>
        <w:t>are compared</w:t>
      </w:r>
      <w:proofErr w:type="gramEnd"/>
      <w:r>
        <w:rPr>
          <w:rFonts w:cstheme="minorHAnsi"/>
          <w:color w:val="000000" w:themeColor="text1"/>
        </w:rPr>
        <w:t xml:space="preserve">. The highest transcription rate (at distance 0) indicates the transcription start site of the promoter of the GFP or RFP gene.  </w:t>
      </w:r>
    </w:p>
    <w:p w:rsidR="002548C3" w:rsidRDefault="002548C3">
      <w:pPr>
        <w:rPr>
          <w:rFonts w:cstheme="minorHAnsi"/>
          <w:color w:val="000000" w:themeColor="text1"/>
        </w:rPr>
      </w:pPr>
      <w:r>
        <w:rPr>
          <w:rFonts w:cstheme="minorHAnsi"/>
          <w:color w:val="000000" w:themeColor="text1"/>
        </w:rPr>
        <w:br w:type="page"/>
      </w:r>
    </w:p>
    <w:p w:rsidR="0046728C" w:rsidRDefault="0046728C" w:rsidP="0046728C">
      <w:pPr>
        <w:rPr>
          <w:b/>
          <w:sz w:val="24"/>
        </w:rPr>
      </w:pPr>
    </w:p>
    <w:p w:rsidR="0046728C" w:rsidRDefault="0046728C" w:rsidP="0046728C">
      <w:pPr>
        <w:jc w:val="center"/>
        <w:rPr>
          <w:b/>
          <w:sz w:val="24"/>
        </w:rPr>
      </w:pPr>
      <w:r w:rsidRPr="00153D6E">
        <w:rPr>
          <w:b/>
          <w:noProof/>
          <w:sz w:val="24"/>
        </w:rPr>
        <w:drawing>
          <wp:inline distT="0" distB="0" distL="0" distR="0" wp14:anchorId="11B0B63F" wp14:editId="434C5984">
            <wp:extent cx="3886208" cy="3429007"/>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886208" cy="3429007"/>
                    </a:xfrm>
                    <a:prstGeom prst="rect">
                      <a:avLst/>
                    </a:prstGeom>
                  </pic:spPr>
                </pic:pic>
              </a:graphicData>
            </a:graphic>
          </wp:inline>
        </w:drawing>
      </w:r>
    </w:p>
    <w:p w:rsidR="0046728C" w:rsidRDefault="0046728C" w:rsidP="0046728C">
      <w:pPr>
        <w:rPr>
          <w:b/>
          <w:sz w:val="24"/>
        </w:rPr>
      </w:pPr>
      <w:r>
        <w:rPr>
          <w:b/>
          <w:sz w:val="24"/>
        </w:rPr>
        <w:t xml:space="preserve">Figure S4.  The comparison of upstream transcription activity of GFP or RFP placed at different orders.  </w:t>
      </w:r>
      <w:r>
        <w:rPr>
          <w:rFonts w:cstheme="minorHAnsi"/>
          <w:color w:val="000000" w:themeColor="text1"/>
        </w:rPr>
        <w:t xml:space="preserve">The contribution of upstream DNA sequences to the transcription of GFP and RFP </w:t>
      </w:r>
      <w:proofErr w:type="gramStart"/>
      <w:r>
        <w:rPr>
          <w:rFonts w:cstheme="minorHAnsi"/>
          <w:color w:val="000000" w:themeColor="text1"/>
        </w:rPr>
        <w:t>are compared</w:t>
      </w:r>
      <w:proofErr w:type="gramEnd"/>
      <w:r>
        <w:rPr>
          <w:rFonts w:cstheme="minorHAnsi"/>
          <w:color w:val="000000" w:themeColor="text1"/>
        </w:rPr>
        <w:t xml:space="preserve"> within each pair; each pair of plasmids carries GFP and RFP genes with the same orientation but in different order. The highest transcription rate (at distance 0) indicates the transcription start site of the promoter of the GFP or RFP gene. (A) DA462 and pDA474 pair. (B) DA463 and DA465 pair. (C) DA461 and DA464 pair. </w:t>
      </w:r>
    </w:p>
    <w:p w:rsidR="0046728C" w:rsidRDefault="0046728C" w:rsidP="0046728C">
      <w:pPr>
        <w:rPr>
          <w:b/>
          <w:sz w:val="24"/>
        </w:rPr>
      </w:pPr>
    </w:p>
    <w:p w:rsidR="0046728C" w:rsidRDefault="0046728C" w:rsidP="0046728C">
      <w:pPr>
        <w:rPr>
          <w:b/>
          <w:sz w:val="24"/>
        </w:rPr>
      </w:pPr>
    </w:p>
    <w:p w:rsidR="0046728C" w:rsidRDefault="0046728C" w:rsidP="0046728C">
      <w:pPr>
        <w:rPr>
          <w:b/>
          <w:sz w:val="24"/>
        </w:rPr>
      </w:pPr>
    </w:p>
    <w:p w:rsidR="00EB5A21" w:rsidRDefault="00EB5A21"/>
    <w:sectPr w:rsidR="00EB5A21" w:rsidSect="00E95694">
      <w:pgSz w:w="12240" w:h="15840"/>
      <w:pgMar w:top="1440" w:right="1440" w:bottom="1440" w:left="1440" w:header="720" w:footer="720" w:gutter="0"/>
      <w:lnNumType w:countBy="1" w:restart="continuou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DengXian">
    <w:altName w:val="SimSun"/>
    <w:panose1 w:val="02010600030101010101"/>
    <w:charset w:val="86"/>
    <w:family w:val="modern"/>
    <w:pitch w:val="fixed"/>
    <w:sig w:usb0="00000001" w:usb1="080E0000" w:usb2="00000010" w:usb3="00000000" w:csb0="00040000"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7Q0MTIwMDU1NDU3sDRX0lEKTi0uzszPAykwrAUAdAqI6CwAAAA="/>
  </w:docVars>
  <w:rsids>
    <w:rsidRoot w:val="00126913"/>
    <w:rsid w:val="00126913"/>
    <w:rsid w:val="00236413"/>
    <w:rsid w:val="002548C3"/>
    <w:rsid w:val="0046728C"/>
    <w:rsid w:val="004A3D58"/>
    <w:rsid w:val="004A4CB6"/>
    <w:rsid w:val="006F1F89"/>
    <w:rsid w:val="00736920"/>
    <w:rsid w:val="00B313FB"/>
    <w:rsid w:val="00CB13F9"/>
    <w:rsid w:val="00E43121"/>
    <w:rsid w:val="00EB5A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6E0D7"/>
  <w15:chartTrackingRefBased/>
  <w15:docId w15:val="{7AA8E950-C9BA-47A2-9479-4351123ED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728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4672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tiff"/><Relationship Id="rId5" Type="http://schemas.openxmlformats.org/officeDocument/2006/relationships/image" Target="media/image2.tiff"/><Relationship Id="rId4" Type="http://schemas.openxmlformats.org/officeDocument/2006/relationships/image" Target="media/image1.tiff"/><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3971</TotalTime>
  <Pages>4</Pages>
  <Words>350</Words>
  <Characters>1999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Thayer School of Engineering</Company>
  <LinksUpToDate>false</LinksUpToDate>
  <CharactersWithSpaces>2345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Yijie Deng</dc:creator>
  <cp:keywords/>
  <dc:description/>
  <cp:lastModifiedBy>Yijie Deng</cp:lastModifiedBy>
  <cp:revision>8</cp:revision>
  <dcterms:created xsi:type="dcterms:W3CDTF">2024-09-27T20:20:00Z</dcterms:created>
  <dcterms:modified xsi:type="dcterms:W3CDTF">2024-09-30T16:18:00Z</dcterms:modified>
</cp:coreProperties>
</file>