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ED0D4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Extended Data Figure 1. Diminished inhibitory activity of mucormycosis serum against Mucorales. (Left)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Data on assessment of the length of germinating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>R. delemar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spores cultured in RPMI culture medium (n = 12), serum from healthy control individuals (n = 5), or serum from patients with mucormycosis obtained before the initiation of antifungal therapy (n = 4). *p = 0.0213, **p = 0.0079, one-way ANOVA and Tukey’s multiple comparisons post hoc test.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 (Right)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Representative images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>R. delemar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spores cultured for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5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h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in regular (RPMI MOPS) culture medium, serum from healthy control individuals, or serum from patients with mucormycosis. Scale bar, 100 </w:t>
      </w:r>
      <w:r w:rsidRPr="000C5ED2">
        <w:rPr>
          <w:rFonts w:asciiTheme="minorBidi" w:hAnsiTheme="minorBidi"/>
          <w:sz w:val="24"/>
          <w:szCs w:val="24"/>
        </w:rPr>
        <w:sym w:font="Symbol" w:char="F06D"/>
      </w:r>
      <w:r w:rsidRPr="009C4EEF">
        <w:rPr>
          <w:rFonts w:asciiTheme="minorBidi" w:hAnsiTheme="minorBidi"/>
          <w:sz w:val="24"/>
          <w:szCs w:val="24"/>
          <w:lang w:val="en-US"/>
        </w:rPr>
        <w:t>m.</w:t>
      </w:r>
    </w:p>
    <w:p w14:paraId="4D5E506C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36401F4B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Extended Data Figure 2. Protocol of albumin isolation from human serum. (a)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Outline of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the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human serum isolation process using blue Sepharose columns.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(b)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Immunoblot analysis of albumin and transferrin in human serum and eluted fragments following the isolation process described in (a).</w:t>
      </w:r>
    </w:p>
    <w:p w14:paraId="54FD54D7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15AC98B8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Extended Data Figure 3. Fungistatic activity of albumin against Mucorales. (a)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Representative images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>R. delemar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dormant spores (upper panel) or germinating spores (lower panel), followed by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10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h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of culture in medium alone, medium supplemented with BSA and medium supplemented with HSA. Scale bar, 50 </w:t>
      </w:r>
      <w:r w:rsidRPr="000C5ED2">
        <w:rPr>
          <w:rFonts w:asciiTheme="minorBidi" w:hAnsiTheme="minorBidi"/>
          <w:sz w:val="24"/>
          <w:szCs w:val="24"/>
        </w:rPr>
        <w:sym w:font="Symbol" w:char="F06D"/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m. </w:t>
      </w:r>
      <w:bookmarkStart w:id="0" w:name="_Hlk172122691"/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(b)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Assessment of </w:t>
      </w:r>
      <w:bookmarkEnd w:id="0"/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 xml:space="preserve">R. delemar </w:t>
      </w:r>
      <w:r w:rsidRPr="009C4EEF">
        <w:rPr>
          <w:rFonts w:asciiTheme="minorBidi" w:hAnsiTheme="minorBidi"/>
          <w:sz w:val="24"/>
          <w:szCs w:val="24"/>
          <w:lang w:val="en-US"/>
        </w:rPr>
        <w:t>germination in medium alone, medium supplemented with isolated human serum albumin (medium + albumin) or medium alone following an initial incubation in albumin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-</w:t>
      </w:r>
      <w:r w:rsidRPr="009C4EEF">
        <w:rPr>
          <w:rFonts w:asciiTheme="minorBidi" w:hAnsiTheme="minorBidi"/>
          <w:sz w:val="24"/>
          <w:szCs w:val="24"/>
          <w:lang w:val="en-US"/>
        </w:rPr>
        <w:t>containing medium (fresh medium). ****p &lt; 0.0001, one-way ANOVA and Tukey’s multiple comparisons post hoc test.</w:t>
      </w:r>
    </w:p>
    <w:p w14:paraId="196B91CE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4EC53FD6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lastRenderedPageBreak/>
        <w:t xml:space="preserve">Extended Data Figure 4. Analysis of </w:t>
      </w:r>
      <w:r w:rsidRPr="009C4EEF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the </w:t>
      </w:r>
      <w:bookmarkStart w:id="1" w:name="OLE_LINK4"/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antifungal activity and composition of </w:t>
      </w:r>
      <w:r w:rsidRPr="009C4EEF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the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albumin reach medium following filtration (albumin filtrate). (a)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Outline of albumin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-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rich medium filtration and generation of albumin-depleted flow through (left panel). Assessment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 xml:space="preserve">R. delemar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growth in medium, medium supplemented with albumin and medium supplemented with albumin-depleted flow through (right panel). *p = 0.022, ****p &lt; 0.0001, one-way ANOVA and Tukey’s multiple comparisons post hoc test.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(b)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Heatmap analysis of vitamins and amino acids detected in samples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via LC‒MS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analysis and trace elements detected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via ICP‒MS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analysis. The scale from red to green indicates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differences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in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the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detected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concentrations</w:t>
      </w:r>
      <w:r w:rsidRPr="009C4EEF">
        <w:rPr>
          <w:rFonts w:asciiTheme="minorBidi" w:hAnsiTheme="minorBidi"/>
          <w:sz w:val="24"/>
          <w:szCs w:val="24"/>
          <w:lang w:val="en-US"/>
        </w:rPr>
        <w:t>, where red represents low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 expression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, and green represents high expression.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(c)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Assessment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 xml:space="preserve">R. delemar </w:t>
      </w:r>
      <w:r w:rsidRPr="009C4EEF">
        <w:rPr>
          <w:rFonts w:asciiTheme="minorBidi" w:hAnsiTheme="minorBidi"/>
          <w:sz w:val="24"/>
          <w:szCs w:val="24"/>
          <w:lang w:val="en-US"/>
        </w:rPr>
        <w:t>growth in medium, medium supplemented with albumin and medium supplemented with flow through alone or plus essential amino acids, non-essential amino acids, vitamins, trace elements or all together. ****p &lt; 0.0001, one-way ANOVA and Tukey’s multiple comparisons post hoc test.</w:t>
      </w:r>
      <w:bookmarkEnd w:id="1"/>
    </w:p>
    <w:p w14:paraId="002ED0D5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1F0E37EC" w14:textId="77777777" w:rsidR="001451A6" w:rsidRPr="000C5ED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Extended Data Figure 5. Analysis of activity and free fatty acid (FFA) composition in </w:t>
      </w:r>
      <w:r w:rsidRPr="009C4EEF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the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albumin filtrate. (a) </w:t>
      </w:r>
      <w:r w:rsidRPr="009C4EEF">
        <w:rPr>
          <w:rFonts w:asciiTheme="minorBidi" w:hAnsiTheme="minorBidi"/>
          <w:sz w:val="24"/>
          <w:szCs w:val="24"/>
          <w:lang w:val="en-US"/>
        </w:rPr>
        <w:t>Outline of the experimental procedure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,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which includes conditioning (waste), sample loading (Fraction 1), washing, and gradual elution (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Fractions 2, 3, and 4). During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the entire process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,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the flow rate was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held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constant at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approximately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3 mL/min. Total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ion current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chromatographs of derivatized SPE fractions (F2, F3 and F4) and assessment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 xml:space="preserve">R. delemar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growth in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media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supplemented with fractions 2-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-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4 for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5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 xml:space="preserve">h 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(representative images shown). Scale bar, 50 </w:t>
      </w:r>
      <w:r w:rsidRPr="000C5ED2">
        <w:rPr>
          <w:rFonts w:asciiTheme="minorBidi" w:hAnsiTheme="minorBidi"/>
          <w:sz w:val="24"/>
          <w:szCs w:val="24"/>
        </w:rPr>
        <w:sym w:font="Symbol" w:char="F06D"/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m.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(b)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GC‒MS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spectrum of F2 in comparison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with the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reference standard spectrum of caprylic acid (EI NIST14.0 spectral library) and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(c)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ESI (-)-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TOF‒MS full-scan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spectrum of caprylic </w:t>
      </w:r>
      <w:r w:rsidRPr="009C4EEF">
        <w:rPr>
          <w:rFonts w:asciiTheme="minorBidi" w:hAnsiTheme="minorBidi"/>
          <w:sz w:val="24"/>
          <w:szCs w:val="24"/>
          <w:lang w:val="en-US"/>
        </w:rPr>
        <w:lastRenderedPageBreak/>
        <w:t>acid from underivatized F2.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 (d)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Inhibition of </w:t>
      </w:r>
      <w:r w:rsidRPr="009C4EEF">
        <w:rPr>
          <w:rFonts w:asciiTheme="minorBidi" w:hAnsiTheme="minorBidi"/>
          <w:i/>
          <w:iCs/>
          <w:sz w:val="24"/>
          <w:szCs w:val="24"/>
          <w:lang w:val="en-US"/>
        </w:rPr>
        <w:t>R. delemar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growth </w:t>
      </w:r>
      <w:r w:rsidRPr="009C4EEF">
        <w:rPr>
          <w:rFonts w:asciiTheme="minorBidi" w:eastAsia="Calibri" w:hAnsiTheme="minorBidi"/>
          <w:sz w:val="24"/>
          <w:szCs w:val="24"/>
          <w:lang w:val="en-US"/>
        </w:rPr>
        <w:t>by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increasing concentrations of purified caprylic acid dissolved in 5% EtOH.</w:t>
      </w:r>
    </w:p>
    <w:p w14:paraId="7F842994" w14:textId="77777777" w:rsidR="001451A6" w:rsidRDefault="001451A6" w:rsidP="001451A6">
      <w:pPr>
        <w:spacing w:after="0" w:line="48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</w:p>
    <w:p w14:paraId="0C3C20FC" w14:textId="77777777" w:rsidR="001451A6" w:rsidRPr="000C5ED2" w:rsidRDefault="001451A6" w:rsidP="001451A6">
      <w:pPr>
        <w:spacing w:after="0"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Extended Data Figure 6. Proposed model of </w:t>
      </w:r>
      <w:r w:rsidRPr="009C4EEF">
        <w:rPr>
          <w:rFonts w:asciiTheme="minorBidi" w:eastAsia="Calibri" w:hAnsiTheme="minorBidi"/>
          <w:b/>
          <w:bCs/>
          <w:sz w:val="24"/>
          <w:szCs w:val="24"/>
          <w:lang w:val="en-US"/>
        </w:rPr>
        <w:t>the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 xml:space="preserve"> role </w:t>
      </w:r>
      <w:r w:rsidRPr="009C4EEF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of albumin </w:t>
      </w:r>
      <w:r w:rsidRPr="009C4EEF">
        <w:rPr>
          <w:rFonts w:asciiTheme="minorBidi" w:hAnsiTheme="minorBidi"/>
          <w:b/>
          <w:bCs/>
          <w:sz w:val="24"/>
          <w:szCs w:val="24"/>
          <w:lang w:val="en-US"/>
        </w:rPr>
        <w:t>in host defense against Mucorales.</w:t>
      </w:r>
      <w:r w:rsidRPr="009C4EEF">
        <w:rPr>
          <w:rFonts w:asciiTheme="minorBidi" w:hAnsiTheme="minorBidi"/>
          <w:sz w:val="24"/>
          <w:szCs w:val="24"/>
          <w:lang w:val="en-US"/>
        </w:rPr>
        <w:t xml:space="preserve"> Illustration of lung alveoli during Mucorales infection in the setting of physiological albumin levels and severe hypoalbuminemia. </w:t>
      </w:r>
      <w:r w:rsidRPr="000C5ED2">
        <w:rPr>
          <w:rFonts w:asciiTheme="minorBidi" w:hAnsiTheme="minorBidi"/>
          <w:sz w:val="24"/>
          <w:szCs w:val="24"/>
        </w:rPr>
        <w:t>Created with BioRender.com</w:t>
      </w:r>
    </w:p>
    <w:p w14:paraId="79CA0DBA" w14:textId="77777777" w:rsidR="001451A6" w:rsidRPr="004D4F32" w:rsidRDefault="001451A6" w:rsidP="001451A6">
      <w:pPr>
        <w:spacing w:line="48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2161ED5D" w14:textId="77777777" w:rsidR="00755780" w:rsidRDefault="00755780"/>
    <w:sectPr w:rsidR="00755780" w:rsidSect="001451A6">
      <w:footerReference w:type="default" r:id="rId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77721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DA2E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DEC44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A6"/>
    <w:rsid w:val="001451A6"/>
    <w:rsid w:val="00331A6B"/>
    <w:rsid w:val="00755780"/>
    <w:rsid w:val="008246A2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695D"/>
  <w15:chartTrackingRefBased/>
  <w15:docId w15:val="{A4728F89-39B6-4E83-BDA3-15E73049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1A6"/>
    <w:rPr>
      <w:lang w:val="el-GR"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145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145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A6"/>
    <w:pPr>
      <w:spacing w:before="160"/>
      <w:jc w:val="center"/>
    </w:pPr>
    <w:rPr>
      <w:i/>
      <w:iCs/>
      <w:color w:val="404040" w:themeColor="text1" w:themeTint="BF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145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A6"/>
    <w:pPr>
      <w:ind w:left="720"/>
      <w:contextualSpacing/>
    </w:pPr>
    <w:rPr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145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A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451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1A6"/>
    <w:rPr>
      <w:lang w:val="el-G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567</Words>
  <Characters>3233</Characters>
  <Application>Microsoft Office Word</Application>
  <DocSecurity>0</DocSecurity>
  <Lines>26</Lines>
  <Paragraphs>7</Paragraphs>
  <ScaleCrop>false</ScaleCrop>
  <Company>Springer Nature</Company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2024-12-03T10:01:00Z</dcterms:created>
  <dcterms:modified xsi:type="dcterms:W3CDTF">2024-12-03T10:01:00Z</dcterms:modified>
</cp:coreProperties>
</file>