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83B6" w14:textId="77777777" w:rsidR="00406968" w:rsidRPr="000A58ED" w:rsidRDefault="00406968" w:rsidP="00406968">
      <w:pPr>
        <w:widowControl/>
        <w:jc w:val="center"/>
        <w:rPr>
          <w:rFonts w:ascii="Times New Roman" w:eastAsia="宋体" w:hAnsi="Times New Roman" w:cs="Times New Roman"/>
          <w:sz w:val="16"/>
          <w:szCs w:val="16"/>
        </w:rPr>
      </w:pPr>
    </w:p>
    <w:p w14:paraId="5300ED12" w14:textId="77777777" w:rsidR="000B7EFA" w:rsidRDefault="00406968" w:rsidP="000B7EFA">
      <w:pPr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Table </w:t>
      </w:r>
      <w:r>
        <w:rPr>
          <w:rFonts w:ascii="Times New Roman" w:eastAsia="宋体" w:hAnsi="Times New Roman" w:cs="Times New Roman"/>
          <w:sz w:val="16"/>
          <w:szCs w:val="16"/>
        </w:rPr>
        <w:t>2</w:t>
      </w:r>
    </w:p>
    <w:p w14:paraId="3BE9ADE4" w14:textId="7E31AE84" w:rsidR="00406968" w:rsidRPr="000A58ED" w:rsidRDefault="00406968" w:rsidP="000B7EFA">
      <w:pPr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0A58ED">
        <w:rPr>
          <w:rFonts w:ascii="Times New Roman" w:eastAsia="宋体" w:hAnsi="Times New Roman" w:cs="Times New Roman"/>
          <w:sz w:val="16"/>
          <w:szCs w:val="16"/>
        </w:rPr>
        <w:t>The reliability of radiography and ultrasonography was evaluated based on MRI as the "gold standard"</w:t>
      </w:r>
    </w:p>
    <w:tbl>
      <w:tblPr>
        <w:tblStyle w:val="a7"/>
        <w:tblW w:w="8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752"/>
        <w:gridCol w:w="743"/>
        <w:gridCol w:w="901"/>
        <w:gridCol w:w="910"/>
        <w:gridCol w:w="720"/>
        <w:gridCol w:w="724"/>
        <w:gridCol w:w="798"/>
        <w:gridCol w:w="826"/>
        <w:gridCol w:w="719"/>
      </w:tblGrid>
      <w:tr w:rsidR="00406968" w:rsidRPr="000A58ED" w14:paraId="5507745F" w14:textId="77777777" w:rsidTr="00010259">
        <w:trPr>
          <w:trHeight w:val="522"/>
        </w:trPr>
        <w:tc>
          <w:tcPr>
            <w:tcW w:w="14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C0D654" w14:textId="77777777" w:rsidR="00406968" w:rsidRPr="000A58ED" w:rsidRDefault="00406968" w:rsidP="000102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EB077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T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P/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T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N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（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n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）</w:t>
            </w:r>
          </w:p>
        </w:tc>
        <w:tc>
          <w:tcPr>
            <w:tcW w:w="7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18A4DD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F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P/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F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N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（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n</w:t>
            </w: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）</w:t>
            </w:r>
          </w:p>
        </w:tc>
        <w:tc>
          <w:tcPr>
            <w:tcW w:w="77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D97412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Sensitivity</w:t>
            </w:r>
          </w:p>
        </w:tc>
        <w:tc>
          <w:tcPr>
            <w:tcW w:w="7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46A224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Specificity</w:t>
            </w:r>
          </w:p>
        </w:tc>
        <w:tc>
          <w:tcPr>
            <w:tcW w:w="7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C7237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P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PV</w:t>
            </w:r>
          </w:p>
        </w:tc>
        <w:tc>
          <w:tcPr>
            <w:tcW w:w="77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A90ECF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N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PV</w:t>
            </w:r>
          </w:p>
        </w:tc>
        <w:tc>
          <w:tcPr>
            <w:tcW w:w="7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A9EEF9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Youden's Index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417CC7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Kappa Value</w:t>
            </w:r>
          </w:p>
        </w:tc>
        <w:tc>
          <w:tcPr>
            <w:tcW w:w="7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5CD296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 w:rsidRPr="000A58ED">
              <w:rPr>
                <w:rFonts w:ascii="Times New Roman" w:eastAsia="宋体" w:hAnsi="Times New Roman" w:cs="Times New Roman"/>
                <w:i/>
                <w:iCs/>
                <w:kern w:val="2"/>
                <w:sz w:val="16"/>
                <w:szCs w:val="16"/>
              </w:rPr>
              <w:t>P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 xml:space="preserve"> Value*</w:t>
            </w:r>
          </w:p>
        </w:tc>
      </w:tr>
      <w:tr w:rsidR="00406968" w:rsidRPr="000A58ED" w14:paraId="2CC41231" w14:textId="77777777" w:rsidTr="00010259">
        <w:trPr>
          <w:trHeight w:val="522"/>
        </w:trPr>
        <w:tc>
          <w:tcPr>
            <w:tcW w:w="1480" w:type="dxa"/>
            <w:vAlign w:val="center"/>
          </w:tcPr>
          <w:p w14:paraId="1A083CFA" w14:textId="77777777" w:rsidR="00406968" w:rsidRPr="000A58ED" w:rsidRDefault="00406968" w:rsidP="00010259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F</w:t>
            </w:r>
            <w:r w:rsidRPr="00CC094F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ractures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 xml:space="preserve"> of l</w:t>
            </w:r>
            <w:r w:rsidRPr="00CC094F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ateral ankle</w:t>
            </w:r>
          </w:p>
        </w:tc>
        <w:tc>
          <w:tcPr>
            <w:tcW w:w="776" w:type="dxa"/>
            <w:vAlign w:val="center"/>
          </w:tcPr>
          <w:p w14:paraId="4917FBD7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69" w:type="dxa"/>
            <w:vAlign w:val="center"/>
          </w:tcPr>
          <w:p w14:paraId="382549B6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3" w:type="dxa"/>
            <w:vAlign w:val="center"/>
          </w:tcPr>
          <w:p w14:paraId="0989A675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5" w:type="dxa"/>
            <w:vAlign w:val="center"/>
          </w:tcPr>
          <w:p w14:paraId="00C39A1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5" w:type="dxa"/>
            <w:vAlign w:val="center"/>
          </w:tcPr>
          <w:p w14:paraId="6AFB380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3" w:type="dxa"/>
            <w:vAlign w:val="center"/>
          </w:tcPr>
          <w:p w14:paraId="42A22071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86" w:type="dxa"/>
            <w:vAlign w:val="center"/>
          </w:tcPr>
          <w:p w14:paraId="60C36CA2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76" w:type="dxa"/>
            <w:vAlign w:val="center"/>
          </w:tcPr>
          <w:p w14:paraId="442B7E09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32" w:type="dxa"/>
            <w:vAlign w:val="center"/>
          </w:tcPr>
          <w:p w14:paraId="538EEA6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406968" w:rsidRPr="00BC08E7" w14:paraId="5BED6704" w14:textId="77777777" w:rsidTr="00010259">
        <w:trPr>
          <w:trHeight w:val="522"/>
        </w:trPr>
        <w:tc>
          <w:tcPr>
            <w:tcW w:w="1480" w:type="dxa"/>
            <w:vAlign w:val="center"/>
          </w:tcPr>
          <w:p w14:paraId="78FABD49" w14:textId="77777777" w:rsidR="00406968" w:rsidRPr="000A58ED" w:rsidRDefault="00406968" w:rsidP="00010259">
            <w:pPr>
              <w:ind w:firstLineChars="100" w:firstLine="16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R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adiography</w:t>
            </w:r>
          </w:p>
        </w:tc>
        <w:tc>
          <w:tcPr>
            <w:tcW w:w="776" w:type="dxa"/>
            <w:vAlign w:val="center"/>
          </w:tcPr>
          <w:p w14:paraId="463C916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1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2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/29</w:t>
            </w:r>
          </w:p>
        </w:tc>
        <w:tc>
          <w:tcPr>
            <w:tcW w:w="769" w:type="dxa"/>
            <w:vAlign w:val="center"/>
          </w:tcPr>
          <w:p w14:paraId="1CA30E3D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1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/17</w:t>
            </w:r>
          </w:p>
        </w:tc>
        <w:tc>
          <w:tcPr>
            <w:tcW w:w="773" w:type="dxa"/>
            <w:vAlign w:val="center"/>
          </w:tcPr>
          <w:p w14:paraId="3665EA44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41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5" w:type="dxa"/>
            <w:vAlign w:val="center"/>
          </w:tcPr>
          <w:p w14:paraId="7ED8FDB4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97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5" w:type="dxa"/>
            <w:vAlign w:val="center"/>
          </w:tcPr>
          <w:p w14:paraId="6589DBC6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92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3" w:type="dxa"/>
            <w:vAlign w:val="center"/>
          </w:tcPr>
          <w:p w14:paraId="74C11EA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63%</w:t>
            </w:r>
          </w:p>
        </w:tc>
        <w:tc>
          <w:tcPr>
            <w:tcW w:w="786" w:type="dxa"/>
            <w:vAlign w:val="center"/>
          </w:tcPr>
          <w:p w14:paraId="2FC20A2B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0.3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</w:t>
            </w:r>
          </w:p>
        </w:tc>
        <w:tc>
          <w:tcPr>
            <w:tcW w:w="876" w:type="dxa"/>
            <w:vAlign w:val="center"/>
          </w:tcPr>
          <w:p w14:paraId="420CE644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0.384</w:t>
            </w:r>
          </w:p>
        </w:tc>
        <w:tc>
          <w:tcPr>
            <w:tcW w:w="732" w:type="dxa"/>
            <w:vAlign w:val="center"/>
          </w:tcPr>
          <w:p w14:paraId="03EAA5F5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&lt;0.001</w:t>
            </w:r>
          </w:p>
        </w:tc>
      </w:tr>
      <w:tr w:rsidR="00406968" w:rsidRPr="00BC08E7" w14:paraId="0BAAE811" w14:textId="77777777" w:rsidTr="00010259">
        <w:trPr>
          <w:trHeight w:val="522"/>
        </w:trPr>
        <w:tc>
          <w:tcPr>
            <w:tcW w:w="1480" w:type="dxa"/>
            <w:vAlign w:val="center"/>
          </w:tcPr>
          <w:p w14:paraId="3D95FB71" w14:textId="77777777" w:rsidR="00406968" w:rsidRPr="000A58ED" w:rsidRDefault="00406968" w:rsidP="00010259">
            <w:pPr>
              <w:ind w:firstLineChars="100" w:firstLine="16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US</w:t>
            </w:r>
          </w:p>
        </w:tc>
        <w:tc>
          <w:tcPr>
            <w:tcW w:w="776" w:type="dxa"/>
            <w:vAlign w:val="center"/>
          </w:tcPr>
          <w:p w14:paraId="3DDBE29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2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/2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5</w:t>
            </w:r>
          </w:p>
        </w:tc>
        <w:tc>
          <w:tcPr>
            <w:tcW w:w="769" w:type="dxa"/>
            <w:vAlign w:val="center"/>
          </w:tcPr>
          <w:p w14:paraId="37915C3B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5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/1</w:t>
            </w:r>
          </w:p>
        </w:tc>
        <w:tc>
          <w:tcPr>
            <w:tcW w:w="773" w:type="dxa"/>
            <w:vAlign w:val="center"/>
          </w:tcPr>
          <w:p w14:paraId="5E8C09F1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97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5" w:type="dxa"/>
            <w:vAlign w:val="center"/>
          </w:tcPr>
          <w:p w14:paraId="3D66397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83%</w:t>
            </w:r>
          </w:p>
        </w:tc>
        <w:tc>
          <w:tcPr>
            <w:tcW w:w="775" w:type="dxa"/>
            <w:vAlign w:val="center"/>
          </w:tcPr>
          <w:p w14:paraId="15B77F0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85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3" w:type="dxa"/>
            <w:vAlign w:val="center"/>
          </w:tcPr>
          <w:p w14:paraId="3B91A9A7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96%</w:t>
            </w:r>
          </w:p>
        </w:tc>
        <w:tc>
          <w:tcPr>
            <w:tcW w:w="786" w:type="dxa"/>
            <w:vAlign w:val="center"/>
          </w:tcPr>
          <w:p w14:paraId="5E2651A5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80</w:t>
            </w:r>
          </w:p>
        </w:tc>
        <w:tc>
          <w:tcPr>
            <w:tcW w:w="876" w:type="dxa"/>
            <w:vAlign w:val="center"/>
          </w:tcPr>
          <w:p w14:paraId="7F1708F2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0.797</w:t>
            </w:r>
          </w:p>
        </w:tc>
        <w:tc>
          <w:tcPr>
            <w:tcW w:w="732" w:type="dxa"/>
            <w:vAlign w:val="center"/>
          </w:tcPr>
          <w:p w14:paraId="31BF1C3C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0.219</w:t>
            </w:r>
          </w:p>
        </w:tc>
      </w:tr>
      <w:tr w:rsidR="00406968" w:rsidRPr="00BC08E7" w14:paraId="3BDEE3F8" w14:textId="77777777" w:rsidTr="00010259">
        <w:trPr>
          <w:trHeight w:val="509"/>
        </w:trPr>
        <w:tc>
          <w:tcPr>
            <w:tcW w:w="1480" w:type="dxa"/>
            <w:vAlign w:val="center"/>
          </w:tcPr>
          <w:p w14:paraId="3695857B" w14:textId="77777777" w:rsidR="00406968" w:rsidRPr="00591313" w:rsidRDefault="00406968" w:rsidP="00010259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L</w:t>
            </w:r>
            <w:r w:rsidRPr="00CC094F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igament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i</w:t>
            </w:r>
            <w:r w:rsidRPr="00CC094F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njuries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a</w:t>
            </w:r>
            <w:r w:rsidRPr="00CC094F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ssessed by 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  <w:t>US</w:t>
            </w:r>
          </w:p>
        </w:tc>
        <w:tc>
          <w:tcPr>
            <w:tcW w:w="776" w:type="dxa"/>
            <w:vAlign w:val="center"/>
          </w:tcPr>
          <w:p w14:paraId="212E8718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69" w:type="dxa"/>
            <w:vAlign w:val="center"/>
          </w:tcPr>
          <w:p w14:paraId="11015B2B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3" w:type="dxa"/>
            <w:vAlign w:val="center"/>
          </w:tcPr>
          <w:p w14:paraId="7C1343F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5" w:type="dxa"/>
            <w:vAlign w:val="center"/>
          </w:tcPr>
          <w:p w14:paraId="0A23D957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5" w:type="dxa"/>
            <w:vAlign w:val="center"/>
          </w:tcPr>
          <w:p w14:paraId="1C559A7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73" w:type="dxa"/>
            <w:vAlign w:val="center"/>
          </w:tcPr>
          <w:p w14:paraId="1B13F2D2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86" w:type="dxa"/>
            <w:vAlign w:val="center"/>
          </w:tcPr>
          <w:p w14:paraId="6757141D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76" w:type="dxa"/>
            <w:vAlign w:val="center"/>
          </w:tcPr>
          <w:p w14:paraId="12AB94B9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32" w:type="dxa"/>
            <w:vAlign w:val="center"/>
          </w:tcPr>
          <w:p w14:paraId="5B753E2B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406968" w:rsidRPr="00BC08E7" w14:paraId="7B203114" w14:textId="77777777" w:rsidTr="00010259">
        <w:trPr>
          <w:trHeight w:val="522"/>
        </w:trPr>
        <w:tc>
          <w:tcPr>
            <w:tcW w:w="1480" w:type="dxa"/>
            <w:vAlign w:val="center"/>
          </w:tcPr>
          <w:p w14:paraId="70DC6D98" w14:textId="77777777" w:rsidR="00406968" w:rsidRPr="000A58ED" w:rsidRDefault="00406968" w:rsidP="00010259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A58ED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TFL</w:t>
            </w:r>
          </w:p>
        </w:tc>
        <w:tc>
          <w:tcPr>
            <w:tcW w:w="776" w:type="dxa"/>
            <w:vAlign w:val="center"/>
          </w:tcPr>
          <w:p w14:paraId="53654B84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2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2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/34</w:t>
            </w:r>
          </w:p>
        </w:tc>
        <w:tc>
          <w:tcPr>
            <w:tcW w:w="769" w:type="dxa"/>
            <w:vAlign w:val="center"/>
          </w:tcPr>
          <w:p w14:paraId="700EE4F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2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/1</w:t>
            </w:r>
          </w:p>
        </w:tc>
        <w:tc>
          <w:tcPr>
            <w:tcW w:w="773" w:type="dxa"/>
            <w:vAlign w:val="center"/>
          </w:tcPr>
          <w:p w14:paraId="0673962E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6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5" w:type="dxa"/>
            <w:vAlign w:val="center"/>
          </w:tcPr>
          <w:p w14:paraId="1B55154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94%</w:t>
            </w:r>
          </w:p>
        </w:tc>
        <w:tc>
          <w:tcPr>
            <w:tcW w:w="775" w:type="dxa"/>
            <w:vAlign w:val="center"/>
          </w:tcPr>
          <w:p w14:paraId="2A1E82A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2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3" w:type="dxa"/>
            <w:vAlign w:val="center"/>
          </w:tcPr>
          <w:p w14:paraId="6F8771DF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97%</w:t>
            </w:r>
          </w:p>
        </w:tc>
        <w:tc>
          <w:tcPr>
            <w:tcW w:w="786" w:type="dxa"/>
            <w:vAlign w:val="center"/>
          </w:tcPr>
          <w:p w14:paraId="3A28681B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90</w:t>
            </w:r>
          </w:p>
        </w:tc>
        <w:tc>
          <w:tcPr>
            <w:tcW w:w="876" w:type="dxa"/>
            <w:vAlign w:val="center"/>
          </w:tcPr>
          <w:p w14:paraId="3B2EA375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0.894</w:t>
            </w:r>
          </w:p>
        </w:tc>
        <w:tc>
          <w:tcPr>
            <w:tcW w:w="732" w:type="dxa"/>
            <w:vAlign w:val="center"/>
          </w:tcPr>
          <w:p w14:paraId="07419C92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1.000</w:t>
            </w:r>
          </w:p>
        </w:tc>
      </w:tr>
      <w:tr w:rsidR="00406968" w:rsidRPr="00BC08E7" w14:paraId="6562C312" w14:textId="77777777" w:rsidTr="00010259">
        <w:trPr>
          <w:trHeight w:val="509"/>
        </w:trPr>
        <w:tc>
          <w:tcPr>
            <w:tcW w:w="1480" w:type="dxa"/>
            <w:tcBorders>
              <w:bottom w:val="single" w:sz="8" w:space="0" w:color="auto"/>
            </w:tcBorders>
            <w:vAlign w:val="center"/>
          </w:tcPr>
          <w:p w14:paraId="1D07B445" w14:textId="77777777" w:rsidR="00406968" w:rsidRPr="000A58ED" w:rsidRDefault="00406968" w:rsidP="00010259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A58ED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FL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vAlign w:val="center"/>
          </w:tcPr>
          <w:p w14:paraId="4B9B730A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5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/5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769" w:type="dxa"/>
            <w:tcBorders>
              <w:bottom w:val="single" w:sz="8" w:space="0" w:color="auto"/>
            </w:tcBorders>
            <w:vAlign w:val="center"/>
          </w:tcPr>
          <w:p w14:paraId="25991469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  <w14:ligatures w14:val="standardContextual"/>
              </w:rPr>
              <w:t>1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/1</w:t>
            </w:r>
          </w:p>
        </w:tc>
        <w:tc>
          <w:tcPr>
            <w:tcW w:w="773" w:type="dxa"/>
            <w:tcBorders>
              <w:bottom w:val="single" w:sz="8" w:space="0" w:color="auto"/>
            </w:tcBorders>
            <w:vAlign w:val="center"/>
          </w:tcPr>
          <w:p w14:paraId="7CB0C872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3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5" w:type="dxa"/>
            <w:tcBorders>
              <w:bottom w:val="single" w:sz="8" w:space="0" w:color="auto"/>
            </w:tcBorders>
            <w:vAlign w:val="center"/>
          </w:tcPr>
          <w:p w14:paraId="2506C87C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98%</w:t>
            </w:r>
          </w:p>
        </w:tc>
        <w:tc>
          <w:tcPr>
            <w:tcW w:w="775" w:type="dxa"/>
            <w:tcBorders>
              <w:bottom w:val="single" w:sz="8" w:space="0" w:color="auto"/>
            </w:tcBorders>
            <w:vAlign w:val="center"/>
          </w:tcPr>
          <w:p w14:paraId="1045F552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3</w:t>
            </w: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%</w:t>
            </w:r>
          </w:p>
        </w:tc>
        <w:tc>
          <w:tcPr>
            <w:tcW w:w="773" w:type="dxa"/>
            <w:tcBorders>
              <w:bottom w:val="single" w:sz="8" w:space="0" w:color="auto"/>
            </w:tcBorders>
            <w:vAlign w:val="center"/>
          </w:tcPr>
          <w:p w14:paraId="66E10E13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98%</w:t>
            </w:r>
          </w:p>
        </w:tc>
        <w:tc>
          <w:tcPr>
            <w:tcW w:w="786" w:type="dxa"/>
            <w:tcBorders>
              <w:bottom w:val="single" w:sz="8" w:space="0" w:color="auto"/>
            </w:tcBorders>
            <w:vAlign w:val="center"/>
          </w:tcPr>
          <w:p w14:paraId="62E5CD16" w14:textId="77777777" w:rsidR="00406968" w:rsidRPr="000A58ED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0A58ED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</w:t>
            </w:r>
            <w:r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81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vAlign w:val="center"/>
          </w:tcPr>
          <w:p w14:paraId="24F9AB32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0.814</w:t>
            </w:r>
          </w:p>
        </w:tc>
        <w:tc>
          <w:tcPr>
            <w:tcW w:w="732" w:type="dxa"/>
            <w:tcBorders>
              <w:bottom w:val="single" w:sz="8" w:space="0" w:color="auto"/>
            </w:tcBorders>
            <w:vAlign w:val="center"/>
          </w:tcPr>
          <w:p w14:paraId="19296DB7" w14:textId="77777777" w:rsidR="00406968" w:rsidRPr="00BC08E7" w:rsidRDefault="00406968" w:rsidP="00010259">
            <w:pPr>
              <w:jc w:val="center"/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BC08E7">
              <w:rPr>
                <w:rFonts w:ascii="Times New Roman" w:eastAsia="宋体" w:hAnsi="Times New Roman" w:cs="Times New Roman"/>
                <w:kern w:val="2"/>
                <w:sz w:val="16"/>
                <w:szCs w:val="16"/>
                <w14:ligatures w14:val="standardContextual"/>
              </w:rPr>
              <w:t>1.000</w:t>
            </w:r>
          </w:p>
        </w:tc>
      </w:tr>
    </w:tbl>
    <w:p w14:paraId="1974829F" w14:textId="53086431" w:rsidR="00C36120" w:rsidRPr="00406968" w:rsidRDefault="00406968">
      <w:pPr>
        <w:rPr>
          <w:rFonts w:ascii="Times New Roman" w:eastAsia="宋体" w:hAnsi="Times New Roman" w:cs="Times New Roman"/>
          <w:sz w:val="16"/>
          <w:szCs w:val="16"/>
        </w:rPr>
      </w:pPr>
      <w:r w:rsidRPr="000A58ED">
        <w:rPr>
          <w:rFonts w:ascii="Times New Roman" w:eastAsia="宋体" w:hAnsi="Times New Roman" w:cs="Times New Roman"/>
          <w:sz w:val="16"/>
          <w:szCs w:val="16"/>
          <w:vertAlign w:val="superscript"/>
        </w:rPr>
        <w:t>*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 The </w:t>
      </w:r>
      <w:r w:rsidRPr="000A58ED">
        <w:rPr>
          <w:rFonts w:ascii="Times New Roman" w:eastAsia="宋体" w:hAnsi="Times New Roman" w:cs="Times New Roman"/>
          <w:i/>
          <w:iCs/>
          <w:sz w:val="16"/>
          <w:szCs w:val="16"/>
        </w:rPr>
        <w:t>P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 value is the result of the McNemar test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>.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 TP: </w:t>
      </w:r>
      <w:r w:rsidRPr="00FE0117">
        <w:rPr>
          <w:rFonts w:ascii="Times New Roman" w:eastAsia="宋体" w:hAnsi="Times New Roman" w:cs="Times New Roman"/>
          <w:sz w:val="16"/>
          <w:szCs w:val="16"/>
        </w:rPr>
        <w:t>True Positive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; 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>T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N: </w:t>
      </w:r>
      <w:r w:rsidRPr="00FE0117">
        <w:rPr>
          <w:rFonts w:ascii="Times New Roman" w:eastAsia="宋体" w:hAnsi="Times New Roman" w:cs="Times New Roman"/>
          <w:sz w:val="16"/>
          <w:szCs w:val="16"/>
        </w:rPr>
        <w:t>True Negative</w:t>
      </w:r>
      <w:r w:rsidRPr="000A58ED">
        <w:rPr>
          <w:rFonts w:ascii="Times New Roman" w:eastAsia="宋体" w:hAnsi="Times New Roman" w:cs="Times New Roman"/>
          <w:sz w:val="16"/>
          <w:szCs w:val="16"/>
        </w:rPr>
        <w:t>;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 xml:space="preserve"> F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P: </w:t>
      </w:r>
      <w:r w:rsidRPr="00FE0117">
        <w:rPr>
          <w:rFonts w:ascii="Times New Roman" w:eastAsia="宋体" w:hAnsi="Times New Roman" w:cs="Times New Roman"/>
          <w:sz w:val="16"/>
          <w:szCs w:val="16"/>
        </w:rPr>
        <w:t>False Positive</w:t>
      </w:r>
      <w:r w:rsidRPr="000A58ED">
        <w:rPr>
          <w:rFonts w:ascii="Times New Roman" w:eastAsia="宋体" w:hAnsi="Times New Roman" w:cs="Times New Roman"/>
          <w:sz w:val="16"/>
          <w:szCs w:val="16"/>
        </w:rPr>
        <w:t>;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 xml:space="preserve"> F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N: </w:t>
      </w:r>
      <w:r w:rsidRPr="00FE0117">
        <w:rPr>
          <w:rFonts w:ascii="Times New Roman" w:eastAsia="宋体" w:hAnsi="Times New Roman" w:cs="Times New Roman"/>
          <w:sz w:val="16"/>
          <w:szCs w:val="16"/>
        </w:rPr>
        <w:t>False Negative</w:t>
      </w:r>
      <w:r w:rsidRPr="000A58ED">
        <w:rPr>
          <w:rFonts w:ascii="Times New Roman" w:eastAsia="宋体" w:hAnsi="Times New Roman" w:cs="Times New Roman"/>
          <w:sz w:val="16"/>
          <w:szCs w:val="16"/>
        </w:rPr>
        <w:t>;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 xml:space="preserve"> P</w:t>
      </w:r>
      <w:r w:rsidRPr="000A58ED">
        <w:rPr>
          <w:rFonts w:ascii="Times New Roman" w:eastAsia="宋体" w:hAnsi="Times New Roman" w:cs="Times New Roman"/>
          <w:sz w:val="16"/>
          <w:szCs w:val="16"/>
        </w:rPr>
        <w:t>PV</w:t>
      </w:r>
      <w:r>
        <w:rPr>
          <w:rFonts w:ascii="Times New Roman" w:eastAsia="宋体" w:hAnsi="Times New Roman" w:cs="Times New Roman"/>
          <w:sz w:val="16"/>
          <w:szCs w:val="16"/>
        </w:rPr>
        <w:t>: P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ositive </w:t>
      </w:r>
      <w:r>
        <w:rPr>
          <w:rFonts w:ascii="Times New Roman" w:eastAsia="宋体" w:hAnsi="Times New Roman" w:cs="Times New Roman"/>
          <w:sz w:val="16"/>
          <w:szCs w:val="16"/>
        </w:rPr>
        <w:t>P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redictive </w:t>
      </w:r>
      <w:r>
        <w:rPr>
          <w:rFonts w:ascii="Times New Roman" w:eastAsia="宋体" w:hAnsi="Times New Roman" w:cs="Times New Roman"/>
          <w:sz w:val="16"/>
          <w:szCs w:val="16"/>
        </w:rPr>
        <w:t>V</w:t>
      </w:r>
      <w:r w:rsidRPr="000A58ED">
        <w:rPr>
          <w:rFonts w:ascii="Times New Roman" w:eastAsia="宋体" w:hAnsi="Times New Roman" w:cs="Times New Roman"/>
          <w:sz w:val="16"/>
          <w:szCs w:val="16"/>
        </w:rPr>
        <w:t>alue</w:t>
      </w:r>
      <w:r>
        <w:rPr>
          <w:rFonts w:ascii="Times New Roman" w:eastAsia="宋体" w:hAnsi="Times New Roman" w:cs="Times New Roman"/>
          <w:sz w:val="16"/>
          <w:szCs w:val="16"/>
        </w:rPr>
        <w:t xml:space="preserve">; </w:t>
      </w:r>
      <w:r w:rsidRPr="000A58ED">
        <w:rPr>
          <w:rFonts w:ascii="Times New Roman" w:eastAsia="宋体" w:hAnsi="Times New Roman" w:cs="Times New Roman" w:hint="eastAsia"/>
          <w:sz w:val="16"/>
          <w:szCs w:val="16"/>
        </w:rPr>
        <w:t>N</w:t>
      </w:r>
      <w:r w:rsidRPr="000A58ED">
        <w:rPr>
          <w:rFonts w:ascii="Times New Roman" w:eastAsia="宋体" w:hAnsi="Times New Roman" w:cs="Times New Roman"/>
          <w:sz w:val="16"/>
          <w:szCs w:val="16"/>
        </w:rPr>
        <w:t>PV</w:t>
      </w:r>
      <w:r>
        <w:rPr>
          <w:rFonts w:ascii="Times New Roman" w:eastAsia="宋体" w:hAnsi="Times New Roman" w:cs="Times New Roman"/>
          <w:sz w:val="16"/>
          <w:szCs w:val="16"/>
        </w:rPr>
        <w:t>: N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egative </w:t>
      </w:r>
      <w:r>
        <w:rPr>
          <w:rFonts w:ascii="Times New Roman" w:eastAsia="宋体" w:hAnsi="Times New Roman" w:cs="Times New Roman"/>
          <w:sz w:val="16"/>
          <w:szCs w:val="16"/>
        </w:rPr>
        <w:t>P</w:t>
      </w:r>
      <w:r w:rsidRPr="000A58ED">
        <w:rPr>
          <w:rFonts w:ascii="Times New Roman" w:eastAsia="宋体" w:hAnsi="Times New Roman" w:cs="Times New Roman"/>
          <w:sz w:val="16"/>
          <w:szCs w:val="16"/>
        </w:rPr>
        <w:t xml:space="preserve">redictive </w:t>
      </w:r>
      <w:r>
        <w:rPr>
          <w:rFonts w:ascii="Times New Roman" w:eastAsia="宋体" w:hAnsi="Times New Roman" w:cs="Times New Roman"/>
          <w:sz w:val="16"/>
          <w:szCs w:val="16"/>
        </w:rPr>
        <w:t>V</w:t>
      </w:r>
      <w:r w:rsidRPr="000A58ED">
        <w:rPr>
          <w:rFonts w:ascii="Times New Roman" w:eastAsia="宋体" w:hAnsi="Times New Roman" w:cs="Times New Roman"/>
          <w:sz w:val="16"/>
          <w:szCs w:val="16"/>
        </w:rPr>
        <w:t>alue</w:t>
      </w:r>
      <w:r>
        <w:rPr>
          <w:rFonts w:ascii="Times New Roman" w:eastAsia="宋体" w:hAnsi="Times New Roman" w:cs="Times New Roman"/>
          <w:sz w:val="16"/>
          <w:szCs w:val="16"/>
        </w:rPr>
        <w:t>; US: U</w:t>
      </w:r>
      <w:r w:rsidRPr="000A58ED">
        <w:rPr>
          <w:rFonts w:ascii="Times New Roman" w:eastAsia="宋体" w:hAnsi="Times New Roman" w:cs="Times New Roman"/>
          <w:sz w:val="16"/>
          <w:szCs w:val="16"/>
        </w:rPr>
        <w:t>ltrasonography</w:t>
      </w:r>
      <w:r>
        <w:rPr>
          <w:rFonts w:ascii="Times New Roman" w:eastAsia="宋体" w:hAnsi="Times New Roman" w:cs="Times New Roman"/>
          <w:sz w:val="16"/>
          <w:szCs w:val="16"/>
        </w:rPr>
        <w:t>; ATFL:</w:t>
      </w:r>
      <w:r w:rsidRPr="00CC094F">
        <w:rPr>
          <w:rFonts w:ascii="Times New Roman" w:eastAsia="宋体" w:hAnsi="Times New Roman" w:cs="Times New Roman"/>
          <w:sz w:val="16"/>
          <w:szCs w:val="16"/>
        </w:rPr>
        <w:t xml:space="preserve"> Anterior Talofibular Ligament</w:t>
      </w:r>
      <w:r>
        <w:rPr>
          <w:rFonts w:ascii="Times New Roman" w:eastAsia="宋体" w:hAnsi="Times New Roman" w:cs="Times New Roman"/>
          <w:sz w:val="16"/>
          <w:szCs w:val="16"/>
        </w:rPr>
        <w:t>; CFL:</w:t>
      </w:r>
      <w:r w:rsidRPr="00CC094F">
        <w:rPr>
          <w:rFonts w:ascii="Times New Roman" w:eastAsia="宋体" w:hAnsi="Times New Roman" w:cs="Times New Roman"/>
          <w:sz w:val="16"/>
          <w:szCs w:val="16"/>
        </w:rPr>
        <w:t xml:space="preserve"> Calcaneofibular Ligament</w:t>
      </w:r>
      <w:r>
        <w:rPr>
          <w:rFonts w:ascii="Times New Roman" w:eastAsia="宋体" w:hAnsi="Times New Roman" w:cs="Times New Roman"/>
          <w:sz w:val="16"/>
          <w:szCs w:val="16"/>
        </w:rPr>
        <w:t xml:space="preserve">. </w:t>
      </w:r>
    </w:p>
    <w:sectPr w:rsidR="00C36120" w:rsidRPr="00406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A0B9" w14:textId="77777777" w:rsidR="00AB1865" w:rsidRDefault="00AB1865" w:rsidP="00406968">
      <w:r>
        <w:separator/>
      </w:r>
    </w:p>
  </w:endnote>
  <w:endnote w:type="continuationSeparator" w:id="0">
    <w:p w14:paraId="6C7ECE87" w14:textId="77777777" w:rsidR="00AB1865" w:rsidRDefault="00AB1865" w:rsidP="0040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6C94" w14:textId="77777777" w:rsidR="00AB1865" w:rsidRDefault="00AB1865" w:rsidP="00406968">
      <w:r>
        <w:separator/>
      </w:r>
    </w:p>
  </w:footnote>
  <w:footnote w:type="continuationSeparator" w:id="0">
    <w:p w14:paraId="2F3B3A85" w14:textId="77777777" w:rsidR="00AB1865" w:rsidRDefault="00AB1865" w:rsidP="00406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20"/>
    <w:rsid w:val="000B7EFA"/>
    <w:rsid w:val="00406968"/>
    <w:rsid w:val="00425CA8"/>
    <w:rsid w:val="00AB1865"/>
    <w:rsid w:val="00C3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97488"/>
  <w15:chartTrackingRefBased/>
  <w15:docId w15:val="{2E5A41D7-69AB-4F1F-9326-671B5AE3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9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69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6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6968"/>
    <w:rPr>
      <w:sz w:val="18"/>
      <w:szCs w:val="18"/>
    </w:rPr>
  </w:style>
  <w:style w:type="table" w:styleId="a7">
    <w:name w:val="Table Grid"/>
    <w:basedOn w:val="a1"/>
    <w:uiPriority w:val="39"/>
    <w:qFormat/>
    <w:rsid w:val="0040696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xiongtao li</dc:creator>
  <cp:keywords/>
  <dc:description/>
  <cp:lastModifiedBy>xiongtao li</cp:lastModifiedBy>
  <cp:revision>3</cp:revision>
  <dcterms:created xsi:type="dcterms:W3CDTF">2024-10-16T12:16:00Z</dcterms:created>
  <dcterms:modified xsi:type="dcterms:W3CDTF">2024-11-06T10:46:00Z</dcterms:modified>
</cp:coreProperties>
</file>