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5C8598" w14:textId="25616A1E" w:rsidR="00B52C82" w:rsidRPr="0060138E" w:rsidRDefault="00B52C82">
      <w:pPr>
        <w:rPr>
          <w:rFonts w:asciiTheme="majorHAnsi" w:hAnsiTheme="majorHAnsi" w:cstheme="majorHAnsi"/>
          <w:b/>
          <w:bCs/>
          <w:sz w:val="28"/>
          <w:szCs w:val="28"/>
        </w:rPr>
      </w:pPr>
      <w:r w:rsidRPr="0060138E">
        <w:rPr>
          <w:rFonts w:asciiTheme="majorHAnsi" w:hAnsiTheme="majorHAnsi" w:cstheme="majorHAnsi"/>
          <w:b/>
          <w:bCs/>
          <w:sz w:val="28"/>
          <w:szCs w:val="28"/>
        </w:rPr>
        <w:t xml:space="preserve">S4 </w:t>
      </w:r>
      <w:r w:rsidR="0060138E">
        <w:rPr>
          <w:rFonts w:asciiTheme="majorHAnsi" w:hAnsiTheme="majorHAnsi" w:cstheme="majorHAnsi"/>
          <w:b/>
          <w:bCs/>
          <w:sz w:val="28"/>
          <w:szCs w:val="28"/>
        </w:rPr>
        <w:t xml:space="preserve">- </w:t>
      </w:r>
      <w:r w:rsidRPr="0060138E">
        <w:rPr>
          <w:rFonts w:asciiTheme="majorHAnsi" w:hAnsiTheme="majorHAnsi" w:cstheme="majorHAnsi"/>
          <w:b/>
          <w:bCs/>
          <w:sz w:val="28"/>
          <w:szCs w:val="28"/>
        </w:rPr>
        <w:t>Model Checks</w:t>
      </w:r>
    </w:p>
    <w:p w14:paraId="79632F2D" w14:textId="77777777" w:rsidR="00B52C82" w:rsidRPr="00E01970" w:rsidRDefault="00B52C82" w:rsidP="00B52C82">
      <w:pPr>
        <w:pStyle w:val="Heading3"/>
        <w:rPr>
          <w:rFonts w:cstheme="minorHAnsi"/>
          <w:b/>
          <w:bCs/>
          <w:color w:val="auto"/>
          <w:sz w:val="24"/>
          <w:szCs w:val="24"/>
          <w:u w:val="single"/>
        </w:rPr>
      </w:pPr>
      <w:bookmarkStart w:id="0" w:name="_Toc144460886"/>
      <w:r w:rsidRPr="00E01970">
        <w:rPr>
          <w:rFonts w:cstheme="minorHAnsi"/>
          <w:b/>
          <w:bCs/>
          <w:color w:val="auto"/>
          <w:sz w:val="24"/>
          <w:szCs w:val="24"/>
          <w:u w:val="single"/>
        </w:rPr>
        <w:t>Prior Predictive Checks</w:t>
      </w:r>
      <w:bookmarkEnd w:id="0"/>
    </w:p>
    <w:p w14:paraId="6D15BC0B" w14:textId="72688F67" w:rsidR="00B52C82" w:rsidRPr="00834974" w:rsidRDefault="00B52C82" w:rsidP="00B52C82">
      <w:pPr>
        <w:rPr>
          <w:rFonts w:ascii="Calibri" w:hAnsi="Calibri" w:cs="Calibri"/>
        </w:rPr>
      </w:pPr>
      <w:r w:rsidRPr="00834974">
        <w:rPr>
          <w:rFonts w:ascii="Calibri" w:hAnsi="Calibri" w:cs="Calibri"/>
        </w:rPr>
        <w:t xml:space="preserve">In order to verify the compatibility of the assumed prior knowledge with the simulated data, </w:t>
      </w:r>
      <w:r w:rsidR="00E01970">
        <w:rPr>
          <w:rFonts w:ascii="Calibri" w:hAnsi="Calibri" w:cs="Calibri"/>
        </w:rPr>
        <w:t>we</w:t>
      </w:r>
      <w:r w:rsidRPr="00834974">
        <w:rPr>
          <w:rFonts w:ascii="Calibri" w:hAnsi="Calibri" w:cs="Calibri"/>
        </w:rPr>
        <w:t xml:space="preserve"> performed a prior predictive check. The primary aim of this check was to ensure that the chosen priors led to sensible predictions. This check was accomplished by simulating data from the model using parameters drawn from the priors before any actual data were considered. In this analysis, </w:t>
      </w:r>
      <w:r w:rsidR="0063765E">
        <w:rPr>
          <w:rFonts w:ascii="Calibri" w:hAnsi="Calibri" w:cs="Calibri"/>
        </w:rPr>
        <w:t>we</w:t>
      </w:r>
      <w:r w:rsidRPr="00834974">
        <w:rPr>
          <w:rFonts w:ascii="Calibri" w:hAnsi="Calibri" w:cs="Calibri"/>
        </w:rPr>
        <w:t xml:space="preserve"> conducted 2000 simulations for each model. The parameters for these simulations were sampled directly from the prior distributions. These simulated data then provided a form of "predicted" or "expected" data distribution that reflects the prior knowledge and assumptions built into the model.</w:t>
      </w:r>
    </w:p>
    <w:p w14:paraId="75DBE502" w14:textId="4F747928" w:rsidR="00B52C82" w:rsidRPr="00834974" w:rsidRDefault="00B52C82" w:rsidP="00B52C82">
      <w:pPr>
        <w:rPr>
          <w:rFonts w:ascii="Calibri" w:hAnsi="Calibri" w:cs="Calibri"/>
        </w:rPr>
      </w:pPr>
      <w:r w:rsidRPr="00834974">
        <w:rPr>
          <w:rFonts w:ascii="Calibri" w:hAnsi="Calibri" w:cs="Calibri"/>
        </w:rPr>
        <w:fldChar w:fldCharType="begin"/>
      </w:r>
      <w:r w:rsidRPr="00834974">
        <w:rPr>
          <w:rFonts w:ascii="Calibri" w:hAnsi="Calibri" w:cs="Calibri"/>
        </w:rPr>
        <w:instrText xml:space="preserve"> REF _Ref135067111 \h  \* MERGEFORMAT </w:instrText>
      </w:r>
      <w:r w:rsidRPr="00834974">
        <w:rPr>
          <w:rFonts w:ascii="Calibri" w:hAnsi="Calibri" w:cs="Calibri"/>
        </w:rPr>
      </w:r>
      <w:r w:rsidRPr="00834974">
        <w:rPr>
          <w:rFonts w:ascii="Calibri" w:hAnsi="Calibri" w:cs="Calibri"/>
        </w:rPr>
        <w:fldChar w:fldCharType="separate"/>
      </w:r>
      <w:r w:rsidR="0063765E" w:rsidRPr="0063765E">
        <w:rPr>
          <w:rFonts w:ascii="Calibri" w:hAnsi="Calibri" w:cs="Calibri"/>
        </w:rPr>
        <w:t xml:space="preserve">Figure </w:t>
      </w:r>
      <w:r w:rsidR="0063765E" w:rsidRPr="0063765E">
        <w:rPr>
          <w:rFonts w:ascii="Calibri" w:hAnsi="Calibri" w:cs="Calibri"/>
          <w:noProof/>
        </w:rPr>
        <w:t>S4.4</w:t>
      </w:r>
      <w:r w:rsidRPr="00834974">
        <w:rPr>
          <w:rFonts w:ascii="Calibri" w:hAnsi="Calibri" w:cs="Calibri"/>
        </w:rPr>
        <w:fldChar w:fldCharType="end"/>
      </w:r>
      <w:r w:rsidRPr="00834974">
        <w:rPr>
          <w:rFonts w:ascii="Calibri" w:hAnsi="Calibri" w:cs="Calibri"/>
        </w:rPr>
        <w:t xml:space="preserve"> displays the central 60% of the simulated data representing the range between the first and fifth quantiles. The observed data lies well within the range of values generated by our simulations. This indicates that the observed data is not in conflict with the simulated data from our priors and reduces the chance that the choice of priors is biasing the model's estimates.</w:t>
      </w:r>
    </w:p>
    <w:p w14:paraId="0FED770A" w14:textId="77777777" w:rsidR="00B52C82" w:rsidRPr="00222B9D" w:rsidRDefault="00B52C82" w:rsidP="00B52C82">
      <w:pPr>
        <w:keepNext/>
        <w:rPr>
          <w:rFonts w:ascii="Arial" w:hAnsi="Arial" w:cs="Arial"/>
        </w:rPr>
      </w:pPr>
      <w:r w:rsidRPr="00222B9D">
        <w:rPr>
          <w:rFonts w:ascii="Arial" w:hAnsi="Arial" w:cs="Arial"/>
          <w:noProof/>
          <w:lang w:eastAsia="en-GB"/>
        </w:rPr>
        <w:drawing>
          <wp:inline distT="0" distB="0" distL="0" distR="0" wp14:anchorId="71E0FBBC" wp14:editId="5F265FFE">
            <wp:extent cx="5731510" cy="3438016"/>
            <wp:effectExtent l="0" t="0" r="2540" b="0"/>
            <wp:docPr id="7" name="Picture 7" descr="C:\Users\dms228\OneDrive - University of Exeter\PhD\R Scripts\nimble\model2\outputs\prior_predictive_che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s228\OneDrive - University of Exeter\PhD\R Scripts\nimble\model2\outputs\prior_predictive_check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438016"/>
                    </a:xfrm>
                    <a:prstGeom prst="rect">
                      <a:avLst/>
                    </a:prstGeom>
                    <a:noFill/>
                    <a:ln>
                      <a:noFill/>
                    </a:ln>
                  </pic:spPr>
                </pic:pic>
              </a:graphicData>
            </a:graphic>
          </wp:inline>
        </w:drawing>
      </w:r>
    </w:p>
    <w:p w14:paraId="23FC711C" w14:textId="411DE849" w:rsidR="00B52C82" w:rsidRPr="00222B9D" w:rsidRDefault="00B52C82" w:rsidP="00B52C82">
      <w:pPr>
        <w:pStyle w:val="Caption"/>
        <w:rPr>
          <w:rFonts w:ascii="Arial" w:hAnsi="Arial" w:cs="Arial"/>
          <w:shd w:val="clear" w:color="auto" w:fill="F7F7F8"/>
        </w:rPr>
      </w:pPr>
      <w:bookmarkStart w:id="1" w:name="_Ref135067111"/>
      <w:r w:rsidRPr="00222B9D">
        <w:rPr>
          <w:rFonts w:ascii="Arial" w:hAnsi="Arial" w:cs="Arial"/>
        </w:rPr>
        <w:t xml:space="preserve">Figure </w:t>
      </w:r>
      <w:r w:rsidR="0063765E">
        <w:rPr>
          <w:rFonts w:ascii="Arial" w:hAnsi="Arial" w:cs="Arial"/>
        </w:rPr>
        <w:t>S4</w:t>
      </w:r>
      <w:r>
        <w:rPr>
          <w:rFonts w:ascii="Arial" w:hAnsi="Arial" w:cs="Arial"/>
        </w:rPr>
        <w:t>.</w:t>
      </w:r>
      <w:r>
        <w:rPr>
          <w:rFonts w:ascii="Arial" w:hAnsi="Arial" w:cs="Arial"/>
        </w:rPr>
        <w:fldChar w:fldCharType="begin"/>
      </w:r>
      <w:r>
        <w:rPr>
          <w:rFonts w:ascii="Arial" w:hAnsi="Arial" w:cs="Arial"/>
        </w:rPr>
        <w:instrText xml:space="preserve"> SEQ Figure \* ARABIC \s 1 </w:instrText>
      </w:r>
      <w:r>
        <w:rPr>
          <w:rFonts w:ascii="Arial" w:hAnsi="Arial" w:cs="Arial"/>
        </w:rPr>
        <w:fldChar w:fldCharType="separate"/>
      </w:r>
      <w:r w:rsidR="004B5789">
        <w:rPr>
          <w:rFonts w:ascii="Arial" w:hAnsi="Arial" w:cs="Arial"/>
          <w:noProof/>
        </w:rPr>
        <w:t>1</w:t>
      </w:r>
      <w:r>
        <w:rPr>
          <w:rFonts w:ascii="Arial" w:hAnsi="Arial" w:cs="Arial"/>
        </w:rPr>
        <w:fldChar w:fldCharType="end"/>
      </w:r>
      <w:bookmarkEnd w:id="1"/>
      <w:r w:rsidRPr="00222B9D">
        <w:rPr>
          <w:rFonts w:ascii="Arial" w:hAnsi="Arial" w:cs="Arial"/>
        </w:rPr>
        <w:t xml:space="preserve"> - </w:t>
      </w:r>
      <w:r w:rsidRPr="00222B9D">
        <w:rPr>
          <w:rFonts w:ascii="Arial" w:hAnsi="Arial" w:cs="Arial"/>
          <w:shd w:val="clear" w:color="auto" w:fill="F7F7F8"/>
        </w:rPr>
        <w:t>Prior Predictive Checks: The grey area represents the range between the upper and lower quintiles of monthly cases estimated from 2000 simulations sampled from the prior distribution. The black line represents the observed monthly cases.</w:t>
      </w:r>
    </w:p>
    <w:p w14:paraId="268BF4AC" w14:textId="77777777" w:rsidR="00B52C82" w:rsidRPr="00253DDA" w:rsidRDefault="00B52C82" w:rsidP="00B52C82">
      <w:pPr>
        <w:pStyle w:val="Heading3"/>
        <w:rPr>
          <w:rFonts w:cstheme="minorHAnsi"/>
          <w:b/>
          <w:bCs/>
          <w:color w:val="auto"/>
          <w:sz w:val="24"/>
          <w:szCs w:val="24"/>
          <w:u w:val="single"/>
        </w:rPr>
      </w:pPr>
      <w:bookmarkStart w:id="2" w:name="_Toc144460887"/>
      <w:r w:rsidRPr="00253DDA">
        <w:rPr>
          <w:rFonts w:cstheme="minorHAnsi"/>
          <w:b/>
          <w:bCs/>
          <w:color w:val="auto"/>
          <w:sz w:val="24"/>
          <w:szCs w:val="24"/>
          <w:u w:val="single"/>
        </w:rPr>
        <w:t>Sensitivity of Initial Conditions</w:t>
      </w:r>
      <w:bookmarkEnd w:id="2"/>
    </w:p>
    <w:p w14:paraId="6236387C" w14:textId="41D40F3D" w:rsidR="00B52C82" w:rsidRPr="0063765E" w:rsidRDefault="00B52C82" w:rsidP="00B52C82">
      <w:pPr>
        <w:rPr>
          <w:rFonts w:cstheme="minorHAnsi"/>
        </w:rPr>
      </w:pPr>
      <w:r w:rsidRPr="0063765E">
        <w:rPr>
          <w:rFonts w:cstheme="minorHAnsi"/>
        </w:rPr>
        <w:t>In the tested models,</w:t>
      </w:r>
      <w:r w:rsidR="00253DDA">
        <w:rPr>
          <w:rFonts w:cstheme="minorHAnsi"/>
        </w:rPr>
        <w:t xml:space="preserve"> we assumed</w:t>
      </w:r>
      <w:r w:rsidRPr="0063765E">
        <w:rPr>
          <w:rFonts w:cstheme="minorHAnsi"/>
        </w:rPr>
        <w:t xml:space="preserve"> that the initial conditions of each model may be selected arbitrarily as it was assumed that 10 years is sufficient ‘warm up’ time to allow the model to reach endemic equilibrium. </w:t>
      </w:r>
      <w:r w:rsidR="00F9485E">
        <w:rPr>
          <w:rFonts w:cstheme="minorHAnsi"/>
        </w:rPr>
        <w:t>S</w:t>
      </w:r>
      <w:r w:rsidRPr="0063765E">
        <w:rPr>
          <w:rFonts w:cstheme="minorHAnsi"/>
        </w:rPr>
        <w:t>ensitivity of this assumption</w:t>
      </w:r>
      <w:r w:rsidR="00F9485E">
        <w:rPr>
          <w:rFonts w:cstheme="minorHAnsi"/>
        </w:rPr>
        <w:t xml:space="preserve"> was tested</w:t>
      </w:r>
      <w:r w:rsidRPr="0063765E">
        <w:rPr>
          <w:rFonts w:cstheme="minorHAnsi"/>
        </w:rPr>
        <w:t xml:space="preserve"> by running 10,000 simulations of each of the four models with initial conditions randomly sampled from </w:t>
      </w:r>
      <w:r w:rsidRPr="0063765E">
        <w:rPr>
          <w:rFonts w:cstheme="minorHAnsi"/>
        </w:rPr>
        <w:lastRenderedPageBreak/>
        <w:t>uniform distributions as described in</w:t>
      </w:r>
      <w:r w:rsidR="00C56564">
        <w:rPr>
          <w:rFonts w:cstheme="minorHAnsi"/>
        </w:rPr>
        <w:t xml:space="preserve"> </w:t>
      </w:r>
      <w:r w:rsidR="00C56564">
        <w:rPr>
          <w:rFonts w:cstheme="minorHAnsi"/>
        </w:rPr>
        <w:fldChar w:fldCharType="begin"/>
      </w:r>
      <w:r w:rsidR="00C56564">
        <w:rPr>
          <w:rFonts w:cstheme="minorHAnsi"/>
        </w:rPr>
        <w:instrText xml:space="preserve"> REF _Ref176635386 \h </w:instrText>
      </w:r>
      <w:r w:rsidR="00C56564">
        <w:rPr>
          <w:rFonts w:cstheme="minorHAnsi"/>
        </w:rPr>
      </w:r>
      <w:r w:rsidR="00C56564">
        <w:rPr>
          <w:rFonts w:cstheme="minorHAnsi"/>
        </w:rPr>
        <w:fldChar w:fldCharType="separate"/>
      </w:r>
      <w:r w:rsidR="00C56564">
        <w:t>Table S4.</w:t>
      </w:r>
      <w:r w:rsidR="00C56564">
        <w:rPr>
          <w:noProof/>
        </w:rPr>
        <w:t>1</w:t>
      </w:r>
      <w:r w:rsidR="00C56564">
        <w:rPr>
          <w:rFonts w:cstheme="minorHAnsi"/>
        </w:rPr>
        <w:fldChar w:fldCharType="end"/>
      </w:r>
      <w:r w:rsidRPr="0063765E">
        <w:rPr>
          <w:rFonts w:cstheme="minorHAnsi"/>
        </w:rPr>
        <w:t xml:space="preserve">. To ensure that the sensitivity analysis was robust across a range of plausible parameter values, parameters were randomly sampled in each simulation from the posterior distribution. The influence of different initial conditions was measured by comparison with 10,000 simulations where initial conditions were fixed to those stated in Section </w:t>
      </w:r>
      <w:r w:rsidRPr="0063765E">
        <w:rPr>
          <w:rFonts w:cstheme="minorHAnsi"/>
        </w:rPr>
        <w:fldChar w:fldCharType="begin"/>
      </w:r>
      <w:r w:rsidRPr="0063765E">
        <w:rPr>
          <w:rFonts w:cstheme="minorHAnsi"/>
        </w:rPr>
        <w:instrText xml:space="preserve"> REF _Ref141259603 \h  \* MERGEFORMAT </w:instrText>
      </w:r>
      <w:r w:rsidRPr="0063765E">
        <w:rPr>
          <w:rFonts w:cstheme="minorHAnsi"/>
        </w:rPr>
      </w:r>
      <w:r w:rsidRPr="0063765E">
        <w:rPr>
          <w:rFonts w:cstheme="minorHAnsi"/>
        </w:rPr>
        <w:fldChar w:fldCharType="separate"/>
      </w:r>
      <w:r w:rsidRPr="0063765E">
        <w:rPr>
          <w:rFonts w:cstheme="minorHAnsi"/>
        </w:rPr>
        <w:t>Prior Distributions</w:t>
      </w:r>
      <w:r w:rsidRPr="0063765E">
        <w:rPr>
          <w:rFonts w:cstheme="minorHAnsi"/>
        </w:rPr>
        <w:fldChar w:fldCharType="end"/>
      </w:r>
      <w:r w:rsidRPr="0063765E">
        <w:rPr>
          <w:rFonts w:cstheme="minorHAnsi"/>
        </w:rPr>
        <w:t>. To assess the similarity between the outputs of these two sets of simulations, we employed the Root Mean Squared Error (RMSE) as a measure of dissimilarity. The RMSE quantifies the average difference between corresponding outputs of the simulations, providing a comprehensive assessment of the overall model response.</w:t>
      </w:r>
    </w:p>
    <w:p w14:paraId="5521CA42" w14:textId="4A8C06C9" w:rsidR="00B52C82" w:rsidRPr="0063765E" w:rsidRDefault="00B52C82" w:rsidP="00B52C82">
      <w:pPr>
        <w:rPr>
          <w:rFonts w:cstheme="minorHAnsi"/>
        </w:rPr>
      </w:pPr>
      <w:r w:rsidRPr="0063765E">
        <w:rPr>
          <w:rFonts w:cstheme="minorHAnsi"/>
        </w:rPr>
        <w:t xml:space="preserve">The results of the sensitivity analysis are depicted in </w:t>
      </w:r>
      <w:r w:rsidR="00032692">
        <w:rPr>
          <w:rFonts w:cstheme="minorHAnsi"/>
        </w:rPr>
        <w:fldChar w:fldCharType="begin"/>
      </w:r>
      <w:r w:rsidR="00032692">
        <w:rPr>
          <w:rFonts w:cstheme="minorHAnsi"/>
        </w:rPr>
        <w:instrText xml:space="preserve"> REF _Ref176635435 \h </w:instrText>
      </w:r>
      <w:r w:rsidR="00032692">
        <w:rPr>
          <w:rFonts w:cstheme="minorHAnsi"/>
        </w:rPr>
      </w:r>
      <w:r w:rsidR="00032692">
        <w:rPr>
          <w:rFonts w:cstheme="minorHAnsi"/>
        </w:rPr>
        <w:fldChar w:fldCharType="separate"/>
      </w:r>
      <w:r w:rsidR="00032692">
        <w:t>Figure S4.</w:t>
      </w:r>
      <w:r w:rsidR="00032692">
        <w:rPr>
          <w:noProof/>
        </w:rPr>
        <w:t>2</w:t>
      </w:r>
      <w:r w:rsidR="00032692">
        <w:rPr>
          <w:rFonts w:cstheme="minorHAnsi"/>
        </w:rPr>
        <w:fldChar w:fldCharType="end"/>
      </w:r>
      <w:r w:rsidR="00032692">
        <w:rPr>
          <w:rFonts w:cstheme="minorHAnsi"/>
        </w:rPr>
        <w:t xml:space="preserve"> </w:t>
      </w:r>
      <w:r w:rsidRPr="0063765E">
        <w:rPr>
          <w:rFonts w:cstheme="minorHAnsi"/>
        </w:rPr>
        <w:t xml:space="preserve">which illustrates the RMSE between the outputs associated with the selected initial conditions and randomly sampled initial conditions for each model. It is evident from columns 1 and 3 of </w:t>
      </w:r>
      <w:r w:rsidR="00C22C20">
        <w:rPr>
          <w:rFonts w:cstheme="minorHAnsi"/>
        </w:rPr>
        <w:fldChar w:fldCharType="begin"/>
      </w:r>
      <w:r w:rsidR="00C22C20">
        <w:rPr>
          <w:rFonts w:cstheme="minorHAnsi"/>
        </w:rPr>
        <w:instrText xml:space="preserve"> REF _Ref176635435 \h </w:instrText>
      </w:r>
      <w:r w:rsidR="00C22C20">
        <w:rPr>
          <w:rFonts w:cstheme="minorHAnsi"/>
        </w:rPr>
      </w:r>
      <w:r w:rsidR="00C22C20">
        <w:rPr>
          <w:rFonts w:cstheme="minorHAnsi"/>
        </w:rPr>
        <w:fldChar w:fldCharType="separate"/>
      </w:r>
      <w:r w:rsidR="00C22C20">
        <w:t>Figure S4.</w:t>
      </w:r>
      <w:r w:rsidR="00C22C20">
        <w:rPr>
          <w:noProof/>
        </w:rPr>
        <w:t>2</w:t>
      </w:r>
      <w:r w:rsidR="00C22C20">
        <w:rPr>
          <w:rFonts w:cstheme="minorHAnsi"/>
        </w:rPr>
        <w:fldChar w:fldCharType="end"/>
      </w:r>
      <w:r w:rsidR="00C22C20">
        <w:rPr>
          <w:rFonts w:cstheme="minorHAnsi"/>
        </w:rPr>
        <w:t xml:space="preserve"> </w:t>
      </w:r>
      <w:r w:rsidRPr="0063765E">
        <w:rPr>
          <w:rFonts w:cstheme="minorHAnsi"/>
        </w:rPr>
        <w:t xml:space="preserve">that the model is most sensitive to assumptions about </w:t>
      </w:r>
      <m:oMath>
        <m:sSub>
          <m:sSubPr>
            <m:ctrlPr>
              <w:rPr>
                <w:rFonts w:ascii="Cambria Math" w:hAnsi="Cambria Math" w:cstheme="minorHAnsi"/>
                <w:i/>
              </w:rPr>
            </m:ctrlPr>
          </m:sSubPr>
          <m:e>
            <m:acc>
              <m:accPr>
                <m:ctrlPr>
                  <w:rPr>
                    <w:rFonts w:ascii="Cambria Math" w:hAnsi="Cambria Math" w:cstheme="minorHAnsi"/>
                    <w:i/>
                  </w:rPr>
                </m:ctrlPr>
              </m:accPr>
              <m:e>
                <m:r>
                  <w:rPr>
                    <w:rFonts w:ascii="Cambria Math" w:hAnsi="Cambria Math" w:cstheme="minorHAnsi"/>
                  </w:rPr>
                  <m:t>S</m:t>
                </m:r>
              </m:e>
            </m:acc>
          </m:e>
          <m:sub>
            <m:r>
              <w:rPr>
                <w:rFonts w:ascii="Cambria Math" w:hAnsi="Cambria Math" w:cstheme="minorHAnsi"/>
              </w:rPr>
              <m:t>0</m:t>
            </m:r>
          </m:sub>
        </m:sSub>
      </m:oMath>
      <w:r w:rsidRPr="0063765E">
        <w:rPr>
          <w:rFonts w:cstheme="minorHAnsi"/>
        </w:rPr>
        <w:t xml:space="preserve"> and </w:t>
      </w:r>
      <m:oMath>
        <m:sSub>
          <m:sSubPr>
            <m:ctrlPr>
              <w:rPr>
                <w:rFonts w:ascii="Cambria Math" w:hAnsi="Cambria Math" w:cstheme="minorHAnsi"/>
                <w:i/>
              </w:rPr>
            </m:ctrlPr>
          </m:sSubPr>
          <m:e>
            <m:acc>
              <m:accPr>
                <m:ctrlPr>
                  <w:rPr>
                    <w:rFonts w:ascii="Cambria Math" w:hAnsi="Cambria Math" w:cstheme="minorHAnsi"/>
                    <w:i/>
                  </w:rPr>
                </m:ctrlPr>
              </m:accPr>
              <m:e>
                <m:r>
                  <w:rPr>
                    <w:rFonts w:ascii="Cambria Math" w:hAnsi="Cambria Math" w:cstheme="minorHAnsi"/>
                  </w:rPr>
                  <m:t>R</m:t>
                </m:r>
              </m:e>
            </m:acc>
          </m:e>
          <m:sub>
            <m:r>
              <w:rPr>
                <w:rFonts w:ascii="Cambria Math" w:hAnsi="Cambria Math" w:cstheme="minorHAnsi"/>
              </w:rPr>
              <m:t>0</m:t>
            </m:r>
          </m:sub>
        </m:sSub>
      </m:oMath>
      <w:r w:rsidRPr="0063765E">
        <w:rPr>
          <w:rFonts w:cstheme="minorHAnsi"/>
        </w:rPr>
        <w:t xml:space="preserve"> with selected values closest to model assumptions (i.e. </w:t>
      </w:r>
      <m:oMath>
        <m:sSub>
          <m:sSubPr>
            <m:ctrlPr>
              <w:rPr>
                <w:rFonts w:ascii="Cambria Math" w:hAnsi="Cambria Math" w:cstheme="minorHAnsi"/>
                <w:i/>
              </w:rPr>
            </m:ctrlPr>
          </m:sSubPr>
          <m:e>
            <m:acc>
              <m:accPr>
                <m:ctrlPr>
                  <w:rPr>
                    <w:rFonts w:ascii="Cambria Math" w:hAnsi="Cambria Math" w:cstheme="minorHAnsi"/>
                    <w:i/>
                  </w:rPr>
                </m:ctrlPr>
              </m:accPr>
              <m:e>
                <m:r>
                  <w:rPr>
                    <w:rFonts w:ascii="Cambria Math" w:hAnsi="Cambria Math" w:cstheme="minorHAnsi"/>
                  </w:rPr>
                  <m:t>S</m:t>
                </m:r>
              </m:e>
            </m:acc>
          </m:e>
          <m:sub>
            <m:r>
              <w:rPr>
                <w:rFonts w:ascii="Cambria Math" w:hAnsi="Cambria Math" w:cstheme="minorHAnsi"/>
              </w:rPr>
              <m:t>0</m:t>
            </m:r>
          </m:sub>
        </m:sSub>
      </m:oMath>
      <w:r w:rsidRPr="0063765E">
        <w:rPr>
          <w:rFonts w:cstheme="minorHAnsi"/>
        </w:rPr>
        <w:t xml:space="preserve">=0.599, </w:t>
      </w:r>
      <m:oMath>
        <m:sSub>
          <m:sSubPr>
            <m:ctrlPr>
              <w:rPr>
                <w:rFonts w:ascii="Cambria Math" w:hAnsi="Cambria Math" w:cstheme="minorHAnsi"/>
                <w:i/>
              </w:rPr>
            </m:ctrlPr>
          </m:sSubPr>
          <m:e>
            <m:acc>
              <m:accPr>
                <m:ctrlPr>
                  <w:rPr>
                    <w:rFonts w:ascii="Cambria Math" w:hAnsi="Cambria Math" w:cstheme="minorHAnsi"/>
                    <w:i/>
                  </w:rPr>
                </m:ctrlPr>
              </m:accPr>
              <m:e>
                <m:r>
                  <w:rPr>
                    <w:rFonts w:ascii="Cambria Math" w:hAnsi="Cambria Math" w:cstheme="minorHAnsi"/>
                  </w:rPr>
                  <m:t>R</m:t>
                </m:r>
              </m:e>
            </m:acc>
          </m:e>
          <m:sub>
            <m:r>
              <w:rPr>
                <w:rFonts w:ascii="Cambria Math" w:hAnsi="Cambria Math" w:cstheme="minorHAnsi"/>
              </w:rPr>
              <m:t>0</m:t>
            </m:r>
          </m:sub>
        </m:sSub>
      </m:oMath>
      <w:r w:rsidRPr="0063765E">
        <w:rPr>
          <w:rFonts w:cstheme="minorHAnsi"/>
        </w:rPr>
        <w:t xml:space="preserve">=0.4) displaying greatest similarity. Outputs associated with values of </w:t>
      </w:r>
      <m:oMath>
        <m:sSub>
          <m:sSubPr>
            <m:ctrlPr>
              <w:rPr>
                <w:rFonts w:ascii="Cambria Math" w:hAnsi="Cambria Math" w:cstheme="minorHAnsi"/>
                <w:i/>
              </w:rPr>
            </m:ctrlPr>
          </m:sSubPr>
          <m:e>
            <m:acc>
              <m:accPr>
                <m:ctrlPr>
                  <w:rPr>
                    <w:rFonts w:ascii="Cambria Math" w:hAnsi="Cambria Math" w:cstheme="minorHAnsi"/>
                    <w:i/>
                  </w:rPr>
                </m:ctrlPr>
              </m:accPr>
              <m:e>
                <m:r>
                  <w:rPr>
                    <w:rFonts w:ascii="Cambria Math" w:hAnsi="Cambria Math" w:cstheme="minorHAnsi"/>
                  </w:rPr>
                  <m:t>I</m:t>
                </m:r>
              </m:e>
            </m:acc>
          </m:e>
          <m:sub>
            <m:r>
              <w:rPr>
                <w:rFonts w:ascii="Cambria Math" w:hAnsi="Cambria Math" w:cstheme="minorHAnsi"/>
              </w:rPr>
              <m:t>0</m:t>
            </m:r>
          </m:sub>
        </m:sSub>
      </m:oMath>
      <w:r w:rsidRPr="0063765E">
        <w:rPr>
          <w:rFonts w:cstheme="minorHAnsi"/>
        </w:rPr>
        <w:t xml:space="preserve">, </w:t>
      </w:r>
      <m:oMath>
        <m:sSub>
          <m:sSubPr>
            <m:ctrlPr>
              <w:rPr>
                <w:rFonts w:ascii="Cambria Math" w:hAnsi="Cambria Math" w:cstheme="minorHAnsi"/>
                <w:i/>
              </w:rPr>
            </m:ctrlPr>
          </m:sSubPr>
          <m:e>
            <m:acc>
              <m:accPr>
                <m:ctrlPr>
                  <w:rPr>
                    <w:rFonts w:ascii="Cambria Math" w:hAnsi="Cambria Math" w:cstheme="minorHAnsi"/>
                    <w:i/>
                  </w:rPr>
                </m:ctrlPr>
              </m:accPr>
              <m:e>
                <m:r>
                  <w:rPr>
                    <w:rFonts w:ascii="Cambria Math" w:hAnsi="Cambria Math" w:cstheme="minorHAnsi"/>
                  </w:rPr>
                  <m:t>B</m:t>
                </m:r>
              </m:e>
            </m:acc>
          </m:e>
          <m:sub>
            <m:r>
              <w:rPr>
                <w:rFonts w:ascii="Cambria Math" w:hAnsi="Cambria Math" w:cstheme="minorHAnsi"/>
              </w:rPr>
              <m:t>0</m:t>
            </m:r>
          </m:sub>
        </m:sSub>
      </m:oMath>
      <w:r w:rsidRPr="0063765E">
        <w:rPr>
          <w:rFonts w:cstheme="minorHAnsi"/>
        </w:rPr>
        <w:t xml:space="preserve">, and </w:t>
      </w:r>
      <m:oMath>
        <m:sSub>
          <m:sSubPr>
            <m:ctrlPr>
              <w:rPr>
                <w:rFonts w:ascii="Cambria Math" w:hAnsi="Cambria Math" w:cstheme="minorHAnsi"/>
                <w:i/>
              </w:rPr>
            </m:ctrlPr>
          </m:sSubPr>
          <m:e>
            <m:acc>
              <m:accPr>
                <m:ctrlPr>
                  <w:rPr>
                    <w:rFonts w:ascii="Cambria Math" w:hAnsi="Cambria Math" w:cstheme="minorHAnsi"/>
                    <w:i/>
                  </w:rPr>
                </m:ctrlPr>
              </m:accPr>
              <m:e>
                <m:r>
                  <w:rPr>
                    <w:rFonts w:ascii="Cambria Math" w:hAnsi="Cambria Math" w:cstheme="minorHAnsi"/>
                  </w:rPr>
                  <m:t>W</m:t>
                </m:r>
              </m:e>
            </m:acc>
          </m:e>
          <m:sub>
            <m:r>
              <w:rPr>
                <w:rFonts w:ascii="Cambria Math" w:hAnsi="Cambria Math" w:cstheme="minorHAnsi"/>
              </w:rPr>
              <m:t>0</m:t>
            </m:r>
          </m:sub>
        </m:sSub>
      </m:oMath>
      <w:r w:rsidRPr="0063765E">
        <w:rPr>
          <w:rFonts w:cstheme="minorHAnsi"/>
        </w:rPr>
        <w:t xml:space="preserve"> do not appear to hold any relationship with its similarity to outputs of arbitrarily selected initial conditions, indicating complete insensitivity. Overall, for each model, the mean RMSE was &lt; 0.2, </w:t>
      </w:r>
      <w:r w:rsidR="00D912F1">
        <w:rPr>
          <w:rFonts w:cstheme="minorHAnsi"/>
        </w:rPr>
        <w:t>hence a</w:t>
      </w:r>
      <w:r w:rsidRPr="0063765E">
        <w:rPr>
          <w:rFonts w:cstheme="minorHAnsi"/>
        </w:rPr>
        <w:t xml:space="preserve"> 10-year ‘warm up’ time</w:t>
      </w:r>
      <w:r w:rsidR="00D912F1">
        <w:rPr>
          <w:rFonts w:cstheme="minorHAnsi"/>
        </w:rPr>
        <w:t xml:space="preserve"> was considered</w:t>
      </w:r>
      <w:r w:rsidRPr="0063765E">
        <w:rPr>
          <w:rFonts w:cstheme="minorHAnsi"/>
        </w:rPr>
        <w:t xml:space="preserve"> sufficient. </w:t>
      </w:r>
    </w:p>
    <w:p w14:paraId="0C591E52" w14:textId="1453A795" w:rsidR="00B52C82" w:rsidRPr="005E0631" w:rsidRDefault="00C56564" w:rsidP="00C56564">
      <w:pPr>
        <w:pStyle w:val="Caption"/>
        <w:rPr>
          <w:rFonts w:ascii="Arial" w:hAnsi="Arial" w:cs="Arial"/>
        </w:rPr>
      </w:pPr>
      <w:bookmarkStart w:id="3" w:name="_Ref176635386"/>
      <w:r>
        <w:t>Table S4.</w:t>
      </w:r>
      <w:r>
        <w:fldChar w:fldCharType="begin"/>
      </w:r>
      <w:r>
        <w:instrText xml:space="preserve"> SEQ Table \* ARABIC </w:instrText>
      </w:r>
      <w:r>
        <w:fldChar w:fldCharType="separate"/>
      </w:r>
      <w:r>
        <w:rPr>
          <w:noProof/>
        </w:rPr>
        <w:t>1</w:t>
      </w:r>
      <w:r>
        <w:fldChar w:fldCharType="end"/>
      </w:r>
      <w:bookmarkEnd w:id="3"/>
      <w:r>
        <w:t xml:space="preserve"> - </w:t>
      </w:r>
      <w:r w:rsidR="00B52C82" w:rsidRPr="00222B9D">
        <w:rPr>
          <w:rFonts w:ascii="Arial" w:hAnsi="Arial" w:cs="Arial"/>
        </w:rPr>
        <w:t xml:space="preserve">Initial condition sampling distributions for sensitivity analysis. </w:t>
      </w:r>
      <m:oMath>
        <m:r>
          <m:rPr>
            <m:sty m:val="bi"/>
          </m:rPr>
          <w:rPr>
            <w:rFonts w:ascii="Cambria Math" w:hAnsi="Cambria Math" w:cs="Arial"/>
          </w:rPr>
          <m:t>Unif(a,b)</m:t>
        </m:r>
      </m:oMath>
      <w:r w:rsidR="00B52C82">
        <w:rPr>
          <w:rFonts w:ascii="Arial" w:hAnsi="Arial" w:cs="Arial"/>
        </w:rPr>
        <w:t xml:space="preserve"> represents a uniform distribution with lower and upper limits a and b respectively.</w:t>
      </w:r>
    </w:p>
    <w:tbl>
      <w:tblPr>
        <w:tblStyle w:val="PlainTable2"/>
        <w:tblW w:w="0" w:type="auto"/>
        <w:tblLook w:val="04A0" w:firstRow="1" w:lastRow="0" w:firstColumn="1" w:lastColumn="0" w:noHBand="0" w:noVBand="1"/>
      </w:tblPr>
      <w:tblGrid>
        <w:gridCol w:w="1563"/>
        <w:gridCol w:w="1438"/>
        <w:gridCol w:w="1431"/>
        <w:gridCol w:w="1921"/>
        <w:gridCol w:w="1242"/>
        <w:gridCol w:w="1431"/>
      </w:tblGrid>
      <w:tr w:rsidR="00B52C82" w:rsidRPr="00222B9D" w14:paraId="509E2FFA" w14:textId="77777777" w:rsidTr="00E55C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51ECE92F" w14:textId="77777777" w:rsidR="00B52C82" w:rsidRPr="00222B9D" w:rsidRDefault="00B52C82" w:rsidP="00E55C9E">
            <w:pPr>
              <w:rPr>
                <w:rFonts w:ascii="Arial" w:hAnsi="Arial" w:cs="Arial"/>
              </w:rPr>
            </w:pPr>
            <w:r w:rsidRPr="00222B9D">
              <w:rPr>
                <w:rFonts w:ascii="Arial" w:hAnsi="Arial" w:cs="Arial"/>
              </w:rPr>
              <w:t>Init. Cond.</w:t>
            </w:r>
          </w:p>
        </w:tc>
        <w:tc>
          <w:tcPr>
            <w:tcW w:w="1438" w:type="dxa"/>
          </w:tcPr>
          <w:p w14:paraId="08BA8F29" w14:textId="77777777" w:rsidR="00B52C82" w:rsidRPr="00303711" w:rsidRDefault="0060138E" w:rsidP="00E55C9E">
            <w:pPr>
              <w:cnfStyle w:val="100000000000" w:firstRow="1" w:lastRow="0" w:firstColumn="0" w:lastColumn="0" w:oddVBand="0" w:evenVBand="0" w:oddHBand="0" w:evenHBand="0" w:firstRowFirstColumn="0" w:firstRowLastColumn="0" w:lastRowFirstColumn="0" w:lastRowLastColumn="0"/>
              <w:rPr>
                <w:rFonts w:ascii="Arial" w:hAnsi="Arial" w:cs="Arial"/>
              </w:rPr>
            </w:pPr>
            <m:oMathPara>
              <m:oMath>
                <m:sSub>
                  <m:sSubPr>
                    <m:ctrlPr>
                      <w:rPr>
                        <w:rFonts w:ascii="Cambria Math" w:hAnsi="Cambria Math" w:cs="Arial"/>
                        <w:i/>
                      </w:rPr>
                    </m:ctrlPr>
                  </m:sSubPr>
                  <m:e>
                    <m:acc>
                      <m:accPr>
                        <m:ctrlPr>
                          <w:rPr>
                            <w:rFonts w:ascii="Cambria Math" w:hAnsi="Cambria Math" w:cs="Arial"/>
                            <w:i/>
                          </w:rPr>
                        </m:ctrlPr>
                      </m:accPr>
                      <m:e>
                        <m:r>
                          <m:rPr>
                            <m:sty m:val="bi"/>
                          </m:rPr>
                          <w:rPr>
                            <w:rFonts w:ascii="Cambria Math" w:hAnsi="Cambria Math" w:cs="Arial"/>
                          </w:rPr>
                          <m:t>S</m:t>
                        </m:r>
                      </m:e>
                    </m:acc>
                  </m:e>
                  <m:sub>
                    <m:r>
                      <m:rPr>
                        <m:sty m:val="bi"/>
                      </m:rPr>
                      <w:rPr>
                        <w:rFonts w:ascii="Cambria Math" w:hAnsi="Cambria Math" w:cs="Arial"/>
                      </w:rPr>
                      <m:t>0</m:t>
                    </m:r>
                  </m:sub>
                </m:sSub>
              </m:oMath>
            </m:oMathPara>
          </w:p>
        </w:tc>
        <w:tc>
          <w:tcPr>
            <w:tcW w:w="1431" w:type="dxa"/>
          </w:tcPr>
          <w:p w14:paraId="7812DEA0" w14:textId="77777777" w:rsidR="00B52C82" w:rsidRPr="00303711" w:rsidRDefault="0060138E" w:rsidP="00E55C9E">
            <w:pPr>
              <w:cnfStyle w:val="100000000000" w:firstRow="1" w:lastRow="0" w:firstColumn="0" w:lastColumn="0" w:oddVBand="0" w:evenVBand="0" w:oddHBand="0" w:evenHBand="0" w:firstRowFirstColumn="0" w:firstRowLastColumn="0" w:lastRowFirstColumn="0" w:lastRowLastColumn="0"/>
              <w:rPr>
                <w:rFonts w:ascii="Arial" w:hAnsi="Arial" w:cs="Arial"/>
              </w:rPr>
            </w:pPr>
            <m:oMathPara>
              <m:oMath>
                <m:sSub>
                  <m:sSubPr>
                    <m:ctrlPr>
                      <w:rPr>
                        <w:rFonts w:ascii="Cambria Math" w:hAnsi="Cambria Math" w:cs="Arial"/>
                        <w:i/>
                      </w:rPr>
                    </m:ctrlPr>
                  </m:sSubPr>
                  <m:e>
                    <m:acc>
                      <m:accPr>
                        <m:ctrlPr>
                          <w:rPr>
                            <w:rFonts w:ascii="Cambria Math" w:hAnsi="Cambria Math" w:cs="Arial"/>
                            <w:i/>
                          </w:rPr>
                        </m:ctrlPr>
                      </m:accPr>
                      <m:e>
                        <m:r>
                          <m:rPr>
                            <m:sty m:val="bi"/>
                          </m:rPr>
                          <w:rPr>
                            <w:rFonts w:ascii="Cambria Math" w:hAnsi="Cambria Math" w:cs="Arial"/>
                          </w:rPr>
                          <m:t>I</m:t>
                        </m:r>
                      </m:e>
                    </m:acc>
                  </m:e>
                  <m:sub>
                    <m:r>
                      <m:rPr>
                        <m:sty m:val="bi"/>
                      </m:rPr>
                      <w:rPr>
                        <w:rFonts w:ascii="Cambria Math" w:hAnsi="Cambria Math" w:cs="Arial"/>
                      </w:rPr>
                      <m:t>0</m:t>
                    </m:r>
                  </m:sub>
                </m:sSub>
              </m:oMath>
            </m:oMathPara>
          </w:p>
        </w:tc>
        <w:tc>
          <w:tcPr>
            <w:tcW w:w="1921" w:type="dxa"/>
          </w:tcPr>
          <w:p w14:paraId="06F38BF3" w14:textId="77777777" w:rsidR="00B52C82" w:rsidRPr="00303711" w:rsidRDefault="0060138E" w:rsidP="00E55C9E">
            <w:pPr>
              <w:cnfStyle w:val="100000000000" w:firstRow="1" w:lastRow="0" w:firstColumn="0" w:lastColumn="0" w:oddVBand="0" w:evenVBand="0" w:oddHBand="0" w:evenHBand="0" w:firstRowFirstColumn="0" w:firstRowLastColumn="0" w:lastRowFirstColumn="0" w:lastRowLastColumn="0"/>
              <w:rPr>
                <w:rFonts w:ascii="Arial" w:hAnsi="Arial" w:cs="Arial"/>
              </w:rPr>
            </w:pPr>
            <m:oMathPara>
              <m:oMath>
                <m:sSub>
                  <m:sSubPr>
                    <m:ctrlPr>
                      <w:rPr>
                        <w:rFonts w:ascii="Cambria Math" w:hAnsi="Cambria Math" w:cs="Arial"/>
                        <w:i/>
                      </w:rPr>
                    </m:ctrlPr>
                  </m:sSubPr>
                  <m:e>
                    <m:acc>
                      <m:accPr>
                        <m:ctrlPr>
                          <w:rPr>
                            <w:rFonts w:ascii="Cambria Math" w:hAnsi="Cambria Math" w:cs="Arial"/>
                            <w:i/>
                          </w:rPr>
                        </m:ctrlPr>
                      </m:accPr>
                      <m:e>
                        <m:r>
                          <m:rPr>
                            <m:sty m:val="bi"/>
                          </m:rPr>
                          <w:rPr>
                            <w:rFonts w:ascii="Cambria Math" w:hAnsi="Cambria Math" w:cs="Arial"/>
                          </w:rPr>
                          <m:t>R</m:t>
                        </m:r>
                      </m:e>
                    </m:acc>
                  </m:e>
                  <m:sub>
                    <m:r>
                      <m:rPr>
                        <m:sty m:val="bi"/>
                      </m:rPr>
                      <w:rPr>
                        <w:rFonts w:ascii="Cambria Math" w:hAnsi="Cambria Math" w:cs="Arial"/>
                      </w:rPr>
                      <m:t>0</m:t>
                    </m:r>
                  </m:sub>
                </m:sSub>
              </m:oMath>
            </m:oMathPara>
          </w:p>
        </w:tc>
        <w:tc>
          <w:tcPr>
            <w:tcW w:w="1242" w:type="dxa"/>
          </w:tcPr>
          <w:p w14:paraId="484CAB70" w14:textId="77777777" w:rsidR="00B52C82" w:rsidRPr="00303711" w:rsidRDefault="0060138E" w:rsidP="00E55C9E">
            <w:pPr>
              <w:cnfStyle w:val="100000000000" w:firstRow="1" w:lastRow="0" w:firstColumn="0" w:lastColumn="0" w:oddVBand="0" w:evenVBand="0" w:oddHBand="0" w:evenHBand="0" w:firstRowFirstColumn="0" w:firstRowLastColumn="0" w:lastRowFirstColumn="0" w:lastRowLastColumn="0"/>
              <w:rPr>
                <w:rFonts w:ascii="Arial" w:hAnsi="Arial" w:cs="Arial"/>
              </w:rPr>
            </w:pPr>
            <m:oMathPara>
              <m:oMath>
                <m:sSub>
                  <m:sSubPr>
                    <m:ctrlPr>
                      <w:rPr>
                        <w:rFonts w:ascii="Cambria Math" w:hAnsi="Cambria Math" w:cs="Arial"/>
                        <w:i/>
                      </w:rPr>
                    </m:ctrlPr>
                  </m:sSubPr>
                  <m:e>
                    <m:acc>
                      <m:accPr>
                        <m:ctrlPr>
                          <w:rPr>
                            <w:rFonts w:ascii="Cambria Math" w:hAnsi="Cambria Math" w:cs="Arial"/>
                            <w:i/>
                          </w:rPr>
                        </m:ctrlPr>
                      </m:accPr>
                      <m:e>
                        <m:r>
                          <m:rPr>
                            <m:sty m:val="bi"/>
                          </m:rPr>
                          <w:rPr>
                            <w:rFonts w:ascii="Cambria Math" w:hAnsi="Cambria Math" w:cs="Arial"/>
                          </w:rPr>
                          <m:t>B</m:t>
                        </m:r>
                      </m:e>
                    </m:acc>
                  </m:e>
                  <m:sub>
                    <m:r>
                      <m:rPr>
                        <m:sty m:val="bi"/>
                      </m:rPr>
                      <w:rPr>
                        <w:rFonts w:ascii="Cambria Math" w:hAnsi="Cambria Math" w:cs="Arial"/>
                      </w:rPr>
                      <m:t>0</m:t>
                    </m:r>
                  </m:sub>
                </m:sSub>
              </m:oMath>
            </m:oMathPara>
          </w:p>
        </w:tc>
        <w:tc>
          <w:tcPr>
            <w:tcW w:w="1431" w:type="dxa"/>
          </w:tcPr>
          <w:p w14:paraId="4059D070" w14:textId="77777777" w:rsidR="00B52C82" w:rsidRPr="00303711" w:rsidRDefault="0060138E" w:rsidP="00E55C9E">
            <w:pPr>
              <w:cnfStyle w:val="100000000000" w:firstRow="1" w:lastRow="0" w:firstColumn="0" w:lastColumn="0" w:oddVBand="0" w:evenVBand="0" w:oddHBand="0" w:evenHBand="0" w:firstRowFirstColumn="0" w:firstRowLastColumn="0" w:lastRowFirstColumn="0" w:lastRowLastColumn="0"/>
              <w:rPr>
                <w:rFonts w:ascii="Arial" w:hAnsi="Arial" w:cs="Arial"/>
              </w:rPr>
            </w:pPr>
            <m:oMathPara>
              <m:oMath>
                <m:sSub>
                  <m:sSubPr>
                    <m:ctrlPr>
                      <w:rPr>
                        <w:rFonts w:ascii="Cambria Math" w:hAnsi="Cambria Math" w:cs="Arial"/>
                        <w:i/>
                      </w:rPr>
                    </m:ctrlPr>
                  </m:sSubPr>
                  <m:e>
                    <m:acc>
                      <m:accPr>
                        <m:ctrlPr>
                          <w:rPr>
                            <w:rFonts w:ascii="Cambria Math" w:hAnsi="Cambria Math" w:cs="Arial"/>
                            <w:i/>
                          </w:rPr>
                        </m:ctrlPr>
                      </m:accPr>
                      <m:e>
                        <m:r>
                          <m:rPr>
                            <m:sty m:val="bi"/>
                          </m:rPr>
                          <w:rPr>
                            <w:rFonts w:ascii="Cambria Math" w:hAnsi="Cambria Math" w:cs="Arial"/>
                          </w:rPr>
                          <m:t>W</m:t>
                        </m:r>
                      </m:e>
                    </m:acc>
                  </m:e>
                  <m:sub>
                    <m:r>
                      <m:rPr>
                        <m:sty m:val="bi"/>
                      </m:rPr>
                      <w:rPr>
                        <w:rFonts w:ascii="Cambria Math" w:hAnsi="Cambria Math" w:cs="Arial"/>
                      </w:rPr>
                      <m:t>0</m:t>
                    </m:r>
                  </m:sub>
                </m:sSub>
              </m:oMath>
            </m:oMathPara>
          </w:p>
        </w:tc>
      </w:tr>
      <w:tr w:rsidR="00B52C82" w:rsidRPr="00222B9D" w14:paraId="32ED0418" w14:textId="77777777" w:rsidTr="00E55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5FA37B1C" w14:textId="77777777" w:rsidR="00B52C82" w:rsidRPr="00222B9D" w:rsidRDefault="00B52C82" w:rsidP="00E55C9E">
            <w:pPr>
              <w:rPr>
                <w:rFonts w:ascii="Arial" w:hAnsi="Arial" w:cs="Arial"/>
              </w:rPr>
            </w:pPr>
            <w:r w:rsidRPr="00222B9D">
              <w:rPr>
                <w:rFonts w:ascii="Arial" w:hAnsi="Arial" w:cs="Arial"/>
              </w:rPr>
              <w:t>Sample Distribution</w:t>
            </w:r>
          </w:p>
        </w:tc>
        <w:tc>
          <w:tcPr>
            <w:tcW w:w="1438" w:type="dxa"/>
          </w:tcPr>
          <w:p w14:paraId="1DB6D397" w14:textId="77777777" w:rsidR="00B52C82" w:rsidRPr="00303711" w:rsidRDefault="00B52C82" w:rsidP="00E55C9E">
            <w:pP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1-I0-B0</m:t>
                </m:r>
              </m:oMath>
            </m:oMathPara>
          </w:p>
        </w:tc>
        <w:tc>
          <w:tcPr>
            <w:tcW w:w="1431" w:type="dxa"/>
          </w:tcPr>
          <w:p w14:paraId="09E00959" w14:textId="77777777" w:rsidR="00B52C82" w:rsidRPr="00303711" w:rsidRDefault="00B52C82" w:rsidP="00E55C9E">
            <w:pP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Unif(0,0.1)</m:t>
                </m:r>
              </m:oMath>
            </m:oMathPara>
          </w:p>
        </w:tc>
        <w:tc>
          <w:tcPr>
            <w:tcW w:w="1921" w:type="dxa"/>
          </w:tcPr>
          <w:p w14:paraId="72D3455D" w14:textId="77777777" w:rsidR="00B52C82" w:rsidRPr="00303711" w:rsidRDefault="00B52C82" w:rsidP="00E55C9E">
            <w:pP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Unif(0,</m:t>
                </m:r>
                <m:d>
                  <m:dPr>
                    <m:ctrlPr>
                      <w:rPr>
                        <w:rFonts w:ascii="Cambria Math" w:hAnsi="Cambria Math" w:cs="Arial"/>
                        <w:i/>
                      </w:rPr>
                    </m:ctrlPr>
                  </m:dPr>
                  <m:e>
                    <m:r>
                      <w:rPr>
                        <w:rFonts w:ascii="Cambria Math" w:hAnsi="Cambria Math" w:cs="Arial"/>
                      </w:rPr>
                      <m:t>1-I0</m:t>
                    </m:r>
                  </m:e>
                </m:d>
                <m:r>
                  <w:rPr>
                    <w:rFonts w:ascii="Cambria Math" w:hAnsi="Cambria Math" w:cs="Arial"/>
                  </w:rPr>
                  <m:t>)</m:t>
                </m:r>
              </m:oMath>
            </m:oMathPara>
          </w:p>
        </w:tc>
        <w:tc>
          <w:tcPr>
            <w:tcW w:w="1242" w:type="dxa"/>
          </w:tcPr>
          <w:p w14:paraId="2E18FD2B" w14:textId="77777777" w:rsidR="00B52C82" w:rsidRPr="00303711" w:rsidRDefault="00B52C82" w:rsidP="00E55C9E">
            <w:pP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Unif(0,1)</m:t>
                </m:r>
              </m:oMath>
            </m:oMathPara>
          </w:p>
        </w:tc>
        <w:tc>
          <w:tcPr>
            <w:tcW w:w="1431" w:type="dxa"/>
          </w:tcPr>
          <w:p w14:paraId="0FB5222E" w14:textId="77777777" w:rsidR="00B52C82" w:rsidRPr="00303711" w:rsidRDefault="00B52C82" w:rsidP="00E55C9E">
            <w:pPr>
              <w:keepNext/>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Unif(0,1)</m:t>
                </m:r>
              </m:oMath>
            </m:oMathPara>
          </w:p>
        </w:tc>
      </w:tr>
    </w:tbl>
    <w:p w14:paraId="49C2EE33" w14:textId="77777777" w:rsidR="00B52C82" w:rsidRPr="00222B9D" w:rsidRDefault="00B52C82" w:rsidP="00B52C82">
      <w:pPr>
        <w:rPr>
          <w:rFonts w:ascii="Arial" w:hAnsi="Arial" w:cs="Arial"/>
        </w:rPr>
      </w:pPr>
    </w:p>
    <w:p w14:paraId="5639006E" w14:textId="77777777" w:rsidR="00B52C82" w:rsidRPr="00222B9D" w:rsidRDefault="00B52C82" w:rsidP="00B52C82">
      <w:pPr>
        <w:keepNext/>
        <w:rPr>
          <w:rFonts w:ascii="Arial" w:hAnsi="Arial" w:cs="Arial"/>
        </w:rPr>
      </w:pPr>
      <w:r w:rsidRPr="00222B9D">
        <w:rPr>
          <w:rFonts w:ascii="Arial" w:hAnsi="Arial" w:cs="Arial"/>
          <w:noProof/>
          <w:lang w:eastAsia="en-GB"/>
        </w:rPr>
        <w:lastRenderedPageBreak/>
        <w:drawing>
          <wp:inline distT="0" distB="0" distL="0" distR="0" wp14:anchorId="5E3D877C" wp14:editId="798395AE">
            <wp:extent cx="5731510" cy="3822065"/>
            <wp:effectExtent l="0" t="0" r="2540" b="6985"/>
            <wp:docPr id="29" name="Picture 29" descr="A picture containing text, black and white, screenshot, monochr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lack and white, screenshot, monochro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63D256FF" w14:textId="15DE0D3E" w:rsidR="00B52C82" w:rsidRPr="005B6E75" w:rsidRDefault="00032692" w:rsidP="00032692">
      <w:pPr>
        <w:pStyle w:val="Caption"/>
        <w:rPr>
          <w:rFonts w:ascii="Arial" w:hAnsi="Arial" w:cs="Arial"/>
          <w:i w:val="0"/>
        </w:rPr>
      </w:pPr>
      <w:bookmarkStart w:id="4" w:name="_Ref176635435"/>
      <w:r>
        <w:t>Figure S4.</w:t>
      </w:r>
      <w:r>
        <w:fldChar w:fldCharType="begin"/>
      </w:r>
      <w:r>
        <w:instrText xml:space="preserve"> SEQ Figure \* ARABIC </w:instrText>
      </w:r>
      <w:r>
        <w:fldChar w:fldCharType="separate"/>
      </w:r>
      <w:r w:rsidR="004B5789">
        <w:rPr>
          <w:noProof/>
        </w:rPr>
        <w:t>2</w:t>
      </w:r>
      <w:r>
        <w:fldChar w:fldCharType="end"/>
      </w:r>
      <w:bookmarkEnd w:id="4"/>
      <w:r w:rsidR="00B52C82" w:rsidRPr="005B6E75">
        <w:rPr>
          <w:rFonts w:ascii="Arial" w:hAnsi="Arial" w:cs="Arial"/>
        </w:rPr>
        <w:t>- Sensitivity analysis of initial conditions to model outputs. RMSE between simulations with randomly sampled initial conditions, and initial conditions used in the parameter estimation for 10,000 simulations for each model. Mean RMSE score for each model is shown on y label on the right of the figure.</w:t>
      </w:r>
    </w:p>
    <w:p w14:paraId="17606914" w14:textId="77777777" w:rsidR="00B52C82" w:rsidRPr="00D912F1" w:rsidRDefault="00B52C82" w:rsidP="00B52C82">
      <w:pPr>
        <w:pStyle w:val="Heading3"/>
        <w:rPr>
          <w:rFonts w:cstheme="minorHAnsi"/>
          <w:b/>
          <w:bCs/>
          <w:color w:val="auto"/>
          <w:sz w:val="24"/>
          <w:szCs w:val="24"/>
          <w:u w:val="single"/>
        </w:rPr>
      </w:pPr>
      <w:bookmarkStart w:id="5" w:name="_Toc144460888"/>
      <w:r w:rsidRPr="00D912F1">
        <w:rPr>
          <w:rFonts w:cstheme="minorHAnsi"/>
          <w:b/>
          <w:bCs/>
          <w:color w:val="auto"/>
          <w:sz w:val="24"/>
          <w:szCs w:val="24"/>
          <w:u w:val="single"/>
        </w:rPr>
        <w:t>Model Convergence</w:t>
      </w:r>
      <w:bookmarkEnd w:id="5"/>
    </w:p>
    <w:p w14:paraId="68ABE214" w14:textId="77777777" w:rsidR="00B52C82" w:rsidRPr="00D912F1" w:rsidRDefault="00B52C82" w:rsidP="00B52C82">
      <w:pPr>
        <w:rPr>
          <w:rFonts w:cstheme="minorHAnsi"/>
        </w:rPr>
      </w:pPr>
      <w:r w:rsidRPr="00D912F1">
        <w:rPr>
          <w:rFonts w:cstheme="minorHAnsi"/>
        </w:rPr>
        <w:t>A key measure of reliability in Markov Chain Monte Carlo (MCMC) simulations is convergence. This refers to the point at which a chain stabilizes to a consistent distribution that closely approximates the model parameters' true posterior distribution. Model convergence indicates that MCMC estimates of model parameters are consistent, unbiased, and reliable.</w:t>
      </w:r>
    </w:p>
    <w:p w14:paraId="250D13DA" w14:textId="40950D0B" w:rsidR="00B52C82" w:rsidRPr="00D912F1" w:rsidRDefault="00B52C82" w:rsidP="00D912F1">
      <w:pPr>
        <w:pStyle w:val="ListBullet"/>
        <w:numPr>
          <w:ilvl w:val="0"/>
          <w:numId w:val="0"/>
        </w:numPr>
        <w:spacing w:line="276" w:lineRule="auto"/>
        <w:rPr>
          <w:rFonts w:cstheme="minorHAnsi"/>
        </w:rPr>
      </w:pPr>
      <w:r w:rsidRPr="00D912F1">
        <w:rPr>
          <w:rFonts w:cstheme="minorHAnsi"/>
        </w:rPr>
        <w:t xml:space="preserve">The </w:t>
      </w:r>
      <w:proofErr w:type="spellStart"/>
      <w:r w:rsidRPr="00D912F1">
        <w:rPr>
          <w:rFonts w:cstheme="minorHAnsi"/>
        </w:rPr>
        <w:t>traceplots</w:t>
      </w:r>
      <w:proofErr w:type="spellEnd"/>
      <w:r w:rsidRPr="00D912F1">
        <w:rPr>
          <w:rFonts w:cstheme="minorHAnsi"/>
        </w:rPr>
        <w:t xml:space="preserve"> for each of the model simulations are shown in</w:t>
      </w:r>
      <w:r w:rsidR="00DD35F8">
        <w:rPr>
          <w:rFonts w:cstheme="minorHAnsi"/>
          <w:b/>
          <w:bCs/>
        </w:rPr>
        <w:t xml:space="preserve"> </w:t>
      </w:r>
      <w:r w:rsidR="00DD35F8">
        <w:rPr>
          <w:rFonts w:cstheme="minorHAnsi"/>
          <w:b/>
          <w:bCs/>
        </w:rPr>
        <w:fldChar w:fldCharType="begin"/>
      </w:r>
      <w:r w:rsidR="00DD35F8">
        <w:rPr>
          <w:rFonts w:cstheme="minorHAnsi"/>
          <w:b/>
          <w:bCs/>
        </w:rPr>
        <w:instrText xml:space="preserve"> REF _Ref176637295 \h </w:instrText>
      </w:r>
      <w:r w:rsidR="00DD35F8">
        <w:rPr>
          <w:rFonts w:cstheme="minorHAnsi"/>
          <w:b/>
          <w:bCs/>
        </w:rPr>
      </w:r>
      <w:r w:rsidR="00DD35F8">
        <w:rPr>
          <w:rFonts w:cstheme="minorHAnsi"/>
          <w:b/>
          <w:bCs/>
        </w:rPr>
        <w:fldChar w:fldCharType="separate"/>
      </w:r>
      <w:r w:rsidR="00DD35F8">
        <w:t>Figure S4.</w:t>
      </w:r>
      <w:r w:rsidR="00DD35F8">
        <w:rPr>
          <w:noProof/>
        </w:rPr>
        <w:t>3</w:t>
      </w:r>
      <w:r w:rsidR="00DD35F8">
        <w:rPr>
          <w:rFonts w:cstheme="minorHAnsi"/>
          <w:b/>
          <w:bCs/>
        </w:rPr>
        <w:fldChar w:fldCharType="end"/>
      </w:r>
      <w:r w:rsidR="00DD35F8">
        <w:rPr>
          <w:rFonts w:cstheme="minorHAnsi"/>
          <w:b/>
          <w:bCs/>
        </w:rPr>
        <w:fldChar w:fldCharType="begin"/>
      </w:r>
      <w:r w:rsidR="00DD35F8">
        <w:rPr>
          <w:rFonts w:cstheme="minorHAnsi"/>
          <w:b/>
          <w:bCs/>
        </w:rPr>
        <w:instrText xml:space="preserve"> REF _Ref176637299 \h </w:instrText>
      </w:r>
      <w:r w:rsidR="00DD35F8">
        <w:rPr>
          <w:rFonts w:cstheme="minorHAnsi"/>
          <w:b/>
          <w:bCs/>
        </w:rPr>
      </w:r>
      <w:r w:rsidR="00DD35F8">
        <w:rPr>
          <w:rFonts w:cstheme="minorHAnsi"/>
          <w:b/>
          <w:bCs/>
        </w:rPr>
        <w:fldChar w:fldCharType="separate"/>
      </w:r>
      <w:r w:rsidR="00DD35F8">
        <w:t>-</w:t>
      </w:r>
      <w:r w:rsidR="00DD35F8">
        <w:rPr>
          <w:noProof/>
        </w:rPr>
        <w:t>6</w:t>
      </w:r>
      <w:r w:rsidR="00DD35F8">
        <w:rPr>
          <w:rFonts w:cstheme="minorHAnsi"/>
          <w:b/>
          <w:bCs/>
        </w:rPr>
        <w:fldChar w:fldCharType="end"/>
      </w:r>
      <w:r w:rsidRPr="00D912F1">
        <w:rPr>
          <w:rFonts w:cstheme="minorHAnsi"/>
          <w:b/>
          <w:bCs/>
        </w:rPr>
        <w:t>.</w:t>
      </w:r>
      <w:r w:rsidRPr="00D912F1">
        <w:rPr>
          <w:rFonts w:cstheme="minorHAnsi"/>
        </w:rPr>
        <w:t xml:space="preserve"> Model convergence was inferred by considering the potential scale reduction factor, commonly known as R-hat. This MCMC diagnostic quantifies the extent to which the variance between chains' means exceeds the expected value under identical distribution conditions. A value below 1.1 for each parameter is considered to indicate acceptable convergence </w:t>
      </w:r>
      <w:sdt>
        <w:sdtPr>
          <w:rPr>
            <w:rFonts w:cstheme="minorHAnsi"/>
          </w:rPr>
          <w:tag w:val="MENDELEY_CITATION_v3_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"/>
          <w:id w:val="1544548297"/>
          <w:placeholder>
            <w:docPart w:val="172AC9DD05714A3EBD8B980CD72B9025"/>
          </w:placeholder>
        </w:sdtPr>
        <w:sdtEndPr/>
        <w:sdtContent>
          <w:r w:rsidRPr="00D912F1">
            <w:rPr>
              <w:rFonts w:cstheme="minorHAnsi"/>
            </w:rPr>
            <w:t>(</w:t>
          </w:r>
          <w:proofErr w:type="spellStart"/>
          <w:r w:rsidRPr="00D912F1">
            <w:rPr>
              <w:rFonts w:cstheme="minorHAnsi"/>
            </w:rPr>
            <w:t>Gabry</w:t>
          </w:r>
          <w:proofErr w:type="spellEnd"/>
          <w:r w:rsidRPr="00D912F1">
            <w:rPr>
              <w:rFonts w:cstheme="minorHAnsi"/>
            </w:rPr>
            <w:t xml:space="preserve"> and Goodrich, 2023)</w:t>
          </w:r>
        </w:sdtContent>
      </w:sdt>
      <w:r w:rsidRPr="00D912F1">
        <w:rPr>
          <w:rFonts w:cstheme="minorHAnsi"/>
        </w:rPr>
        <w:t xml:space="preserve"> and this is true for all parameters in all models except for </w:t>
      </w:r>
      <m:oMath>
        <m:acc>
          <m:accPr>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2</m:t>
                </m:r>
              </m:sub>
            </m:sSub>
          </m:e>
        </m:acc>
      </m:oMath>
      <w:r w:rsidRPr="00D912F1">
        <w:rPr>
          <w:rFonts w:cstheme="minorHAnsi"/>
        </w:rPr>
        <w:t xml:space="preserve"> in </w:t>
      </w:r>
      <w:r w:rsidR="008950A1">
        <w:rPr>
          <w:rFonts w:cstheme="minorHAnsi"/>
        </w:rPr>
        <w:t>the Rainfall Model</w:t>
      </w:r>
      <w:r w:rsidRPr="00D912F1">
        <w:rPr>
          <w:rFonts w:cstheme="minorHAnsi"/>
        </w:rPr>
        <w:t xml:space="preserve"> which has an R-hat value of 1.17</w:t>
      </w:r>
      <w:r w:rsidR="00690417">
        <w:rPr>
          <w:rFonts w:cstheme="minorHAnsi"/>
        </w:rPr>
        <w:t xml:space="preserve">. </w:t>
      </w:r>
      <w:r w:rsidR="008950A1">
        <w:rPr>
          <w:rFonts w:cstheme="minorHAnsi"/>
        </w:rPr>
        <w:t>We</w:t>
      </w:r>
      <w:r w:rsidRPr="00D912F1">
        <w:rPr>
          <w:rFonts w:cstheme="minorHAnsi"/>
        </w:rPr>
        <w:t xml:space="preserve"> conclude this indicates sufficient convergence across the models. </w:t>
      </w:r>
    </w:p>
    <w:p w14:paraId="01BF4BF8" w14:textId="77777777" w:rsidR="00B52C82" w:rsidRPr="00D912F1" w:rsidRDefault="00B52C82" w:rsidP="00D912F1">
      <w:pPr>
        <w:pStyle w:val="ListBullet"/>
        <w:numPr>
          <w:ilvl w:val="0"/>
          <w:numId w:val="0"/>
        </w:numPr>
        <w:spacing w:line="276" w:lineRule="auto"/>
        <w:rPr>
          <w:rFonts w:cstheme="minorHAnsi"/>
        </w:rPr>
      </w:pPr>
    </w:p>
    <w:p w14:paraId="22D21E4C" w14:textId="3021525B" w:rsidR="00B52C82" w:rsidRPr="00D912F1" w:rsidRDefault="00B52C82" w:rsidP="00D912F1">
      <w:pPr>
        <w:pStyle w:val="ListBullet"/>
        <w:numPr>
          <w:ilvl w:val="0"/>
          <w:numId w:val="0"/>
        </w:numPr>
        <w:spacing w:line="276" w:lineRule="auto"/>
        <w:rPr>
          <w:rFonts w:cstheme="minorHAnsi"/>
        </w:rPr>
      </w:pPr>
      <w:r w:rsidRPr="00D912F1">
        <w:rPr>
          <w:rFonts w:cstheme="minorHAnsi"/>
        </w:rPr>
        <w:t xml:space="preserve">The prior and posterior distributions of MCMC simulations for </w:t>
      </w:r>
      <w:r w:rsidR="00690417">
        <w:rPr>
          <w:rFonts w:cstheme="minorHAnsi"/>
        </w:rPr>
        <w:t>all models</w:t>
      </w:r>
      <w:r w:rsidRPr="00D912F1">
        <w:rPr>
          <w:rFonts w:cstheme="minorHAnsi"/>
        </w:rPr>
        <w:t xml:space="preserve"> are shown for each chain</w:t>
      </w:r>
      <w:r w:rsidR="00690417">
        <w:rPr>
          <w:rFonts w:cstheme="minorHAnsi"/>
        </w:rPr>
        <w:t xml:space="preserve"> in </w:t>
      </w:r>
      <w:r w:rsidR="00690417">
        <w:rPr>
          <w:rFonts w:cstheme="minorHAnsi"/>
        </w:rPr>
        <w:fldChar w:fldCharType="begin"/>
      </w:r>
      <w:r w:rsidR="00690417">
        <w:rPr>
          <w:rFonts w:cstheme="minorHAnsi"/>
        </w:rPr>
        <w:instrText xml:space="preserve"> REF _Ref176637404 \h </w:instrText>
      </w:r>
      <w:r w:rsidR="00690417">
        <w:rPr>
          <w:rFonts w:cstheme="minorHAnsi"/>
        </w:rPr>
      </w:r>
      <w:r w:rsidR="00690417">
        <w:rPr>
          <w:rFonts w:cstheme="minorHAnsi"/>
        </w:rPr>
        <w:fldChar w:fldCharType="separate"/>
      </w:r>
      <w:r w:rsidR="00690417">
        <w:t>Figure S4.</w:t>
      </w:r>
      <w:r w:rsidR="00690417">
        <w:rPr>
          <w:noProof/>
        </w:rPr>
        <w:t>7</w:t>
      </w:r>
      <w:r w:rsidR="00690417">
        <w:rPr>
          <w:rFonts w:cstheme="minorHAnsi"/>
        </w:rPr>
        <w:fldChar w:fldCharType="end"/>
      </w:r>
      <w:r w:rsidR="00690417">
        <w:rPr>
          <w:rFonts w:cstheme="minorHAnsi"/>
        </w:rPr>
        <w:fldChar w:fldCharType="begin"/>
      </w:r>
      <w:r w:rsidR="00690417">
        <w:rPr>
          <w:rFonts w:cstheme="minorHAnsi"/>
        </w:rPr>
        <w:instrText xml:space="preserve"> REF _Ref176637405 \h </w:instrText>
      </w:r>
      <w:r w:rsidR="00690417">
        <w:rPr>
          <w:rFonts w:cstheme="minorHAnsi"/>
        </w:rPr>
      </w:r>
      <w:r w:rsidR="00690417">
        <w:rPr>
          <w:rFonts w:cstheme="minorHAnsi"/>
        </w:rPr>
        <w:fldChar w:fldCharType="separate"/>
      </w:r>
      <w:r w:rsidR="00690417">
        <w:t>-</w:t>
      </w:r>
      <w:r w:rsidR="00690417">
        <w:rPr>
          <w:noProof/>
        </w:rPr>
        <w:t>10</w:t>
      </w:r>
      <w:r w:rsidR="00690417">
        <w:rPr>
          <w:rFonts w:cstheme="minorHAnsi"/>
        </w:rPr>
        <w:fldChar w:fldCharType="end"/>
      </w:r>
      <w:r w:rsidRPr="00D912F1">
        <w:rPr>
          <w:rFonts w:cstheme="minorHAnsi"/>
          <w:b/>
          <w:bCs/>
        </w:rPr>
        <w:t>.</w:t>
      </w:r>
      <w:r w:rsidRPr="00D912F1">
        <w:rPr>
          <w:rFonts w:cstheme="minorHAnsi"/>
        </w:rPr>
        <w:t xml:space="preserve"> The strong agreement between chains for all parameters is a further indication of good model convergence. For certain parameters such as </w:t>
      </w:r>
      <m:oMath>
        <m:acc>
          <m:accPr>
            <m:ctrlPr>
              <w:rPr>
                <w:rFonts w:ascii="Cambria Math" w:hAnsi="Cambria Math" w:cstheme="minorHAnsi"/>
                <w:i/>
              </w:rPr>
            </m:ctrlPr>
          </m:accPr>
          <m:e>
            <m:r>
              <w:rPr>
                <w:rFonts w:ascii="Cambria Math" w:hAnsi="Cambria Math" w:cstheme="minorHAnsi"/>
              </w:rPr>
              <m:t>β</m:t>
            </m:r>
          </m:e>
        </m:acc>
      </m:oMath>
      <w:r w:rsidRPr="00D912F1">
        <w:rPr>
          <w:rFonts w:cstheme="minorHAnsi"/>
          <w:b/>
          <w:bCs/>
        </w:rPr>
        <w:t xml:space="preserve">, </w:t>
      </w:r>
      <m:oMath>
        <m:r>
          <w:rPr>
            <w:rFonts w:ascii="Cambria Math" w:hAnsi="Cambria Math" w:cstheme="minorHAnsi"/>
          </w:rPr>
          <m:t>α</m:t>
        </m:r>
      </m:oMath>
      <w:r w:rsidRPr="00637894">
        <w:rPr>
          <w:rFonts w:cstheme="minorHAnsi"/>
          <w:bCs/>
        </w:rPr>
        <w:t xml:space="preserve"> </w:t>
      </w:r>
      <w:r w:rsidRPr="00D912F1">
        <w:rPr>
          <w:rFonts w:cstheme="minorHAnsi"/>
        </w:rPr>
        <w:t xml:space="preserve">the posterior distribution suggests a much narrower range of possible values compared to their </w:t>
      </w:r>
      <w:r w:rsidRPr="00D912F1">
        <w:rPr>
          <w:rFonts w:cstheme="minorHAnsi"/>
        </w:rPr>
        <w:lastRenderedPageBreak/>
        <w:t xml:space="preserve">respective priors. This indicates that the calibration process has added considerable information to these unknowns and our understanding of the ‘true’ value of these parameters is much improved. However, for other parameters </w:t>
      </w:r>
      <w:r w:rsidRPr="00637894">
        <w:rPr>
          <w:rFonts w:cstheme="minorHAnsi"/>
        </w:rPr>
        <w:t xml:space="preserve">such as and </w:t>
      </w:r>
      <m:oMath>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min</m:t>
            </m:r>
          </m:sub>
        </m:sSub>
      </m:oMath>
      <w:r w:rsidRPr="00637894">
        <w:rPr>
          <w:rFonts w:cstheme="minorHAnsi"/>
        </w:rPr>
        <w:t xml:space="preserve"> the</w:t>
      </w:r>
      <w:r w:rsidRPr="00D912F1">
        <w:rPr>
          <w:rFonts w:cstheme="minorHAnsi"/>
        </w:rPr>
        <w:t xml:space="preserve"> posterior distributions are only marginally narrower than their respective priors. This indicates that there is a large range of possible parameter values which can reasonably reproduce the data, and as such it is clear that considerable uncertainty remains in the model. </w:t>
      </w:r>
    </w:p>
    <w:p w14:paraId="4A630756" w14:textId="77777777" w:rsidR="00732E84" w:rsidRDefault="00732E84" w:rsidP="00732E84"/>
    <w:p w14:paraId="541D581D" w14:textId="77777777" w:rsidR="00732E84" w:rsidRDefault="00732E84" w:rsidP="00732E84">
      <w:pPr>
        <w:keepNext/>
      </w:pPr>
      <w:r>
        <w:rPr>
          <w:noProof/>
          <w:lang w:eastAsia="en-GB"/>
        </w:rPr>
        <w:drawing>
          <wp:inline distT="0" distB="0" distL="0" distR="0" wp14:anchorId="1365D7E3" wp14:editId="4517CEBF">
            <wp:extent cx="5970335" cy="4773881"/>
            <wp:effectExtent l="0" t="0" r="0" b="8255"/>
            <wp:docPr id="9"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graph&#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3835" cy="4784675"/>
                    </a:xfrm>
                    <a:prstGeom prst="rect">
                      <a:avLst/>
                    </a:prstGeom>
                    <a:noFill/>
                  </pic:spPr>
                </pic:pic>
              </a:graphicData>
            </a:graphic>
          </wp:inline>
        </w:drawing>
      </w:r>
    </w:p>
    <w:p w14:paraId="04CA43A1" w14:textId="4B521FD1" w:rsidR="00732E84" w:rsidRDefault="004B5789" w:rsidP="004B5789">
      <w:pPr>
        <w:pStyle w:val="Caption"/>
      </w:pPr>
      <w:bookmarkStart w:id="6" w:name="_Ref176637295"/>
      <w:r>
        <w:t>Figure S4.</w:t>
      </w:r>
      <w:r>
        <w:fldChar w:fldCharType="begin"/>
      </w:r>
      <w:r>
        <w:instrText xml:space="preserve"> SEQ Figure \* ARABIC </w:instrText>
      </w:r>
      <w:r>
        <w:fldChar w:fldCharType="separate"/>
      </w:r>
      <w:r>
        <w:rPr>
          <w:noProof/>
        </w:rPr>
        <w:t>3</w:t>
      </w:r>
      <w:r>
        <w:fldChar w:fldCharType="end"/>
      </w:r>
      <w:bookmarkEnd w:id="6"/>
      <w:r w:rsidR="00732E84">
        <w:t xml:space="preserve">- </w:t>
      </w:r>
      <w:r>
        <w:t>Basic Model</w:t>
      </w:r>
      <w:r w:rsidR="00732E84">
        <w:t xml:space="preserve"> MCMC </w:t>
      </w:r>
      <w:proofErr w:type="spellStart"/>
      <w:r w:rsidR="00732E84">
        <w:t>traceplot</w:t>
      </w:r>
      <w:proofErr w:type="spellEnd"/>
      <w:r w:rsidR="00732E84">
        <w:t xml:space="preserve">. First 18000 iterations are omitted for clarity. </w:t>
      </w:r>
      <w:proofErr w:type="spellStart"/>
      <w:r w:rsidR="00732E84">
        <w:t>Rhat</w:t>
      </w:r>
      <w:proofErr w:type="spellEnd"/>
      <w:r w:rsidR="00732E84">
        <w:t xml:space="preserve"> for each parameter is given in top-right of each plot.</w:t>
      </w:r>
    </w:p>
    <w:p w14:paraId="5E912AF6" w14:textId="77777777" w:rsidR="00732E84" w:rsidRDefault="00732E84" w:rsidP="00732E84">
      <w:pPr>
        <w:keepNext/>
      </w:pPr>
      <w:r>
        <w:rPr>
          <w:noProof/>
          <w:lang w:eastAsia="en-GB"/>
        </w:rPr>
        <w:lastRenderedPageBreak/>
        <w:drawing>
          <wp:inline distT="0" distB="0" distL="0" distR="0" wp14:anchorId="3D634077" wp14:editId="23ACEF39">
            <wp:extent cx="5975401" cy="5578965"/>
            <wp:effectExtent l="0" t="0" r="6350" b="3175"/>
            <wp:docPr id="20" name="Picture 2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graph&#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0819" cy="5584023"/>
                    </a:xfrm>
                    <a:prstGeom prst="rect">
                      <a:avLst/>
                    </a:prstGeom>
                    <a:noFill/>
                  </pic:spPr>
                </pic:pic>
              </a:graphicData>
            </a:graphic>
          </wp:inline>
        </w:drawing>
      </w:r>
    </w:p>
    <w:p w14:paraId="022A1768" w14:textId="290C54AD" w:rsidR="00732E84" w:rsidRDefault="004B5789" w:rsidP="004B5789">
      <w:pPr>
        <w:pStyle w:val="Caption"/>
      </w:pPr>
      <w:r>
        <w:t>Figure S4.</w:t>
      </w:r>
      <w:r>
        <w:fldChar w:fldCharType="begin"/>
      </w:r>
      <w:r>
        <w:instrText xml:space="preserve"> SEQ Figure \* ARABIC </w:instrText>
      </w:r>
      <w:r>
        <w:fldChar w:fldCharType="separate"/>
      </w:r>
      <w:r>
        <w:rPr>
          <w:noProof/>
        </w:rPr>
        <w:t>4</w:t>
      </w:r>
      <w:r>
        <w:fldChar w:fldCharType="end"/>
      </w:r>
      <w:r w:rsidR="00732E84">
        <w:t xml:space="preserve">- </w:t>
      </w:r>
      <w:r>
        <w:t>Temperature</w:t>
      </w:r>
      <w:r w:rsidR="00732E84">
        <w:t xml:space="preserve"> MCMC </w:t>
      </w:r>
      <w:proofErr w:type="spellStart"/>
      <w:r w:rsidR="00732E84">
        <w:t>traceplot</w:t>
      </w:r>
      <w:proofErr w:type="spellEnd"/>
      <w:r w:rsidR="00732E84">
        <w:t xml:space="preserve">. First 18000 iterations are omitted for clarity. </w:t>
      </w:r>
      <w:proofErr w:type="spellStart"/>
      <w:r w:rsidR="00732E84">
        <w:t>Rhat</w:t>
      </w:r>
      <w:proofErr w:type="spellEnd"/>
      <w:r w:rsidR="00732E84">
        <w:t xml:space="preserve"> for each parameter is given in top-right of each plot.</w:t>
      </w:r>
    </w:p>
    <w:p w14:paraId="23D0A3CF" w14:textId="77777777" w:rsidR="00732E84" w:rsidRDefault="00732E84" w:rsidP="00732E84"/>
    <w:p w14:paraId="16290A6E" w14:textId="77777777" w:rsidR="00732E84" w:rsidRDefault="00732E84" w:rsidP="00732E84">
      <w:pPr>
        <w:keepNext/>
      </w:pPr>
      <w:r>
        <w:rPr>
          <w:noProof/>
          <w:lang w:eastAsia="en-GB"/>
        </w:rPr>
        <w:lastRenderedPageBreak/>
        <w:drawing>
          <wp:inline distT="0" distB="0" distL="0" distR="0" wp14:anchorId="3C6216F4" wp14:editId="1A175FCA">
            <wp:extent cx="5988001" cy="7985481"/>
            <wp:effectExtent l="0" t="0" r="0" b="0"/>
            <wp:docPr id="22" name="Picture 2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graph&#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2570" cy="7991575"/>
                    </a:xfrm>
                    <a:prstGeom prst="rect">
                      <a:avLst/>
                    </a:prstGeom>
                    <a:noFill/>
                  </pic:spPr>
                </pic:pic>
              </a:graphicData>
            </a:graphic>
          </wp:inline>
        </w:drawing>
      </w:r>
    </w:p>
    <w:p w14:paraId="3F81DA5A" w14:textId="2D51EAC4" w:rsidR="00732E84" w:rsidRPr="00A61746" w:rsidRDefault="004B5789" w:rsidP="004B5789">
      <w:pPr>
        <w:pStyle w:val="Caption"/>
      </w:pPr>
      <w:r>
        <w:t>Figure S4.</w:t>
      </w:r>
      <w:r>
        <w:fldChar w:fldCharType="begin"/>
      </w:r>
      <w:r>
        <w:instrText xml:space="preserve"> SEQ Figure \* ARABIC </w:instrText>
      </w:r>
      <w:r>
        <w:fldChar w:fldCharType="separate"/>
      </w:r>
      <w:r>
        <w:rPr>
          <w:noProof/>
        </w:rPr>
        <w:t>5</w:t>
      </w:r>
      <w:r>
        <w:fldChar w:fldCharType="end"/>
      </w:r>
      <w:r>
        <w:t>–</w:t>
      </w:r>
      <w:r w:rsidR="00732E84">
        <w:t xml:space="preserve"> </w:t>
      </w:r>
      <w:r>
        <w:t xml:space="preserve">Rainfall </w:t>
      </w:r>
      <w:r w:rsidR="00732E84">
        <w:t xml:space="preserve">Model MCMC </w:t>
      </w:r>
      <w:proofErr w:type="spellStart"/>
      <w:r w:rsidR="00732E84">
        <w:t>traceplot</w:t>
      </w:r>
      <w:proofErr w:type="spellEnd"/>
      <w:r w:rsidR="00732E84">
        <w:t xml:space="preserve">. First 18000 iterations are omitted for clarity. </w:t>
      </w:r>
      <w:proofErr w:type="spellStart"/>
      <w:r w:rsidR="00732E84">
        <w:t>Rhat</w:t>
      </w:r>
      <w:proofErr w:type="spellEnd"/>
      <w:r w:rsidR="00732E84">
        <w:t xml:space="preserve"> for each parameter is given in top-right of each plot.</w:t>
      </w:r>
    </w:p>
    <w:p w14:paraId="73A297F7" w14:textId="77777777" w:rsidR="00732E84" w:rsidRDefault="00732E84" w:rsidP="00732E84">
      <w:pPr>
        <w:keepNext/>
      </w:pPr>
      <w:r>
        <w:rPr>
          <w:noProof/>
          <w:lang w:eastAsia="en-GB"/>
        </w:rPr>
        <w:lastRenderedPageBreak/>
        <w:drawing>
          <wp:inline distT="0" distB="0" distL="0" distR="0" wp14:anchorId="0DC2975C" wp14:editId="7D356921">
            <wp:extent cx="6006726" cy="8812784"/>
            <wp:effectExtent l="0" t="0" r="0" b="7620"/>
            <wp:docPr id="21" name="Picture 2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graph&#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3152" cy="8822212"/>
                    </a:xfrm>
                    <a:prstGeom prst="rect">
                      <a:avLst/>
                    </a:prstGeom>
                    <a:noFill/>
                  </pic:spPr>
                </pic:pic>
              </a:graphicData>
            </a:graphic>
          </wp:inline>
        </w:drawing>
      </w:r>
    </w:p>
    <w:p w14:paraId="3FACE6CD" w14:textId="5C4A572A" w:rsidR="00732E84" w:rsidRDefault="004B5789" w:rsidP="004B5789">
      <w:pPr>
        <w:pStyle w:val="Caption"/>
      </w:pPr>
      <w:bookmarkStart w:id="7" w:name="_Ref176637299"/>
      <w:r>
        <w:lastRenderedPageBreak/>
        <w:t>Figure S4.</w:t>
      </w:r>
      <w:r>
        <w:fldChar w:fldCharType="begin"/>
      </w:r>
      <w:r>
        <w:instrText xml:space="preserve"> SEQ Figure \* ARABIC </w:instrText>
      </w:r>
      <w:r>
        <w:fldChar w:fldCharType="separate"/>
      </w:r>
      <w:r>
        <w:rPr>
          <w:noProof/>
        </w:rPr>
        <w:t>6</w:t>
      </w:r>
      <w:r>
        <w:fldChar w:fldCharType="end"/>
      </w:r>
      <w:bookmarkEnd w:id="7"/>
      <w:r w:rsidR="00732E84">
        <w:t xml:space="preserve">- </w:t>
      </w:r>
      <w:r>
        <w:t>Dual Model</w:t>
      </w:r>
      <w:r w:rsidR="00732E84">
        <w:t xml:space="preserve"> MCMC </w:t>
      </w:r>
      <w:proofErr w:type="spellStart"/>
      <w:r w:rsidR="00732E84">
        <w:t>traceplot</w:t>
      </w:r>
      <w:proofErr w:type="spellEnd"/>
      <w:r w:rsidR="00732E84">
        <w:t xml:space="preserve">. First 18000 iterations are omitted for clarity. </w:t>
      </w:r>
      <w:proofErr w:type="spellStart"/>
      <w:r w:rsidR="00732E84">
        <w:t>Rhat</w:t>
      </w:r>
      <w:proofErr w:type="spellEnd"/>
      <w:r w:rsidR="00732E84">
        <w:t xml:space="preserve"> for each parameter is given in top-right of each plot.</w:t>
      </w:r>
    </w:p>
    <w:p w14:paraId="671F1AEA" w14:textId="77777777" w:rsidR="00732E84" w:rsidRDefault="00732E84" w:rsidP="00732E84">
      <w:pPr>
        <w:keepNext/>
      </w:pPr>
    </w:p>
    <w:p w14:paraId="2F58780C" w14:textId="77777777" w:rsidR="00732E84" w:rsidRDefault="00732E84" w:rsidP="00732E84">
      <w:pPr>
        <w:keepNext/>
      </w:pPr>
      <w:r>
        <w:rPr>
          <w:noProof/>
        </w:rPr>
        <w:drawing>
          <wp:inline distT="0" distB="0" distL="0" distR="0" wp14:anchorId="050F067C" wp14:editId="2C788150">
            <wp:extent cx="5731510" cy="3820795"/>
            <wp:effectExtent l="0" t="0" r="2540" b="8255"/>
            <wp:docPr id="10" name="Picture 10" descr="A group of graphs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graphs with different colored lines&#10;&#10;Description automatically generated"/>
                    <pic:cNvPicPr/>
                  </pic:nvPicPr>
                  <pic:blipFill>
                    <a:blip r:embed="rId12"/>
                    <a:stretch>
                      <a:fillRect/>
                    </a:stretch>
                  </pic:blipFill>
                  <pic:spPr>
                    <a:xfrm>
                      <a:off x="0" y="0"/>
                      <a:ext cx="5731510" cy="3820795"/>
                    </a:xfrm>
                    <a:prstGeom prst="rect">
                      <a:avLst/>
                    </a:prstGeom>
                  </pic:spPr>
                </pic:pic>
              </a:graphicData>
            </a:graphic>
          </wp:inline>
        </w:drawing>
      </w:r>
    </w:p>
    <w:p w14:paraId="7002338E" w14:textId="155B41B2" w:rsidR="00732E84" w:rsidRDefault="004B5789" w:rsidP="004B5789">
      <w:pPr>
        <w:pStyle w:val="Caption"/>
      </w:pPr>
      <w:bookmarkStart w:id="8" w:name="_Ref176637404"/>
      <w:r>
        <w:t>Figure S4.</w:t>
      </w:r>
      <w:r>
        <w:fldChar w:fldCharType="begin"/>
      </w:r>
      <w:r>
        <w:instrText xml:space="preserve"> SEQ Figure \* ARABIC </w:instrText>
      </w:r>
      <w:r>
        <w:fldChar w:fldCharType="separate"/>
      </w:r>
      <w:r>
        <w:rPr>
          <w:noProof/>
        </w:rPr>
        <w:t>7</w:t>
      </w:r>
      <w:r>
        <w:fldChar w:fldCharType="end"/>
      </w:r>
      <w:bookmarkEnd w:id="8"/>
      <w:r w:rsidR="00732E84">
        <w:t>– Prior and posterior density plot for</w:t>
      </w:r>
      <w:r>
        <w:t xml:space="preserve"> Basic</w:t>
      </w:r>
      <w:r w:rsidR="00732E84">
        <w:t xml:space="preserve"> Model parameters. Posterior density is shaded by chain. Black line denotes prior probability assumption.  </w:t>
      </w:r>
    </w:p>
    <w:p w14:paraId="1F80CE91" w14:textId="77777777" w:rsidR="00732E84" w:rsidRDefault="00732E84" w:rsidP="00732E84">
      <w:pPr>
        <w:keepNext/>
      </w:pPr>
      <w:r>
        <w:rPr>
          <w:noProof/>
        </w:rPr>
        <w:lastRenderedPageBreak/>
        <w:drawing>
          <wp:inline distT="0" distB="0" distL="0" distR="0" wp14:anchorId="2605B1BB" wp14:editId="43801A57">
            <wp:extent cx="6032176" cy="4021567"/>
            <wp:effectExtent l="0" t="0" r="6985" b="0"/>
            <wp:docPr id="24" name="Picture 24"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a function&#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7379" cy="4038370"/>
                    </a:xfrm>
                    <a:prstGeom prst="rect">
                      <a:avLst/>
                    </a:prstGeom>
                    <a:noFill/>
                  </pic:spPr>
                </pic:pic>
              </a:graphicData>
            </a:graphic>
          </wp:inline>
        </w:drawing>
      </w:r>
    </w:p>
    <w:p w14:paraId="2B814D72" w14:textId="5A8E454E" w:rsidR="00732E84" w:rsidRDefault="004B5789" w:rsidP="004B5789">
      <w:pPr>
        <w:pStyle w:val="Caption"/>
      </w:pPr>
      <w:r>
        <w:t>Figure S4.</w:t>
      </w:r>
      <w:r>
        <w:fldChar w:fldCharType="begin"/>
      </w:r>
      <w:r>
        <w:instrText xml:space="preserve"> SEQ Figure \* ARABIC </w:instrText>
      </w:r>
      <w:r>
        <w:fldChar w:fldCharType="separate"/>
      </w:r>
      <w:r>
        <w:rPr>
          <w:noProof/>
        </w:rPr>
        <w:t>8</w:t>
      </w:r>
      <w:r>
        <w:fldChar w:fldCharType="end"/>
      </w:r>
      <w:r w:rsidR="00732E84">
        <w:t xml:space="preserve">- Prior and posterior density plot for </w:t>
      </w:r>
      <w:r>
        <w:t>Temperature Model</w:t>
      </w:r>
      <w:r w:rsidR="00732E84">
        <w:t xml:space="preserve"> parameters MCMC simulation. Posterior density is shaded by chain. Black line denotes prior probability assumption.  </w:t>
      </w:r>
    </w:p>
    <w:p w14:paraId="1A84CDCE" w14:textId="77777777" w:rsidR="00732E84" w:rsidRDefault="00732E84" w:rsidP="00732E84">
      <w:pPr>
        <w:keepNext/>
      </w:pPr>
      <w:r>
        <w:rPr>
          <w:noProof/>
        </w:rPr>
        <w:drawing>
          <wp:inline distT="0" distB="0" distL="0" distR="0" wp14:anchorId="247F596B" wp14:editId="4496213B">
            <wp:extent cx="5731510" cy="3819525"/>
            <wp:effectExtent l="0" t="0" r="2540" b="9525"/>
            <wp:docPr id="3"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graph&#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pic:spPr>
                </pic:pic>
              </a:graphicData>
            </a:graphic>
          </wp:inline>
        </w:drawing>
      </w:r>
    </w:p>
    <w:p w14:paraId="73D824EF" w14:textId="45DF7296" w:rsidR="00732E84" w:rsidRDefault="004B5789" w:rsidP="004B5789">
      <w:pPr>
        <w:pStyle w:val="Caption"/>
      </w:pPr>
      <w:r>
        <w:t>Figure S4.</w:t>
      </w:r>
      <w:r>
        <w:fldChar w:fldCharType="begin"/>
      </w:r>
      <w:r>
        <w:instrText xml:space="preserve"> SEQ Figure \* ARABIC </w:instrText>
      </w:r>
      <w:r>
        <w:fldChar w:fldCharType="separate"/>
      </w:r>
      <w:r>
        <w:rPr>
          <w:noProof/>
        </w:rPr>
        <w:t>9</w:t>
      </w:r>
      <w:r>
        <w:fldChar w:fldCharType="end"/>
      </w:r>
      <w:r w:rsidR="00732E84">
        <w:t xml:space="preserve">- Prior and posterior density plot for </w:t>
      </w:r>
      <w:r>
        <w:t>Rainfall Model</w:t>
      </w:r>
      <w:r w:rsidR="00732E84">
        <w:t xml:space="preserve"> parameters. Posterior density is shaded by chain. Black line denotes prior probability assumption.  </w:t>
      </w:r>
    </w:p>
    <w:p w14:paraId="460DE181" w14:textId="77777777" w:rsidR="00732E84" w:rsidRDefault="00732E84" w:rsidP="00732E84">
      <w:pPr>
        <w:keepNext/>
      </w:pPr>
      <w:r>
        <w:rPr>
          <w:noProof/>
        </w:rPr>
        <w:lastRenderedPageBreak/>
        <w:drawing>
          <wp:inline distT="0" distB="0" distL="0" distR="0" wp14:anchorId="4E85B996" wp14:editId="7B2D9192">
            <wp:extent cx="5731510" cy="3819251"/>
            <wp:effectExtent l="0" t="0" r="2540" b="0"/>
            <wp:docPr id="23" name="Picture 23" descr="A group of graphs showing different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graphs showing different number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19251"/>
                    </a:xfrm>
                    <a:prstGeom prst="rect">
                      <a:avLst/>
                    </a:prstGeom>
                    <a:noFill/>
                  </pic:spPr>
                </pic:pic>
              </a:graphicData>
            </a:graphic>
          </wp:inline>
        </w:drawing>
      </w:r>
    </w:p>
    <w:p w14:paraId="1D90F54C" w14:textId="13C0D6FD" w:rsidR="00732E84" w:rsidRDefault="004B5789" w:rsidP="004B5789">
      <w:pPr>
        <w:pStyle w:val="Caption"/>
      </w:pPr>
      <w:bookmarkStart w:id="9" w:name="_Ref176637405"/>
      <w:r>
        <w:t>Figure S4.</w:t>
      </w:r>
      <w:r>
        <w:fldChar w:fldCharType="begin"/>
      </w:r>
      <w:r>
        <w:instrText xml:space="preserve"> SEQ Figure \* ARABIC </w:instrText>
      </w:r>
      <w:r>
        <w:fldChar w:fldCharType="separate"/>
      </w:r>
      <w:r>
        <w:rPr>
          <w:noProof/>
        </w:rPr>
        <w:t>10</w:t>
      </w:r>
      <w:r>
        <w:fldChar w:fldCharType="end"/>
      </w:r>
      <w:bookmarkEnd w:id="9"/>
      <w:r w:rsidR="00732E84">
        <w:t xml:space="preserve">- Prior and posterior density plot for </w:t>
      </w:r>
      <w:r>
        <w:t>Dual Model</w:t>
      </w:r>
      <w:r w:rsidR="00732E84">
        <w:t xml:space="preserve"> parameters. Posterior density is shaded by chain. Black line denotes prior probability assumption.  </w:t>
      </w:r>
    </w:p>
    <w:p w14:paraId="5D1F1982" w14:textId="77777777" w:rsidR="00732E84" w:rsidRPr="00B36079" w:rsidRDefault="00732E84" w:rsidP="00732E84">
      <w:pPr>
        <w:pStyle w:val="Caption"/>
      </w:pPr>
    </w:p>
    <w:p w14:paraId="0D227336" w14:textId="77777777" w:rsidR="00732E84" w:rsidRDefault="00732E84" w:rsidP="00732E84"/>
    <w:p w14:paraId="7DAA9011" w14:textId="77777777" w:rsidR="00732E84" w:rsidRPr="003D1D43" w:rsidRDefault="00732E84" w:rsidP="00732E84"/>
    <w:p w14:paraId="56A1ADE6" w14:textId="77777777" w:rsidR="00B52C82" w:rsidRPr="00D912F1" w:rsidRDefault="00B52C82" w:rsidP="00D912F1">
      <w:pPr>
        <w:spacing w:line="276" w:lineRule="auto"/>
        <w:rPr>
          <w:rFonts w:cstheme="minorHAnsi"/>
        </w:rPr>
      </w:pPr>
    </w:p>
    <w:sectPr w:rsidR="00B52C82" w:rsidRPr="00D912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974F022"/>
    <w:lvl w:ilvl="0">
      <w:start w:val="1"/>
      <w:numFmt w:val="bullet"/>
      <w:pStyle w:val="ListBullet"/>
      <w:lvlText w:val=""/>
      <w:lvlJc w:val="left"/>
      <w:pPr>
        <w:tabs>
          <w:tab w:val="num" w:pos="360"/>
        </w:tabs>
        <w:ind w:left="360" w:hanging="360"/>
      </w:pPr>
      <w:rPr>
        <w:rFonts w:ascii="Symbol" w:hAnsi="Symbol" w:hint="default"/>
      </w:rPr>
    </w:lvl>
  </w:abstractNum>
  <w:num w:numId="1" w16cid:durableId="107742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C82"/>
    <w:rsid w:val="00032692"/>
    <w:rsid w:val="00253DDA"/>
    <w:rsid w:val="004B5789"/>
    <w:rsid w:val="0060138E"/>
    <w:rsid w:val="0063765E"/>
    <w:rsid w:val="00637894"/>
    <w:rsid w:val="00690417"/>
    <w:rsid w:val="00732E84"/>
    <w:rsid w:val="00834974"/>
    <w:rsid w:val="008730D1"/>
    <w:rsid w:val="008950A1"/>
    <w:rsid w:val="00911FA7"/>
    <w:rsid w:val="00B52C82"/>
    <w:rsid w:val="00C22C20"/>
    <w:rsid w:val="00C56564"/>
    <w:rsid w:val="00C86C9D"/>
    <w:rsid w:val="00D912F1"/>
    <w:rsid w:val="00D97AC5"/>
    <w:rsid w:val="00DD35F8"/>
    <w:rsid w:val="00E01970"/>
    <w:rsid w:val="00ED2005"/>
    <w:rsid w:val="00F948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8BBA6"/>
  <w15:chartTrackingRefBased/>
  <w15:docId w15:val="{38D1F12B-75B5-4601-9EB3-23292A62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2C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52C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52C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52C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B52C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B52C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B52C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2C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2C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C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52C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52C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2C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2C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2C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2C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2C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2C82"/>
    <w:rPr>
      <w:rFonts w:eastAsiaTheme="majorEastAsia" w:cstheme="majorBidi"/>
      <w:color w:val="272727" w:themeColor="text1" w:themeTint="D8"/>
    </w:rPr>
  </w:style>
  <w:style w:type="paragraph" w:styleId="Title">
    <w:name w:val="Title"/>
    <w:basedOn w:val="Normal"/>
    <w:next w:val="Normal"/>
    <w:link w:val="TitleChar"/>
    <w:uiPriority w:val="10"/>
    <w:qFormat/>
    <w:rsid w:val="00B52C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2C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2C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2C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2C82"/>
    <w:pPr>
      <w:spacing w:before="160"/>
      <w:jc w:val="center"/>
    </w:pPr>
    <w:rPr>
      <w:i/>
      <w:iCs/>
      <w:color w:val="404040" w:themeColor="text1" w:themeTint="BF"/>
    </w:rPr>
  </w:style>
  <w:style w:type="character" w:customStyle="1" w:styleId="QuoteChar">
    <w:name w:val="Quote Char"/>
    <w:basedOn w:val="DefaultParagraphFont"/>
    <w:link w:val="Quote"/>
    <w:uiPriority w:val="29"/>
    <w:rsid w:val="00B52C82"/>
    <w:rPr>
      <w:i/>
      <w:iCs/>
      <w:color w:val="404040" w:themeColor="text1" w:themeTint="BF"/>
    </w:rPr>
  </w:style>
  <w:style w:type="paragraph" w:styleId="ListParagraph">
    <w:name w:val="List Paragraph"/>
    <w:basedOn w:val="Normal"/>
    <w:uiPriority w:val="34"/>
    <w:qFormat/>
    <w:rsid w:val="00B52C82"/>
    <w:pPr>
      <w:ind w:left="720"/>
      <w:contextualSpacing/>
    </w:pPr>
  </w:style>
  <w:style w:type="character" w:styleId="IntenseEmphasis">
    <w:name w:val="Intense Emphasis"/>
    <w:basedOn w:val="DefaultParagraphFont"/>
    <w:uiPriority w:val="21"/>
    <w:qFormat/>
    <w:rsid w:val="00B52C82"/>
    <w:rPr>
      <w:i/>
      <w:iCs/>
      <w:color w:val="0F4761" w:themeColor="accent1" w:themeShade="BF"/>
    </w:rPr>
  </w:style>
  <w:style w:type="paragraph" w:styleId="IntenseQuote">
    <w:name w:val="Intense Quote"/>
    <w:basedOn w:val="Normal"/>
    <w:next w:val="Normal"/>
    <w:link w:val="IntenseQuoteChar"/>
    <w:uiPriority w:val="30"/>
    <w:qFormat/>
    <w:rsid w:val="00B52C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2C82"/>
    <w:rPr>
      <w:i/>
      <w:iCs/>
      <w:color w:val="0F4761" w:themeColor="accent1" w:themeShade="BF"/>
    </w:rPr>
  </w:style>
  <w:style w:type="character" w:styleId="IntenseReference">
    <w:name w:val="Intense Reference"/>
    <w:basedOn w:val="DefaultParagraphFont"/>
    <w:uiPriority w:val="32"/>
    <w:qFormat/>
    <w:rsid w:val="00B52C82"/>
    <w:rPr>
      <w:b/>
      <w:bCs/>
      <w:smallCaps/>
      <w:color w:val="0F4761" w:themeColor="accent1" w:themeShade="BF"/>
      <w:spacing w:val="5"/>
    </w:rPr>
  </w:style>
  <w:style w:type="paragraph" w:styleId="ListBullet">
    <w:name w:val="List Bullet"/>
    <w:basedOn w:val="Normal"/>
    <w:uiPriority w:val="99"/>
    <w:unhideWhenUsed/>
    <w:rsid w:val="00B52C82"/>
    <w:pPr>
      <w:numPr>
        <w:numId w:val="1"/>
      </w:numPr>
      <w:spacing w:after="120" w:line="360" w:lineRule="auto"/>
      <w:ind w:left="0" w:firstLine="0"/>
      <w:contextualSpacing/>
    </w:pPr>
    <w:rPr>
      <w:rFonts w:eastAsiaTheme="minorEastAsia"/>
      <w:kern w:val="0"/>
      <w:szCs w:val="22"/>
      <w14:ligatures w14:val="none"/>
    </w:rPr>
  </w:style>
  <w:style w:type="paragraph" w:styleId="Caption">
    <w:name w:val="caption"/>
    <w:basedOn w:val="Normal"/>
    <w:next w:val="Normal"/>
    <w:uiPriority w:val="35"/>
    <w:unhideWhenUsed/>
    <w:qFormat/>
    <w:rsid w:val="00B52C82"/>
    <w:pPr>
      <w:spacing w:after="200" w:line="240" w:lineRule="auto"/>
    </w:pPr>
    <w:rPr>
      <w:rFonts w:eastAsiaTheme="minorEastAsia"/>
      <w:i/>
      <w:iCs/>
      <w:color w:val="0E2841" w:themeColor="text2"/>
      <w:kern w:val="0"/>
      <w:sz w:val="18"/>
      <w:szCs w:val="18"/>
      <w14:ligatures w14:val="none"/>
    </w:rPr>
  </w:style>
  <w:style w:type="table" w:styleId="PlainTable2">
    <w:name w:val="Plain Table 2"/>
    <w:basedOn w:val="TableNormal"/>
    <w:uiPriority w:val="42"/>
    <w:rsid w:val="00B52C82"/>
    <w:pPr>
      <w:spacing w:after="0" w:line="240" w:lineRule="auto"/>
    </w:pPr>
    <w:rPr>
      <w:rFonts w:eastAsiaTheme="minorEastAsia"/>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72AC9DD05714A3EBD8B980CD72B9025"/>
        <w:category>
          <w:name w:val="General"/>
          <w:gallery w:val="placeholder"/>
        </w:category>
        <w:types>
          <w:type w:val="bbPlcHdr"/>
        </w:types>
        <w:behaviors>
          <w:behavior w:val="content"/>
        </w:behaviors>
        <w:guid w:val="{FB77D061-E5EB-4319-9F64-1B994663B047}"/>
      </w:docPartPr>
      <w:docPartBody>
        <w:p w:rsidR="00F36F31" w:rsidRDefault="00F36F31" w:rsidP="00F36F31">
          <w:pPr>
            <w:pStyle w:val="172AC9DD05714A3EBD8B980CD72B9025"/>
          </w:pPr>
          <w:r w:rsidRPr="00E3045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F31"/>
    <w:rsid w:val="00911FA7"/>
    <w:rsid w:val="00C86C9D"/>
    <w:rsid w:val="00F36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6F31"/>
    <w:rPr>
      <w:color w:val="808080"/>
    </w:rPr>
  </w:style>
  <w:style w:type="paragraph" w:customStyle="1" w:styleId="172AC9DD05714A3EBD8B980CD72B9025">
    <w:name w:val="172AC9DD05714A3EBD8B980CD72B9025"/>
    <w:rsid w:val="00F36F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8930D-9AE8-400C-8563-D297E52A2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1147</Words>
  <Characters>6543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Shackleton, Debbie</dc:creator>
  <cp:keywords/>
  <dc:description/>
  <cp:lastModifiedBy>Shackleton, Debbie</cp:lastModifiedBy>
  <cp:revision>19</cp:revision>
  <dcterms:created xsi:type="dcterms:W3CDTF">2024-09-01T17:03:00Z</dcterms:created>
  <dcterms:modified xsi:type="dcterms:W3CDTF">2024-09-07T20:38:00Z</dcterms:modified>
</cp:coreProperties>
</file>